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3EF2938D" w:rsidR="00E203C2" w:rsidRDefault="00E203C2" w:rsidP="00E203C2">
      <w:r>
        <w:rPr>
          <w:noProof/>
          <w:lang w:eastAsia="en-GB" w:bidi="ar-SA"/>
        </w:rPr>
        <w:drawing>
          <wp:inline distT="0" distB="0" distL="0" distR="0" wp14:anchorId="53705D84" wp14:editId="7B135E7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Default="00E203C2" w:rsidP="00E203C2"/>
    <w:p w14:paraId="15B16D4B" w14:textId="5D05E555" w:rsidR="00CA641D" w:rsidRPr="00F3354F" w:rsidRDefault="00866F97" w:rsidP="00CA641D">
      <w:pPr>
        <w:rPr>
          <w:b/>
          <w:sz w:val="28"/>
          <w:szCs w:val="28"/>
        </w:rPr>
      </w:pPr>
      <w:r>
        <w:rPr>
          <w:b/>
          <w:sz w:val="28"/>
          <w:szCs w:val="28"/>
        </w:rPr>
        <w:t>6 December</w:t>
      </w:r>
      <w:r w:rsidR="00CA641D" w:rsidRPr="00F3354F">
        <w:rPr>
          <w:b/>
          <w:sz w:val="28"/>
          <w:szCs w:val="28"/>
        </w:rPr>
        <w:t xml:space="preserve"> 20</w:t>
      </w:r>
      <w:r w:rsidR="00F3354F">
        <w:rPr>
          <w:b/>
          <w:sz w:val="28"/>
          <w:szCs w:val="28"/>
        </w:rPr>
        <w:t>21</w:t>
      </w:r>
    </w:p>
    <w:p w14:paraId="52BA9928" w14:textId="0BB4A9FD" w:rsidR="00CA641D" w:rsidRPr="00F3354F" w:rsidRDefault="00866F97" w:rsidP="00CA641D">
      <w:pPr>
        <w:rPr>
          <w:b/>
          <w:sz w:val="28"/>
          <w:szCs w:val="28"/>
        </w:rPr>
      </w:pPr>
      <w:r>
        <w:rPr>
          <w:b/>
          <w:sz w:val="28"/>
          <w:szCs w:val="28"/>
        </w:rPr>
        <w:t>182-21</w:t>
      </w:r>
      <w:bookmarkStart w:id="0" w:name="_GoBack"/>
      <w:bookmarkEnd w:id="0"/>
    </w:p>
    <w:p w14:paraId="5B92753D" w14:textId="77777777" w:rsidR="0057615C" w:rsidRPr="0057615C" w:rsidRDefault="0057615C" w:rsidP="00690206">
      <w:pPr>
        <w:pStyle w:val="FSTitle"/>
        <w:rPr>
          <w:b/>
          <w:sz w:val="22"/>
        </w:rPr>
      </w:pPr>
    </w:p>
    <w:p w14:paraId="1CA8799B" w14:textId="4CF5D843" w:rsidR="00092CDA" w:rsidRPr="005B7A73" w:rsidRDefault="00092CDA" w:rsidP="00690206">
      <w:pPr>
        <w:pStyle w:val="FSTitle"/>
        <w:rPr>
          <w:b/>
        </w:rPr>
      </w:pPr>
      <w:r w:rsidRPr="005B7A73">
        <w:rPr>
          <w:b/>
        </w:rPr>
        <w:t>S</w:t>
      </w:r>
      <w:r w:rsidR="00B12F1E" w:rsidRPr="005B7A73">
        <w:rPr>
          <w:b/>
        </w:rPr>
        <w:t xml:space="preserve">upporting </w:t>
      </w:r>
      <w:r w:rsidR="00B12F1E" w:rsidRPr="000F3EA8">
        <w:rPr>
          <w:b/>
        </w:rPr>
        <w:t>document</w:t>
      </w:r>
      <w:r w:rsidRPr="000F3EA8">
        <w:rPr>
          <w:b/>
        </w:rPr>
        <w:t xml:space="preserve"> </w:t>
      </w:r>
      <w:r w:rsidR="000F3EA8" w:rsidRPr="000F3EA8">
        <w:rPr>
          <w:b/>
        </w:rPr>
        <w:t>1</w:t>
      </w:r>
    </w:p>
    <w:p w14:paraId="064DFDFD" w14:textId="77777777" w:rsidR="00BA24E2" w:rsidRPr="000F3EA8" w:rsidRDefault="00BA24E2" w:rsidP="00E203C2"/>
    <w:p w14:paraId="79157BBE" w14:textId="1389071F" w:rsidR="00D056F1" w:rsidRPr="000F3EA8" w:rsidRDefault="005755B3" w:rsidP="00690206">
      <w:pPr>
        <w:pStyle w:val="FSTitle"/>
      </w:pPr>
      <w:r>
        <w:t>Food technology</w:t>
      </w:r>
      <w:r w:rsidRPr="000F3EA8">
        <w:t xml:space="preserve"> </w:t>
      </w:r>
      <w:r w:rsidR="00B63FF7">
        <w:t xml:space="preserve">and safety </w:t>
      </w:r>
      <w:r w:rsidR="00320839" w:rsidRPr="000F3EA8">
        <w:t>assessment</w:t>
      </w:r>
      <w:r w:rsidR="006B5EBE" w:rsidRPr="000F3EA8">
        <w:t xml:space="preserve"> – </w:t>
      </w:r>
      <w:r w:rsidR="004B4381">
        <w:t>Application</w:t>
      </w:r>
      <w:r w:rsidR="00D056F1" w:rsidRPr="000F3EA8">
        <w:t xml:space="preserve"> A</w:t>
      </w:r>
      <w:r w:rsidR="000F3EA8" w:rsidRPr="000F3EA8">
        <w:t xml:space="preserve">1233 </w:t>
      </w:r>
    </w:p>
    <w:p w14:paraId="48392800" w14:textId="77777777" w:rsidR="00E203C2" w:rsidRPr="00690206" w:rsidRDefault="00E203C2" w:rsidP="00690206"/>
    <w:p w14:paraId="17DAB6BE" w14:textId="7C6B477B" w:rsidR="00E203C2" w:rsidRDefault="000F3EA8" w:rsidP="00E203C2">
      <w:pPr>
        <w:pBdr>
          <w:bottom w:val="single" w:sz="12" w:space="1" w:color="auto"/>
        </w:pBdr>
        <w:spacing w:line="280" w:lineRule="exact"/>
        <w:rPr>
          <w:sz w:val="32"/>
          <w:szCs w:val="32"/>
        </w:rPr>
      </w:pPr>
      <w:r w:rsidRPr="008F3686">
        <w:rPr>
          <w:sz w:val="32"/>
          <w:szCs w:val="32"/>
        </w:rPr>
        <w:t>2′-FL from new GM source for infant formula</w:t>
      </w:r>
    </w:p>
    <w:p w14:paraId="3AA22462" w14:textId="77777777" w:rsidR="000F3EA8" w:rsidRPr="00B37BF0" w:rsidRDefault="000F3EA8" w:rsidP="00E203C2">
      <w:pPr>
        <w:pBdr>
          <w:bottom w:val="single" w:sz="12" w:space="1" w:color="auto"/>
        </w:pBdr>
        <w:spacing w:line="280" w:lineRule="exact"/>
        <w:rPr>
          <w:rFonts w:cs="Arial"/>
          <w:bCs/>
        </w:rPr>
      </w:pPr>
    </w:p>
    <w:p w14:paraId="3CA16420" w14:textId="77777777" w:rsidR="00E203C2" w:rsidRPr="00B37BF0" w:rsidRDefault="00E203C2" w:rsidP="00E203C2"/>
    <w:p w14:paraId="168AF5F2" w14:textId="77777777" w:rsidR="00092CDA" w:rsidRPr="00092CDA" w:rsidRDefault="00092CDA" w:rsidP="00352CF2">
      <w:pPr>
        <w:pStyle w:val="Heading1"/>
        <w:spacing w:before="0"/>
      </w:pPr>
      <w:bookmarkStart w:id="1" w:name="_Toc286391001"/>
      <w:bookmarkStart w:id="2" w:name="_Toc300933414"/>
      <w:bookmarkStart w:id="3" w:name="_Toc86413181"/>
      <w:bookmarkStart w:id="4" w:name="_Toc86914411"/>
      <w:bookmarkStart w:id="5" w:name="_Toc89242927"/>
      <w:r w:rsidRPr="00092CDA">
        <w:t xml:space="preserve">Executive </w:t>
      </w:r>
      <w:r w:rsidR="00B12F1E">
        <w:t>s</w:t>
      </w:r>
      <w:r w:rsidRPr="00092CDA">
        <w:t>ummary</w:t>
      </w:r>
      <w:bookmarkEnd w:id="1"/>
      <w:bookmarkEnd w:id="2"/>
      <w:bookmarkEnd w:id="3"/>
      <w:bookmarkEnd w:id="4"/>
      <w:bookmarkEnd w:id="5"/>
    </w:p>
    <w:p w14:paraId="1984CF3C" w14:textId="3EC491AF" w:rsidR="0096373F" w:rsidRDefault="0096373F" w:rsidP="0096373F">
      <w:pPr>
        <w:rPr>
          <w:szCs w:val="20"/>
        </w:rPr>
      </w:pPr>
      <w:r>
        <w:rPr>
          <w:color w:val="000000" w:themeColor="text1"/>
        </w:rPr>
        <w:t xml:space="preserve">Friesland Campina Ingredients has applied </w:t>
      </w:r>
      <w:r>
        <w:rPr>
          <w:szCs w:val="20"/>
        </w:rPr>
        <w:t xml:space="preserve">to amend </w:t>
      </w:r>
      <w:r w:rsidR="00727728">
        <w:rPr>
          <w:szCs w:val="20"/>
        </w:rPr>
        <w:t xml:space="preserve">Schedules </w:t>
      </w:r>
      <w:r>
        <w:rPr>
          <w:szCs w:val="20"/>
        </w:rPr>
        <w:t xml:space="preserve">3 and 26 of the </w:t>
      </w:r>
      <w:r w:rsidRPr="00C47EC9">
        <w:rPr>
          <w:szCs w:val="20"/>
        </w:rPr>
        <w:t>Australia New Zealand Food Standards Code</w:t>
      </w:r>
      <w:r>
        <w:rPr>
          <w:szCs w:val="20"/>
        </w:rPr>
        <w:t xml:space="preserve"> (the Code), to include a new source organism and specification for 2′</w:t>
      </w:r>
      <w:r>
        <w:rPr>
          <w:rFonts w:ascii="MSDDRU+Calibri" w:hAnsi="MSDDRU+Calibri" w:cs="MSDDRU+Calibri"/>
          <w:szCs w:val="22"/>
        </w:rPr>
        <w:t>-</w:t>
      </w:r>
      <w:r>
        <w:rPr>
          <w:szCs w:val="22"/>
        </w:rPr>
        <w:t>fucosyllactose (</w:t>
      </w:r>
      <w:r>
        <w:rPr>
          <w:szCs w:val="20"/>
        </w:rPr>
        <w:t>2′</w:t>
      </w:r>
      <w:r w:rsidRPr="00B55354">
        <w:rPr>
          <w:szCs w:val="20"/>
        </w:rPr>
        <w:t>-FL</w:t>
      </w:r>
      <w:r>
        <w:rPr>
          <w:szCs w:val="20"/>
        </w:rPr>
        <w:t xml:space="preserve">). </w:t>
      </w:r>
    </w:p>
    <w:p w14:paraId="170EF2BD" w14:textId="77777777" w:rsidR="0096373F" w:rsidRDefault="0096373F" w:rsidP="0096373F">
      <w:pPr>
        <w:rPr>
          <w:szCs w:val="20"/>
        </w:rPr>
      </w:pPr>
    </w:p>
    <w:p w14:paraId="3382EA25" w14:textId="77777777" w:rsidR="0096373F" w:rsidRDefault="0096373F" w:rsidP="0096373F">
      <w:pPr>
        <w:rPr>
          <w:rFonts w:cs="Arial"/>
          <w:color w:val="000000" w:themeColor="text1"/>
        </w:rPr>
      </w:pPr>
      <w:r>
        <w:rPr>
          <w:szCs w:val="20"/>
        </w:rPr>
        <w:t xml:space="preserve">The new source organism is a genetically modified (GM) </w:t>
      </w:r>
      <w:r w:rsidRPr="00BF2BED">
        <w:rPr>
          <w:i/>
          <w:szCs w:val="20"/>
        </w:rPr>
        <w:t>Escherichia coli</w:t>
      </w:r>
      <w:r>
        <w:rPr>
          <w:szCs w:val="20"/>
        </w:rPr>
        <w:t xml:space="preserve"> K-12 derived strain expressing the </w:t>
      </w:r>
      <w:r>
        <w:rPr>
          <w:rFonts w:cs="Arial"/>
          <w:lang w:eastAsia="en-AU"/>
        </w:rPr>
        <w:t>α</w:t>
      </w:r>
      <w:r>
        <w:rPr>
          <w:lang w:eastAsia="en-AU"/>
        </w:rPr>
        <w:t>-1,2-</w:t>
      </w:r>
      <w:r>
        <w:rPr>
          <w:rFonts w:cs="Arial"/>
          <w:color w:val="000000" w:themeColor="text1"/>
        </w:rPr>
        <w:t xml:space="preserve">fucosyltransferase gene from </w:t>
      </w:r>
      <w:r w:rsidRPr="007C030B">
        <w:rPr>
          <w:rFonts w:cs="Arial"/>
          <w:i/>
          <w:color w:val="000000" w:themeColor="text1"/>
        </w:rPr>
        <w:t>Bacteroides vulgatus</w:t>
      </w:r>
      <w:r>
        <w:rPr>
          <w:rFonts w:cs="Arial"/>
          <w:color w:val="000000" w:themeColor="text1"/>
        </w:rPr>
        <w:t xml:space="preserve">. The fucosyltransferase enzyme mediates the intracellular transfer of a fucosyl group to lactose, producing </w:t>
      </w:r>
      <w:r>
        <w:rPr>
          <w:szCs w:val="20"/>
        </w:rPr>
        <w:t>2′</w:t>
      </w:r>
      <w:r>
        <w:rPr>
          <w:rFonts w:ascii="MSDDRU+Calibri" w:hAnsi="MSDDRU+Calibri" w:cs="MSDDRU+Calibri"/>
          <w:szCs w:val="22"/>
        </w:rPr>
        <w:t>-</w:t>
      </w:r>
      <w:r>
        <w:rPr>
          <w:szCs w:val="22"/>
        </w:rPr>
        <w:t>FL.</w:t>
      </w:r>
    </w:p>
    <w:p w14:paraId="405D4ABC" w14:textId="77777777" w:rsidR="0096373F" w:rsidRDefault="0096373F" w:rsidP="0096373F">
      <w:pPr>
        <w:rPr>
          <w:szCs w:val="20"/>
        </w:rPr>
      </w:pPr>
    </w:p>
    <w:p w14:paraId="5608D81A" w14:textId="08545678" w:rsidR="0096373F" w:rsidRDefault="00CB3729" w:rsidP="0096373F">
      <w:pPr>
        <w:rPr>
          <w:bCs/>
        </w:rPr>
      </w:pPr>
      <w:r>
        <w:rPr>
          <w:bCs/>
        </w:rPr>
        <w:t xml:space="preserve">The Code already permits </w:t>
      </w:r>
      <w:r w:rsidR="0096373F">
        <w:rPr>
          <w:bCs/>
        </w:rPr>
        <w:t>2</w:t>
      </w:r>
      <w:r w:rsidR="0096373F" w:rsidRPr="00990C8B">
        <w:rPr>
          <w:lang w:val="en-AU"/>
        </w:rPr>
        <w:t>′</w:t>
      </w:r>
      <w:r w:rsidR="0096373F">
        <w:rPr>
          <w:bCs/>
        </w:rPr>
        <w:t xml:space="preserve">-FL </w:t>
      </w:r>
      <w:r w:rsidR="003B60A1">
        <w:rPr>
          <w:bCs/>
        </w:rPr>
        <w:t>from a different source organism for addition</w:t>
      </w:r>
      <w:r w:rsidR="0096373F">
        <w:rPr>
          <w:bCs/>
        </w:rPr>
        <w:t xml:space="preserve"> to infant formula products. </w:t>
      </w:r>
      <w:r w:rsidR="0096373F">
        <w:t xml:space="preserve">The maximum permitted level is 96 mg/100 kJ, </w:t>
      </w:r>
      <w:r>
        <w:t>equivalent</w:t>
      </w:r>
      <w:r w:rsidR="0096373F">
        <w:t xml:space="preserve"> to 2.4 g/L.</w:t>
      </w:r>
      <w:r w:rsidR="003B60A1">
        <w:rPr>
          <w:bCs/>
        </w:rPr>
        <w:t xml:space="preserve"> The purpose of the present</w:t>
      </w:r>
      <w:r w:rsidR="0096373F">
        <w:rPr>
          <w:bCs/>
        </w:rPr>
        <w:t xml:space="preserve"> assessment is therefore </w:t>
      </w:r>
      <w:r w:rsidR="00856DC2">
        <w:rPr>
          <w:lang w:eastAsia="en-AU"/>
        </w:rPr>
        <w:t>to</w:t>
      </w:r>
      <w:r w:rsidR="0096373F">
        <w:rPr>
          <w:bCs/>
        </w:rPr>
        <w:t xml:space="preserve"> </w:t>
      </w:r>
      <w:r w:rsidR="00F04C1E">
        <w:rPr>
          <w:bCs/>
        </w:rPr>
        <w:t>assess the safety of</w:t>
      </w:r>
      <w:r w:rsidR="0096373F">
        <w:rPr>
          <w:bCs/>
        </w:rPr>
        <w:t xml:space="preserve"> 2′-FL produced by the new production strain.</w:t>
      </w:r>
    </w:p>
    <w:p w14:paraId="6C0A01FA" w14:textId="77777777" w:rsidR="00092CDA" w:rsidRDefault="00092CDA" w:rsidP="00690206"/>
    <w:p w14:paraId="7E27318A" w14:textId="44B058EA" w:rsidR="00365A0E" w:rsidRDefault="00365A0E" w:rsidP="00365A0E">
      <w:pPr>
        <w:rPr>
          <w:lang w:eastAsia="en-AU"/>
        </w:rPr>
      </w:pPr>
      <w:r>
        <w:t xml:space="preserve">The </w:t>
      </w:r>
      <w:r w:rsidR="004B4381">
        <w:t>Applicant</w:t>
      </w:r>
      <w:r w:rsidR="00266D3D">
        <w:t>’s</w:t>
      </w:r>
      <w:r>
        <w:t xml:space="preserve"> </w:t>
      </w:r>
      <w:r w:rsidR="00E927DD">
        <w:t>2′-FL</w:t>
      </w:r>
      <w:r>
        <w:t xml:space="preserve"> is chemically and structurally identical to the naturally occurring substance isolated from human milk. Stability studies conducted by the </w:t>
      </w:r>
      <w:r w:rsidR="004B4381">
        <w:t>Applicant</w:t>
      </w:r>
      <w:r>
        <w:t xml:space="preserve"> demonstrated that the final product is suited for the intended food uses. </w:t>
      </w:r>
      <w:r w:rsidR="00E927DD">
        <w:t>The Applicant has requested that the specification established in the EU in 2019 be applied to their 2</w:t>
      </w:r>
      <w:r w:rsidR="00E927DD">
        <w:rPr>
          <w:rFonts w:cs="Arial"/>
        </w:rPr>
        <w:t>ʹ-FL</w:t>
      </w:r>
      <w:r w:rsidR="00E927DD" w:rsidRPr="00A54291">
        <w:rPr>
          <w:rFonts w:cs="Arial"/>
          <w:vertAlign w:val="subscript"/>
        </w:rPr>
        <w:t>micro</w:t>
      </w:r>
      <w:r w:rsidR="00E927DD">
        <w:rPr>
          <w:rFonts w:cs="Arial"/>
        </w:rPr>
        <w:t xml:space="preserve"> preparation</w:t>
      </w:r>
      <w:r w:rsidR="00E927DD">
        <w:t xml:space="preserve">. </w:t>
      </w:r>
      <w:r w:rsidR="00CB3729">
        <w:t>M</w:t>
      </w:r>
      <w:r>
        <w:t>ulti-batch analyses showed</w:t>
      </w:r>
      <w:r w:rsidDel="001E0491">
        <w:rPr>
          <w:rFonts w:cs="Arial"/>
          <w:szCs w:val="20"/>
          <w:lang w:eastAsia="en-AU"/>
        </w:rPr>
        <w:t xml:space="preserve"> </w:t>
      </w:r>
      <w:r>
        <w:rPr>
          <w:rFonts w:cs="Arial"/>
          <w:szCs w:val="20"/>
          <w:lang w:eastAsia="en-AU"/>
        </w:rPr>
        <w:t xml:space="preserve">that the final product is consistently within the proposed specifications, with impurities and/or contaminants </w:t>
      </w:r>
      <w:r w:rsidR="00CB3729">
        <w:rPr>
          <w:rFonts w:cs="Arial"/>
          <w:szCs w:val="20"/>
          <w:lang w:eastAsia="en-AU"/>
        </w:rPr>
        <w:t xml:space="preserve">resulting </w:t>
      </w:r>
      <w:r>
        <w:rPr>
          <w:rFonts w:cs="Arial"/>
          <w:szCs w:val="20"/>
          <w:lang w:eastAsia="en-AU"/>
        </w:rPr>
        <w:t>from the fermentation process either minor or absent.</w:t>
      </w:r>
    </w:p>
    <w:p w14:paraId="28006290" w14:textId="12016AE6" w:rsidR="00B30219" w:rsidRDefault="00365A0E">
      <w:pPr>
        <w:widowControl/>
      </w:pPr>
      <w:r w:rsidDel="00365A0E">
        <w:t xml:space="preserve"> </w:t>
      </w:r>
    </w:p>
    <w:p w14:paraId="1B8495FB" w14:textId="19073330" w:rsidR="00B85ED4" w:rsidRPr="00A30418" w:rsidRDefault="00B85ED4" w:rsidP="00B85ED4">
      <w:pPr>
        <w:rPr>
          <w:color w:val="000000" w:themeColor="text1"/>
        </w:rPr>
      </w:pPr>
      <w:r w:rsidRPr="00292896">
        <w:rPr>
          <w:i/>
          <w:color w:val="000000" w:themeColor="text1"/>
        </w:rPr>
        <w:t>E. coli</w:t>
      </w:r>
      <w:r w:rsidRPr="00292896">
        <w:rPr>
          <w:color w:val="000000" w:themeColor="text1"/>
        </w:rPr>
        <w:t xml:space="preserve"> K-12 has a long history of use for the production of recombinant proteins and </w:t>
      </w:r>
      <w:r w:rsidR="00AF3EA2">
        <w:rPr>
          <w:color w:val="000000" w:themeColor="text1"/>
        </w:rPr>
        <w:t xml:space="preserve">does not </w:t>
      </w:r>
      <w:r w:rsidRPr="00292896">
        <w:rPr>
          <w:color w:val="000000" w:themeColor="text1"/>
        </w:rPr>
        <w:t xml:space="preserve">pose </w:t>
      </w:r>
      <w:r w:rsidR="00AF3EA2">
        <w:rPr>
          <w:color w:val="000000" w:themeColor="text1"/>
        </w:rPr>
        <w:t>a</w:t>
      </w:r>
      <w:r w:rsidRPr="00292896">
        <w:rPr>
          <w:color w:val="000000" w:themeColor="text1"/>
        </w:rPr>
        <w:t xml:space="preserve"> risk to humans. Analyses of the gene donors also confirmed there were no safety concerns.</w:t>
      </w:r>
      <w:r>
        <w:rPr>
          <w:color w:val="000000" w:themeColor="text1"/>
        </w:rPr>
        <w:t xml:space="preserve"> </w:t>
      </w:r>
      <w:r>
        <w:t>C</w:t>
      </w:r>
      <w:r w:rsidRPr="00672E1E">
        <w:t xml:space="preserve">haracterisation of the </w:t>
      </w:r>
      <w:r>
        <w:t xml:space="preserve">production strain confirmed </w:t>
      </w:r>
      <w:r>
        <w:rPr>
          <w:rFonts w:cs="Arial"/>
          <w:color w:val="000000" w:themeColor="text1"/>
        </w:rPr>
        <w:t xml:space="preserve">the expression plasmid carrying the </w:t>
      </w:r>
      <w:r>
        <w:rPr>
          <w:rFonts w:cs="Arial"/>
          <w:lang w:eastAsia="en-AU"/>
        </w:rPr>
        <w:t>α</w:t>
      </w:r>
      <w:r>
        <w:rPr>
          <w:lang w:eastAsia="en-AU"/>
        </w:rPr>
        <w:t>-1,2-</w:t>
      </w:r>
      <w:r>
        <w:rPr>
          <w:rFonts w:cs="Arial"/>
          <w:color w:val="000000" w:themeColor="text1"/>
        </w:rPr>
        <w:t>fucosyltransferase gene was both genetically stable and fully functional</w:t>
      </w:r>
      <w:r>
        <w:t>.</w:t>
      </w:r>
    </w:p>
    <w:p w14:paraId="32161420" w14:textId="3A33FB07" w:rsidR="0018382B" w:rsidRDefault="0018382B" w:rsidP="00B85ED4"/>
    <w:p w14:paraId="7DBB10DC" w14:textId="7114F92A" w:rsidR="00FF560A" w:rsidRDefault="00FF560A" w:rsidP="00FF560A">
      <w:r>
        <w:t xml:space="preserve">FSANZ has previously determined that there are no safety concerns associated with the addition of 2′-FL to </w:t>
      </w:r>
      <w:r w:rsidR="00844F4C">
        <w:rPr>
          <w:bCs/>
        </w:rPr>
        <w:t>infant formula products</w:t>
      </w:r>
      <w:r>
        <w:t xml:space="preserve"> at concentrations up to 2.4 g/L, which is within the range of naturally occurring levels in human milk from the major</w:t>
      </w:r>
      <w:r>
        <w:lastRenderedPageBreak/>
        <w:t xml:space="preserve">ity of women (0.6 – 7.8 g/L). Newly available information relating to </w:t>
      </w:r>
      <w:r w:rsidR="00DD312D">
        <w:t xml:space="preserve">previously assessed studies of 2′-FL produced by the </w:t>
      </w:r>
      <w:r w:rsidR="004B4381">
        <w:t>Applicant</w:t>
      </w:r>
      <w:r w:rsidR="00DD312D">
        <w:t xml:space="preserve"> and another manufacturer</w:t>
      </w:r>
      <w:r>
        <w:t xml:space="preserve"> did not indicate a reason to change this conclusion. </w:t>
      </w:r>
    </w:p>
    <w:p w14:paraId="0C82CC40" w14:textId="77777777" w:rsidR="00FF560A" w:rsidRDefault="00FF560A" w:rsidP="00FF560A"/>
    <w:p w14:paraId="10E25E56" w14:textId="6BE7909B" w:rsidR="00FF560A" w:rsidRDefault="00FF560A" w:rsidP="00FF560A">
      <w:r>
        <w:t xml:space="preserve">2′-FL was not genotoxic </w:t>
      </w:r>
      <w:r w:rsidRPr="00053DA8">
        <w:rPr>
          <w:i/>
        </w:rPr>
        <w:t>in vitro</w:t>
      </w:r>
      <w:r>
        <w:t xml:space="preserve"> or </w:t>
      </w:r>
      <w:r w:rsidRPr="00053DA8">
        <w:rPr>
          <w:i/>
        </w:rPr>
        <w:t>in vivo</w:t>
      </w:r>
      <w:r>
        <w:t>. No adverse effects were observed in multiple subchronic oral toxicity studies in neonatal rats at doses up to 5000 mg/kg bw/day, or in juvenile and adult rats at doses &gt; 7000 mg/kg bw/day. Three-week studies with neonatal piglets administered formula containing 2′-FL at concentrations up to 4 g/L also found no adverse effects. In human studies, infant formula supplemented with 2′-FL was well tolerated with no significant increases in adverse events. 2′-FL was also well tolerated in studies with children and adults.</w:t>
      </w:r>
    </w:p>
    <w:p w14:paraId="5749CDBA" w14:textId="77777777" w:rsidR="00FF560A" w:rsidRDefault="00FF560A" w:rsidP="00FF560A"/>
    <w:p w14:paraId="77321D2C" w14:textId="15913127" w:rsidR="00FF560A" w:rsidRDefault="00C865DA" w:rsidP="00FF560A">
      <w:r w:rsidRPr="000E7C54">
        <w:t xml:space="preserve">The proposed specification does not raise any safety concerns. </w:t>
      </w:r>
      <w:r w:rsidR="00FF560A" w:rsidRPr="000E7C54">
        <w:t>2′-</w:t>
      </w:r>
      <w:r w:rsidR="00FF560A">
        <w:t>FL is unlikely to pose an allergenicity concern</w:t>
      </w:r>
      <w:r w:rsidR="00725CA3">
        <w:t xml:space="preserve"> because the protein content of the 2′-FL product </w:t>
      </w:r>
      <w:r w:rsidR="000721F7">
        <w:t>is</w:t>
      </w:r>
      <w:r w:rsidR="00725CA3">
        <w:t xml:space="preserve"> below the limit of quantitation</w:t>
      </w:r>
      <w:r w:rsidR="00FF560A">
        <w:t xml:space="preserve">. </w:t>
      </w:r>
    </w:p>
    <w:p w14:paraId="40DE2827" w14:textId="6A0AAEE7" w:rsidR="005D4D9D" w:rsidRDefault="005D4D9D" w:rsidP="00FF560A"/>
    <w:p w14:paraId="6856173A" w14:textId="2626CB03" w:rsidR="005D4D9D" w:rsidRDefault="001D7C14" w:rsidP="00FF560A">
      <w:r>
        <w:t xml:space="preserve">FSANZ’s previous assessments of 2′-FL </w:t>
      </w:r>
      <w:r w:rsidR="00B409E9">
        <w:t>found</w:t>
      </w:r>
      <w:r>
        <w:t xml:space="preserve"> no evidence </w:t>
      </w:r>
      <w:r w:rsidR="00B409E9">
        <w:t>of</w:t>
      </w:r>
      <w:r>
        <w:t xml:space="preserve"> a nutritional concern at concentrations typically observed in human milk. No new information was provided that would indicate a need to change these conclusions. </w:t>
      </w:r>
      <w:r w:rsidR="00B409E9">
        <w:t>The evidence for a beneficial role of 2′-FL in the normal growth and development of infants will be reassessed in a review to be completed by March 2026.</w:t>
      </w:r>
    </w:p>
    <w:p w14:paraId="6FDB598B" w14:textId="7D474459" w:rsidR="00B63FF7" w:rsidRDefault="00B63FF7" w:rsidP="00B85ED4">
      <w:r>
        <w:br w:type="page"/>
      </w:r>
    </w:p>
    <w:p w14:paraId="59B4316F" w14:textId="5FD47E44" w:rsidR="00B63FF7" w:rsidRDefault="00B63FF7" w:rsidP="00B63FF7">
      <w:pPr>
        <w:pStyle w:val="Heading1"/>
        <w:ind w:left="0" w:firstLine="0"/>
      </w:pPr>
      <w:bookmarkStart w:id="6" w:name="_Toc13219496"/>
      <w:bookmarkStart w:id="7" w:name="_Toc70675675"/>
      <w:bookmarkStart w:id="8" w:name="_Toc70675768"/>
      <w:bookmarkStart w:id="9" w:name="_Toc72480607"/>
      <w:bookmarkStart w:id="10" w:name="_Toc86413182"/>
      <w:bookmarkStart w:id="11" w:name="_Toc86914412"/>
      <w:bookmarkStart w:id="12" w:name="_Toc89242928"/>
      <w:r>
        <w:lastRenderedPageBreak/>
        <w:t>Glossary of terms</w:t>
      </w:r>
      <w:bookmarkEnd w:id="6"/>
      <w:bookmarkEnd w:id="7"/>
      <w:bookmarkEnd w:id="8"/>
      <w:bookmarkEnd w:id="9"/>
      <w:bookmarkEnd w:id="10"/>
      <w:bookmarkEnd w:id="11"/>
      <w:bookmarkEnd w:id="12"/>
    </w:p>
    <w:tbl>
      <w:tblPr>
        <w:tblStyle w:val="Table"/>
        <w:tblW w:w="0" w:type="auto"/>
        <w:tblLook w:val="04A0" w:firstRow="1" w:lastRow="0" w:firstColumn="1" w:lastColumn="0" w:noHBand="0" w:noVBand="1"/>
        <w:tblDescription w:val="Glossary of terms"/>
      </w:tblPr>
      <w:tblGrid>
        <w:gridCol w:w="1555"/>
        <w:gridCol w:w="7505"/>
      </w:tblGrid>
      <w:tr w:rsidR="00B63FF7" w:rsidRPr="006E1133" w14:paraId="4B2656E4" w14:textId="77777777" w:rsidTr="00D1485C">
        <w:trPr>
          <w:cnfStyle w:val="100000000000" w:firstRow="1" w:lastRow="0" w:firstColumn="0" w:lastColumn="0" w:oddVBand="0" w:evenVBand="0" w:oddHBand="0" w:evenHBand="0" w:firstRowFirstColumn="0" w:firstRowLastColumn="0" w:lastRowFirstColumn="0" w:lastRowLastColumn="0"/>
          <w:trHeight w:val="340"/>
        </w:trPr>
        <w:tc>
          <w:tcPr>
            <w:tcW w:w="1555" w:type="dxa"/>
            <w:shd w:val="clear" w:color="auto" w:fill="auto"/>
          </w:tcPr>
          <w:p w14:paraId="70D95DB1" w14:textId="77777777" w:rsidR="00B63FF7" w:rsidRPr="006E1133" w:rsidRDefault="00B63FF7" w:rsidP="00D1485C">
            <w:pPr>
              <w:spacing w:before="80" w:after="80"/>
              <w:rPr>
                <w:b w:val="0"/>
                <w:color w:val="auto"/>
                <w:sz w:val="20"/>
              </w:rPr>
            </w:pPr>
            <w:r w:rsidRPr="006E1133">
              <w:rPr>
                <w:b w:val="0"/>
                <w:color w:val="auto"/>
                <w:sz w:val="20"/>
              </w:rPr>
              <w:t>2′-FL</w:t>
            </w:r>
          </w:p>
        </w:tc>
        <w:tc>
          <w:tcPr>
            <w:tcW w:w="7505" w:type="dxa"/>
            <w:shd w:val="clear" w:color="auto" w:fill="auto"/>
          </w:tcPr>
          <w:p w14:paraId="5DEC3E7E" w14:textId="77777777" w:rsidR="00B63FF7" w:rsidRPr="006E1133" w:rsidRDefault="00B63FF7" w:rsidP="00D1485C">
            <w:pPr>
              <w:spacing w:before="80" w:after="80"/>
              <w:rPr>
                <w:b w:val="0"/>
                <w:color w:val="auto"/>
                <w:sz w:val="20"/>
              </w:rPr>
            </w:pPr>
            <w:r w:rsidRPr="006E1133">
              <w:rPr>
                <w:b w:val="0"/>
                <w:color w:val="auto"/>
                <w:sz w:val="20"/>
                <w:szCs w:val="20"/>
              </w:rPr>
              <w:t>2′</w:t>
            </w:r>
            <w:r w:rsidRPr="006E1133">
              <w:rPr>
                <w:rFonts w:ascii="MSDDRU+Calibri" w:hAnsi="MSDDRU+Calibri" w:cs="MSDDRU+Calibri"/>
                <w:b w:val="0"/>
                <w:color w:val="auto"/>
                <w:sz w:val="20"/>
                <w:szCs w:val="22"/>
              </w:rPr>
              <w:t>-</w:t>
            </w:r>
            <w:r w:rsidRPr="006E1133">
              <w:rPr>
                <w:b w:val="0"/>
                <w:color w:val="auto"/>
                <w:sz w:val="20"/>
                <w:szCs w:val="22"/>
              </w:rPr>
              <w:t>fucosyllactose</w:t>
            </w:r>
            <w:r w:rsidRPr="006E1133">
              <w:rPr>
                <w:b w:val="0"/>
                <w:color w:val="auto"/>
                <w:sz w:val="20"/>
                <w:szCs w:val="20"/>
              </w:rPr>
              <w:t xml:space="preserve"> also known as 2′</w:t>
            </w:r>
            <w:r w:rsidRPr="006E1133">
              <w:rPr>
                <w:rFonts w:ascii="MSDDRU+Calibri" w:hAnsi="MSDDRU+Calibri" w:cs="MSDDRU+Calibri"/>
                <w:b w:val="0"/>
                <w:color w:val="auto"/>
                <w:sz w:val="20"/>
                <w:szCs w:val="22"/>
              </w:rPr>
              <w:t>-</w:t>
            </w:r>
            <w:r w:rsidRPr="006E1133">
              <w:rPr>
                <w:rFonts w:cs="Arial"/>
                <w:b w:val="0"/>
                <w:i/>
                <w:iCs/>
                <w:color w:val="auto"/>
                <w:sz w:val="20"/>
                <w:szCs w:val="22"/>
              </w:rPr>
              <w:t>O</w:t>
            </w:r>
            <w:r w:rsidRPr="006E1133">
              <w:rPr>
                <w:rFonts w:ascii="MSDDRU+Calibri" w:hAnsi="MSDDRU+Calibri" w:cs="MSDDRU+Calibri"/>
                <w:b w:val="0"/>
                <w:color w:val="auto"/>
                <w:sz w:val="20"/>
                <w:szCs w:val="22"/>
              </w:rPr>
              <w:t>-</w:t>
            </w:r>
            <w:r w:rsidRPr="006E1133">
              <w:rPr>
                <w:b w:val="0"/>
                <w:color w:val="auto"/>
                <w:sz w:val="20"/>
                <w:szCs w:val="22"/>
              </w:rPr>
              <w:t>fucosyllactose</w:t>
            </w:r>
          </w:p>
        </w:tc>
      </w:tr>
      <w:tr w:rsidR="00B63FF7" w14:paraId="4A3F2540"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18E050FB" w14:textId="77777777" w:rsidR="00B63FF7" w:rsidRPr="00D01A35" w:rsidRDefault="00B63FF7" w:rsidP="00D1485C">
            <w:pPr>
              <w:spacing w:before="80" w:after="80"/>
              <w:rPr>
                <w:sz w:val="20"/>
              </w:rPr>
            </w:pPr>
            <w:r w:rsidRPr="00D01A35">
              <w:rPr>
                <w:sz w:val="20"/>
              </w:rPr>
              <w:t>2′-FL</w:t>
            </w:r>
            <w:r w:rsidRPr="00D01A35">
              <w:rPr>
                <w:sz w:val="20"/>
                <w:vertAlign w:val="subscript"/>
              </w:rPr>
              <w:t>chem</w:t>
            </w:r>
            <w:r w:rsidRPr="00D01A35">
              <w:rPr>
                <w:sz w:val="20"/>
              </w:rPr>
              <w:t xml:space="preserve"> </w:t>
            </w:r>
          </w:p>
        </w:tc>
        <w:tc>
          <w:tcPr>
            <w:tcW w:w="7505" w:type="dxa"/>
          </w:tcPr>
          <w:p w14:paraId="708F7317" w14:textId="77777777" w:rsidR="00B63FF7" w:rsidRPr="00D01A35" w:rsidRDefault="00B63FF7" w:rsidP="00D1485C">
            <w:pPr>
              <w:spacing w:before="80" w:after="80"/>
              <w:rPr>
                <w:sz w:val="20"/>
              </w:rPr>
            </w:pPr>
            <w:r w:rsidRPr="00D01A35">
              <w:rPr>
                <w:sz w:val="20"/>
                <w:szCs w:val="20"/>
              </w:rPr>
              <w:t>2′</w:t>
            </w:r>
            <w:r w:rsidRPr="00D01A35">
              <w:rPr>
                <w:rFonts w:ascii="MSDDRU+Calibri" w:hAnsi="MSDDRU+Calibri" w:cs="MSDDRU+Calibri"/>
                <w:sz w:val="20"/>
                <w:szCs w:val="22"/>
              </w:rPr>
              <w:t>-</w:t>
            </w:r>
            <w:r w:rsidRPr="00D01A35">
              <w:rPr>
                <w:sz w:val="20"/>
                <w:szCs w:val="22"/>
              </w:rPr>
              <w:t>fucosyllactose produced by chemical synthesis</w:t>
            </w:r>
          </w:p>
        </w:tc>
      </w:tr>
      <w:tr w:rsidR="00B63FF7" w14:paraId="55752C98"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7384F7AA" w14:textId="77777777" w:rsidR="00B63FF7" w:rsidRPr="00D01A35" w:rsidRDefault="00B63FF7" w:rsidP="00D1485C">
            <w:pPr>
              <w:spacing w:before="80" w:after="80"/>
              <w:rPr>
                <w:sz w:val="20"/>
              </w:rPr>
            </w:pPr>
            <w:r w:rsidRPr="00D01A35">
              <w:rPr>
                <w:sz w:val="20"/>
              </w:rPr>
              <w:t>2′-FL</w:t>
            </w:r>
            <w:r w:rsidRPr="00D01A35">
              <w:rPr>
                <w:sz w:val="20"/>
                <w:vertAlign w:val="subscript"/>
              </w:rPr>
              <w:t>micro</w:t>
            </w:r>
            <w:r w:rsidRPr="00D01A35">
              <w:rPr>
                <w:sz w:val="20"/>
              </w:rPr>
              <w:t xml:space="preserve"> </w:t>
            </w:r>
          </w:p>
        </w:tc>
        <w:tc>
          <w:tcPr>
            <w:tcW w:w="7505" w:type="dxa"/>
          </w:tcPr>
          <w:p w14:paraId="4F1E38C8" w14:textId="77777777" w:rsidR="00B63FF7" w:rsidRPr="00D01A35" w:rsidRDefault="00B63FF7" w:rsidP="00D1485C">
            <w:pPr>
              <w:spacing w:before="80" w:after="80"/>
              <w:rPr>
                <w:sz w:val="20"/>
              </w:rPr>
            </w:pPr>
            <w:r w:rsidRPr="00D01A35">
              <w:rPr>
                <w:sz w:val="20"/>
                <w:szCs w:val="20"/>
              </w:rPr>
              <w:t>2′</w:t>
            </w:r>
            <w:r w:rsidRPr="00D01A35">
              <w:rPr>
                <w:rFonts w:ascii="MSDDRU+Calibri" w:hAnsi="MSDDRU+Calibri" w:cs="MSDDRU+Calibri"/>
                <w:sz w:val="20"/>
                <w:szCs w:val="22"/>
              </w:rPr>
              <w:t>-</w:t>
            </w:r>
            <w:r w:rsidRPr="00D01A35">
              <w:rPr>
                <w:sz w:val="20"/>
                <w:szCs w:val="22"/>
              </w:rPr>
              <w:t>fucosyllactose produced by microbial fermentation</w:t>
            </w:r>
          </w:p>
        </w:tc>
      </w:tr>
      <w:tr w:rsidR="00B63FF7" w14:paraId="61B00DC2"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0B3C9831" w14:textId="77777777" w:rsidR="00B63FF7" w:rsidRPr="00D01A35" w:rsidRDefault="00B63FF7" w:rsidP="00D1485C">
            <w:pPr>
              <w:spacing w:before="80" w:after="80"/>
              <w:rPr>
                <w:sz w:val="20"/>
              </w:rPr>
            </w:pPr>
            <w:r w:rsidRPr="00D01A35">
              <w:rPr>
                <w:sz w:val="20"/>
              </w:rPr>
              <w:t>2′-FL</w:t>
            </w:r>
            <w:r w:rsidRPr="00D01A35">
              <w:rPr>
                <w:sz w:val="20"/>
                <w:vertAlign w:val="subscript"/>
              </w:rPr>
              <w:t>human</w:t>
            </w:r>
            <w:r w:rsidRPr="00D01A35">
              <w:rPr>
                <w:sz w:val="20"/>
              </w:rPr>
              <w:t xml:space="preserve"> </w:t>
            </w:r>
          </w:p>
        </w:tc>
        <w:tc>
          <w:tcPr>
            <w:tcW w:w="7505" w:type="dxa"/>
          </w:tcPr>
          <w:p w14:paraId="2EA74287" w14:textId="77777777" w:rsidR="00B63FF7" w:rsidRPr="00D01A35" w:rsidRDefault="00B63FF7" w:rsidP="00D1485C">
            <w:pPr>
              <w:spacing w:before="80" w:after="80"/>
              <w:rPr>
                <w:sz w:val="20"/>
                <w:szCs w:val="20"/>
              </w:rPr>
            </w:pPr>
            <w:r w:rsidRPr="00D01A35">
              <w:rPr>
                <w:sz w:val="20"/>
                <w:szCs w:val="20"/>
              </w:rPr>
              <w:t>2′</w:t>
            </w:r>
            <w:r w:rsidRPr="00D01A35">
              <w:rPr>
                <w:rFonts w:ascii="MSDDRU+Calibri" w:hAnsi="MSDDRU+Calibri" w:cs="MSDDRU+Calibri"/>
                <w:sz w:val="20"/>
                <w:szCs w:val="22"/>
              </w:rPr>
              <w:t>-</w:t>
            </w:r>
            <w:r w:rsidRPr="00D01A35">
              <w:rPr>
                <w:sz w:val="20"/>
                <w:szCs w:val="22"/>
              </w:rPr>
              <w:t>fucosyllactose naturally occurring in human milk</w:t>
            </w:r>
          </w:p>
        </w:tc>
      </w:tr>
      <w:tr w:rsidR="00B63FF7" w14:paraId="750B62F8"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3A0CA7B7" w14:textId="77777777" w:rsidR="00B63FF7" w:rsidRPr="00D01A35" w:rsidRDefault="00B63FF7" w:rsidP="00D1485C">
            <w:pPr>
              <w:spacing w:before="80" w:after="80"/>
              <w:rPr>
                <w:sz w:val="20"/>
              </w:rPr>
            </w:pPr>
            <w:r>
              <w:rPr>
                <w:sz w:val="20"/>
              </w:rPr>
              <w:t>BMI</w:t>
            </w:r>
          </w:p>
        </w:tc>
        <w:tc>
          <w:tcPr>
            <w:tcW w:w="7505" w:type="dxa"/>
          </w:tcPr>
          <w:p w14:paraId="128AE1F6" w14:textId="77777777" w:rsidR="00B63FF7" w:rsidRPr="00D01A35" w:rsidRDefault="00B63FF7" w:rsidP="00D1485C">
            <w:pPr>
              <w:spacing w:before="80" w:after="80"/>
              <w:rPr>
                <w:sz w:val="20"/>
                <w:szCs w:val="20"/>
              </w:rPr>
            </w:pPr>
            <w:r>
              <w:rPr>
                <w:sz w:val="20"/>
                <w:szCs w:val="20"/>
              </w:rPr>
              <w:t>body mass index</w:t>
            </w:r>
          </w:p>
        </w:tc>
      </w:tr>
      <w:tr w:rsidR="00B63FF7" w14:paraId="5F4ED9FF"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50E0C4AC" w14:textId="77777777" w:rsidR="00B63FF7" w:rsidRPr="00D01A35" w:rsidRDefault="00B63FF7" w:rsidP="00D1485C">
            <w:pPr>
              <w:spacing w:before="80" w:after="80"/>
              <w:rPr>
                <w:sz w:val="20"/>
              </w:rPr>
            </w:pPr>
            <w:r>
              <w:rPr>
                <w:sz w:val="20"/>
              </w:rPr>
              <w:t>bw</w:t>
            </w:r>
          </w:p>
        </w:tc>
        <w:tc>
          <w:tcPr>
            <w:tcW w:w="7505" w:type="dxa"/>
          </w:tcPr>
          <w:p w14:paraId="59E5C8A2" w14:textId="77777777" w:rsidR="00B63FF7" w:rsidRPr="00D01A35" w:rsidRDefault="00B63FF7" w:rsidP="00D1485C">
            <w:pPr>
              <w:spacing w:before="80" w:after="80"/>
              <w:rPr>
                <w:sz w:val="20"/>
                <w:szCs w:val="20"/>
              </w:rPr>
            </w:pPr>
            <w:r>
              <w:rPr>
                <w:sz w:val="20"/>
                <w:szCs w:val="20"/>
              </w:rPr>
              <w:t>body weight</w:t>
            </w:r>
          </w:p>
        </w:tc>
      </w:tr>
      <w:tr w:rsidR="00B63FF7" w14:paraId="6F40CDE5"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6F0E0219" w14:textId="77777777" w:rsidR="00B63FF7" w:rsidRDefault="00B63FF7" w:rsidP="00D1485C">
            <w:pPr>
              <w:spacing w:before="80" w:after="80"/>
              <w:rPr>
                <w:sz w:val="20"/>
              </w:rPr>
            </w:pPr>
            <w:r>
              <w:rPr>
                <w:sz w:val="20"/>
              </w:rPr>
              <w:t>DFL</w:t>
            </w:r>
          </w:p>
        </w:tc>
        <w:tc>
          <w:tcPr>
            <w:tcW w:w="7505" w:type="dxa"/>
          </w:tcPr>
          <w:p w14:paraId="07735998" w14:textId="77777777" w:rsidR="00B63FF7" w:rsidRDefault="00B63FF7" w:rsidP="00D1485C">
            <w:pPr>
              <w:spacing w:before="80" w:after="80"/>
              <w:rPr>
                <w:sz w:val="20"/>
                <w:szCs w:val="20"/>
              </w:rPr>
            </w:pPr>
            <w:r w:rsidRPr="00093B4A">
              <w:rPr>
                <w:sz w:val="20"/>
                <w:szCs w:val="20"/>
              </w:rPr>
              <w:t>difucosyllactose</w:t>
            </w:r>
          </w:p>
        </w:tc>
      </w:tr>
      <w:tr w:rsidR="00B63FF7" w14:paraId="5D4894F3"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2427B471" w14:textId="77777777" w:rsidR="00B63FF7" w:rsidRPr="00D01A35" w:rsidRDefault="00B63FF7" w:rsidP="00D1485C">
            <w:pPr>
              <w:spacing w:before="80" w:after="80"/>
              <w:rPr>
                <w:sz w:val="20"/>
              </w:rPr>
            </w:pPr>
            <w:r>
              <w:rPr>
                <w:sz w:val="20"/>
              </w:rPr>
              <w:t>FOS</w:t>
            </w:r>
          </w:p>
        </w:tc>
        <w:tc>
          <w:tcPr>
            <w:tcW w:w="7505" w:type="dxa"/>
          </w:tcPr>
          <w:p w14:paraId="22421C68" w14:textId="77777777" w:rsidR="00B63FF7" w:rsidRPr="005261BE" w:rsidRDefault="00B63FF7" w:rsidP="00D1485C">
            <w:pPr>
              <w:spacing w:before="80" w:after="80"/>
              <w:rPr>
                <w:sz w:val="20"/>
                <w:szCs w:val="20"/>
              </w:rPr>
            </w:pPr>
            <w:r w:rsidRPr="005261BE">
              <w:rPr>
                <w:rFonts w:cs="Arial"/>
                <w:iCs/>
                <w:sz w:val="20"/>
                <w:lang w:eastAsia="en-GB"/>
              </w:rPr>
              <w:t>fructooligosaccharide</w:t>
            </w:r>
          </w:p>
        </w:tc>
      </w:tr>
      <w:tr w:rsidR="00B63FF7" w14:paraId="09C55CC5"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5CAD74AA" w14:textId="77777777" w:rsidR="00B63FF7" w:rsidRPr="00D01A35" w:rsidRDefault="00B63FF7" w:rsidP="00D1485C">
            <w:pPr>
              <w:spacing w:before="80" w:after="80"/>
              <w:rPr>
                <w:sz w:val="20"/>
              </w:rPr>
            </w:pPr>
            <w:r>
              <w:rPr>
                <w:sz w:val="20"/>
              </w:rPr>
              <w:t>GLP</w:t>
            </w:r>
          </w:p>
        </w:tc>
        <w:tc>
          <w:tcPr>
            <w:tcW w:w="7505" w:type="dxa"/>
          </w:tcPr>
          <w:p w14:paraId="056188AF" w14:textId="77777777" w:rsidR="00B63FF7" w:rsidRDefault="00B63FF7" w:rsidP="00D1485C">
            <w:pPr>
              <w:spacing w:before="80" w:after="80"/>
              <w:rPr>
                <w:sz w:val="20"/>
              </w:rPr>
            </w:pPr>
            <w:r>
              <w:rPr>
                <w:sz w:val="20"/>
              </w:rPr>
              <w:t>good laboratory practice</w:t>
            </w:r>
          </w:p>
        </w:tc>
      </w:tr>
      <w:tr w:rsidR="00B63FF7" w14:paraId="3AE551BD"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7384B812" w14:textId="77777777" w:rsidR="00B63FF7" w:rsidRDefault="00B63FF7" w:rsidP="00D1485C">
            <w:pPr>
              <w:spacing w:before="80" w:after="80"/>
              <w:rPr>
                <w:sz w:val="20"/>
              </w:rPr>
            </w:pPr>
            <w:r>
              <w:rPr>
                <w:sz w:val="20"/>
              </w:rPr>
              <w:t>g</w:t>
            </w:r>
          </w:p>
        </w:tc>
        <w:tc>
          <w:tcPr>
            <w:tcW w:w="7505" w:type="dxa"/>
          </w:tcPr>
          <w:p w14:paraId="459687D2" w14:textId="77777777" w:rsidR="00B63FF7" w:rsidRDefault="00B63FF7" w:rsidP="00D1485C">
            <w:pPr>
              <w:spacing w:before="80" w:after="80"/>
              <w:rPr>
                <w:sz w:val="20"/>
              </w:rPr>
            </w:pPr>
            <w:r>
              <w:rPr>
                <w:sz w:val="20"/>
              </w:rPr>
              <w:t>gram</w:t>
            </w:r>
          </w:p>
        </w:tc>
      </w:tr>
      <w:tr w:rsidR="00B63FF7" w14:paraId="064D366E"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0A7DA052" w14:textId="77777777" w:rsidR="00B63FF7" w:rsidRPr="00D01A35" w:rsidRDefault="00B63FF7" w:rsidP="00D1485C">
            <w:pPr>
              <w:spacing w:before="80" w:after="80"/>
              <w:rPr>
                <w:sz w:val="20"/>
              </w:rPr>
            </w:pPr>
            <w:r w:rsidRPr="00D01A35">
              <w:rPr>
                <w:sz w:val="20"/>
              </w:rPr>
              <w:t>GM</w:t>
            </w:r>
          </w:p>
        </w:tc>
        <w:tc>
          <w:tcPr>
            <w:tcW w:w="7505" w:type="dxa"/>
          </w:tcPr>
          <w:p w14:paraId="107C2968" w14:textId="77777777" w:rsidR="00B63FF7" w:rsidRPr="00D01A35" w:rsidRDefault="00B63FF7" w:rsidP="00D1485C">
            <w:pPr>
              <w:spacing w:before="80" w:after="80"/>
              <w:rPr>
                <w:sz w:val="20"/>
              </w:rPr>
            </w:pPr>
            <w:r>
              <w:rPr>
                <w:sz w:val="20"/>
              </w:rPr>
              <w:t>g</w:t>
            </w:r>
            <w:r w:rsidRPr="00D01A35">
              <w:rPr>
                <w:sz w:val="20"/>
              </w:rPr>
              <w:t>enetically modified</w:t>
            </w:r>
          </w:p>
        </w:tc>
      </w:tr>
      <w:tr w:rsidR="00B63FF7" w14:paraId="61B6D8FD"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5B2DBD8D" w14:textId="77777777" w:rsidR="00B63FF7" w:rsidRPr="00D01A35" w:rsidRDefault="00B63FF7" w:rsidP="00D1485C">
            <w:pPr>
              <w:spacing w:before="80" w:after="80"/>
              <w:rPr>
                <w:sz w:val="20"/>
              </w:rPr>
            </w:pPr>
            <w:r w:rsidRPr="00D01A35">
              <w:rPr>
                <w:sz w:val="20"/>
              </w:rPr>
              <w:t>GOS</w:t>
            </w:r>
          </w:p>
        </w:tc>
        <w:tc>
          <w:tcPr>
            <w:tcW w:w="7505" w:type="dxa"/>
          </w:tcPr>
          <w:p w14:paraId="04CDAEC8" w14:textId="77777777" w:rsidR="00B63FF7" w:rsidRPr="00D01A35" w:rsidRDefault="00B63FF7" w:rsidP="00D1485C">
            <w:pPr>
              <w:spacing w:before="80" w:after="80"/>
              <w:rPr>
                <w:sz w:val="20"/>
              </w:rPr>
            </w:pPr>
            <w:r>
              <w:rPr>
                <w:sz w:val="20"/>
              </w:rPr>
              <w:t>galacto</w:t>
            </w:r>
            <w:r w:rsidRPr="00D01A35">
              <w:rPr>
                <w:sz w:val="20"/>
              </w:rPr>
              <w:t>oligosaccharide</w:t>
            </w:r>
          </w:p>
        </w:tc>
      </w:tr>
      <w:tr w:rsidR="00852DCD" w14:paraId="52AA79AF"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4BA5B109" w14:textId="1F0066ED" w:rsidR="00852DCD" w:rsidRPr="00816011" w:rsidRDefault="00852DCD" w:rsidP="00844F4C">
            <w:pPr>
              <w:spacing w:before="80" w:after="80"/>
              <w:ind w:left="0"/>
              <w:rPr>
                <w:sz w:val="20"/>
              </w:rPr>
            </w:pPr>
            <w:r w:rsidRPr="00844F4C">
              <w:rPr>
                <w:sz w:val="20"/>
                <w:lang w:eastAsia="en-AU" w:bidi="ar-SA"/>
              </w:rPr>
              <w:t>HPAEC-PAD</w:t>
            </w:r>
          </w:p>
        </w:tc>
        <w:tc>
          <w:tcPr>
            <w:tcW w:w="7505" w:type="dxa"/>
          </w:tcPr>
          <w:p w14:paraId="2E8580C9" w14:textId="13ADCDBA" w:rsidR="00852DCD" w:rsidRPr="00816011" w:rsidRDefault="00852DCD" w:rsidP="00852DCD">
            <w:pPr>
              <w:spacing w:before="80" w:after="80"/>
              <w:rPr>
                <w:sz w:val="20"/>
              </w:rPr>
            </w:pPr>
            <w:r w:rsidRPr="00844F4C">
              <w:rPr>
                <w:sz w:val="20"/>
                <w:lang w:eastAsia="en-AU" w:bidi="ar-SA"/>
              </w:rPr>
              <w:t>high-performance anion-exchange chromatography with pulsed amperometric detection</w:t>
            </w:r>
          </w:p>
        </w:tc>
      </w:tr>
      <w:tr w:rsidR="00B63FF7" w14:paraId="0711FD88"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3EAF53CD" w14:textId="77777777" w:rsidR="00B63FF7" w:rsidRPr="00D01A35" w:rsidRDefault="00B63FF7" w:rsidP="00D1485C">
            <w:pPr>
              <w:spacing w:before="80" w:after="80"/>
              <w:rPr>
                <w:sz w:val="20"/>
              </w:rPr>
            </w:pPr>
            <w:r w:rsidRPr="00D01A35">
              <w:rPr>
                <w:sz w:val="20"/>
              </w:rPr>
              <w:t>IFP</w:t>
            </w:r>
          </w:p>
        </w:tc>
        <w:tc>
          <w:tcPr>
            <w:tcW w:w="7505" w:type="dxa"/>
          </w:tcPr>
          <w:p w14:paraId="672EBCE8" w14:textId="77777777" w:rsidR="00B63FF7" w:rsidRPr="00D01A35" w:rsidRDefault="00B63FF7" w:rsidP="00D1485C">
            <w:pPr>
              <w:spacing w:before="80" w:after="80"/>
              <w:rPr>
                <w:sz w:val="20"/>
              </w:rPr>
            </w:pPr>
            <w:r>
              <w:rPr>
                <w:sz w:val="20"/>
              </w:rPr>
              <w:t>i</w:t>
            </w:r>
            <w:r w:rsidRPr="00D01A35">
              <w:rPr>
                <w:sz w:val="20"/>
              </w:rPr>
              <w:t>nfant formula products</w:t>
            </w:r>
          </w:p>
        </w:tc>
      </w:tr>
      <w:tr w:rsidR="00B63FF7" w14:paraId="3A312AB9"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5837F770" w14:textId="77777777" w:rsidR="00B63FF7" w:rsidRPr="00D01A35" w:rsidRDefault="00B63FF7" w:rsidP="00D1485C">
            <w:pPr>
              <w:spacing w:before="80" w:after="80"/>
              <w:rPr>
                <w:sz w:val="20"/>
              </w:rPr>
            </w:pPr>
            <w:r>
              <w:rPr>
                <w:sz w:val="20"/>
              </w:rPr>
              <w:t>kg</w:t>
            </w:r>
          </w:p>
        </w:tc>
        <w:tc>
          <w:tcPr>
            <w:tcW w:w="7505" w:type="dxa"/>
          </w:tcPr>
          <w:p w14:paraId="761C63E4" w14:textId="77777777" w:rsidR="00B63FF7" w:rsidRDefault="00B63FF7" w:rsidP="00D1485C">
            <w:pPr>
              <w:spacing w:before="80" w:after="80"/>
              <w:rPr>
                <w:sz w:val="20"/>
              </w:rPr>
            </w:pPr>
            <w:r>
              <w:rPr>
                <w:sz w:val="20"/>
              </w:rPr>
              <w:t>kilogram</w:t>
            </w:r>
          </w:p>
        </w:tc>
      </w:tr>
      <w:tr w:rsidR="00B63FF7" w14:paraId="352BE72B"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0B40CFA8" w14:textId="77777777" w:rsidR="00B63FF7" w:rsidRPr="00D01A35" w:rsidRDefault="00B63FF7" w:rsidP="00D1485C">
            <w:pPr>
              <w:spacing w:before="80" w:after="80"/>
              <w:rPr>
                <w:sz w:val="20"/>
              </w:rPr>
            </w:pPr>
            <w:r>
              <w:rPr>
                <w:sz w:val="20"/>
              </w:rPr>
              <w:t>L</w:t>
            </w:r>
          </w:p>
        </w:tc>
        <w:tc>
          <w:tcPr>
            <w:tcW w:w="7505" w:type="dxa"/>
          </w:tcPr>
          <w:p w14:paraId="506B0858" w14:textId="77777777" w:rsidR="00B63FF7" w:rsidRDefault="00B63FF7" w:rsidP="00D1485C">
            <w:pPr>
              <w:spacing w:before="80" w:after="80"/>
              <w:rPr>
                <w:sz w:val="20"/>
              </w:rPr>
            </w:pPr>
            <w:r>
              <w:rPr>
                <w:sz w:val="20"/>
              </w:rPr>
              <w:t>litre</w:t>
            </w:r>
          </w:p>
        </w:tc>
      </w:tr>
      <w:tr w:rsidR="00B63FF7" w14:paraId="623B2FEC"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7050363C" w14:textId="77777777" w:rsidR="00B63FF7" w:rsidRPr="00D01A35" w:rsidRDefault="00B63FF7" w:rsidP="00D1485C">
            <w:pPr>
              <w:spacing w:before="80" w:after="80"/>
              <w:rPr>
                <w:sz w:val="20"/>
              </w:rPr>
            </w:pPr>
            <w:r>
              <w:rPr>
                <w:sz w:val="20"/>
              </w:rPr>
              <w:t>LNnT</w:t>
            </w:r>
          </w:p>
        </w:tc>
        <w:tc>
          <w:tcPr>
            <w:tcW w:w="7505" w:type="dxa"/>
          </w:tcPr>
          <w:p w14:paraId="503D7EED" w14:textId="77777777" w:rsidR="00B63FF7" w:rsidRDefault="00B63FF7" w:rsidP="00D1485C">
            <w:pPr>
              <w:spacing w:before="80" w:after="80"/>
              <w:rPr>
                <w:sz w:val="20"/>
              </w:rPr>
            </w:pPr>
            <w:r w:rsidRPr="00EF2277">
              <w:rPr>
                <w:rFonts w:cs="Arial"/>
                <w:iCs/>
                <w:sz w:val="20"/>
                <w:lang w:eastAsia="en-GB"/>
              </w:rPr>
              <w:t>lacto-N-neotetraose</w:t>
            </w:r>
          </w:p>
        </w:tc>
      </w:tr>
      <w:tr w:rsidR="00B63FF7" w14:paraId="63EA8FBA"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13AA6B2C" w14:textId="77777777" w:rsidR="00B63FF7" w:rsidRPr="00D01A35" w:rsidRDefault="00B63FF7" w:rsidP="00D1485C">
            <w:pPr>
              <w:spacing w:before="80" w:after="80"/>
              <w:rPr>
                <w:sz w:val="20"/>
              </w:rPr>
            </w:pPr>
            <w:r>
              <w:rPr>
                <w:sz w:val="20"/>
              </w:rPr>
              <w:t>LOD</w:t>
            </w:r>
          </w:p>
        </w:tc>
        <w:tc>
          <w:tcPr>
            <w:tcW w:w="7505" w:type="dxa"/>
          </w:tcPr>
          <w:p w14:paraId="0BDE22D2" w14:textId="77777777" w:rsidR="00B63FF7" w:rsidRPr="00D01A35" w:rsidRDefault="00B63FF7" w:rsidP="00D1485C">
            <w:pPr>
              <w:spacing w:before="80" w:after="80"/>
              <w:rPr>
                <w:sz w:val="20"/>
              </w:rPr>
            </w:pPr>
            <w:r>
              <w:rPr>
                <w:sz w:val="20"/>
              </w:rPr>
              <w:t>limit of detection</w:t>
            </w:r>
          </w:p>
        </w:tc>
      </w:tr>
      <w:tr w:rsidR="00B63FF7" w14:paraId="2974A366"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3898D0AD" w14:textId="77777777" w:rsidR="00B63FF7" w:rsidRDefault="00B63FF7" w:rsidP="00D1485C">
            <w:pPr>
              <w:spacing w:before="80" w:after="80"/>
              <w:rPr>
                <w:sz w:val="20"/>
              </w:rPr>
            </w:pPr>
            <w:r>
              <w:rPr>
                <w:sz w:val="20"/>
              </w:rPr>
              <w:t>mg</w:t>
            </w:r>
          </w:p>
        </w:tc>
        <w:tc>
          <w:tcPr>
            <w:tcW w:w="7505" w:type="dxa"/>
          </w:tcPr>
          <w:p w14:paraId="598A4B39" w14:textId="77777777" w:rsidR="00B63FF7" w:rsidRDefault="00B63FF7" w:rsidP="00D1485C">
            <w:pPr>
              <w:spacing w:before="80" w:after="80"/>
              <w:rPr>
                <w:sz w:val="20"/>
              </w:rPr>
            </w:pPr>
            <w:r>
              <w:rPr>
                <w:sz w:val="20"/>
              </w:rPr>
              <w:t>milligram</w:t>
            </w:r>
          </w:p>
        </w:tc>
      </w:tr>
      <w:tr w:rsidR="001E0491" w14:paraId="75CB717E"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7E7F8AFC" w14:textId="273FFF07" w:rsidR="001E0491" w:rsidRDefault="001E0491" w:rsidP="00D1485C">
            <w:pPr>
              <w:spacing w:before="80" w:after="80"/>
              <w:rPr>
                <w:sz w:val="20"/>
              </w:rPr>
            </w:pPr>
            <w:r>
              <w:rPr>
                <w:sz w:val="20"/>
              </w:rPr>
              <w:t>NMR</w:t>
            </w:r>
          </w:p>
        </w:tc>
        <w:tc>
          <w:tcPr>
            <w:tcW w:w="7505" w:type="dxa"/>
          </w:tcPr>
          <w:p w14:paraId="7E03E093" w14:textId="5FAB9977" w:rsidR="001E0491" w:rsidRDefault="001E0491" w:rsidP="00D1485C">
            <w:pPr>
              <w:spacing w:before="80" w:after="80"/>
              <w:rPr>
                <w:sz w:val="20"/>
              </w:rPr>
            </w:pPr>
            <w:r>
              <w:rPr>
                <w:sz w:val="20"/>
              </w:rPr>
              <w:t>nuclear magnetic resonance</w:t>
            </w:r>
          </w:p>
        </w:tc>
      </w:tr>
      <w:tr w:rsidR="00B63FF7" w14:paraId="1B052D02"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7AAD43C9" w14:textId="77777777" w:rsidR="00B63FF7" w:rsidRDefault="00B63FF7" w:rsidP="00D1485C">
            <w:pPr>
              <w:spacing w:before="80" w:after="80"/>
              <w:rPr>
                <w:sz w:val="20"/>
              </w:rPr>
            </w:pPr>
            <w:r>
              <w:rPr>
                <w:sz w:val="20"/>
              </w:rPr>
              <w:t>OECD</w:t>
            </w:r>
          </w:p>
        </w:tc>
        <w:tc>
          <w:tcPr>
            <w:tcW w:w="7505" w:type="dxa"/>
          </w:tcPr>
          <w:p w14:paraId="640E7E03" w14:textId="77777777" w:rsidR="00B63FF7" w:rsidRDefault="00B63FF7" w:rsidP="00D1485C">
            <w:pPr>
              <w:spacing w:before="80" w:after="80"/>
              <w:rPr>
                <w:sz w:val="20"/>
              </w:rPr>
            </w:pPr>
            <w:r w:rsidRPr="00961EDF">
              <w:rPr>
                <w:sz w:val="20"/>
              </w:rPr>
              <w:t>Organisation for Economic Co-operation and Development</w:t>
            </w:r>
          </w:p>
        </w:tc>
      </w:tr>
      <w:tr w:rsidR="00B63FF7" w14:paraId="11F790D0"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309C5921" w14:textId="77777777" w:rsidR="00B63FF7" w:rsidRPr="00D01A35" w:rsidRDefault="00B63FF7" w:rsidP="00D1485C">
            <w:pPr>
              <w:spacing w:before="80" w:after="80"/>
              <w:rPr>
                <w:sz w:val="20"/>
              </w:rPr>
            </w:pPr>
            <w:r>
              <w:rPr>
                <w:sz w:val="20"/>
              </w:rPr>
              <w:t>PCR</w:t>
            </w:r>
          </w:p>
        </w:tc>
        <w:tc>
          <w:tcPr>
            <w:tcW w:w="7505" w:type="dxa"/>
          </w:tcPr>
          <w:p w14:paraId="791411B0" w14:textId="77777777" w:rsidR="00B63FF7" w:rsidRPr="00D01A35" w:rsidRDefault="00B63FF7" w:rsidP="00D1485C">
            <w:pPr>
              <w:spacing w:before="80" w:after="80"/>
              <w:rPr>
                <w:sz w:val="20"/>
              </w:rPr>
            </w:pPr>
            <w:r>
              <w:rPr>
                <w:sz w:val="20"/>
              </w:rPr>
              <w:t>polymerase chain reaction</w:t>
            </w:r>
          </w:p>
        </w:tc>
      </w:tr>
      <w:tr w:rsidR="00B63FF7" w14:paraId="3C8E773D" w14:textId="77777777" w:rsidTr="00D1485C">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617B4969" w14:textId="77777777" w:rsidR="00B63FF7" w:rsidRPr="00D01A35" w:rsidRDefault="00B63FF7" w:rsidP="00D1485C">
            <w:pPr>
              <w:spacing w:before="80" w:after="80"/>
              <w:rPr>
                <w:sz w:val="20"/>
              </w:rPr>
            </w:pPr>
            <w:r w:rsidRPr="00D01A35">
              <w:rPr>
                <w:sz w:val="20"/>
              </w:rPr>
              <w:t>scFOS</w:t>
            </w:r>
          </w:p>
        </w:tc>
        <w:tc>
          <w:tcPr>
            <w:tcW w:w="7505" w:type="dxa"/>
          </w:tcPr>
          <w:p w14:paraId="51BC36C8" w14:textId="77777777" w:rsidR="00B63FF7" w:rsidRPr="00D01A35" w:rsidRDefault="00B63FF7" w:rsidP="00D1485C">
            <w:pPr>
              <w:spacing w:before="80" w:after="80"/>
              <w:rPr>
                <w:sz w:val="20"/>
              </w:rPr>
            </w:pPr>
            <w:r w:rsidRPr="00D01A35">
              <w:rPr>
                <w:sz w:val="20"/>
              </w:rPr>
              <w:t>Short-chain fructooligosaccharide</w:t>
            </w:r>
          </w:p>
        </w:tc>
      </w:tr>
      <w:tr w:rsidR="001E0491" w14:paraId="179690AC" w14:textId="77777777" w:rsidTr="00D1485C">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42169F2E" w14:textId="6CA14710" w:rsidR="001E0491" w:rsidRPr="00D01A35" w:rsidRDefault="001E0491" w:rsidP="00D1485C">
            <w:pPr>
              <w:spacing w:before="80" w:after="80"/>
              <w:rPr>
                <w:sz w:val="20"/>
              </w:rPr>
            </w:pPr>
            <w:r>
              <w:rPr>
                <w:rFonts w:cs="Arial"/>
                <w:sz w:val="20"/>
              </w:rPr>
              <w:t>µ</w:t>
            </w:r>
            <w:r>
              <w:rPr>
                <w:sz w:val="20"/>
              </w:rPr>
              <w:t>g</w:t>
            </w:r>
          </w:p>
        </w:tc>
        <w:tc>
          <w:tcPr>
            <w:tcW w:w="7505" w:type="dxa"/>
          </w:tcPr>
          <w:p w14:paraId="78E58119" w14:textId="61271E94" w:rsidR="001E0491" w:rsidRPr="00D01A35" w:rsidRDefault="001E0491" w:rsidP="00D1485C">
            <w:pPr>
              <w:spacing w:before="80" w:after="80"/>
              <w:rPr>
                <w:sz w:val="20"/>
              </w:rPr>
            </w:pPr>
            <w:r>
              <w:rPr>
                <w:sz w:val="20"/>
              </w:rPr>
              <w:t>microgram</w:t>
            </w:r>
          </w:p>
        </w:tc>
      </w:tr>
    </w:tbl>
    <w:p w14:paraId="40813E2B" w14:textId="77777777" w:rsidR="00B63FF7" w:rsidRDefault="00B63FF7" w:rsidP="00B63FF7"/>
    <w:p w14:paraId="6BA88E57" w14:textId="72BF2EB6" w:rsidR="00092CDA" w:rsidRDefault="00092CDA" w:rsidP="00B63FF7">
      <w:pPr>
        <w:tabs>
          <w:tab w:val="left" w:pos="1050"/>
        </w:tabs>
        <w:sectPr w:rsidR="00092CDA"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4D070F40"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41BC10DD" w14:textId="1A6E4DD9" w:rsidR="000E7C54" w:rsidRDefault="00531EF2">
      <w:pPr>
        <w:pStyle w:val="TOC1"/>
        <w:tabs>
          <w:tab w:val="right" w:leader="dot" w:pos="9060"/>
        </w:tabs>
        <w:rPr>
          <w:rFonts w:eastAsiaTheme="minorEastAsia" w:cstheme="minorBidi"/>
          <w:b w:val="0"/>
          <w:bCs w:val="0"/>
          <w:caps w:val="0"/>
          <w:noProof/>
          <w:sz w:val="22"/>
          <w:szCs w:val="22"/>
          <w:lang w:eastAsia="en-GB" w:bidi="ar-SA"/>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89242927" w:history="1">
        <w:r w:rsidR="000E7C54" w:rsidRPr="000462B3">
          <w:rPr>
            <w:rStyle w:val="Hyperlink"/>
            <w:noProof/>
          </w:rPr>
          <w:t>Executive summary</w:t>
        </w:r>
        <w:r w:rsidR="000E7C54">
          <w:rPr>
            <w:noProof/>
            <w:webHidden/>
          </w:rPr>
          <w:tab/>
        </w:r>
        <w:r w:rsidR="000E7C54">
          <w:rPr>
            <w:noProof/>
            <w:webHidden/>
          </w:rPr>
          <w:fldChar w:fldCharType="begin"/>
        </w:r>
        <w:r w:rsidR="000E7C54">
          <w:rPr>
            <w:noProof/>
            <w:webHidden/>
          </w:rPr>
          <w:instrText xml:space="preserve"> PAGEREF _Toc89242927 \h </w:instrText>
        </w:r>
        <w:r w:rsidR="000E7C54">
          <w:rPr>
            <w:noProof/>
            <w:webHidden/>
          </w:rPr>
        </w:r>
        <w:r w:rsidR="000E7C54">
          <w:rPr>
            <w:noProof/>
            <w:webHidden/>
          </w:rPr>
          <w:fldChar w:fldCharType="separate"/>
        </w:r>
        <w:r w:rsidR="000E7C54">
          <w:rPr>
            <w:noProof/>
            <w:webHidden/>
          </w:rPr>
          <w:t>i</w:t>
        </w:r>
        <w:r w:rsidR="000E7C54">
          <w:rPr>
            <w:noProof/>
            <w:webHidden/>
          </w:rPr>
          <w:fldChar w:fldCharType="end"/>
        </w:r>
      </w:hyperlink>
    </w:p>
    <w:p w14:paraId="66DFC799" w14:textId="399E66A4" w:rsidR="000E7C54" w:rsidRDefault="00866F97">
      <w:pPr>
        <w:pStyle w:val="TOC1"/>
        <w:tabs>
          <w:tab w:val="right" w:leader="dot" w:pos="9060"/>
        </w:tabs>
        <w:rPr>
          <w:rFonts w:eastAsiaTheme="minorEastAsia" w:cstheme="minorBidi"/>
          <w:b w:val="0"/>
          <w:bCs w:val="0"/>
          <w:caps w:val="0"/>
          <w:noProof/>
          <w:sz w:val="22"/>
          <w:szCs w:val="22"/>
          <w:lang w:eastAsia="en-GB" w:bidi="ar-SA"/>
        </w:rPr>
      </w:pPr>
      <w:hyperlink w:anchor="_Toc89242928" w:history="1">
        <w:r w:rsidR="000E7C54" w:rsidRPr="000462B3">
          <w:rPr>
            <w:rStyle w:val="Hyperlink"/>
            <w:noProof/>
          </w:rPr>
          <w:t>Glossary of terms</w:t>
        </w:r>
        <w:r w:rsidR="000E7C54">
          <w:rPr>
            <w:noProof/>
            <w:webHidden/>
          </w:rPr>
          <w:tab/>
        </w:r>
        <w:r w:rsidR="000E7C54">
          <w:rPr>
            <w:noProof/>
            <w:webHidden/>
          </w:rPr>
          <w:fldChar w:fldCharType="begin"/>
        </w:r>
        <w:r w:rsidR="000E7C54">
          <w:rPr>
            <w:noProof/>
            <w:webHidden/>
          </w:rPr>
          <w:instrText xml:space="preserve"> PAGEREF _Toc89242928 \h </w:instrText>
        </w:r>
        <w:r w:rsidR="000E7C54">
          <w:rPr>
            <w:noProof/>
            <w:webHidden/>
          </w:rPr>
        </w:r>
        <w:r w:rsidR="000E7C54">
          <w:rPr>
            <w:noProof/>
            <w:webHidden/>
          </w:rPr>
          <w:fldChar w:fldCharType="separate"/>
        </w:r>
        <w:r w:rsidR="000E7C54">
          <w:rPr>
            <w:noProof/>
            <w:webHidden/>
          </w:rPr>
          <w:t>iii</w:t>
        </w:r>
        <w:r w:rsidR="000E7C54">
          <w:rPr>
            <w:noProof/>
            <w:webHidden/>
          </w:rPr>
          <w:fldChar w:fldCharType="end"/>
        </w:r>
      </w:hyperlink>
    </w:p>
    <w:p w14:paraId="31F92634" w14:textId="4336B4DB" w:rsidR="000E7C54" w:rsidRDefault="00866F97">
      <w:pPr>
        <w:pStyle w:val="TOC1"/>
        <w:tabs>
          <w:tab w:val="left" w:pos="440"/>
          <w:tab w:val="right" w:leader="dot" w:pos="9060"/>
        </w:tabs>
        <w:rPr>
          <w:rFonts w:eastAsiaTheme="minorEastAsia" w:cstheme="minorBidi"/>
          <w:b w:val="0"/>
          <w:bCs w:val="0"/>
          <w:caps w:val="0"/>
          <w:noProof/>
          <w:sz w:val="22"/>
          <w:szCs w:val="22"/>
          <w:lang w:eastAsia="en-GB" w:bidi="ar-SA"/>
        </w:rPr>
      </w:pPr>
      <w:hyperlink w:anchor="_Toc89242929" w:history="1">
        <w:r w:rsidR="000E7C54" w:rsidRPr="000462B3">
          <w:rPr>
            <w:rStyle w:val="Hyperlink"/>
            <w:noProof/>
          </w:rPr>
          <w:t>1</w:t>
        </w:r>
        <w:r w:rsidR="000E7C54">
          <w:rPr>
            <w:rFonts w:eastAsiaTheme="minorEastAsia" w:cstheme="minorBidi"/>
            <w:b w:val="0"/>
            <w:bCs w:val="0"/>
            <w:caps w:val="0"/>
            <w:noProof/>
            <w:sz w:val="22"/>
            <w:szCs w:val="22"/>
            <w:lang w:eastAsia="en-GB" w:bidi="ar-SA"/>
          </w:rPr>
          <w:tab/>
        </w:r>
        <w:r w:rsidR="000E7C54" w:rsidRPr="000462B3">
          <w:rPr>
            <w:rStyle w:val="Hyperlink"/>
            <w:noProof/>
          </w:rPr>
          <w:t>Introduction</w:t>
        </w:r>
        <w:r w:rsidR="000E7C54">
          <w:rPr>
            <w:noProof/>
            <w:webHidden/>
          </w:rPr>
          <w:tab/>
        </w:r>
        <w:r w:rsidR="000E7C54">
          <w:rPr>
            <w:noProof/>
            <w:webHidden/>
          </w:rPr>
          <w:fldChar w:fldCharType="begin"/>
        </w:r>
        <w:r w:rsidR="000E7C54">
          <w:rPr>
            <w:noProof/>
            <w:webHidden/>
          </w:rPr>
          <w:instrText xml:space="preserve"> PAGEREF _Toc89242929 \h </w:instrText>
        </w:r>
        <w:r w:rsidR="000E7C54">
          <w:rPr>
            <w:noProof/>
            <w:webHidden/>
          </w:rPr>
        </w:r>
        <w:r w:rsidR="000E7C54">
          <w:rPr>
            <w:noProof/>
            <w:webHidden/>
          </w:rPr>
          <w:fldChar w:fldCharType="separate"/>
        </w:r>
        <w:r w:rsidR="000E7C54">
          <w:rPr>
            <w:noProof/>
            <w:webHidden/>
          </w:rPr>
          <w:t>2</w:t>
        </w:r>
        <w:r w:rsidR="000E7C54">
          <w:rPr>
            <w:noProof/>
            <w:webHidden/>
          </w:rPr>
          <w:fldChar w:fldCharType="end"/>
        </w:r>
      </w:hyperlink>
    </w:p>
    <w:p w14:paraId="3E3B68C4" w14:textId="0B97C713" w:rsidR="000E7C54" w:rsidRDefault="00866F97">
      <w:pPr>
        <w:pStyle w:val="TOC1"/>
        <w:tabs>
          <w:tab w:val="left" w:pos="440"/>
          <w:tab w:val="right" w:leader="dot" w:pos="9060"/>
        </w:tabs>
        <w:rPr>
          <w:rFonts w:eastAsiaTheme="minorEastAsia" w:cstheme="minorBidi"/>
          <w:b w:val="0"/>
          <w:bCs w:val="0"/>
          <w:caps w:val="0"/>
          <w:noProof/>
          <w:sz w:val="22"/>
          <w:szCs w:val="22"/>
          <w:lang w:eastAsia="en-GB" w:bidi="ar-SA"/>
        </w:rPr>
      </w:pPr>
      <w:hyperlink w:anchor="_Toc89242930" w:history="1">
        <w:r w:rsidR="000E7C54" w:rsidRPr="000462B3">
          <w:rPr>
            <w:rStyle w:val="Hyperlink"/>
            <w:noProof/>
          </w:rPr>
          <w:t>2</w:t>
        </w:r>
        <w:r w:rsidR="000E7C54">
          <w:rPr>
            <w:rFonts w:eastAsiaTheme="minorEastAsia" w:cstheme="minorBidi"/>
            <w:b w:val="0"/>
            <w:bCs w:val="0"/>
            <w:caps w:val="0"/>
            <w:noProof/>
            <w:sz w:val="22"/>
            <w:szCs w:val="22"/>
            <w:lang w:eastAsia="en-GB" w:bidi="ar-SA"/>
          </w:rPr>
          <w:tab/>
        </w:r>
        <w:r w:rsidR="000E7C54" w:rsidRPr="000462B3">
          <w:rPr>
            <w:rStyle w:val="Hyperlink"/>
            <w:noProof/>
          </w:rPr>
          <w:t>Food Technology Assessment</w:t>
        </w:r>
        <w:r w:rsidR="000E7C54">
          <w:rPr>
            <w:noProof/>
            <w:webHidden/>
          </w:rPr>
          <w:tab/>
        </w:r>
        <w:r w:rsidR="000E7C54">
          <w:rPr>
            <w:noProof/>
            <w:webHidden/>
          </w:rPr>
          <w:fldChar w:fldCharType="begin"/>
        </w:r>
        <w:r w:rsidR="000E7C54">
          <w:rPr>
            <w:noProof/>
            <w:webHidden/>
          </w:rPr>
          <w:instrText xml:space="preserve"> PAGEREF _Toc89242930 \h </w:instrText>
        </w:r>
        <w:r w:rsidR="000E7C54">
          <w:rPr>
            <w:noProof/>
            <w:webHidden/>
          </w:rPr>
        </w:r>
        <w:r w:rsidR="000E7C54">
          <w:rPr>
            <w:noProof/>
            <w:webHidden/>
          </w:rPr>
          <w:fldChar w:fldCharType="separate"/>
        </w:r>
        <w:r w:rsidR="000E7C54">
          <w:rPr>
            <w:noProof/>
            <w:webHidden/>
          </w:rPr>
          <w:t>2</w:t>
        </w:r>
        <w:r w:rsidR="000E7C54">
          <w:rPr>
            <w:noProof/>
            <w:webHidden/>
          </w:rPr>
          <w:fldChar w:fldCharType="end"/>
        </w:r>
      </w:hyperlink>
    </w:p>
    <w:p w14:paraId="082EF2CF" w14:textId="032EFEC8" w:rsidR="000E7C54" w:rsidRDefault="00866F97">
      <w:pPr>
        <w:pStyle w:val="TOC2"/>
        <w:tabs>
          <w:tab w:val="left" w:pos="880"/>
          <w:tab w:val="right" w:leader="dot" w:pos="9060"/>
        </w:tabs>
        <w:rPr>
          <w:rFonts w:eastAsiaTheme="minorEastAsia" w:cstheme="minorBidi"/>
          <w:smallCaps w:val="0"/>
          <w:noProof/>
          <w:sz w:val="22"/>
          <w:szCs w:val="22"/>
          <w:lang w:eastAsia="en-GB" w:bidi="ar-SA"/>
        </w:rPr>
      </w:pPr>
      <w:hyperlink w:anchor="_Toc89242931" w:history="1">
        <w:r w:rsidR="000E7C54" w:rsidRPr="000462B3">
          <w:rPr>
            <w:rStyle w:val="Hyperlink"/>
            <w:noProof/>
          </w:rPr>
          <w:t>2.1</w:t>
        </w:r>
        <w:r w:rsidR="000E7C54">
          <w:rPr>
            <w:rFonts w:eastAsiaTheme="minorEastAsia" w:cstheme="minorBidi"/>
            <w:smallCaps w:val="0"/>
            <w:noProof/>
            <w:sz w:val="22"/>
            <w:szCs w:val="22"/>
            <w:lang w:eastAsia="en-GB" w:bidi="ar-SA"/>
          </w:rPr>
          <w:tab/>
        </w:r>
        <w:r w:rsidR="000E7C54" w:rsidRPr="000462B3">
          <w:rPr>
            <w:rStyle w:val="Hyperlink"/>
            <w:noProof/>
          </w:rPr>
          <w:t>Chemical properties</w:t>
        </w:r>
        <w:r w:rsidR="000E7C54">
          <w:rPr>
            <w:noProof/>
            <w:webHidden/>
          </w:rPr>
          <w:tab/>
        </w:r>
        <w:r w:rsidR="000E7C54">
          <w:rPr>
            <w:noProof/>
            <w:webHidden/>
          </w:rPr>
          <w:fldChar w:fldCharType="begin"/>
        </w:r>
        <w:r w:rsidR="000E7C54">
          <w:rPr>
            <w:noProof/>
            <w:webHidden/>
          </w:rPr>
          <w:instrText xml:space="preserve"> PAGEREF _Toc89242931 \h </w:instrText>
        </w:r>
        <w:r w:rsidR="000E7C54">
          <w:rPr>
            <w:noProof/>
            <w:webHidden/>
          </w:rPr>
        </w:r>
        <w:r w:rsidR="000E7C54">
          <w:rPr>
            <w:noProof/>
            <w:webHidden/>
          </w:rPr>
          <w:fldChar w:fldCharType="separate"/>
        </w:r>
        <w:r w:rsidR="000E7C54">
          <w:rPr>
            <w:noProof/>
            <w:webHidden/>
          </w:rPr>
          <w:t>2</w:t>
        </w:r>
        <w:r w:rsidR="000E7C54">
          <w:rPr>
            <w:noProof/>
            <w:webHidden/>
          </w:rPr>
          <w:fldChar w:fldCharType="end"/>
        </w:r>
      </w:hyperlink>
    </w:p>
    <w:p w14:paraId="0C25AD3E" w14:textId="6A8E76BC" w:rsidR="000E7C54" w:rsidRDefault="00866F97">
      <w:pPr>
        <w:pStyle w:val="TOC2"/>
        <w:tabs>
          <w:tab w:val="left" w:pos="880"/>
          <w:tab w:val="right" w:leader="dot" w:pos="9060"/>
        </w:tabs>
        <w:rPr>
          <w:rFonts w:eastAsiaTheme="minorEastAsia" w:cstheme="minorBidi"/>
          <w:smallCaps w:val="0"/>
          <w:noProof/>
          <w:sz w:val="22"/>
          <w:szCs w:val="22"/>
          <w:lang w:eastAsia="en-GB" w:bidi="ar-SA"/>
        </w:rPr>
      </w:pPr>
      <w:hyperlink w:anchor="_Toc89242932" w:history="1">
        <w:r w:rsidR="000E7C54" w:rsidRPr="000462B3">
          <w:rPr>
            <w:rStyle w:val="Hyperlink"/>
            <w:noProof/>
          </w:rPr>
          <w:t>2.2</w:t>
        </w:r>
        <w:r w:rsidR="000E7C54">
          <w:rPr>
            <w:rFonts w:eastAsiaTheme="minorEastAsia" w:cstheme="minorBidi"/>
            <w:smallCaps w:val="0"/>
            <w:noProof/>
            <w:sz w:val="22"/>
            <w:szCs w:val="22"/>
            <w:lang w:eastAsia="en-GB" w:bidi="ar-SA"/>
          </w:rPr>
          <w:tab/>
        </w:r>
        <w:r w:rsidR="000E7C54" w:rsidRPr="000462B3">
          <w:rPr>
            <w:rStyle w:val="Hyperlink"/>
            <w:noProof/>
          </w:rPr>
          <w:t>Analytical methods for detection</w:t>
        </w:r>
        <w:r w:rsidR="000E7C54">
          <w:rPr>
            <w:noProof/>
            <w:webHidden/>
          </w:rPr>
          <w:tab/>
        </w:r>
        <w:r w:rsidR="000E7C54">
          <w:rPr>
            <w:noProof/>
            <w:webHidden/>
          </w:rPr>
          <w:fldChar w:fldCharType="begin"/>
        </w:r>
        <w:r w:rsidR="000E7C54">
          <w:rPr>
            <w:noProof/>
            <w:webHidden/>
          </w:rPr>
          <w:instrText xml:space="preserve"> PAGEREF _Toc89242932 \h </w:instrText>
        </w:r>
        <w:r w:rsidR="000E7C54">
          <w:rPr>
            <w:noProof/>
            <w:webHidden/>
          </w:rPr>
        </w:r>
        <w:r w:rsidR="000E7C54">
          <w:rPr>
            <w:noProof/>
            <w:webHidden/>
          </w:rPr>
          <w:fldChar w:fldCharType="separate"/>
        </w:r>
        <w:r w:rsidR="000E7C54">
          <w:rPr>
            <w:noProof/>
            <w:webHidden/>
          </w:rPr>
          <w:t>4</w:t>
        </w:r>
        <w:r w:rsidR="000E7C54">
          <w:rPr>
            <w:noProof/>
            <w:webHidden/>
          </w:rPr>
          <w:fldChar w:fldCharType="end"/>
        </w:r>
      </w:hyperlink>
    </w:p>
    <w:p w14:paraId="1C73E649" w14:textId="4EF7D210" w:rsidR="000E7C54" w:rsidRDefault="00866F97">
      <w:pPr>
        <w:pStyle w:val="TOC2"/>
        <w:tabs>
          <w:tab w:val="left" w:pos="880"/>
          <w:tab w:val="right" w:leader="dot" w:pos="9060"/>
        </w:tabs>
        <w:rPr>
          <w:rFonts w:eastAsiaTheme="minorEastAsia" w:cstheme="minorBidi"/>
          <w:smallCaps w:val="0"/>
          <w:noProof/>
          <w:sz w:val="22"/>
          <w:szCs w:val="22"/>
          <w:lang w:eastAsia="en-GB" w:bidi="ar-SA"/>
        </w:rPr>
      </w:pPr>
      <w:hyperlink w:anchor="_Toc89242933" w:history="1">
        <w:r w:rsidR="000E7C54" w:rsidRPr="000462B3">
          <w:rPr>
            <w:rStyle w:val="Hyperlink"/>
            <w:noProof/>
          </w:rPr>
          <w:t>2.3</w:t>
        </w:r>
        <w:r w:rsidR="000E7C54">
          <w:rPr>
            <w:rFonts w:eastAsiaTheme="minorEastAsia" w:cstheme="minorBidi"/>
            <w:smallCaps w:val="0"/>
            <w:noProof/>
            <w:sz w:val="22"/>
            <w:szCs w:val="22"/>
            <w:lang w:eastAsia="en-GB" w:bidi="ar-SA"/>
          </w:rPr>
          <w:tab/>
        </w:r>
        <w:r w:rsidR="000E7C54" w:rsidRPr="000462B3">
          <w:rPr>
            <w:rStyle w:val="Hyperlink"/>
            <w:noProof/>
          </w:rPr>
          <w:t>Manufacturing processes</w:t>
        </w:r>
        <w:r w:rsidR="000E7C54">
          <w:rPr>
            <w:noProof/>
            <w:webHidden/>
          </w:rPr>
          <w:tab/>
        </w:r>
        <w:r w:rsidR="000E7C54">
          <w:rPr>
            <w:noProof/>
            <w:webHidden/>
          </w:rPr>
          <w:fldChar w:fldCharType="begin"/>
        </w:r>
        <w:r w:rsidR="000E7C54">
          <w:rPr>
            <w:noProof/>
            <w:webHidden/>
          </w:rPr>
          <w:instrText xml:space="preserve"> PAGEREF _Toc89242933 \h </w:instrText>
        </w:r>
        <w:r w:rsidR="000E7C54">
          <w:rPr>
            <w:noProof/>
            <w:webHidden/>
          </w:rPr>
        </w:r>
        <w:r w:rsidR="000E7C54">
          <w:rPr>
            <w:noProof/>
            <w:webHidden/>
          </w:rPr>
          <w:fldChar w:fldCharType="separate"/>
        </w:r>
        <w:r w:rsidR="000E7C54">
          <w:rPr>
            <w:noProof/>
            <w:webHidden/>
          </w:rPr>
          <w:t>5</w:t>
        </w:r>
        <w:r w:rsidR="000E7C54">
          <w:rPr>
            <w:noProof/>
            <w:webHidden/>
          </w:rPr>
          <w:fldChar w:fldCharType="end"/>
        </w:r>
      </w:hyperlink>
    </w:p>
    <w:p w14:paraId="2556524B" w14:textId="79F63707" w:rsidR="000E7C54" w:rsidRDefault="00866F97">
      <w:pPr>
        <w:pStyle w:val="TOC2"/>
        <w:tabs>
          <w:tab w:val="left" w:pos="880"/>
          <w:tab w:val="right" w:leader="dot" w:pos="9060"/>
        </w:tabs>
        <w:rPr>
          <w:rFonts w:eastAsiaTheme="minorEastAsia" w:cstheme="minorBidi"/>
          <w:smallCaps w:val="0"/>
          <w:noProof/>
          <w:sz w:val="22"/>
          <w:szCs w:val="22"/>
          <w:lang w:eastAsia="en-GB" w:bidi="ar-SA"/>
        </w:rPr>
      </w:pPr>
      <w:hyperlink w:anchor="_Toc89242934" w:history="1">
        <w:r w:rsidR="000E7C54" w:rsidRPr="000462B3">
          <w:rPr>
            <w:rStyle w:val="Hyperlink"/>
            <w:noProof/>
          </w:rPr>
          <w:t>2.4</w:t>
        </w:r>
        <w:r w:rsidR="000E7C54">
          <w:rPr>
            <w:rFonts w:eastAsiaTheme="minorEastAsia" w:cstheme="minorBidi"/>
            <w:smallCaps w:val="0"/>
            <w:noProof/>
            <w:sz w:val="22"/>
            <w:szCs w:val="22"/>
            <w:lang w:eastAsia="en-GB" w:bidi="ar-SA"/>
          </w:rPr>
          <w:tab/>
        </w:r>
        <w:r w:rsidR="000E7C54" w:rsidRPr="000462B3">
          <w:rPr>
            <w:rStyle w:val="Hyperlink"/>
            <w:noProof/>
          </w:rPr>
          <w:t>Product specifications</w:t>
        </w:r>
        <w:r w:rsidR="000E7C54">
          <w:rPr>
            <w:noProof/>
            <w:webHidden/>
          </w:rPr>
          <w:tab/>
        </w:r>
        <w:r w:rsidR="000E7C54">
          <w:rPr>
            <w:noProof/>
            <w:webHidden/>
          </w:rPr>
          <w:fldChar w:fldCharType="begin"/>
        </w:r>
        <w:r w:rsidR="000E7C54">
          <w:rPr>
            <w:noProof/>
            <w:webHidden/>
          </w:rPr>
          <w:instrText xml:space="preserve"> PAGEREF _Toc89242934 \h </w:instrText>
        </w:r>
        <w:r w:rsidR="000E7C54">
          <w:rPr>
            <w:noProof/>
            <w:webHidden/>
          </w:rPr>
        </w:r>
        <w:r w:rsidR="000E7C54">
          <w:rPr>
            <w:noProof/>
            <w:webHidden/>
          </w:rPr>
          <w:fldChar w:fldCharType="separate"/>
        </w:r>
        <w:r w:rsidR="000E7C54">
          <w:rPr>
            <w:noProof/>
            <w:webHidden/>
          </w:rPr>
          <w:t>7</w:t>
        </w:r>
        <w:r w:rsidR="000E7C54">
          <w:rPr>
            <w:noProof/>
            <w:webHidden/>
          </w:rPr>
          <w:fldChar w:fldCharType="end"/>
        </w:r>
      </w:hyperlink>
    </w:p>
    <w:p w14:paraId="7B9FBD91" w14:textId="67E0ED62" w:rsidR="000E7C54" w:rsidRDefault="00866F97">
      <w:pPr>
        <w:pStyle w:val="TOC2"/>
        <w:tabs>
          <w:tab w:val="left" w:pos="880"/>
          <w:tab w:val="right" w:leader="dot" w:pos="9060"/>
        </w:tabs>
        <w:rPr>
          <w:rFonts w:eastAsiaTheme="minorEastAsia" w:cstheme="minorBidi"/>
          <w:smallCaps w:val="0"/>
          <w:noProof/>
          <w:sz w:val="22"/>
          <w:szCs w:val="22"/>
          <w:lang w:eastAsia="en-GB" w:bidi="ar-SA"/>
        </w:rPr>
      </w:pPr>
      <w:hyperlink w:anchor="_Toc89242935" w:history="1">
        <w:r w:rsidR="000E7C54" w:rsidRPr="000462B3">
          <w:rPr>
            <w:rStyle w:val="Hyperlink"/>
            <w:noProof/>
          </w:rPr>
          <w:t>2.5</w:t>
        </w:r>
        <w:r w:rsidR="000E7C54">
          <w:rPr>
            <w:rFonts w:eastAsiaTheme="minorEastAsia" w:cstheme="minorBidi"/>
            <w:smallCaps w:val="0"/>
            <w:noProof/>
            <w:sz w:val="22"/>
            <w:szCs w:val="22"/>
            <w:lang w:eastAsia="en-GB" w:bidi="ar-SA"/>
          </w:rPr>
          <w:tab/>
        </w:r>
        <w:r w:rsidR="000E7C54" w:rsidRPr="000462B3">
          <w:rPr>
            <w:rStyle w:val="Hyperlink"/>
            <w:noProof/>
          </w:rPr>
          <w:t>Food technology conclusion</w:t>
        </w:r>
        <w:r w:rsidR="000E7C54">
          <w:rPr>
            <w:noProof/>
            <w:webHidden/>
          </w:rPr>
          <w:tab/>
        </w:r>
        <w:r w:rsidR="000E7C54">
          <w:rPr>
            <w:noProof/>
            <w:webHidden/>
          </w:rPr>
          <w:fldChar w:fldCharType="begin"/>
        </w:r>
        <w:r w:rsidR="000E7C54">
          <w:rPr>
            <w:noProof/>
            <w:webHidden/>
          </w:rPr>
          <w:instrText xml:space="preserve"> PAGEREF _Toc89242935 \h </w:instrText>
        </w:r>
        <w:r w:rsidR="000E7C54">
          <w:rPr>
            <w:noProof/>
            <w:webHidden/>
          </w:rPr>
        </w:r>
        <w:r w:rsidR="000E7C54">
          <w:rPr>
            <w:noProof/>
            <w:webHidden/>
          </w:rPr>
          <w:fldChar w:fldCharType="separate"/>
        </w:r>
        <w:r w:rsidR="000E7C54">
          <w:rPr>
            <w:noProof/>
            <w:webHidden/>
          </w:rPr>
          <w:t>9</w:t>
        </w:r>
        <w:r w:rsidR="000E7C54">
          <w:rPr>
            <w:noProof/>
            <w:webHidden/>
          </w:rPr>
          <w:fldChar w:fldCharType="end"/>
        </w:r>
      </w:hyperlink>
    </w:p>
    <w:p w14:paraId="3A3857F7" w14:textId="05232034" w:rsidR="000E7C54" w:rsidRDefault="00866F97">
      <w:pPr>
        <w:pStyle w:val="TOC1"/>
        <w:tabs>
          <w:tab w:val="left" w:pos="440"/>
          <w:tab w:val="right" w:leader="dot" w:pos="9060"/>
        </w:tabs>
        <w:rPr>
          <w:rFonts w:eastAsiaTheme="minorEastAsia" w:cstheme="minorBidi"/>
          <w:b w:val="0"/>
          <w:bCs w:val="0"/>
          <w:caps w:val="0"/>
          <w:noProof/>
          <w:sz w:val="22"/>
          <w:szCs w:val="22"/>
          <w:lang w:eastAsia="en-GB" w:bidi="ar-SA"/>
        </w:rPr>
      </w:pPr>
      <w:hyperlink w:anchor="_Toc89242936" w:history="1">
        <w:r w:rsidR="000E7C54" w:rsidRPr="000462B3">
          <w:rPr>
            <w:rStyle w:val="Hyperlink"/>
            <w:noProof/>
          </w:rPr>
          <w:t>3</w:t>
        </w:r>
        <w:r w:rsidR="000E7C54">
          <w:rPr>
            <w:rFonts w:eastAsiaTheme="minorEastAsia" w:cstheme="minorBidi"/>
            <w:b w:val="0"/>
            <w:bCs w:val="0"/>
            <w:caps w:val="0"/>
            <w:noProof/>
            <w:sz w:val="22"/>
            <w:szCs w:val="22"/>
            <w:lang w:eastAsia="en-GB" w:bidi="ar-SA"/>
          </w:rPr>
          <w:tab/>
        </w:r>
        <w:r w:rsidR="000E7C54" w:rsidRPr="000462B3">
          <w:rPr>
            <w:rStyle w:val="Hyperlink"/>
            <w:noProof/>
          </w:rPr>
          <w:t>Safety assessment of the genetically modified production strain</w:t>
        </w:r>
        <w:r w:rsidR="000E7C54">
          <w:rPr>
            <w:noProof/>
            <w:webHidden/>
          </w:rPr>
          <w:tab/>
        </w:r>
        <w:r w:rsidR="000E7C54">
          <w:rPr>
            <w:noProof/>
            <w:webHidden/>
          </w:rPr>
          <w:fldChar w:fldCharType="begin"/>
        </w:r>
        <w:r w:rsidR="000E7C54">
          <w:rPr>
            <w:noProof/>
            <w:webHidden/>
          </w:rPr>
          <w:instrText xml:space="preserve"> PAGEREF _Toc89242936 \h </w:instrText>
        </w:r>
        <w:r w:rsidR="000E7C54">
          <w:rPr>
            <w:noProof/>
            <w:webHidden/>
          </w:rPr>
        </w:r>
        <w:r w:rsidR="000E7C54">
          <w:rPr>
            <w:noProof/>
            <w:webHidden/>
          </w:rPr>
          <w:fldChar w:fldCharType="separate"/>
        </w:r>
        <w:r w:rsidR="000E7C54">
          <w:rPr>
            <w:noProof/>
            <w:webHidden/>
          </w:rPr>
          <w:t>9</w:t>
        </w:r>
        <w:r w:rsidR="000E7C54">
          <w:rPr>
            <w:noProof/>
            <w:webHidden/>
          </w:rPr>
          <w:fldChar w:fldCharType="end"/>
        </w:r>
      </w:hyperlink>
    </w:p>
    <w:p w14:paraId="1E9374FA" w14:textId="03A70F40" w:rsidR="000E7C54" w:rsidRDefault="00866F97">
      <w:pPr>
        <w:pStyle w:val="TOC2"/>
        <w:tabs>
          <w:tab w:val="left" w:pos="880"/>
          <w:tab w:val="right" w:leader="dot" w:pos="9060"/>
        </w:tabs>
        <w:rPr>
          <w:rFonts w:eastAsiaTheme="minorEastAsia" w:cstheme="minorBidi"/>
          <w:smallCaps w:val="0"/>
          <w:noProof/>
          <w:sz w:val="22"/>
          <w:szCs w:val="22"/>
          <w:lang w:eastAsia="en-GB" w:bidi="ar-SA"/>
        </w:rPr>
      </w:pPr>
      <w:hyperlink w:anchor="_Toc89242937" w:history="1">
        <w:r w:rsidR="000E7C54" w:rsidRPr="000462B3">
          <w:rPr>
            <w:rStyle w:val="Hyperlink"/>
            <w:noProof/>
          </w:rPr>
          <w:t>3.1</w:t>
        </w:r>
        <w:r w:rsidR="000E7C54">
          <w:rPr>
            <w:rFonts w:eastAsiaTheme="minorEastAsia" w:cstheme="minorBidi"/>
            <w:smallCaps w:val="0"/>
            <w:noProof/>
            <w:sz w:val="22"/>
            <w:szCs w:val="22"/>
            <w:lang w:eastAsia="en-GB" w:bidi="ar-SA"/>
          </w:rPr>
          <w:tab/>
        </w:r>
        <w:r w:rsidR="000E7C54" w:rsidRPr="000462B3">
          <w:rPr>
            <w:rStyle w:val="Hyperlink"/>
            <w:noProof/>
          </w:rPr>
          <w:t>History of use</w:t>
        </w:r>
        <w:r w:rsidR="000E7C54">
          <w:rPr>
            <w:noProof/>
            <w:webHidden/>
          </w:rPr>
          <w:tab/>
        </w:r>
        <w:r w:rsidR="000E7C54">
          <w:rPr>
            <w:noProof/>
            <w:webHidden/>
          </w:rPr>
          <w:fldChar w:fldCharType="begin"/>
        </w:r>
        <w:r w:rsidR="000E7C54">
          <w:rPr>
            <w:noProof/>
            <w:webHidden/>
          </w:rPr>
          <w:instrText xml:space="preserve"> PAGEREF _Toc89242937 \h </w:instrText>
        </w:r>
        <w:r w:rsidR="000E7C54">
          <w:rPr>
            <w:noProof/>
            <w:webHidden/>
          </w:rPr>
        </w:r>
        <w:r w:rsidR="000E7C54">
          <w:rPr>
            <w:noProof/>
            <w:webHidden/>
          </w:rPr>
          <w:fldChar w:fldCharType="separate"/>
        </w:r>
        <w:r w:rsidR="000E7C54">
          <w:rPr>
            <w:noProof/>
            <w:webHidden/>
          </w:rPr>
          <w:t>9</w:t>
        </w:r>
        <w:r w:rsidR="000E7C54">
          <w:rPr>
            <w:noProof/>
            <w:webHidden/>
          </w:rPr>
          <w:fldChar w:fldCharType="end"/>
        </w:r>
      </w:hyperlink>
    </w:p>
    <w:p w14:paraId="19FB50EC" w14:textId="715D9723" w:rsidR="000E7C54" w:rsidRDefault="00866F97">
      <w:pPr>
        <w:pStyle w:val="TOC2"/>
        <w:tabs>
          <w:tab w:val="left" w:pos="880"/>
          <w:tab w:val="right" w:leader="dot" w:pos="9060"/>
        </w:tabs>
        <w:rPr>
          <w:rFonts w:eastAsiaTheme="minorEastAsia" w:cstheme="minorBidi"/>
          <w:smallCaps w:val="0"/>
          <w:noProof/>
          <w:sz w:val="22"/>
          <w:szCs w:val="22"/>
          <w:lang w:eastAsia="en-GB" w:bidi="ar-SA"/>
        </w:rPr>
      </w:pPr>
      <w:hyperlink w:anchor="_Toc89242938" w:history="1">
        <w:r w:rsidR="000E7C54" w:rsidRPr="000462B3">
          <w:rPr>
            <w:rStyle w:val="Hyperlink"/>
            <w:noProof/>
          </w:rPr>
          <w:t>3.2</w:t>
        </w:r>
        <w:r w:rsidR="000E7C54">
          <w:rPr>
            <w:rFonts w:eastAsiaTheme="minorEastAsia" w:cstheme="minorBidi"/>
            <w:smallCaps w:val="0"/>
            <w:noProof/>
            <w:sz w:val="22"/>
            <w:szCs w:val="22"/>
            <w:lang w:eastAsia="en-GB" w:bidi="ar-SA"/>
          </w:rPr>
          <w:tab/>
        </w:r>
        <w:r w:rsidR="000E7C54" w:rsidRPr="000462B3">
          <w:rPr>
            <w:rStyle w:val="Hyperlink"/>
            <w:noProof/>
          </w:rPr>
          <w:t>Characterisation of the genetic modification(s)</w:t>
        </w:r>
        <w:r w:rsidR="000E7C54">
          <w:rPr>
            <w:noProof/>
            <w:webHidden/>
          </w:rPr>
          <w:tab/>
        </w:r>
        <w:r w:rsidR="000E7C54">
          <w:rPr>
            <w:noProof/>
            <w:webHidden/>
          </w:rPr>
          <w:fldChar w:fldCharType="begin"/>
        </w:r>
        <w:r w:rsidR="000E7C54">
          <w:rPr>
            <w:noProof/>
            <w:webHidden/>
          </w:rPr>
          <w:instrText xml:space="preserve"> PAGEREF _Toc89242938 \h </w:instrText>
        </w:r>
        <w:r w:rsidR="000E7C54">
          <w:rPr>
            <w:noProof/>
            <w:webHidden/>
          </w:rPr>
        </w:r>
        <w:r w:rsidR="000E7C54">
          <w:rPr>
            <w:noProof/>
            <w:webHidden/>
          </w:rPr>
          <w:fldChar w:fldCharType="separate"/>
        </w:r>
        <w:r w:rsidR="000E7C54">
          <w:rPr>
            <w:noProof/>
            <w:webHidden/>
          </w:rPr>
          <w:t>11</w:t>
        </w:r>
        <w:r w:rsidR="000E7C54">
          <w:rPr>
            <w:noProof/>
            <w:webHidden/>
          </w:rPr>
          <w:fldChar w:fldCharType="end"/>
        </w:r>
      </w:hyperlink>
    </w:p>
    <w:p w14:paraId="595C26C1" w14:textId="40B02028" w:rsidR="000E7C54" w:rsidRDefault="00866F97">
      <w:pPr>
        <w:pStyle w:val="TOC2"/>
        <w:tabs>
          <w:tab w:val="left" w:pos="880"/>
          <w:tab w:val="right" w:leader="dot" w:pos="9060"/>
        </w:tabs>
        <w:rPr>
          <w:rFonts w:eastAsiaTheme="minorEastAsia" w:cstheme="minorBidi"/>
          <w:smallCaps w:val="0"/>
          <w:noProof/>
          <w:sz w:val="22"/>
          <w:szCs w:val="22"/>
          <w:lang w:eastAsia="en-GB" w:bidi="ar-SA"/>
        </w:rPr>
      </w:pPr>
      <w:hyperlink w:anchor="_Toc89242939" w:history="1">
        <w:r w:rsidR="000E7C54" w:rsidRPr="000462B3">
          <w:rPr>
            <w:rStyle w:val="Hyperlink"/>
            <w:noProof/>
          </w:rPr>
          <w:t>3.3</w:t>
        </w:r>
        <w:r w:rsidR="000E7C54">
          <w:rPr>
            <w:rFonts w:eastAsiaTheme="minorEastAsia" w:cstheme="minorBidi"/>
            <w:smallCaps w:val="0"/>
            <w:noProof/>
            <w:sz w:val="22"/>
            <w:szCs w:val="22"/>
            <w:lang w:eastAsia="en-GB" w:bidi="ar-SA"/>
          </w:rPr>
          <w:tab/>
        </w:r>
        <w:r w:rsidR="000E7C54" w:rsidRPr="000462B3">
          <w:rPr>
            <w:rStyle w:val="Hyperlink"/>
            <w:noProof/>
          </w:rPr>
          <w:t>Key findings of the microbiological and biotechnology assessment</w:t>
        </w:r>
        <w:r w:rsidR="000E7C54">
          <w:rPr>
            <w:noProof/>
            <w:webHidden/>
          </w:rPr>
          <w:tab/>
        </w:r>
        <w:r w:rsidR="000E7C54">
          <w:rPr>
            <w:noProof/>
            <w:webHidden/>
          </w:rPr>
          <w:fldChar w:fldCharType="begin"/>
        </w:r>
        <w:r w:rsidR="000E7C54">
          <w:rPr>
            <w:noProof/>
            <w:webHidden/>
          </w:rPr>
          <w:instrText xml:space="preserve"> PAGEREF _Toc89242939 \h </w:instrText>
        </w:r>
        <w:r w:rsidR="000E7C54">
          <w:rPr>
            <w:noProof/>
            <w:webHidden/>
          </w:rPr>
        </w:r>
        <w:r w:rsidR="000E7C54">
          <w:rPr>
            <w:noProof/>
            <w:webHidden/>
          </w:rPr>
          <w:fldChar w:fldCharType="separate"/>
        </w:r>
        <w:r w:rsidR="000E7C54">
          <w:rPr>
            <w:noProof/>
            <w:webHidden/>
          </w:rPr>
          <w:t>11</w:t>
        </w:r>
        <w:r w:rsidR="000E7C54">
          <w:rPr>
            <w:noProof/>
            <w:webHidden/>
          </w:rPr>
          <w:fldChar w:fldCharType="end"/>
        </w:r>
      </w:hyperlink>
    </w:p>
    <w:p w14:paraId="3F479CB8" w14:textId="289F9DAA" w:rsidR="000E7C54" w:rsidRDefault="00866F97">
      <w:pPr>
        <w:pStyle w:val="TOC1"/>
        <w:tabs>
          <w:tab w:val="left" w:pos="440"/>
          <w:tab w:val="right" w:leader="dot" w:pos="9060"/>
        </w:tabs>
        <w:rPr>
          <w:rFonts w:eastAsiaTheme="minorEastAsia" w:cstheme="minorBidi"/>
          <w:b w:val="0"/>
          <w:bCs w:val="0"/>
          <w:caps w:val="0"/>
          <w:noProof/>
          <w:sz w:val="22"/>
          <w:szCs w:val="22"/>
          <w:lang w:eastAsia="en-GB" w:bidi="ar-SA"/>
        </w:rPr>
      </w:pPr>
      <w:hyperlink w:anchor="_Toc89242940" w:history="1">
        <w:r w:rsidR="000E7C54" w:rsidRPr="000462B3">
          <w:rPr>
            <w:rStyle w:val="Hyperlink"/>
            <w:noProof/>
          </w:rPr>
          <w:t>4</w:t>
        </w:r>
        <w:r w:rsidR="000E7C54">
          <w:rPr>
            <w:rFonts w:eastAsiaTheme="minorEastAsia" w:cstheme="minorBidi"/>
            <w:b w:val="0"/>
            <w:bCs w:val="0"/>
            <w:caps w:val="0"/>
            <w:noProof/>
            <w:sz w:val="22"/>
            <w:szCs w:val="22"/>
            <w:lang w:eastAsia="en-GB" w:bidi="ar-SA"/>
          </w:rPr>
          <w:tab/>
        </w:r>
        <w:r w:rsidR="000E7C54" w:rsidRPr="000462B3">
          <w:rPr>
            <w:rStyle w:val="Hyperlink"/>
            <w:noProof/>
          </w:rPr>
          <w:t>Toxicology assessment</w:t>
        </w:r>
        <w:r w:rsidR="000E7C54">
          <w:rPr>
            <w:noProof/>
            <w:webHidden/>
          </w:rPr>
          <w:tab/>
        </w:r>
        <w:r w:rsidR="000E7C54">
          <w:rPr>
            <w:noProof/>
            <w:webHidden/>
          </w:rPr>
          <w:fldChar w:fldCharType="begin"/>
        </w:r>
        <w:r w:rsidR="000E7C54">
          <w:rPr>
            <w:noProof/>
            <w:webHidden/>
          </w:rPr>
          <w:instrText xml:space="preserve"> PAGEREF _Toc89242940 \h </w:instrText>
        </w:r>
        <w:r w:rsidR="000E7C54">
          <w:rPr>
            <w:noProof/>
            <w:webHidden/>
          </w:rPr>
        </w:r>
        <w:r w:rsidR="000E7C54">
          <w:rPr>
            <w:noProof/>
            <w:webHidden/>
          </w:rPr>
          <w:fldChar w:fldCharType="separate"/>
        </w:r>
        <w:r w:rsidR="000E7C54">
          <w:rPr>
            <w:noProof/>
            <w:webHidden/>
          </w:rPr>
          <w:t>12</w:t>
        </w:r>
        <w:r w:rsidR="000E7C54">
          <w:rPr>
            <w:noProof/>
            <w:webHidden/>
          </w:rPr>
          <w:fldChar w:fldCharType="end"/>
        </w:r>
      </w:hyperlink>
    </w:p>
    <w:p w14:paraId="39541A2F" w14:textId="4E409B66" w:rsidR="000E7C54" w:rsidRDefault="00866F97">
      <w:pPr>
        <w:pStyle w:val="TOC2"/>
        <w:tabs>
          <w:tab w:val="left" w:pos="880"/>
          <w:tab w:val="right" w:leader="dot" w:pos="9060"/>
        </w:tabs>
        <w:rPr>
          <w:rFonts w:eastAsiaTheme="minorEastAsia" w:cstheme="minorBidi"/>
          <w:smallCaps w:val="0"/>
          <w:noProof/>
          <w:sz w:val="22"/>
          <w:szCs w:val="22"/>
          <w:lang w:eastAsia="en-GB" w:bidi="ar-SA"/>
        </w:rPr>
      </w:pPr>
      <w:hyperlink w:anchor="_Toc89242941" w:history="1">
        <w:r w:rsidR="000E7C54" w:rsidRPr="000462B3">
          <w:rPr>
            <w:rStyle w:val="Hyperlink"/>
            <w:noProof/>
            <w:lang w:val="en-AU"/>
          </w:rPr>
          <w:t>4.1</w:t>
        </w:r>
        <w:r w:rsidR="000E7C54">
          <w:rPr>
            <w:rFonts w:eastAsiaTheme="minorEastAsia" w:cstheme="minorBidi"/>
            <w:smallCaps w:val="0"/>
            <w:noProof/>
            <w:sz w:val="22"/>
            <w:szCs w:val="22"/>
            <w:lang w:eastAsia="en-GB" w:bidi="ar-SA"/>
          </w:rPr>
          <w:tab/>
        </w:r>
        <w:r w:rsidR="000E7C54" w:rsidRPr="000462B3">
          <w:rPr>
            <w:rStyle w:val="Hyperlink"/>
            <w:noProof/>
            <w:lang w:val="en-AU"/>
          </w:rPr>
          <w:t>Previous FSANZ safety assessments of 2′-FL</w:t>
        </w:r>
        <w:r w:rsidR="000E7C54">
          <w:rPr>
            <w:noProof/>
            <w:webHidden/>
          </w:rPr>
          <w:tab/>
        </w:r>
        <w:r w:rsidR="000E7C54">
          <w:rPr>
            <w:noProof/>
            <w:webHidden/>
          </w:rPr>
          <w:fldChar w:fldCharType="begin"/>
        </w:r>
        <w:r w:rsidR="000E7C54">
          <w:rPr>
            <w:noProof/>
            <w:webHidden/>
          </w:rPr>
          <w:instrText xml:space="preserve"> PAGEREF _Toc89242941 \h </w:instrText>
        </w:r>
        <w:r w:rsidR="000E7C54">
          <w:rPr>
            <w:noProof/>
            <w:webHidden/>
          </w:rPr>
        </w:r>
        <w:r w:rsidR="000E7C54">
          <w:rPr>
            <w:noProof/>
            <w:webHidden/>
          </w:rPr>
          <w:fldChar w:fldCharType="separate"/>
        </w:r>
        <w:r w:rsidR="000E7C54">
          <w:rPr>
            <w:noProof/>
            <w:webHidden/>
          </w:rPr>
          <w:t>12</w:t>
        </w:r>
        <w:r w:rsidR="000E7C54">
          <w:rPr>
            <w:noProof/>
            <w:webHidden/>
          </w:rPr>
          <w:fldChar w:fldCharType="end"/>
        </w:r>
      </w:hyperlink>
    </w:p>
    <w:p w14:paraId="6A7D40A8" w14:textId="068A49C2" w:rsidR="000E7C54" w:rsidRDefault="00866F97">
      <w:pPr>
        <w:pStyle w:val="TOC2"/>
        <w:tabs>
          <w:tab w:val="left" w:pos="880"/>
          <w:tab w:val="right" w:leader="dot" w:pos="9060"/>
        </w:tabs>
        <w:rPr>
          <w:rFonts w:eastAsiaTheme="minorEastAsia" w:cstheme="minorBidi"/>
          <w:smallCaps w:val="0"/>
          <w:noProof/>
          <w:sz w:val="22"/>
          <w:szCs w:val="22"/>
          <w:lang w:eastAsia="en-GB" w:bidi="ar-SA"/>
        </w:rPr>
      </w:pPr>
      <w:hyperlink w:anchor="_Toc89242942" w:history="1">
        <w:r w:rsidR="000E7C54" w:rsidRPr="000462B3">
          <w:rPr>
            <w:rStyle w:val="Hyperlink"/>
            <w:noProof/>
            <w:lang w:val="en-AU"/>
          </w:rPr>
          <w:t>4.2</w:t>
        </w:r>
        <w:r w:rsidR="000E7C54">
          <w:rPr>
            <w:rFonts w:eastAsiaTheme="minorEastAsia" w:cstheme="minorBidi"/>
            <w:smallCaps w:val="0"/>
            <w:noProof/>
            <w:sz w:val="22"/>
            <w:szCs w:val="22"/>
            <w:lang w:eastAsia="en-GB" w:bidi="ar-SA"/>
          </w:rPr>
          <w:tab/>
        </w:r>
        <w:r w:rsidR="000E7C54" w:rsidRPr="000462B3">
          <w:rPr>
            <w:rStyle w:val="Hyperlink"/>
            <w:noProof/>
            <w:lang w:val="en-AU"/>
          </w:rPr>
          <w:t>Newly available data</w:t>
        </w:r>
        <w:r w:rsidR="000E7C54">
          <w:rPr>
            <w:noProof/>
            <w:webHidden/>
          </w:rPr>
          <w:tab/>
        </w:r>
        <w:r w:rsidR="000E7C54">
          <w:rPr>
            <w:noProof/>
            <w:webHidden/>
          </w:rPr>
          <w:fldChar w:fldCharType="begin"/>
        </w:r>
        <w:r w:rsidR="000E7C54">
          <w:rPr>
            <w:noProof/>
            <w:webHidden/>
          </w:rPr>
          <w:instrText xml:space="preserve"> PAGEREF _Toc89242942 \h </w:instrText>
        </w:r>
        <w:r w:rsidR="000E7C54">
          <w:rPr>
            <w:noProof/>
            <w:webHidden/>
          </w:rPr>
        </w:r>
        <w:r w:rsidR="000E7C54">
          <w:rPr>
            <w:noProof/>
            <w:webHidden/>
          </w:rPr>
          <w:fldChar w:fldCharType="separate"/>
        </w:r>
        <w:r w:rsidR="000E7C54">
          <w:rPr>
            <w:noProof/>
            <w:webHidden/>
          </w:rPr>
          <w:t>12</w:t>
        </w:r>
        <w:r w:rsidR="000E7C54">
          <w:rPr>
            <w:noProof/>
            <w:webHidden/>
          </w:rPr>
          <w:fldChar w:fldCharType="end"/>
        </w:r>
      </w:hyperlink>
    </w:p>
    <w:p w14:paraId="62266716" w14:textId="330EF716" w:rsidR="000E7C54" w:rsidRDefault="00866F97">
      <w:pPr>
        <w:pStyle w:val="TOC2"/>
        <w:tabs>
          <w:tab w:val="left" w:pos="880"/>
          <w:tab w:val="right" w:leader="dot" w:pos="9060"/>
        </w:tabs>
        <w:rPr>
          <w:rFonts w:eastAsiaTheme="minorEastAsia" w:cstheme="minorBidi"/>
          <w:smallCaps w:val="0"/>
          <w:noProof/>
          <w:sz w:val="22"/>
          <w:szCs w:val="22"/>
          <w:lang w:eastAsia="en-GB" w:bidi="ar-SA"/>
        </w:rPr>
      </w:pPr>
      <w:hyperlink w:anchor="_Toc89242943" w:history="1">
        <w:r w:rsidR="000E7C54" w:rsidRPr="000462B3">
          <w:rPr>
            <w:rStyle w:val="Hyperlink"/>
            <w:noProof/>
          </w:rPr>
          <w:t>4.3</w:t>
        </w:r>
        <w:r w:rsidR="000E7C54">
          <w:rPr>
            <w:rFonts w:eastAsiaTheme="minorEastAsia" w:cstheme="minorBidi"/>
            <w:smallCaps w:val="0"/>
            <w:noProof/>
            <w:sz w:val="22"/>
            <w:szCs w:val="22"/>
            <w:lang w:eastAsia="en-GB" w:bidi="ar-SA"/>
          </w:rPr>
          <w:tab/>
        </w:r>
        <w:r w:rsidR="000E7C54" w:rsidRPr="000462B3">
          <w:rPr>
            <w:rStyle w:val="Hyperlink"/>
            <w:noProof/>
          </w:rPr>
          <w:t>Key findings of the toxicology assessment</w:t>
        </w:r>
        <w:r w:rsidR="000E7C54">
          <w:rPr>
            <w:noProof/>
            <w:webHidden/>
          </w:rPr>
          <w:tab/>
        </w:r>
        <w:r w:rsidR="000E7C54">
          <w:rPr>
            <w:noProof/>
            <w:webHidden/>
          </w:rPr>
          <w:fldChar w:fldCharType="begin"/>
        </w:r>
        <w:r w:rsidR="000E7C54">
          <w:rPr>
            <w:noProof/>
            <w:webHidden/>
          </w:rPr>
          <w:instrText xml:space="preserve"> PAGEREF _Toc89242943 \h </w:instrText>
        </w:r>
        <w:r w:rsidR="000E7C54">
          <w:rPr>
            <w:noProof/>
            <w:webHidden/>
          </w:rPr>
        </w:r>
        <w:r w:rsidR="000E7C54">
          <w:rPr>
            <w:noProof/>
            <w:webHidden/>
          </w:rPr>
          <w:fldChar w:fldCharType="separate"/>
        </w:r>
        <w:r w:rsidR="000E7C54">
          <w:rPr>
            <w:noProof/>
            <w:webHidden/>
          </w:rPr>
          <w:t>16</w:t>
        </w:r>
        <w:r w:rsidR="000E7C54">
          <w:rPr>
            <w:noProof/>
            <w:webHidden/>
          </w:rPr>
          <w:fldChar w:fldCharType="end"/>
        </w:r>
      </w:hyperlink>
    </w:p>
    <w:p w14:paraId="764DB312" w14:textId="166B92D8" w:rsidR="000E7C54" w:rsidRDefault="00866F97">
      <w:pPr>
        <w:pStyle w:val="TOC1"/>
        <w:tabs>
          <w:tab w:val="left" w:pos="440"/>
          <w:tab w:val="right" w:leader="dot" w:pos="9060"/>
        </w:tabs>
        <w:rPr>
          <w:rFonts w:eastAsiaTheme="minorEastAsia" w:cstheme="minorBidi"/>
          <w:b w:val="0"/>
          <w:bCs w:val="0"/>
          <w:caps w:val="0"/>
          <w:noProof/>
          <w:sz w:val="22"/>
          <w:szCs w:val="22"/>
          <w:lang w:eastAsia="en-GB" w:bidi="ar-SA"/>
        </w:rPr>
      </w:pPr>
      <w:hyperlink w:anchor="_Toc89242944" w:history="1">
        <w:r w:rsidR="000E7C54" w:rsidRPr="000462B3">
          <w:rPr>
            <w:rStyle w:val="Hyperlink"/>
            <w:noProof/>
            <w:lang w:val="en-AU"/>
          </w:rPr>
          <w:t>5</w:t>
        </w:r>
        <w:r w:rsidR="000E7C54">
          <w:rPr>
            <w:rFonts w:eastAsiaTheme="minorEastAsia" w:cstheme="minorBidi"/>
            <w:b w:val="0"/>
            <w:bCs w:val="0"/>
            <w:caps w:val="0"/>
            <w:noProof/>
            <w:sz w:val="22"/>
            <w:szCs w:val="22"/>
            <w:lang w:eastAsia="en-GB" w:bidi="ar-SA"/>
          </w:rPr>
          <w:tab/>
        </w:r>
        <w:r w:rsidR="000E7C54" w:rsidRPr="000462B3">
          <w:rPr>
            <w:rStyle w:val="Hyperlink"/>
            <w:noProof/>
            <w:lang w:val="en-AU"/>
          </w:rPr>
          <w:t>Nutrition assessment</w:t>
        </w:r>
        <w:r w:rsidR="000E7C54">
          <w:rPr>
            <w:noProof/>
            <w:webHidden/>
          </w:rPr>
          <w:tab/>
        </w:r>
        <w:r w:rsidR="000E7C54">
          <w:rPr>
            <w:noProof/>
            <w:webHidden/>
          </w:rPr>
          <w:fldChar w:fldCharType="begin"/>
        </w:r>
        <w:r w:rsidR="000E7C54">
          <w:rPr>
            <w:noProof/>
            <w:webHidden/>
          </w:rPr>
          <w:instrText xml:space="preserve"> PAGEREF _Toc89242944 \h </w:instrText>
        </w:r>
        <w:r w:rsidR="000E7C54">
          <w:rPr>
            <w:noProof/>
            <w:webHidden/>
          </w:rPr>
        </w:r>
        <w:r w:rsidR="000E7C54">
          <w:rPr>
            <w:noProof/>
            <w:webHidden/>
          </w:rPr>
          <w:fldChar w:fldCharType="separate"/>
        </w:r>
        <w:r w:rsidR="000E7C54">
          <w:rPr>
            <w:noProof/>
            <w:webHidden/>
          </w:rPr>
          <w:t>17</w:t>
        </w:r>
        <w:r w:rsidR="000E7C54">
          <w:rPr>
            <w:noProof/>
            <w:webHidden/>
          </w:rPr>
          <w:fldChar w:fldCharType="end"/>
        </w:r>
      </w:hyperlink>
    </w:p>
    <w:p w14:paraId="1DDBB1F4" w14:textId="136071CC" w:rsidR="000E7C54" w:rsidRDefault="00866F97">
      <w:pPr>
        <w:pStyle w:val="TOC1"/>
        <w:tabs>
          <w:tab w:val="left" w:pos="440"/>
          <w:tab w:val="right" w:leader="dot" w:pos="9060"/>
        </w:tabs>
        <w:rPr>
          <w:rFonts w:eastAsiaTheme="minorEastAsia" w:cstheme="minorBidi"/>
          <w:b w:val="0"/>
          <w:bCs w:val="0"/>
          <w:caps w:val="0"/>
          <w:noProof/>
          <w:sz w:val="22"/>
          <w:szCs w:val="22"/>
          <w:lang w:eastAsia="en-GB" w:bidi="ar-SA"/>
        </w:rPr>
      </w:pPr>
      <w:hyperlink w:anchor="_Toc89242945" w:history="1">
        <w:r w:rsidR="000E7C54" w:rsidRPr="000462B3">
          <w:rPr>
            <w:rStyle w:val="Hyperlink"/>
            <w:noProof/>
          </w:rPr>
          <w:t>6</w:t>
        </w:r>
        <w:r w:rsidR="000E7C54">
          <w:rPr>
            <w:rFonts w:eastAsiaTheme="minorEastAsia" w:cstheme="minorBidi"/>
            <w:b w:val="0"/>
            <w:bCs w:val="0"/>
            <w:caps w:val="0"/>
            <w:noProof/>
            <w:sz w:val="22"/>
            <w:szCs w:val="22"/>
            <w:lang w:eastAsia="en-GB" w:bidi="ar-SA"/>
          </w:rPr>
          <w:tab/>
        </w:r>
        <w:r w:rsidR="000E7C54" w:rsidRPr="000462B3">
          <w:rPr>
            <w:rStyle w:val="Hyperlink"/>
            <w:noProof/>
          </w:rPr>
          <w:t>Summary and Conclusions</w:t>
        </w:r>
        <w:r w:rsidR="000E7C54">
          <w:rPr>
            <w:noProof/>
            <w:webHidden/>
          </w:rPr>
          <w:tab/>
        </w:r>
        <w:r w:rsidR="000E7C54">
          <w:rPr>
            <w:noProof/>
            <w:webHidden/>
          </w:rPr>
          <w:fldChar w:fldCharType="begin"/>
        </w:r>
        <w:r w:rsidR="000E7C54">
          <w:rPr>
            <w:noProof/>
            <w:webHidden/>
          </w:rPr>
          <w:instrText xml:space="preserve"> PAGEREF _Toc89242945 \h </w:instrText>
        </w:r>
        <w:r w:rsidR="000E7C54">
          <w:rPr>
            <w:noProof/>
            <w:webHidden/>
          </w:rPr>
        </w:r>
        <w:r w:rsidR="000E7C54">
          <w:rPr>
            <w:noProof/>
            <w:webHidden/>
          </w:rPr>
          <w:fldChar w:fldCharType="separate"/>
        </w:r>
        <w:r w:rsidR="000E7C54">
          <w:rPr>
            <w:noProof/>
            <w:webHidden/>
          </w:rPr>
          <w:t>17</w:t>
        </w:r>
        <w:r w:rsidR="000E7C54">
          <w:rPr>
            <w:noProof/>
            <w:webHidden/>
          </w:rPr>
          <w:fldChar w:fldCharType="end"/>
        </w:r>
      </w:hyperlink>
    </w:p>
    <w:p w14:paraId="10468D39" w14:textId="7281D4FD" w:rsidR="000E7C54" w:rsidRDefault="00866F97">
      <w:pPr>
        <w:pStyle w:val="TOC1"/>
        <w:tabs>
          <w:tab w:val="left" w:pos="440"/>
          <w:tab w:val="right" w:leader="dot" w:pos="9060"/>
        </w:tabs>
        <w:rPr>
          <w:rFonts w:eastAsiaTheme="minorEastAsia" w:cstheme="minorBidi"/>
          <w:b w:val="0"/>
          <w:bCs w:val="0"/>
          <w:caps w:val="0"/>
          <w:noProof/>
          <w:sz w:val="22"/>
          <w:szCs w:val="22"/>
          <w:lang w:eastAsia="en-GB" w:bidi="ar-SA"/>
        </w:rPr>
      </w:pPr>
      <w:hyperlink w:anchor="_Toc89242946" w:history="1">
        <w:r w:rsidR="000E7C54" w:rsidRPr="000462B3">
          <w:rPr>
            <w:rStyle w:val="Hyperlink"/>
            <w:noProof/>
          </w:rPr>
          <w:t>7</w:t>
        </w:r>
        <w:r w:rsidR="000E7C54">
          <w:rPr>
            <w:rFonts w:eastAsiaTheme="minorEastAsia" w:cstheme="minorBidi"/>
            <w:b w:val="0"/>
            <w:bCs w:val="0"/>
            <w:caps w:val="0"/>
            <w:noProof/>
            <w:sz w:val="22"/>
            <w:szCs w:val="22"/>
            <w:lang w:eastAsia="en-GB" w:bidi="ar-SA"/>
          </w:rPr>
          <w:tab/>
        </w:r>
        <w:r w:rsidR="000E7C54" w:rsidRPr="000462B3">
          <w:rPr>
            <w:rStyle w:val="Hyperlink"/>
            <w:noProof/>
          </w:rPr>
          <w:t>References</w:t>
        </w:r>
        <w:r w:rsidR="000E7C54">
          <w:rPr>
            <w:noProof/>
            <w:webHidden/>
          </w:rPr>
          <w:tab/>
        </w:r>
        <w:r w:rsidR="000E7C54">
          <w:rPr>
            <w:noProof/>
            <w:webHidden/>
          </w:rPr>
          <w:fldChar w:fldCharType="begin"/>
        </w:r>
        <w:r w:rsidR="000E7C54">
          <w:rPr>
            <w:noProof/>
            <w:webHidden/>
          </w:rPr>
          <w:instrText xml:space="preserve"> PAGEREF _Toc89242946 \h </w:instrText>
        </w:r>
        <w:r w:rsidR="000E7C54">
          <w:rPr>
            <w:noProof/>
            <w:webHidden/>
          </w:rPr>
        </w:r>
        <w:r w:rsidR="000E7C54">
          <w:rPr>
            <w:noProof/>
            <w:webHidden/>
          </w:rPr>
          <w:fldChar w:fldCharType="separate"/>
        </w:r>
        <w:r w:rsidR="000E7C54">
          <w:rPr>
            <w:noProof/>
            <w:webHidden/>
          </w:rPr>
          <w:t>18</w:t>
        </w:r>
        <w:r w:rsidR="000E7C54">
          <w:rPr>
            <w:noProof/>
            <w:webHidden/>
          </w:rPr>
          <w:fldChar w:fldCharType="end"/>
        </w:r>
      </w:hyperlink>
    </w:p>
    <w:p w14:paraId="02C0204E" w14:textId="192BD5F7" w:rsidR="00E066BA" w:rsidRDefault="00531EF2" w:rsidP="00051ED9">
      <w:r>
        <w:rPr>
          <w:rFonts w:asciiTheme="minorHAnsi" w:hAnsiTheme="minorHAnsi"/>
          <w:b/>
          <w:bCs/>
          <w:caps/>
          <w:sz w:val="20"/>
          <w:szCs w:val="20"/>
        </w:rPr>
        <w:fldChar w:fldCharType="end"/>
      </w:r>
    </w:p>
    <w:p w14:paraId="1FA405FD" w14:textId="77777777" w:rsidR="00051ED9" w:rsidRDefault="00562917" w:rsidP="00772BDC">
      <w:r w:rsidRPr="00E203C2">
        <w:br w:type="page"/>
      </w:r>
    </w:p>
    <w:p w14:paraId="6A972E0C" w14:textId="626905CE" w:rsidR="00B63FF7" w:rsidRDefault="00B63FF7" w:rsidP="00B63FF7">
      <w:pPr>
        <w:pStyle w:val="Heading1"/>
        <w:ind w:left="567" w:hanging="567"/>
      </w:pPr>
      <w:bookmarkStart w:id="13" w:name="_Toc496169767"/>
      <w:bookmarkStart w:id="14" w:name="_Toc500321328"/>
      <w:bookmarkStart w:id="15" w:name="_Toc18399685"/>
      <w:bookmarkStart w:id="16" w:name="_Toc70675676"/>
      <w:bookmarkStart w:id="17" w:name="_Toc70675769"/>
      <w:bookmarkStart w:id="18" w:name="_Toc72480608"/>
      <w:bookmarkStart w:id="19" w:name="_Toc86413183"/>
      <w:bookmarkStart w:id="20" w:name="_Toc86914413"/>
      <w:bookmarkStart w:id="21" w:name="_Toc89242929"/>
      <w:r>
        <w:lastRenderedPageBreak/>
        <w:t>1</w:t>
      </w:r>
      <w:r w:rsidR="00B409E9">
        <w:tab/>
      </w:r>
      <w:r>
        <w:t>Introduction</w:t>
      </w:r>
      <w:bookmarkEnd w:id="13"/>
      <w:bookmarkEnd w:id="14"/>
      <w:bookmarkEnd w:id="15"/>
      <w:bookmarkEnd w:id="16"/>
      <w:bookmarkEnd w:id="17"/>
      <w:bookmarkEnd w:id="18"/>
      <w:bookmarkEnd w:id="19"/>
      <w:bookmarkEnd w:id="20"/>
      <w:bookmarkEnd w:id="21"/>
    </w:p>
    <w:p w14:paraId="044D4281" w14:textId="1D736DE4" w:rsidR="00D97CDF" w:rsidRDefault="00FF6D0A" w:rsidP="00D97CDF">
      <w:pPr>
        <w:rPr>
          <w:szCs w:val="20"/>
        </w:rPr>
      </w:pPr>
      <w:r>
        <w:rPr>
          <w:color w:val="000000" w:themeColor="text1"/>
        </w:rPr>
        <w:t xml:space="preserve">FSANZ has received an </w:t>
      </w:r>
      <w:r w:rsidR="004B4381">
        <w:rPr>
          <w:color w:val="000000" w:themeColor="text1"/>
        </w:rPr>
        <w:t>Application</w:t>
      </w:r>
      <w:r>
        <w:rPr>
          <w:color w:val="000000" w:themeColor="text1"/>
        </w:rPr>
        <w:t xml:space="preserve"> from Friesland Campina Ingredients </w:t>
      </w:r>
      <w:r>
        <w:rPr>
          <w:szCs w:val="20"/>
        </w:rPr>
        <w:t xml:space="preserve">to amend </w:t>
      </w:r>
      <w:r w:rsidR="00727728">
        <w:rPr>
          <w:szCs w:val="20"/>
        </w:rPr>
        <w:t xml:space="preserve">Schedules </w:t>
      </w:r>
      <w:r w:rsidR="00D97CDF">
        <w:rPr>
          <w:szCs w:val="20"/>
        </w:rPr>
        <w:t>3 and 26 of the</w:t>
      </w:r>
      <w:r>
        <w:rPr>
          <w:szCs w:val="20"/>
        </w:rPr>
        <w:t xml:space="preserve"> </w:t>
      </w:r>
      <w:r w:rsidRPr="00C47EC9">
        <w:rPr>
          <w:szCs w:val="20"/>
        </w:rPr>
        <w:t>Australia New Zealand Food Standards Code</w:t>
      </w:r>
      <w:r>
        <w:rPr>
          <w:szCs w:val="20"/>
        </w:rPr>
        <w:t xml:space="preserve"> (the Code)</w:t>
      </w:r>
      <w:r w:rsidR="00D97CDF">
        <w:rPr>
          <w:szCs w:val="20"/>
        </w:rPr>
        <w:t>,</w:t>
      </w:r>
      <w:r>
        <w:rPr>
          <w:szCs w:val="20"/>
        </w:rPr>
        <w:t xml:space="preserve"> to include </w:t>
      </w:r>
      <w:r w:rsidR="00D97CDF">
        <w:rPr>
          <w:szCs w:val="20"/>
        </w:rPr>
        <w:t xml:space="preserve">a new source organism and specification for </w:t>
      </w:r>
      <w:r>
        <w:rPr>
          <w:szCs w:val="20"/>
        </w:rPr>
        <w:t>2′</w:t>
      </w:r>
      <w:r>
        <w:rPr>
          <w:rFonts w:ascii="MSDDRU+Calibri" w:hAnsi="MSDDRU+Calibri" w:cs="MSDDRU+Calibri"/>
          <w:szCs w:val="22"/>
        </w:rPr>
        <w:t>-</w:t>
      </w:r>
      <w:r>
        <w:rPr>
          <w:szCs w:val="22"/>
        </w:rPr>
        <w:t>fucosyllactose (</w:t>
      </w:r>
      <w:r>
        <w:rPr>
          <w:szCs w:val="20"/>
        </w:rPr>
        <w:t>2′</w:t>
      </w:r>
      <w:r w:rsidRPr="00B55354">
        <w:rPr>
          <w:szCs w:val="20"/>
        </w:rPr>
        <w:t>-FL</w:t>
      </w:r>
      <w:r>
        <w:rPr>
          <w:szCs w:val="20"/>
        </w:rPr>
        <w:t>)</w:t>
      </w:r>
      <w:r w:rsidR="00D97CDF">
        <w:rPr>
          <w:szCs w:val="20"/>
        </w:rPr>
        <w:t xml:space="preserve">. </w:t>
      </w:r>
    </w:p>
    <w:p w14:paraId="73856B6F" w14:textId="77777777" w:rsidR="00D97CDF" w:rsidRDefault="00D97CDF" w:rsidP="00D97CDF">
      <w:pPr>
        <w:rPr>
          <w:szCs w:val="20"/>
        </w:rPr>
      </w:pPr>
    </w:p>
    <w:p w14:paraId="766B3428" w14:textId="6205EC72" w:rsidR="00D97CDF" w:rsidRDefault="00D97CDF" w:rsidP="00D97CDF">
      <w:pPr>
        <w:rPr>
          <w:rFonts w:cs="Arial"/>
          <w:color w:val="000000" w:themeColor="text1"/>
        </w:rPr>
      </w:pPr>
      <w:r>
        <w:rPr>
          <w:szCs w:val="20"/>
        </w:rPr>
        <w:t>The new source organism is</w:t>
      </w:r>
      <w:r w:rsidR="00FF6D0A">
        <w:rPr>
          <w:szCs w:val="20"/>
        </w:rPr>
        <w:t xml:space="preserve"> a genetically modified (GM) </w:t>
      </w:r>
      <w:r w:rsidR="00FF6D0A" w:rsidRPr="00BF2BED">
        <w:rPr>
          <w:i/>
          <w:szCs w:val="20"/>
        </w:rPr>
        <w:t>Escherichia coli</w:t>
      </w:r>
      <w:r w:rsidR="00FF6D0A">
        <w:rPr>
          <w:szCs w:val="20"/>
        </w:rPr>
        <w:t xml:space="preserve"> </w:t>
      </w:r>
      <w:r>
        <w:rPr>
          <w:szCs w:val="20"/>
        </w:rPr>
        <w:t xml:space="preserve">K-12 derived strain expressing the </w:t>
      </w:r>
      <w:r>
        <w:rPr>
          <w:rFonts w:cs="Arial"/>
          <w:lang w:eastAsia="en-AU"/>
        </w:rPr>
        <w:t>α</w:t>
      </w:r>
      <w:r>
        <w:rPr>
          <w:lang w:eastAsia="en-AU"/>
        </w:rPr>
        <w:t>-1,2-</w:t>
      </w:r>
      <w:r>
        <w:rPr>
          <w:rFonts w:cs="Arial"/>
          <w:color w:val="000000" w:themeColor="text1"/>
        </w:rPr>
        <w:t xml:space="preserve">fucosyltransferase gene from </w:t>
      </w:r>
      <w:r w:rsidRPr="007C030B">
        <w:rPr>
          <w:rFonts w:cs="Arial"/>
          <w:i/>
          <w:color w:val="000000" w:themeColor="text1"/>
        </w:rPr>
        <w:t>Bacteroides vulgatus</w:t>
      </w:r>
      <w:r>
        <w:rPr>
          <w:rFonts w:cs="Arial"/>
          <w:color w:val="000000" w:themeColor="text1"/>
        </w:rPr>
        <w:t xml:space="preserve">. The fucosyltransferase enzyme mediates the intracellular transfer of a fucosyl group to lactose, producing </w:t>
      </w:r>
      <w:r>
        <w:rPr>
          <w:szCs w:val="20"/>
        </w:rPr>
        <w:t>2′</w:t>
      </w:r>
      <w:r>
        <w:rPr>
          <w:rFonts w:ascii="MSDDRU+Calibri" w:hAnsi="MSDDRU+Calibri" w:cs="MSDDRU+Calibri"/>
          <w:szCs w:val="22"/>
        </w:rPr>
        <w:t>-</w:t>
      </w:r>
      <w:r>
        <w:rPr>
          <w:szCs w:val="22"/>
        </w:rPr>
        <w:t>FL.</w:t>
      </w:r>
    </w:p>
    <w:p w14:paraId="7D9C754E" w14:textId="540094A7" w:rsidR="00D97CDF" w:rsidRDefault="00D97CDF" w:rsidP="00FF6D0A">
      <w:pPr>
        <w:rPr>
          <w:szCs w:val="20"/>
        </w:rPr>
      </w:pPr>
    </w:p>
    <w:p w14:paraId="6082EB6B" w14:textId="426B1442" w:rsidR="00B63FF7" w:rsidRDefault="00710C50" w:rsidP="00690206">
      <w:r>
        <w:rPr>
          <w:bCs/>
        </w:rPr>
        <w:t xml:space="preserve">The Code already permits </w:t>
      </w:r>
      <w:r w:rsidRPr="004A264B">
        <w:rPr>
          <w:bCs/>
        </w:rPr>
        <w:t>2</w:t>
      </w:r>
      <w:r w:rsidRPr="004A264B">
        <w:rPr>
          <w:lang w:val="en-AU"/>
        </w:rPr>
        <w:t>′</w:t>
      </w:r>
      <w:r w:rsidRPr="004A264B">
        <w:rPr>
          <w:bCs/>
        </w:rPr>
        <w:t xml:space="preserve">-FL from a different source organism for addition to </w:t>
      </w:r>
      <w:r>
        <w:rPr>
          <w:bCs/>
        </w:rPr>
        <w:t>Infant Formula Products (IFP)</w:t>
      </w:r>
      <w:r w:rsidRPr="004A264B">
        <w:rPr>
          <w:bCs/>
        </w:rPr>
        <w:t xml:space="preserve">. </w:t>
      </w:r>
      <w:r w:rsidRPr="004A264B">
        <w:t xml:space="preserve">The maximum permitted level is 96 mg/100 kJ, </w:t>
      </w:r>
      <w:r>
        <w:t>equivalent</w:t>
      </w:r>
      <w:r w:rsidRPr="004A264B">
        <w:t xml:space="preserve"> to 2.4 g/L.</w:t>
      </w:r>
      <w:r w:rsidRPr="004A264B">
        <w:rPr>
          <w:bCs/>
        </w:rPr>
        <w:t xml:space="preserve"> The purpose of the present assessment is therefore </w:t>
      </w:r>
      <w:r w:rsidRPr="004A264B">
        <w:t>to</w:t>
      </w:r>
      <w:r w:rsidRPr="004A264B">
        <w:rPr>
          <w:bCs/>
        </w:rPr>
        <w:t xml:space="preserve"> assess the safety of 2′-FL produced by the new production strain.</w:t>
      </w:r>
    </w:p>
    <w:p w14:paraId="7F04A444" w14:textId="27ABE28E" w:rsidR="00B63FF7" w:rsidRDefault="00B63FF7" w:rsidP="00B63FF7">
      <w:pPr>
        <w:pStyle w:val="Heading1"/>
        <w:ind w:left="567" w:hanging="567"/>
      </w:pPr>
      <w:bookmarkStart w:id="22" w:name="_Toc515634585"/>
      <w:bookmarkStart w:id="23" w:name="_Toc517451199"/>
      <w:bookmarkStart w:id="24" w:name="_Toc518397304"/>
      <w:bookmarkStart w:id="25" w:name="_Toc518400830"/>
      <w:bookmarkStart w:id="26" w:name="_Toc518475262"/>
      <w:bookmarkStart w:id="27" w:name="_Toc518478859"/>
      <w:bookmarkStart w:id="28" w:name="_Toc518995910"/>
      <w:bookmarkStart w:id="29" w:name="_Toc519260313"/>
      <w:bookmarkStart w:id="30" w:name="_Toc519260639"/>
      <w:bookmarkStart w:id="31" w:name="_Toc519607920"/>
      <w:bookmarkStart w:id="32" w:name="_Toc521418035"/>
      <w:bookmarkStart w:id="33" w:name="_Toc529357570"/>
      <w:bookmarkStart w:id="34" w:name="_Toc70675677"/>
      <w:bookmarkStart w:id="35" w:name="_Toc70675770"/>
      <w:bookmarkStart w:id="36" w:name="_Toc72480609"/>
      <w:bookmarkStart w:id="37" w:name="_Toc86413184"/>
      <w:bookmarkStart w:id="38" w:name="_Toc86914414"/>
      <w:bookmarkStart w:id="39" w:name="_Toc89242930"/>
      <w: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B409E9">
        <w:tab/>
      </w:r>
      <w:r w:rsidR="008F70E9">
        <w:t>Food Technology Assessment</w:t>
      </w:r>
      <w:bookmarkEnd w:id="37"/>
      <w:bookmarkEnd w:id="38"/>
      <w:bookmarkEnd w:id="39"/>
    </w:p>
    <w:p w14:paraId="52B81A83" w14:textId="1C411436" w:rsidR="00B63FF7" w:rsidRDefault="00B63FF7" w:rsidP="00B63FF7">
      <w:pPr>
        <w:rPr>
          <w:lang w:eastAsia="en-AU"/>
        </w:rPr>
      </w:pPr>
      <w:r>
        <w:rPr>
          <w:lang w:eastAsia="en-AU"/>
        </w:rPr>
        <w:t>The food technology assessment provides information</w:t>
      </w:r>
      <w:r w:rsidR="00B7157C">
        <w:rPr>
          <w:lang w:eastAsia="en-AU"/>
        </w:rPr>
        <w:t xml:space="preserve"> on the chemical identification, physicochemical properties and specifications for </w:t>
      </w:r>
      <w:r w:rsidR="0033159D">
        <w:rPr>
          <w:lang w:eastAsia="en-AU"/>
        </w:rPr>
        <w:t>2′-FL</w:t>
      </w:r>
      <w:r w:rsidR="00B7157C">
        <w:rPr>
          <w:lang w:eastAsia="en-AU"/>
        </w:rPr>
        <w:t xml:space="preserve">. </w:t>
      </w:r>
      <w:r w:rsidR="00F32B5D">
        <w:rPr>
          <w:lang w:eastAsia="en-AU"/>
        </w:rPr>
        <w:t>The assessment also</w:t>
      </w:r>
      <w:r w:rsidR="00B7157C">
        <w:rPr>
          <w:lang w:eastAsia="en-AU"/>
        </w:rPr>
        <w:t xml:space="preserve"> considered </w:t>
      </w:r>
      <w:r w:rsidR="003F3BDB">
        <w:rPr>
          <w:lang w:eastAsia="en-AU"/>
        </w:rPr>
        <w:t xml:space="preserve">the manufacturing process and the validity of analytical methods used to characterise </w:t>
      </w:r>
      <w:r w:rsidR="0033159D">
        <w:rPr>
          <w:lang w:eastAsia="en-AU"/>
        </w:rPr>
        <w:t>2′-FL</w:t>
      </w:r>
      <w:r w:rsidR="003F3BDB">
        <w:rPr>
          <w:lang w:eastAsia="en-AU"/>
        </w:rPr>
        <w:t xml:space="preserve"> during production and as a component of </w:t>
      </w:r>
      <w:r w:rsidR="00F32B5D">
        <w:rPr>
          <w:lang w:eastAsia="en-AU"/>
        </w:rPr>
        <w:t>IFP</w:t>
      </w:r>
      <w:r w:rsidR="003F3BDB">
        <w:rPr>
          <w:lang w:eastAsia="en-AU"/>
        </w:rPr>
        <w:t>.</w:t>
      </w:r>
    </w:p>
    <w:p w14:paraId="2D4D0629" w14:textId="758E421E" w:rsidR="00B63FF7" w:rsidRDefault="00B63FF7" w:rsidP="00BC1C5A">
      <w:pPr>
        <w:pStyle w:val="Heading2"/>
      </w:pPr>
      <w:bookmarkStart w:id="40" w:name="_Toc515634586"/>
      <w:bookmarkStart w:id="41" w:name="_Toc517451200"/>
      <w:bookmarkStart w:id="42" w:name="_Toc518397305"/>
      <w:bookmarkStart w:id="43" w:name="_Toc518400831"/>
      <w:bookmarkStart w:id="44" w:name="_Toc518475263"/>
      <w:bookmarkStart w:id="45" w:name="_Toc518478860"/>
      <w:bookmarkStart w:id="46" w:name="_Toc518995911"/>
      <w:bookmarkStart w:id="47" w:name="_Toc519260314"/>
      <w:bookmarkStart w:id="48" w:name="_Toc519260640"/>
      <w:bookmarkStart w:id="49" w:name="_Toc519607921"/>
      <w:bookmarkStart w:id="50" w:name="_Toc521418036"/>
      <w:bookmarkStart w:id="51" w:name="_Toc13219499"/>
      <w:bookmarkStart w:id="52" w:name="_Toc70675678"/>
      <w:bookmarkStart w:id="53" w:name="_Toc70675771"/>
      <w:bookmarkStart w:id="54" w:name="_Toc72480610"/>
      <w:bookmarkStart w:id="55" w:name="_Toc86413185"/>
      <w:bookmarkStart w:id="56" w:name="_Toc86914415"/>
      <w:bookmarkStart w:id="57" w:name="_Toc89242931"/>
      <w:r>
        <w:t>2.1</w:t>
      </w:r>
      <w:r w:rsidR="00B409E9">
        <w:tab/>
      </w:r>
      <w:r>
        <w:t>Chemical properties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EF212BB" w14:textId="373C75B8" w:rsidR="00B63FF7" w:rsidRDefault="00B63FF7" w:rsidP="00B63FF7">
      <w:pPr>
        <w:pStyle w:val="Heading3"/>
      </w:pPr>
      <w:bookmarkStart w:id="58" w:name="_Toc515634587"/>
      <w:bookmarkStart w:id="59" w:name="_Toc517451201"/>
      <w:bookmarkStart w:id="60" w:name="_Toc518397306"/>
      <w:bookmarkStart w:id="61" w:name="_Toc518400832"/>
      <w:bookmarkStart w:id="62" w:name="_Toc518475264"/>
      <w:bookmarkStart w:id="63" w:name="_Toc518478861"/>
      <w:bookmarkStart w:id="64" w:name="_Toc518995912"/>
      <w:bookmarkStart w:id="65" w:name="_Toc519260315"/>
      <w:bookmarkStart w:id="66" w:name="_Toc519260641"/>
      <w:bookmarkStart w:id="67" w:name="_Toc519607922"/>
      <w:bookmarkStart w:id="68" w:name="_Toc521418037"/>
      <w:bookmarkStart w:id="69" w:name="_Toc13219500"/>
      <w:r>
        <w:t>2.1.1</w:t>
      </w:r>
      <w:r w:rsidR="00B409E9">
        <w:tab/>
      </w:r>
      <w:r>
        <w:t>Chemical names, properties, and structures</w:t>
      </w:r>
      <w:bookmarkEnd w:id="58"/>
      <w:bookmarkEnd w:id="59"/>
      <w:bookmarkEnd w:id="60"/>
      <w:bookmarkEnd w:id="61"/>
      <w:bookmarkEnd w:id="62"/>
      <w:bookmarkEnd w:id="63"/>
      <w:bookmarkEnd w:id="64"/>
      <w:bookmarkEnd w:id="65"/>
      <w:bookmarkEnd w:id="66"/>
      <w:bookmarkEnd w:id="67"/>
      <w:bookmarkEnd w:id="68"/>
      <w:bookmarkEnd w:id="69"/>
    </w:p>
    <w:p w14:paraId="0FA6E639" w14:textId="72538831" w:rsidR="008070FB" w:rsidRDefault="008070FB" w:rsidP="008070FB">
      <w:r>
        <w:t>2′-FL is a</w:t>
      </w:r>
      <w:r w:rsidR="0096373F">
        <w:t>n</w:t>
      </w:r>
      <w:r>
        <w:t xml:space="preserve"> oligosaccharide that is naturally found in human milk. The substance has been isolated from human milk, or produced using chemical synthesis or microbial fermentation for research and commercial purposes. This </w:t>
      </w:r>
      <w:r w:rsidR="004B4381">
        <w:t>Application</w:t>
      </w:r>
      <w:r>
        <w:t xml:space="preserve"> is in relation to the production of </w:t>
      </w:r>
      <w:r w:rsidR="00E927DD">
        <w:t>2′-FL</w:t>
      </w:r>
      <w:r>
        <w:t xml:space="preserve"> by microbial fermentation and subsequent purification of the substance for commercial purposes.</w:t>
      </w:r>
    </w:p>
    <w:p w14:paraId="10DAD6FA" w14:textId="77777777" w:rsidR="008070FB" w:rsidRDefault="008070FB" w:rsidP="008070FB"/>
    <w:p w14:paraId="3675E620" w14:textId="21FF8B49" w:rsidR="008070FB" w:rsidRDefault="008070FB" w:rsidP="008070FB">
      <w:r>
        <w:t xml:space="preserve">The chemical names, properties and structures for </w:t>
      </w:r>
      <w:r w:rsidR="00E927DD">
        <w:t>2′-FL</w:t>
      </w:r>
      <w:r>
        <w:t xml:space="preserve"> have been previously described in detail in A1155 (gazetted 26 March 2021</w:t>
      </w:r>
      <w:r w:rsidR="002272CB">
        <w:t xml:space="preserve">, </w:t>
      </w:r>
      <w:hyperlink r:id="rId18" w:history="1">
        <w:r w:rsidR="002272CB" w:rsidRPr="002272CB">
          <w:rPr>
            <w:rStyle w:val="Hyperlink"/>
          </w:rPr>
          <w:t>FSANZ 2019a</w:t>
        </w:r>
      </w:hyperlink>
      <w:r>
        <w:t>) and A1190 (</w:t>
      </w:r>
      <w:hyperlink r:id="rId19" w:history="1">
        <w:r w:rsidR="002272CB" w:rsidRPr="002272CB">
          <w:rPr>
            <w:rStyle w:val="Hyperlink"/>
          </w:rPr>
          <w:t>FSANZ 2021</w:t>
        </w:r>
      </w:hyperlink>
      <w:r>
        <w:t xml:space="preserve">). </w:t>
      </w:r>
      <w:r w:rsidR="00C9439D">
        <w:t>A summary of</w:t>
      </w:r>
      <w:r w:rsidR="00494FD0">
        <w:t xml:space="preserve"> the</w:t>
      </w:r>
      <w:r w:rsidR="00C9439D">
        <w:t xml:space="preserve"> </w:t>
      </w:r>
      <w:r w:rsidR="004C00C8">
        <w:t xml:space="preserve">nomenclature and chemical </w:t>
      </w:r>
      <w:r w:rsidR="00C9439D">
        <w:t>properties</w:t>
      </w:r>
      <w:r w:rsidR="004C00C8">
        <w:t xml:space="preserve"> of </w:t>
      </w:r>
      <w:r w:rsidR="00E927DD">
        <w:t>2′-FL</w:t>
      </w:r>
      <w:r w:rsidR="00C9439D">
        <w:t xml:space="preserve"> </w:t>
      </w:r>
      <w:r w:rsidR="004C00C8">
        <w:t xml:space="preserve">is presented in </w:t>
      </w:r>
      <w:r w:rsidR="007B494E">
        <w:t xml:space="preserve">Table 2.1. </w:t>
      </w:r>
      <w:r>
        <w:t xml:space="preserve">The </w:t>
      </w:r>
      <w:r w:rsidR="004B4381">
        <w:t>Applicant</w:t>
      </w:r>
      <w:r>
        <w:t xml:space="preserve">’s </w:t>
      </w:r>
      <w:r w:rsidR="00E927DD">
        <w:t>2′-FL</w:t>
      </w:r>
      <w:r>
        <w:t xml:space="preserve"> is referred to as </w:t>
      </w:r>
      <w:r w:rsidR="00E927DD">
        <w:t>2′-FL</w:t>
      </w:r>
      <w:r>
        <w:rPr>
          <w:vertAlign w:val="subscript"/>
        </w:rPr>
        <w:t xml:space="preserve">micro </w:t>
      </w:r>
      <w:r>
        <w:t>in this assessment, as opposed to</w:t>
      </w:r>
      <w:r w:rsidR="00494FD0">
        <w:t xml:space="preserve"> the</w:t>
      </w:r>
      <w:r>
        <w:t xml:space="preserve"> </w:t>
      </w:r>
      <w:r w:rsidR="00E927DD">
        <w:t>2′-FL</w:t>
      </w:r>
      <w:r>
        <w:rPr>
          <w:vertAlign w:val="subscript"/>
        </w:rPr>
        <w:t>human</w:t>
      </w:r>
      <w:r>
        <w:t xml:space="preserve"> </w:t>
      </w:r>
      <w:r w:rsidR="00494FD0">
        <w:t>isolated from</w:t>
      </w:r>
      <w:r>
        <w:t xml:space="preserve"> human milk and </w:t>
      </w:r>
      <w:r w:rsidR="00E927DD">
        <w:t>2′-FL</w:t>
      </w:r>
      <w:r>
        <w:rPr>
          <w:vertAlign w:val="subscript"/>
        </w:rPr>
        <w:t>chem</w:t>
      </w:r>
      <w:r>
        <w:t xml:space="preserve"> produced by chemical synthesis.</w:t>
      </w:r>
    </w:p>
    <w:p w14:paraId="3437C40B" w14:textId="197B67EE" w:rsidR="00C9439D" w:rsidRDefault="00C9439D" w:rsidP="008070FB"/>
    <w:p w14:paraId="4374B690" w14:textId="77777777" w:rsidR="000E7C54" w:rsidRDefault="000E7C54">
      <w:pPr>
        <w:widowControl/>
        <w:rPr>
          <w:rFonts w:cs="Arial"/>
          <w:b/>
        </w:rPr>
      </w:pPr>
      <w:r>
        <w:br w:type="page"/>
      </w:r>
    </w:p>
    <w:p w14:paraId="2E4EE51C" w14:textId="1EA1E256" w:rsidR="00C9439D" w:rsidRDefault="00866F97" w:rsidP="007F438D">
      <w:pPr>
        <w:pStyle w:val="FSTableTitle"/>
        <w:spacing w:after="120"/>
      </w:pPr>
      <w:hyperlink r:id="rId20" w:history="1">
        <w:r w:rsidR="00494FD0" w:rsidRPr="00A22986">
          <w:rPr>
            <w:rStyle w:val="Hyperlink"/>
            <w:color w:val="auto"/>
            <w:u w:val="none"/>
          </w:rPr>
          <w:t>Table 2.1</w:t>
        </w:r>
      </w:hyperlink>
      <w:r w:rsidR="00494FD0" w:rsidRPr="00A22986">
        <w:t xml:space="preserve"> </w:t>
      </w:r>
      <w:r w:rsidR="00E61C90" w:rsidRPr="00A22986">
        <w:rPr>
          <w:b w:val="0"/>
          <w:i/>
        </w:rPr>
        <w:t>The</w:t>
      </w:r>
      <w:r w:rsidR="00E61C90" w:rsidRPr="00A22986">
        <w:t xml:space="preserve"> </w:t>
      </w:r>
      <w:r w:rsidR="00291D81" w:rsidRPr="00A22986">
        <w:rPr>
          <w:b w:val="0"/>
          <w:i/>
        </w:rPr>
        <w:t>n</w:t>
      </w:r>
      <w:r w:rsidR="007F438D" w:rsidRPr="00A22986">
        <w:rPr>
          <w:b w:val="0"/>
          <w:i/>
        </w:rPr>
        <w:t>omenclature</w:t>
      </w:r>
      <w:r w:rsidR="007F438D" w:rsidRPr="007F438D">
        <w:rPr>
          <w:b w:val="0"/>
          <w:i/>
        </w:rPr>
        <w:t xml:space="preserve"> and</w:t>
      </w:r>
      <w:r w:rsidR="007F438D">
        <w:t xml:space="preserve"> </w:t>
      </w:r>
      <w:r w:rsidR="007F438D">
        <w:rPr>
          <w:b w:val="0"/>
          <w:i/>
        </w:rPr>
        <w:t>c</w:t>
      </w:r>
      <w:r w:rsidR="00C9439D" w:rsidRPr="007F438D">
        <w:rPr>
          <w:b w:val="0"/>
          <w:i/>
        </w:rPr>
        <w:t xml:space="preserve">hemical properties of </w:t>
      </w:r>
      <w:r w:rsidR="00E927DD">
        <w:rPr>
          <w:b w:val="0"/>
          <w:i/>
        </w:rPr>
        <w:t>2′-FL</w:t>
      </w:r>
    </w:p>
    <w:tbl>
      <w:tblPr>
        <w:tblStyle w:val="Table"/>
        <w:tblW w:w="0" w:type="auto"/>
        <w:jc w:val="center"/>
        <w:tblLook w:val="04A0" w:firstRow="1" w:lastRow="0" w:firstColumn="1" w:lastColumn="0" w:noHBand="0" w:noVBand="1"/>
      </w:tblPr>
      <w:tblGrid>
        <w:gridCol w:w="2073"/>
        <w:gridCol w:w="6707"/>
      </w:tblGrid>
      <w:tr w:rsidR="00C9439D" w14:paraId="565A58F4" w14:textId="77777777" w:rsidTr="007F438D">
        <w:trPr>
          <w:cnfStyle w:val="100000000000" w:firstRow="1" w:lastRow="0" w:firstColumn="0" w:lastColumn="0" w:oddVBand="0" w:evenVBand="0" w:oddHBand="0" w:evenHBand="0" w:firstRowFirstColumn="0" w:firstRowLastColumn="0" w:lastRowFirstColumn="0" w:lastRowLastColumn="0"/>
          <w:cantSplit/>
          <w:trHeight w:val="567"/>
          <w:jc w:val="center"/>
        </w:trPr>
        <w:tc>
          <w:tcPr>
            <w:tcW w:w="0" w:type="auto"/>
            <w:tcBorders>
              <w:top w:val="nil"/>
              <w:left w:val="nil"/>
              <w:bottom w:val="nil"/>
              <w:right w:val="nil"/>
            </w:tcBorders>
            <w:shd w:val="clear" w:color="auto" w:fill="7F7F7F"/>
            <w:vAlign w:val="center"/>
            <w:hideMark/>
          </w:tcPr>
          <w:p w14:paraId="7292BC6C" w14:textId="014C494F" w:rsidR="00C9439D" w:rsidRPr="007F438D" w:rsidRDefault="00C9439D" w:rsidP="00C9439D">
            <w:pPr>
              <w:spacing w:before="0" w:after="0"/>
              <w:ind w:left="0"/>
              <w:jc w:val="center"/>
              <w:rPr>
                <w:rFonts w:cs="Arial"/>
                <w:szCs w:val="20"/>
              </w:rPr>
            </w:pPr>
            <w:r w:rsidRPr="007F438D">
              <w:rPr>
                <w:rFonts w:cs="Arial"/>
                <w:bCs/>
                <w:szCs w:val="20"/>
              </w:rPr>
              <w:t>Property</w:t>
            </w:r>
          </w:p>
        </w:tc>
        <w:tc>
          <w:tcPr>
            <w:tcW w:w="0" w:type="auto"/>
            <w:tcBorders>
              <w:top w:val="nil"/>
              <w:left w:val="nil"/>
              <w:bottom w:val="nil"/>
              <w:right w:val="nil"/>
            </w:tcBorders>
            <w:shd w:val="clear" w:color="auto" w:fill="7F7F7F"/>
            <w:vAlign w:val="center"/>
            <w:hideMark/>
          </w:tcPr>
          <w:p w14:paraId="02537273" w14:textId="73468BE1" w:rsidR="00C9439D" w:rsidRPr="007F438D" w:rsidRDefault="00C9439D" w:rsidP="00C9439D">
            <w:pPr>
              <w:spacing w:before="0" w:after="0"/>
              <w:ind w:left="0"/>
              <w:jc w:val="center"/>
              <w:rPr>
                <w:rFonts w:cs="Arial"/>
                <w:szCs w:val="20"/>
              </w:rPr>
            </w:pPr>
            <w:r w:rsidRPr="007F438D">
              <w:rPr>
                <w:rFonts w:cs="Arial"/>
                <w:bCs/>
                <w:szCs w:val="20"/>
              </w:rPr>
              <w:t>2′-FL</w:t>
            </w:r>
          </w:p>
        </w:tc>
      </w:tr>
      <w:tr w:rsidR="00C9439D" w14:paraId="2E7FF95B" w14:textId="77777777" w:rsidTr="007F438D">
        <w:trPr>
          <w:cnfStyle w:val="000000100000" w:firstRow="0" w:lastRow="0" w:firstColumn="0" w:lastColumn="0" w:oddVBand="0" w:evenVBand="0" w:oddHBand="1" w:evenHBand="0" w:firstRowFirstColumn="0" w:firstRowLastColumn="0" w:lastRowFirstColumn="0" w:lastRowLastColumn="0"/>
          <w:cantSplit/>
          <w:trHeight w:val="567"/>
          <w:jc w:val="center"/>
        </w:trPr>
        <w:tc>
          <w:tcPr>
            <w:tcW w:w="0" w:type="auto"/>
            <w:tcBorders>
              <w:top w:val="nil"/>
              <w:left w:val="nil"/>
              <w:bottom w:val="nil"/>
              <w:right w:val="nil"/>
            </w:tcBorders>
            <w:vAlign w:val="center"/>
          </w:tcPr>
          <w:p w14:paraId="631364CE" w14:textId="3AAD77A3" w:rsidR="00C9439D" w:rsidRPr="004C00C8" w:rsidRDefault="00C9439D">
            <w:pPr>
              <w:pStyle w:val="Default"/>
              <w:ind w:left="0"/>
              <w:jc w:val="both"/>
              <w:rPr>
                <w:sz w:val="20"/>
                <w:szCs w:val="20"/>
              </w:rPr>
            </w:pPr>
            <w:r w:rsidRPr="004C00C8">
              <w:rPr>
                <w:sz w:val="20"/>
                <w:szCs w:val="20"/>
              </w:rPr>
              <w:t>Chemical name</w:t>
            </w:r>
          </w:p>
        </w:tc>
        <w:tc>
          <w:tcPr>
            <w:tcW w:w="0" w:type="auto"/>
            <w:tcBorders>
              <w:top w:val="nil"/>
              <w:left w:val="nil"/>
              <w:bottom w:val="nil"/>
              <w:right w:val="nil"/>
            </w:tcBorders>
            <w:vAlign w:val="center"/>
            <w:hideMark/>
          </w:tcPr>
          <w:p w14:paraId="7A0F0D59" w14:textId="4A878916" w:rsidR="00C9439D" w:rsidRPr="007B494E" w:rsidRDefault="00C9439D" w:rsidP="007F438D">
            <w:pPr>
              <w:pStyle w:val="Default"/>
              <w:rPr>
                <w:sz w:val="20"/>
                <w:szCs w:val="20"/>
              </w:rPr>
            </w:pPr>
            <w:r w:rsidRPr="007B494E">
              <w:rPr>
                <w:sz w:val="20"/>
                <w:szCs w:val="20"/>
              </w:rPr>
              <w:t>α-L-</w:t>
            </w:r>
            <w:r w:rsidR="00AC199C">
              <w:rPr>
                <w:sz w:val="20"/>
                <w:szCs w:val="20"/>
              </w:rPr>
              <w:t>f</w:t>
            </w:r>
            <w:r w:rsidRPr="007B494E">
              <w:rPr>
                <w:sz w:val="20"/>
                <w:szCs w:val="20"/>
              </w:rPr>
              <w:t>ucopyranosyl-(1→2)-β-D-galactopyranosyl-(1→4)-D-glucopyranose</w:t>
            </w:r>
          </w:p>
        </w:tc>
      </w:tr>
      <w:tr w:rsidR="00C9439D" w14:paraId="22C53F4D" w14:textId="77777777" w:rsidTr="007F438D">
        <w:trPr>
          <w:cnfStyle w:val="000000010000" w:firstRow="0" w:lastRow="0" w:firstColumn="0" w:lastColumn="0" w:oddVBand="0" w:evenVBand="0" w:oddHBand="0" w:evenHBand="1" w:firstRowFirstColumn="0" w:firstRowLastColumn="0" w:lastRowFirstColumn="0" w:lastRowLastColumn="0"/>
          <w:cantSplit/>
          <w:trHeight w:val="567"/>
          <w:jc w:val="center"/>
        </w:trPr>
        <w:tc>
          <w:tcPr>
            <w:tcW w:w="0" w:type="auto"/>
            <w:tcBorders>
              <w:top w:val="nil"/>
              <w:left w:val="nil"/>
              <w:bottom w:val="nil"/>
              <w:right w:val="nil"/>
            </w:tcBorders>
            <w:vAlign w:val="center"/>
          </w:tcPr>
          <w:p w14:paraId="7E8DF2CB" w14:textId="4358B314" w:rsidR="00C9439D" w:rsidRPr="004C00C8" w:rsidRDefault="00C9439D">
            <w:pPr>
              <w:pStyle w:val="Default"/>
              <w:ind w:left="0"/>
              <w:jc w:val="both"/>
              <w:rPr>
                <w:sz w:val="20"/>
                <w:szCs w:val="20"/>
              </w:rPr>
            </w:pPr>
            <w:r w:rsidRPr="004C00C8">
              <w:rPr>
                <w:sz w:val="20"/>
                <w:szCs w:val="20"/>
              </w:rPr>
              <w:t>Common name</w:t>
            </w:r>
          </w:p>
        </w:tc>
        <w:tc>
          <w:tcPr>
            <w:tcW w:w="0" w:type="auto"/>
            <w:tcBorders>
              <w:top w:val="nil"/>
              <w:left w:val="nil"/>
              <w:bottom w:val="nil"/>
              <w:right w:val="nil"/>
            </w:tcBorders>
            <w:vAlign w:val="center"/>
            <w:hideMark/>
          </w:tcPr>
          <w:p w14:paraId="7BB41EEB" w14:textId="3958368A" w:rsidR="004C00C8" w:rsidRPr="004C00C8" w:rsidRDefault="00AC199C" w:rsidP="004C00C8">
            <w:pPr>
              <w:pStyle w:val="Default"/>
              <w:contextualSpacing/>
              <w:rPr>
                <w:sz w:val="20"/>
                <w:szCs w:val="20"/>
              </w:rPr>
            </w:pPr>
            <w:r w:rsidRPr="00AC199C">
              <w:rPr>
                <w:sz w:val="20"/>
                <w:szCs w:val="20"/>
              </w:rPr>
              <w:t>2’-O-fucosyllactose</w:t>
            </w:r>
          </w:p>
          <w:p w14:paraId="5B1771F7" w14:textId="13A08A02" w:rsidR="00C9439D" w:rsidRDefault="00AC199C" w:rsidP="007F438D">
            <w:pPr>
              <w:pStyle w:val="Default"/>
              <w:contextualSpacing/>
              <w:rPr>
                <w:sz w:val="20"/>
                <w:szCs w:val="20"/>
              </w:rPr>
            </w:pPr>
            <w:r w:rsidRPr="00AC199C">
              <w:rPr>
                <w:sz w:val="20"/>
                <w:szCs w:val="20"/>
              </w:rPr>
              <w:t>2’-O-L-fucosyl-D-lactose</w:t>
            </w:r>
          </w:p>
          <w:p w14:paraId="10DB31DE" w14:textId="1684DE5A" w:rsidR="004855F1" w:rsidRDefault="004855F1" w:rsidP="007F438D">
            <w:pPr>
              <w:pStyle w:val="Default"/>
              <w:contextualSpacing/>
              <w:rPr>
                <w:sz w:val="20"/>
                <w:szCs w:val="20"/>
              </w:rPr>
            </w:pPr>
            <w:r w:rsidRPr="004855F1">
              <w:rPr>
                <w:sz w:val="20"/>
                <w:szCs w:val="20"/>
              </w:rPr>
              <w:t>2'-Fucosyl-D-lactose</w:t>
            </w:r>
          </w:p>
          <w:p w14:paraId="26A854AD" w14:textId="70366CA4" w:rsidR="00AC199C" w:rsidRPr="007B494E" w:rsidRDefault="00AC199C" w:rsidP="007F438D">
            <w:pPr>
              <w:pStyle w:val="Default"/>
              <w:contextualSpacing/>
              <w:rPr>
                <w:sz w:val="20"/>
                <w:szCs w:val="20"/>
              </w:rPr>
            </w:pPr>
            <w:r>
              <w:rPr>
                <w:sz w:val="20"/>
                <w:szCs w:val="20"/>
              </w:rPr>
              <w:t>2’-</w:t>
            </w:r>
            <w:r w:rsidRPr="00AC199C">
              <w:rPr>
                <w:sz w:val="20"/>
                <w:szCs w:val="20"/>
              </w:rPr>
              <w:t>fucosyllactose</w:t>
            </w:r>
          </w:p>
        </w:tc>
      </w:tr>
      <w:tr w:rsidR="00C9439D" w14:paraId="00219239" w14:textId="77777777" w:rsidTr="007F438D">
        <w:trPr>
          <w:cnfStyle w:val="000000100000" w:firstRow="0" w:lastRow="0" w:firstColumn="0" w:lastColumn="0" w:oddVBand="0" w:evenVBand="0" w:oddHBand="1" w:evenHBand="0" w:firstRowFirstColumn="0" w:firstRowLastColumn="0" w:lastRowFirstColumn="0" w:lastRowLastColumn="0"/>
          <w:cantSplit/>
          <w:trHeight w:val="567"/>
          <w:jc w:val="center"/>
        </w:trPr>
        <w:tc>
          <w:tcPr>
            <w:tcW w:w="0" w:type="auto"/>
            <w:tcBorders>
              <w:top w:val="nil"/>
              <w:left w:val="nil"/>
              <w:bottom w:val="nil"/>
              <w:right w:val="nil"/>
            </w:tcBorders>
            <w:vAlign w:val="center"/>
          </w:tcPr>
          <w:p w14:paraId="041A2745" w14:textId="2902933A" w:rsidR="00C9439D" w:rsidRPr="004C00C8" w:rsidRDefault="00C9439D" w:rsidP="00C9439D">
            <w:pPr>
              <w:spacing w:before="0" w:after="0"/>
              <w:ind w:left="0"/>
              <w:jc w:val="both"/>
              <w:rPr>
                <w:rFonts w:cs="Arial"/>
                <w:sz w:val="20"/>
                <w:szCs w:val="20"/>
              </w:rPr>
            </w:pPr>
            <w:r w:rsidRPr="004C00C8">
              <w:rPr>
                <w:rFonts w:cs="Arial"/>
                <w:sz w:val="20"/>
                <w:szCs w:val="20"/>
              </w:rPr>
              <w:t>Alternative names</w:t>
            </w:r>
            <w:r w:rsidRPr="007F438D">
              <w:rPr>
                <w:rFonts w:cs="Arial"/>
                <w:sz w:val="20"/>
                <w:szCs w:val="20"/>
                <w:vertAlign w:val="superscript"/>
              </w:rPr>
              <w:t>1</w:t>
            </w:r>
          </w:p>
        </w:tc>
        <w:tc>
          <w:tcPr>
            <w:tcW w:w="0" w:type="auto"/>
            <w:tcBorders>
              <w:top w:val="nil"/>
              <w:left w:val="nil"/>
              <w:bottom w:val="nil"/>
              <w:right w:val="nil"/>
            </w:tcBorders>
            <w:vAlign w:val="center"/>
            <w:hideMark/>
          </w:tcPr>
          <w:p w14:paraId="6D0C96AA" w14:textId="29D37B8C" w:rsidR="00AC199C" w:rsidRDefault="00AC199C" w:rsidP="007F438D">
            <w:pPr>
              <w:ind w:left="0"/>
              <w:contextualSpacing/>
              <w:jc w:val="both"/>
              <w:rPr>
                <w:rFonts w:cs="Arial"/>
                <w:sz w:val="20"/>
                <w:szCs w:val="20"/>
              </w:rPr>
            </w:pPr>
            <w:r w:rsidRPr="00AC199C">
              <w:rPr>
                <w:rFonts w:cs="Arial"/>
                <w:sz w:val="20"/>
                <w:szCs w:val="20"/>
              </w:rPr>
              <w:t>fucosyl-</w:t>
            </w:r>
            <w:r>
              <w:rPr>
                <w:rFonts w:cs="Arial"/>
                <w:sz w:val="20"/>
                <w:szCs w:val="20"/>
              </w:rPr>
              <w:t>α</w:t>
            </w:r>
            <w:r w:rsidRPr="00AC199C">
              <w:rPr>
                <w:rFonts w:cs="Arial"/>
                <w:sz w:val="20"/>
                <w:szCs w:val="20"/>
              </w:rPr>
              <w:t>-1,2-galactosyl-</w:t>
            </w:r>
            <w:r>
              <w:rPr>
                <w:rFonts w:cs="Arial"/>
                <w:sz w:val="20"/>
                <w:szCs w:val="20"/>
              </w:rPr>
              <w:t>β</w:t>
            </w:r>
            <w:r w:rsidRPr="00AC199C">
              <w:rPr>
                <w:rFonts w:cs="Arial"/>
                <w:sz w:val="20"/>
                <w:szCs w:val="20"/>
              </w:rPr>
              <w:t xml:space="preserve">-1,4-glucose </w:t>
            </w:r>
          </w:p>
          <w:p w14:paraId="794927EA" w14:textId="64B9F6FB" w:rsidR="00AC199C" w:rsidRDefault="00AC199C" w:rsidP="00C9439D">
            <w:pPr>
              <w:spacing w:before="0" w:after="0"/>
              <w:ind w:left="0"/>
              <w:contextualSpacing/>
              <w:rPr>
                <w:rFonts w:cs="Arial"/>
                <w:sz w:val="20"/>
                <w:szCs w:val="20"/>
              </w:rPr>
            </w:pPr>
            <w:r>
              <w:rPr>
                <w:rFonts w:cs="Arial"/>
                <w:sz w:val="20"/>
                <w:szCs w:val="20"/>
              </w:rPr>
              <w:t>Fuc-α-(1→</w:t>
            </w:r>
            <w:r w:rsidRPr="00AC199C">
              <w:rPr>
                <w:rFonts w:cs="Arial"/>
                <w:sz w:val="20"/>
                <w:szCs w:val="20"/>
              </w:rPr>
              <w:t>2)-Gal-</w:t>
            </w:r>
            <w:r>
              <w:rPr>
                <w:rFonts w:cs="Arial"/>
                <w:sz w:val="20"/>
                <w:szCs w:val="20"/>
              </w:rPr>
              <w:t>β</w:t>
            </w:r>
            <w:r w:rsidRPr="00AC199C">
              <w:rPr>
                <w:rFonts w:cs="Arial"/>
                <w:sz w:val="20"/>
                <w:szCs w:val="20"/>
              </w:rPr>
              <w:t>-(1</w:t>
            </w:r>
            <w:r>
              <w:rPr>
                <w:rFonts w:cs="Arial"/>
                <w:sz w:val="20"/>
                <w:szCs w:val="20"/>
              </w:rPr>
              <w:t>→</w:t>
            </w:r>
            <w:r w:rsidRPr="00AC199C">
              <w:rPr>
                <w:rFonts w:cs="Arial"/>
                <w:sz w:val="20"/>
                <w:szCs w:val="20"/>
              </w:rPr>
              <w:t>4)-Glc</w:t>
            </w:r>
            <w:r w:rsidRPr="00AC199C" w:rsidDel="00AC199C">
              <w:rPr>
                <w:rFonts w:cs="Arial"/>
                <w:sz w:val="20"/>
                <w:szCs w:val="20"/>
              </w:rPr>
              <w:t xml:space="preserve"> </w:t>
            </w:r>
          </w:p>
          <w:p w14:paraId="7275AD40" w14:textId="77777777" w:rsidR="004C00C8" w:rsidRPr="004C00C8" w:rsidRDefault="004C00C8" w:rsidP="007F438D">
            <w:pPr>
              <w:ind w:left="0"/>
              <w:contextualSpacing/>
              <w:rPr>
                <w:rFonts w:cs="Arial"/>
                <w:sz w:val="20"/>
                <w:szCs w:val="20"/>
              </w:rPr>
            </w:pPr>
            <w:r w:rsidRPr="004C00C8">
              <w:rPr>
                <w:rFonts w:cs="Arial"/>
                <w:sz w:val="20"/>
                <w:szCs w:val="20"/>
              </w:rPr>
              <w:t>α-L-Fuc-(1→2)-β-D-Gal-(1→4)-D-Glc</w:t>
            </w:r>
          </w:p>
          <w:p w14:paraId="7A6141AD" w14:textId="1D87B326" w:rsidR="004C00C8" w:rsidRPr="007B494E" w:rsidRDefault="004C00C8" w:rsidP="004C00C8">
            <w:pPr>
              <w:spacing w:before="0" w:after="0"/>
              <w:ind w:left="0"/>
              <w:contextualSpacing/>
              <w:rPr>
                <w:rFonts w:cs="Arial"/>
                <w:sz w:val="20"/>
                <w:szCs w:val="20"/>
              </w:rPr>
            </w:pPr>
            <w:r w:rsidRPr="004C00C8">
              <w:rPr>
                <w:rFonts w:cs="Arial"/>
                <w:sz w:val="20"/>
                <w:szCs w:val="20"/>
              </w:rPr>
              <w:t>2′-FL</w:t>
            </w:r>
          </w:p>
        </w:tc>
      </w:tr>
      <w:tr w:rsidR="00C9439D" w14:paraId="0F04D8B4" w14:textId="77777777" w:rsidTr="007F438D">
        <w:trPr>
          <w:cnfStyle w:val="000000010000" w:firstRow="0" w:lastRow="0" w:firstColumn="0" w:lastColumn="0" w:oddVBand="0" w:evenVBand="0" w:oddHBand="0" w:evenHBand="1" w:firstRowFirstColumn="0" w:firstRowLastColumn="0" w:lastRowFirstColumn="0" w:lastRowLastColumn="0"/>
          <w:cantSplit/>
          <w:trHeight w:val="567"/>
          <w:jc w:val="center"/>
        </w:trPr>
        <w:tc>
          <w:tcPr>
            <w:tcW w:w="0" w:type="auto"/>
            <w:tcBorders>
              <w:top w:val="nil"/>
              <w:left w:val="nil"/>
              <w:bottom w:val="nil"/>
              <w:right w:val="nil"/>
            </w:tcBorders>
            <w:vAlign w:val="center"/>
          </w:tcPr>
          <w:p w14:paraId="67C3A02A" w14:textId="3B46E8D3" w:rsidR="00C9439D" w:rsidRPr="004C00C8" w:rsidRDefault="00C9439D" w:rsidP="007F438D">
            <w:pPr>
              <w:pStyle w:val="Default"/>
              <w:ind w:left="0"/>
              <w:jc w:val="both"/>
              <w:rPr>
                <w:sz w:val="20"/>
                <w:szCs w:val="20"/>
              </w:rPr>
            </w:pPr>
            <w:r w:rsidRPr="004C00C8">
              <w:rPr>
                <w:sz w:val="20"/>
                <w:szCs w:val="20"/>
              </w:rPr>
              <w:t>CAS registry number</w:t>
            </w:r>
          </w:p>
        </w:tc>
        <w:tc>
          <w:tcPr>
            <w:tcW w:w="0" w:type="auto"/>
            <w:tcBorders>
              <w:top w:val="nil"/>
              <w:left w:val="nil"/>
              <w:bottom w:val="nil"/>
              <w:right w:val="nil"/>
            </w:tcBorders>
            <w:vAlign w:val="center"/>
            <w:hideMark/>
          </w:tcPr>
          <w:p w14:paraId="56E44A57" w14:textId="7E7F9602" w:rsidR="00C9439D" w:rsidRPr="007B494E" w:rsidRDefault="00C9439D" w:rsidP="007F438D">
            <w:pPr>
              <w:pStyle w:val="Default"/>
              <w:ind w:left="0"/>
              <w:rPr>
                <w:sz w:val="20"/>
                <w:szCs w:val="20"/>
              </w:rPr>
            </w:pPr>
            <w:r w:rsidRPr="007B494E">
              <w:rPr>
                <w:sz w:val="20"/>
                <w:szCs w:val="20"/>
              </w:rPr>
              <w:t>41263-94-9</w:t>
            </w:r>
          </w:p>
        </w:tc>
      </w:tr>
      <w:tr w:rsidR="00C9439D" w14:paraId="0D62949A" w14:textId="77777777" w:rsidTr="007F438D">
        <w:trPr>
          <w:cnfStyle w:val="000000100000" w:firstRow="0" w:lastRow="0" w:firstColumn="0" w:lastColumn="0" w:oddVBand="0" w:evenVBand="0" w:oddHBand="1" w:evenHBand="0" w:firstRowFirstColumn="0" w:firstRowLastColumn="0" w:lastRowFirstColumn="0" w:lastRowLastColumn="0"/>
          <w:cantSplit/>
          <w:trHeight w:val="567"/>
          <w:jc w:val="center"/>
        </w:trPr>
        <w:tc>
          <w:tcPr>
            <w:tcW w:w="0" w:type="auto"/>
            <w:tcBorders>
              <w:top w:val="nil"/>
              <w:left w:val="nil"/>
              <w:bottom w:val="nil"/>
              <w:right w:val="nil"/>
            </w:tcBorders>
            <w:vAlign w:val="center"/>
          </w:tcPr>
          <w:p w14:paraId="65170B48" w14:textId="57EABA31" w:rsidR="00C9439D" w:rsidRPr="004C00C8" w:rsidRDefault="00C9439D" w:rsidP="007F438D">
            <w:pPr>
              <w:pStyle w:val="Default"/>
              <w:ind w:left="0"/>
              <w:jc w:val="both"/>
              <w:rPr>
                <w:sz w:val="20"/>
                <w:szCs w:val="20"/>
              </w:rPr>
            </w:pPr>
            <w:r w:rsidRPr="004C00C8">
              <w:rPr>
                <w:sz w:val="20"/>
                <w:szCs w:val="20"/>
              </w:rPr>
              <w:t>Chemical formula</w:t>
            </w:r>
          </w:p>
        </w:tc>
        <w:tc>
          <w:tcPr>
            <w:tcW w:w="0" w:type="auto"/>
            <w:tcBorders>
              <w:top w:val="nil"/>
              <w:left w:val="nil"/>
              <w:bottom w:val="nil"/>
              <w:right w:val="nil"/>
            </w:tcBorders>
            <w:vAlign w:val="center"/>
            <w:hideMark/>
          </w:tcPr>
          <w:p w14:paraId="4018AAF0" w14:textId="4614CDC4" w:rsidR="00C9439D" w:rsidRPr="004C00C8" w:rsidRDefault="00C9439D" w:rsidP="007F438D">
            <w:pPr>
              <w:pStyle w:val="Default"/>
              <w:ind w:left="0"/>
              <w:rPr>
                <w:sz w:val="20"/>
                <w:szCs w:val="20"/>
              </w:rPr>
            </w:pPr>
            <w:r w:rsidRPr="004C00C8">
              <w:rPr>
                <w:sz w:val="20"/>
                <w:szCs w:val="20"/>
              </w:rPr>
              <w:t>C</w:t>
            </w:r>
            <w:r w:rsidRPr="007F438D">
              <w:rPr>
                <w:sz w:val="20"/>
                <w:szCs w:val="20"/>
                <w:vertAlign w:val="subscript"/>
                <w:lang w:eastAsia="en-GB"/>
              </w:rPr>
              <w:t>18</w:t>
            </w:r>
            <w:r w:rsidRPr="004C00C8">
              <w:rPr>
                <w:sz w:val="20"/>
                <w:szCs w:val="20"/>
              </w:rPr>
              <w:t>H</w:t>
            </w:r>
            <w:r w:rsidRPr="007F438D">
              <w:rPr>
                <w:sz w:val="20"/>
                <w:szCs w:val="20"/>
                <w:vertAlign w:val="subscript"/>
                <w:lang w:eastAsia="en-GB"/>
              </w:rPr>
              <w:t>32</w:t>
            </w:r>
            <w:r w:rsidRPr="004C00C8">
              <w:rPr>
                <w:sz w:val="20"/>
                <w:szCs w:val="20"/>
              </w:rPr>
              <w:t>O</w:t>
            </w:r>
            <w:r w:rsidRPr="007F438D">
              <w:rPr>
                <w:sz w:val="20"/>
                <w:szCs w:val="20"/>
                <w:vertAlign w:val="subscript"/>
                <w:lang w:eastAsia="en-GB"/>
              </w:rPr>
              <w:t>15</w:t>
            </w:r>
            <w:r w:rsidRPr="007F438D">
              <w:rPr>
                <w:sz w:val="20"/>
                <w:szCs w:val="20"/>
                <w:lang w:eastAsia="en-GB"/>
              </w:rPr>
              <w:t xml:space="preserve"> </w:t>
            </w:r>
          </w:p>
        </w:tc>
      </w:tr>
      <w:tr w:rsidR="00C9439D" w14:paraId="4E7C2473" w14:textId="77777777" w:rsidTr="007F438D">
        <w:trPr>
          <w:cnfStyle w:val="000000010000" w:firstRow="0" w:lastRow="0" w:firstColumn="0" w:lastColumn="0" w:oddVBand="0" w:evenVBand="0" w:oddHBand="0" w:evenHBand="1" w:firstRowFirstColumn="0" w:firstRowLastColumn="0" w:lastRowFirstColumn="0" w:lastRowLastColumn="0"/>
          <w:cantSplit/>
          <w:trHeight w:val="567"/>
          <w:jc w:val="center"/>
        </w:trPr>
        <w:tc>
          <w:tcPr>
            <w:tcW w:w="0" w:type="auto"/>
            <w:tcBorders>
              <w:top w:val="nil"/>
              <w:left w:val="nil"/>
              <w:bottom w:val="nil"/>
              <w:right w:val="nil"/>
            </w:tcBorders>
            <w:vAlign w:val="center"/>
          </w:tcPr>
          <w:p w14:paraId="7826EFF7" w14:textId="741A29A8" w:rsidR="00C9439D" w:rsidRPr="004C00C8" w:rsidRDefault="00C9439D" w:rsidP="007F438D">
            <w:pPr>
              <w:pStyle w:val="Default"/>
              <w:ind w:left="0"/>
              <w:jc w:val="both"/>
              <w:rPr>
                <w:sz w:val="20"/>
                <w:szCs w:val="20"/>
              </w:rPr>
            </w:pPr>
            <w:r w:rsidRPr="004C00C8">
              <w:rPr>
                <w:sz w:val="20"/>
                <w:szCs w:val="20"/>
              </w:rPr>
              <w:t xml:space="preserve">Molecular </w:t>
            </w:r>
            <w:r w:rsidR="00952B23">
              <w:rPr>
                <w:sz w:val="20"/>
                <w:szCs w:val="20"/>
              </w:rPr>
              <w:t>weight</w:t>
            </w:r>
          </w:p>
        </w:tc>
        <w:tc>
          <w:tcPr>
            <w:tcW w:w="0" w:type="auto"/>
            <w:tcBorders>
              <w:top w:val="nil"/>
              <w:left w:val="nil"/>
              <w:bottom w:val="nil"/>
              <w:right w:val="nil"/>
            </w:tcBorders>
            <w:vAlign w:val="center"/>
          </w:tcPr>
          <w:p w14:paraId="08D0D4B0" w14:textId="1F401A50" w:rsidR="00C9439D" w:rsidRPr="004C00C8" w:rsidRDefault="004855F1" w:rsidP="007F438D">
            <w:pPr>
              <w:pStyle w:val="Default"/>
              <w:ind w:left="0"/>
              <w:rPr>
                <w:sz w:val="20"/>
                <w:szCs w:val="20"/>
              </w:rPr>
            </w:pPr>
            <w:r w:rsidRPr="004855F1">
              <w:rPr>
                <w:sz w:val="20"/>
                <w:szCs w:val="20"/>
              </w:rPr>
              <w:t>488.44</w:t>
            </w:r>
            <w:r>
              <w:rPr>
                <w:sz w:val="20"/>
                <w:szCs w:val="20"/>
              </w:rPr>
              <w:t xml:space="preserve"> </w:t>
            </w:r>
            <w:r w:rsidR="00C9439D" w:rsidRPr="004C00C8">
              <w:rPr>
                <w:sz w:val="20"/>
                <w:szCs w:val="20"/>
              </w:rPr>
              <w:t>g/mol</w:t>
            </w:r>
          </w:p>
        </w:tc>
      </w:tr>
    </w:tbl>
    <w:p w14:paraId="089E9279" w14:textId="77777777" w:rsidR="00C9439D" w:rsidRPr="007F438D" w:rsidRDefault="00C9439D" w:rsidP="00C9439D">
      <w:pPr>
        <w:widowControl/>
        <w:rPr>
          <w:sz w:val="18"/>
        </w:rPr>
      </w:pPr>
      <w:r w:rsidRPr="007F438D">
        <w:rPr>
          <w:sz w:val="18"/>
          <w:vertAlign w:val="superscript"/>
        </w:rPr>
        <w:t>1</w:t>
      </w:r>
      <w:r w:rsidRPr="007F438D">
        <w:rPr>
          <w:sz w:val="18"/>
        </w:rPr>
        <w:t xml:space="preserve"> Fuc = fucose or fucosylpyranose; Gal = galactose or galactosylpyranose; Glc = glucose or glucosylpyranose</w:t>
      </w:r>
    </w:p>
    <w:p w14:paraId="19CF976C" w14:textId="77777777" w:rsidR="004C00C8" w:rsidRDefault="004C00C8" w:rsidP="007F438D">
      <w:pPr>
        <w:widowControl/>
        <w:rPr>
          <w:sz w:val="18"/>
        </w:rPr>
      </w:pPr>
    </w:p>
    <w:p w14:paraId="73A20DB7" w14:textId="07ACD40A" w:rsidR="008070FB" w:rsidRDefault="008070FB" w:rsidP="007F438D">
      <w:pPr>
        <w:widowControl/>
      </w:pPr>
      <w:r>
        <w:t xml:space="preserve">The </w:t>
      </w:r>
      <w:r w:rsidR="004B4381">
        <w:t>Applicant</w:t>
      </w:r>
      <w:r>
        <w:t xml:space="preserve">’s </w:t>
      </w:r>
      <w:r w:rsidR="00411B79">
        <w:t>2’FL (</w:t>
      </w:r>
      <w:r w:rsidR="00E927DD">
        <w:t>2′-FL</w:t>
      </w:r>
      <w:r>
        <w:rPr>
          <w:vertAlign w:val="subscript"/>
        </w:rPr>
        <w:t>micro</w:t>
      </w:r>
      <w:r w:rsidR="00411B79" w:rsidRPr="000721F7">
        <w:t>)</w:t>
      </w:r>
      <w:r>
        <w:rPr>
          <w:vertAlign w:val="subscript"/>
        </w:rPr>
        <w:t xml:space="preserve"> </w:t>
      </w:r>
      <w:r>
        <w:t>is available as a white po</w:t>
      </w:r>
      <w:r w:rsidR="00F32B5D">
        <w:t xml:space="preserve">wder and will be marketed as a nutritive substance </w:t>
      </w:r>
      <w:r>
        <w:t xml:space="preserve">ingredient to be added to </w:t>
      </w:r>
      <w:r w:rsidR="00F32B5D">
        <w:t>IFP</w:t>
      </w:r>
      <w:r>
        <w:t xml:space="preserve">. The general physical properties of the final powder product are listed in Table </w:t>
      </w:r>
      <w:r w:rsidR="00C9439D">
        <w:t xml:space="preserve">2.2 </w:t>
      </w:r>
      <w:r>
        <w:t>below.</w:t>
      </w:r>
    </w:p>
    <w:p w14:paraId="71D1C33D" w14:textId="2E0F0E5F" w:rsidR="00DE2C66" w:rsidRDefault="00DE2C66" w:rsidP="00B63FF7"/>
    <w:p w14:paraId="270D497D" w14:textId="58CDBEA4" w:rsidR="0019603E" w:rsidRPr="00D66F68" w:rsidRDefault="00866F97" w:rsidP="007F438D">
      <w:pPr>
        <w:pStyle w:val="FSTableTitle"/>
        <w:spacing w:after="120"/>
      </w:pPr>
      <w:hyperlink r:id="rId21" w:history="1">
        <w:r w:rsidR="00A22986" w:rsidRPr="00A22986">
          <w:rPr>
            <w:rStyle w:val="Hyperlink"/>
            <w:color w:val="auto"/>
            <w:u w:val="none"/>
          </w:rPr>
          <w:t>Table 2.2</w:t>
        </w:r>
      </w:hyperlink>
      <w:r w:rsidR="00A22986" w:rsidRPr="00A22986">
        <w:t xml:space="preserve"> </w:t>
      </w:r>
      <w:r w:rsidR="008070FB" w:rsidRPr="009744DB">
        <w:rPr>
          <w:b w:val="0"/>
          <w:i/>
        </w:rPr>
        <w:t xml:space="preserve">General physical properties of the </w:t>
      </w:r>
      <w:r w:rsidR="004B4381">
        <w:rPr>
          <w:b w:val="0"/>
          <w:i/>
        </w:rPr>
        <w:t>Applicant</w:t>
      </w:r>
      <w:r w:rsidR="008070FB" w:rsidRPr="009744DB">
        <w:rPr>
          <w:b w:val="0"/>
          <w:i/>
        </w:rPr>
        <w:t xml:space="preserve">’s </w:t>
      </w:r>
      <w:r w:rsidR="00E927DD">
        <w:rPr>
          <w:b w:val="0"/>
          <w:i/>
        </w:rPr>
        <w:t>2′-FL</w:t>
      </w:r>
      <w:r w:rsidR="008070FB" w:rsidRPr="00E61C90">
        <w:rPr>
          <w:b w:val="0"/>
          <w:i/>
          <w:vertAlign w:val="subscript"/>
        </w:rPr>
        <w:t>micro</w:t>
      </w:r>
    </w:p>
    <w:tbl>
      <w:tblPr>
        <w:tblStyle w:val="Table"/>
        <w:tblW w:w="0" w:type="auto"/>
        <w:jc w:val="center"/>
        <w:tblLook w:val="04A0" w:firstRow="1" w:lastRow="0" w:firstColumn="1" w:lastColumn="0" w:noHBand="0" w:noVBand="1"/>
      </w:tblPr>
      <w:tblGrid>
        <w:gridCol w:w="3818"/>
        <w:gridCol w:w="2118"/>
      </w:tblGrid>
      <w:tr w:rsidR="007E1234" w14:paraId="35B9B98D" w14:textId="77777777" w:rsidTr="007F438D">
        <w:trPr>
          <w:cnfStyle w:val="100000000000" w:firstRow="1" w:lastRow="0" w:firstColumn="0" w:lastColumn="0" w:oddVBand="0" w:evenVBand="0" w:oddHBand="0" w:evenHBand="0" w:firstRowFirstColumn="0" w:firstRowLastColumn="0" w:lastRowFirstColumn="0" w:lastRowLastColumn="0"/>
          <w:cantSplit/>
          <w:trHeight w:val="397"/>
          <w:tblHeader/>
          <w:jc w:val="center"/>
        </w:trPr>
        <w:tc>
          <w:tcPr>
            <w:tcW w:w="0" w:type="auto"/>
            <w:tcBorders>
              <w:top w:val="nil"/>
              <w:left w:val="nil"/>
              <w:bottom w:val="nil"/>
              <w:right w:val="nil"/>
            </w:tcBorders>
            <w:shd w:val="clear" w:color="auto" w:fill="7F7F7F"/>
            <w:vAlign w:val="center"/>
            <w:hideMark/>
          </w:tcPr>
          <w:p w14:paraId="093ED8B6" w14:textId="77777777" w:rsidR="007E1234" w:rsidRPr="007F438D" w:rsidRDefault="007E1234" w:rsidP="0029283D">
            <w:pPr>
              <w:spacing w:before="0" w:after="0"/>
              <w:ind w:left="0"/>
              <w:jc w:val="center"/>
              <w:rPr>
                <w:szCs w:val="20"/>
              </w:rPr>
            </w:pPr>
            <w:r w:rsidRPr="007F438D">
              <w:rPr>
                <w:szCs w:val="20"/>
              </w:rPr>
              <w:t>Property</w:t>
            </w:r>
          </w:p>
        </w:tc>
        <w:tc>
          <w:tcPr>
            <w:tcW w:w="0" w:type="auto"/>
            <w:tcBorders>
              <w:top w:val="nil"/>
              <w:left w:val="nil"/>
              <w:bottom w:val="nil"/>
              <w:right w:val="nil"/>
            </w:tcBorders>
            <w:shd w:val="clear" w:color="auto" w:fill="7F7F7F"/>
            <w:vAlign w:val="center"/>
            <w:hideMark/>
          </w:tcPr>
          <w:p w14:paraId="4B0C6634" w14:textId="681531A2" w:rsidR="007E1234" w:rsidRPr="007F438D" w:rsidRDefault="00E927DD" w:rsidP="0029283D">
            <w:pPr>
              <w:spacing w:before="0" w:after="0"/>
              <w:ind w:left="0"/>
              <w:jc w:val="center"/>
              <w:rPr>
                <w:szCs w:val="20"/>
              </w:rPr>
            </w:pPr>
            <w:r>
              <w:rPr>
                <w:b w:val="0"/>
                <w:i/>
              </w:rPr>
              <w:t>2′-FL</w:t>
            </w:r>
            <w:r w:rsidR="007E1234" w:rsidRPr="007F438D">
              <w:rPr>
                <w:b w:val="0"/>
                <w:i/>
                <w:vertAlign w:val="subscript"/>
              </w:rPr>
              <w:t>micro</w:t>
            </w:r>
          </w:p>
        </w:tc>
      </w:tr>
      <w:tr w:rsidR="007E1234" w14:paraId="36B153B5" w14:textId="77777777" w:rsidTr="0029283D">
        <w:trPr>
          <w:cnfStyle w:val="000000100000" w:firstRow="0" w:lastRow="0" w:firstColumn="0" w:lastColumn="0" w:oddVBand="0" w:evenVBand="0" w:oddHBand="1" w:evenHBand="0" w:firstRowFirstColumn="0" w:firstRowLastColumn="0" w:lastRowFirstColumn="0" w:lastRowLastColumn="0"/>
          <w:cantSplit/>
          <w:trHeight w:val="284"/>
          <w:jc w:val="center"/>
        </w:trPr>
        <w:tc>
          <w:tcPr>
            <w:tcW w:w="0" w:type="auto"/>
            <w:tcBorders>
              <w:top w:val="nil"/>
              <w:left w:val="nil"/>
              <w:bottom w:val="nil"/>
              <w:right w:val="nil"/>
            </w:tcBorders>
            <w:vAlign w:val="center"/>
            <w:hideMark/>
          </w:tcPr>
          <w:p w14:paraId="311015D7" w14:textId="77777777" w:rsidR="007E1234" w:rsidRDefault="007E1234" w:rsidP="0029283D">
            <w:pPr>
              <w:spacing w:before="0" w:after="0"/>
              <w:ind w:left="0"/>
              <w:jc w:val="both"/>
              <w:rPr>
                <w:sz w:val="20"/>
                <w:szCs w:val="20"/>
              </w:rPr>
            </w:pPr>
            <w:r>
              <w:rPr>
                <w:sz w:val="20"/>
                <w:szCs w:val="20"/>
              </w:rPr>
              <w:t>Form</w:t>
            </w:r>
          </w:p>
        </w:tc>
        <w:tc>
          <w:tcPr>
            <w:tcW w:w="0" w:type="auto"/>
            <w:tcBorders>
              <w:top w:val="nil"/>
              <w:left w:val="nil"/>
              <w:bottom w:val="nil"/>
              <w:right w:val="nil"/>
            </w:tcBorders>
            <w:vAlign w:val="center"/>
            <w:hideMark/>
          </w:tcPr>
          <w:p w14:paraId="512294BF" w14:textId="77777777" w:rsidR="007E1234" w:rsidRDefault="007E1234" w:rsidP="0029283D">
            <w:pPr>
              <w:spacing w:before="0" w:after="0"/>
              <w:ind w:left="0"/>
              <w:rPr>
                <w:sz w:val="20"/>
                <w:szCs w:val="20"/>
              </w:rPr>
            </w:pPr>
            <w:r>
              <w:rPr>
                <w:sz w:val="20"/>
                <w:szCs w:val="20"/>
              </w:rPr>
              <w:t>Homogenous powder</w:t>
            </w:r>
          </w:p>
        </w:tc>
      </w:tr>
      <w:tr w:rsidR="007E1234" w14:paraId="6BB4BA8F" w14:textId="77777777" w:rsidTr="0029283D">
        <w:trPr>
          <w:cnfStyle w:val="000000010000" w:firstRow="0" w:lastRow="0" w:firstColumn="0" w:lastColumn="0" w:oddVBand="0" w:evenVBand="0" w:oddHBand="0" w:evenHBand="1" w:firstRowFirstColumn="0" w:firstRowLastColumn="0" w:lastRowFirstColumn="0" w:lastRowLastColumn="0"/>
          <w:cantSplit/>
          <w:trHeight w:val="284"/>
          <w:jc w:val="center"/>
        </w:trPr>
        <w:tc>
          <w:tcPr>
            <w:tcW w:w="0" w:type="auto"/>
            <w:tcBorders>
              <w:top w:val="nil"/>
              <w:left w:val="nil"/>
              <w:bottom w:val="nil"/>
              <w:right w:val="nil"/>
            </w:tcBorders>
            <w:vAlign w:val="center"/>
            <w:hideMark/>
          </w:tcPr>
          <w:p w14:paraId="4BE504F2" w14:textId="77777777" w:rsidR="007E1234" w:rsidRDefault="007E1234" w:rsidP="0029283D">
            <w:pPr>
              <w:spacing w:before="0" w:after="0"/>
              <w:ind w:left="0"/>
              <w:jc w:val="both"/>
              <w:rPr>
                <w:sz w:val="20"/>
                <w:szCs w:val="20"/>
              </w:rPr>
            </w:pPr>
            <w:r>
              <w:rPr>
                <w:sz w:val="20"/>
                <w:szCs w:val="20"/>
              </w:rPr>
              <w:t>Colour</w:t>
            </w:r>
          </w:p>
        </w:tc>
        <w:tc>
          <w:tcPr>
            <w:tcW w:w="0" w:type="auto"/>
            <w:tcBorders>
              <w:top w:val="nil"/>
              <w:left w:val="nil"/>
              <w:bottom w:val="nil"/>
              <w:right w:val="nil"/>
            </w:tcBorders>
            <w:vAlign w:val="center"/>
            <w:hideMark/>
          </w:tcPr>
          <w:p w14:paraId="2BFB889D" w14:textId="77777777" w:rsidR="007E1234" w:rsidRDefault="007E1234" w:rsidP="0029283D">
            <w:pPr>
              <w:spacing w:before="0" w:after="0"/>
              <w:ind w:left="0"/>
              <w:rPr>
                <w:sz w:val="20"/>
                <w:szCs w:val="20"/>
              </w:rPr>
            </w:pPr>
            <w:r>
              <w:rPr>
                <w:sz w:val="20"/>
                <w:szCs w:val="20"/>
              </w:rPr>
              <w:t>White</w:t>
            </w:r>
          </w:p>
        </w:tc>
      </w:tr>
      <w:tr w:rsidR="007E1234" w14:paraId="4857311E" w14:textId="77777777" w:rsidTr="0029283D">
        <w:trPr>
          <w:cnfStyle w:val="000000100000" w:firstRow="0" w:lastRow="0" w:firstColumn="0" w:lastColumn="0" w:oddVBand="0" w:evenVBand="0" w:oddHBand="1" w:evenHBand="0" w:firstRowFirstColumn="0" w:firstRowLastColumn="0" w:lastRowFirstColumn="0" w:lastRowLastColumn="0"/>
          <w:cantSplit/>
          <w:trHeight w:val="284"/>
          <w:jc w:val="center"/>
        </w:trPr>
        <w:tc>
          <w:tcPr>
            <w:tcW w:w="0" w:type="auto"/>
            <w:tcBorders>
              <w:top w:val="nil"/>
              <w:left w:val="nil"/>
              <w:bottom w:val="nil"/>
              <w:right w:val="nil"/>
            </w:tcBorders>
            <w:vAlign w:val="center"/>
            <w:hideMark/>
          </w:tcPr>
          <w:p w14:paraId="0F6603C0" w14:textId="48E0B120" w:rsidR="007E1234" w:rsidRDefault="004C00C8" w:rsidP="0029283D">
            <w:pPr>
              <w:spacing w:before="0" w:after="0"/>
              <w:ind w:left="0"/>
              <w:jc w:val="both"/>
              <w:rPr>
                <w:sz w:val="20"/>
                <w:szCs w:val="20"/>
              </w:rPr>
            </w:pPr>
            <w:r>
              <w:rPr>
                <w:sz w:val="20"/>
                <w:szCs w:val="20"/>
              </w:rPr>
              <w:t>Purity</w:t>
            </w:r>
          </w:p>
        </w:tc>
        <w:tc>
          <w:tcPr>
            <w:tcW w:w="0" w:type="auto"/>
            <w:tcBorders>
              <w:top w:val="nil"/>
              <w:left w:val="nil"/>
              <w:bottom w:val="nil"/>
              <w:right w:val="nil"/>
            </w:tcBorders>
            <w:vAlign w:val="center"/>
            <w:hideMark/>
          </w:tcPr>
          <w:p w14:paraId="57AAA3B5" w14:textId="77777777" w:rsidR="007E1234" w:rsidRDefault="007E1234" w:rsidP="0029283D">
            <w:pPr>
              <w:spacing w:before="0" w:after="0"/>
              <w:ind w:left="0"/>
              <w:rPr>
                <w:sz w:val="20"/>
                <w:szCs w:val="20"/>
              </w:rPr>
            </w:pPr>
            <w:r>
              <w:rPr>
                <w:rFonts w:cs="Arial"/>
                <w:sz w:val="20"/>
                <w:szCs w:val="20"/>
              </w:rPr>
              <w:t>≥</w:t>
            </w:r>
            <w:r>
              <w:rPr>
                <w:sz w:val="20"/>
                <w:szCs w:val="20"/>
              </w:rPr>
              <w:t xml:space="preserve"> 90%</w:t>
            </w:r>
          </w:p>
        </w:tc>
      </w:tr>
      <w:tr w:rsidR="007E1234" w14:paraId="11760661" w14:textId="77777777" w:rsidTr="0029283D">
        <w:trPr>
          <w:cnfStyle w:val="000000010000" w:firstRow="0" w:lastRow="0" w:firstColumn="0" w:lastColumn="0" w:oddVBand="0" w:evenVBand="0" w:oddHBand="0" w:evenHBand="1" w:firstRowFirstColumn="0" w:firstRowLastColumn="0" w:lastRowFirstColumn="0" w:lastRowLastColumn="0"/>
          <w:cantSplit/>
          <w:trHeight w:val="565"/>
          <w:jc w:val="center"/>
        </w:trPr>
        <w:tc>
          <w:tcPr>
            <w:tcW w:w="0" w:type="auto"/>
            <w:tcBorders>
              <w:top w:val="nil"/>
              <w:left w:val="nil"/>
              <w:bottom w:val="nil"/>
              <w:right w:val="nil"/>
            </w:tcBorders>
            <w:vAlign w:val="center"/>
            <w:hideMark/>
          </w:tcPr>
          <w:p w14:paraId="540427FC" w14:textId="665D549B" w:rsidR="007E1234" w:rsidRDefault="007E1234" w:rsidP="0029283D">
            <w:pPr>
              <w:spacing w:before="0" w:after="0"/>
              <w:ind w:left="0"/>
              <w:jc w:val="both"/>
              <w:rPr>
                <w:sz w:val="20"/>
                <w:szCs w:val="20"/>
              </w:rPr>
            </w:pPr>
            <w:r>
              <w:rPr>
                <w:sz w:val="20"/>
                <w:szCs w:val="20"/>
              </w:rPr>
              <w:t>Stability</w:t>
            </w:r>
            <w:r w:rsidR="0019603E">
              <w:rPr>
                <w:sz w:val="20"/>
                <w:szCs w:val="20"/>
              </w:rPr>
              <w:t xml:space="preserve"> (</w:t>
            </w:r>
            <w:r w:rsidR="007856B7">
              <w:rPr>
                <w:sz w:val="20"/>
                <w:szCs w:val="20"/>
              </w:rPr>
              <w:t xml:space="preserve">shelf-storage </w:t>
            </w:r>
            <w:r w:rsidR="0019603E">
              <w:rPr>
                <w:sz w:val="20"/>
                <w:szCs w:val="20"/>
              </w:rPr>
              <w:t>conditions)</w:t>
            </w:r>
          </w:p>
          <w:p w14:paraId="3E7ED174" w14:textId="77777777" w:rsidR="007E1234" w:rsidRDefault="007E1234" w:rsidP="0029283D">
            <w:pPr>
              <w:spacing w:before="0" w:after="0"/>
              <w:ind w:left="0"/>
              <w:jc w:val="both"/>
              <w:rPr>
                <w:sz w:val="20"/>
                <w:szCs w:val="20"/>
              </w:rPr>
            </w:pPr>
            <w:r>
              <w:rPr>
                <w:sz w:val="20"/>
                <w:szCs w:val="20"/>
              </w:rPr>
              <w:t>(25</w:t>
            </w:r>
            <w:r>
              <w:rPr>
                <w:rFonts w:cs="Arial"/>
                <w:sz w:val="20"/>
                <w:szCs w:val="20"/>
              </w:rPr>
              <w:t>º</w:t>
            </w:r>
            <w:r>
              <w:rPr>
                <w:sz w:val="20"/>
                <w:szCs w:val="20"/>
              </w:rPr>
              <w:t>C/ 60% humidity)</w:t>
            </w:r>
          </w:p>
        </w:tc>
        <w:tc>
          <w:tcPr>
            <w:tcW w:w="0" w:type="auto"/>
            <w:tcBorders>
              <w:top w:val="nil"/>
              <w:left w:val="nil"/>
              <w:bottom w:val="nil"/>
              <w:right w:val="nil"/>
            </w:tcBorders>
            <w:vAlign w:val="center"/>
            <w:hideMark/>
          </w:tcPr>
          <w:p w14:paraId="22361FFE" w14:textId="22C3B807" w:rsidR="007E1234" w:rsidRDefault="0029283D" w:rsidP="0029283D">
            <w:pPr>
              <w:spacing w:before="0" w:after="0"/>
              <w:ind w:left="0"/>
              <w:rPr>
                <w:sz w:val="20"/>
                <w:szCs w:val="20"/>
              </w:rPr>
            </w:pPr>
            <w:r>
              <w:rPr>
                <w:sz w:val="20"/>
                <w:szCs w:val="20"/>
              </w:rPr>
              <w:t>36 months</w:t>
            </w:r>
          </w:p>
        </w:tc>
      </w:tr>
      <w:tr w:rsidR="007E1234" w14:paraId="7542DC9A" w14:textId="77777777" w:rsidTr="0029283D">
        <w:trPr>
          <w:cnfStyle w:val="000000100000" w:firstRow="0" w:lastRow="0" w:firstColumn="0" w:lastColumn="0" w:oddVBand="0" w:evenVBand="0" w:oddHBand="1" w:evenHBand="0" w:firstRowFirstColumn="0" w:firstRowLastColumn="0" w:lastRowFirstColumn="0" w:lastRowLastColumn="0"/>
          <w:cantSplit/>
          <w:trHeight w:val="573"/>
          <w:jc w:val="center"/>
        </w:trPr>
        <w:tc>
          <w:tcPr>
            <w:tcW w:w="0" w:type="auto"/>
            <w:tcBorders>
              <w:top w:val="nil"/>
              <w:left w:val="nil"/>
              <w:bottom w:val="single" w:sz="4" w:space="0" w:color="F3F3F3"/>
              <w:right w:val="nil"/>
            </w:tcBorders>
            <w:vAlign w:val="center"/>
            <w:hideMark/>
          </w:tcPr>
          <w:p w14:paraId="77DF6611" w14:textId="183F290B" w:rsidR="007E1234" w:rsidRDefault="007E1234" w:rsidP="0029283D">
            <w:pPr>
              <w:spacing w:before="0" w:after="0"/>
              <w:ind w:left="0"/>
              <w:contextualSpacing/>
              <w:jc w:val="both"/>
              <w:rPr>
                <w:sz w:val="20"/>
                <w:szCs w:val="20"/>
              </w:rPr>
            </w:pPr>
            <w:r>
              <w:rPr>
                <w:sz w:val="20"/>
                <w:szCs w:val="20"/>
              </w:rPr>
              <w:t>Stability (accelerated</w:t>
            </w:r>
            <w:r w:rsidR="007856B7">
              <w:rPr>
                <w:sz w:val="20"/>
                <w:szCs w:val="20"/>
              </w:rPr>
              <w:t xml:space="preserve"> storage</w:t>
            </w:r>
            <w:r>
              <w:rPr>
                <w:sz w:val="20"/>
                <w:szCs w:val="20"/>
              </w:rPr>
              <w:t xml:space="preserve"> conditions)</w:t>
            </w:r>
          </w:p>
          <w:p w14:paraId="505B882B" w14:textId="77777777" w:rsidR="007E1234" w:rsidRDefault="007E1234" w:rsidP="0029283D">
            <w:pPr>
              <w:spacing w:before="0" w:after="0"/>
              <w:ind w:left="0"/>
              <w:contextualSpacing/>
              <w:jc w:val="both"/>
              <w:rPr>
                <w:sz w:val="20"/>
                <w:szCs w:val="20"/>
              </w:rPr>
            </w:pPr>
            <w:r>
              <w:rPr>
                <w:sz w:val="20"/>
                <w:szCs w:val="20"/>
              </w:rPr>
              <w:t>(40</w:t>
            </w:r>
            <w:r>
              <w:rPr>
                <w:rFonts w:cs="Arial"/>
                <w:sz w:val="20"/>
                <w:szCs w:val="20"/>
              </w:rPr>
              <w:t>º</w:t>
            </w:r>
            <w:r>
              <w:rPr>
                <w:sz w:val="20"/>
                <w:szCs w:val="20"/>
              </w:rPr>
              <w:t>C/ 75% humidity)</w:t>
            </w:r>
          </w:p>
        </w:tc>
        <w:tc>
          <w:tcPr>
            <w:tcW w:w="0" w:type="auto"/>
            <w:tcBorders>
              <w:top w:val="nil"/>
              <w:left w:val="nil"/>
              <w:bottom w:val="single" w:sz="4" w:space="0" w:color="F3F3F3"/>
              <w:right w:val="nil"/>
            </w:tcBorders>
            <w:vAlign w:val="center"/>
            <w:hideMark/>
          </w:tcPr>
          <w:p w14:paraId="6283CC56" w14:textId="77777777" w:rsidR="007E1234" w:rsidRDefault="007E1234" w:rsidP="0029283D">
            <w:pPr>
              <w:ind w:left="0"/>
              <w:rPr>
                <w:sz w:val="20"/>
                <w:szCs w:val="20"/>
              </w:rPr>
            </w:pPr>
            <w:r>
              <w:rPr>
                <w:sz w:val="20"/>
                <w:szCs w:val="20"/>
              </w:rPr>
              <w:t>6 months</w:t>
            </w:r>
          </w:p>
        </w:tc>
      </w:tr>
    </w:tbl>
    <w:p w14:paraId="6052CDE5" w14:textId="5D5209FD" w:rsidR="004C00C8" w:rsidRDefault="004C00C8" w:rsidP="007F438D"/>
    <w:p w14:paraId="2F56229A" w14:textId="6BA99DA1" w:rsidR="004C00C8" w:rsidRDefault="00E927DD" w:rsidP="007F438D">
      <w:r>
        <w:t>2′-FL</w:t>
      </w:r>
      <w:r w:rsidR="00494FD0">
        <w:t xml:space="preserve"> is a trisaccharide consisting</w:t>
      </w:r>
      <w:r w:rsidR="005940C3">
        <w:t xml:space="preserve"> of </w:t>
      </w:r>
      <w:r w:rsidR="007B494E">
        <w:t>the monosaccharide</w:t>
      </w:r>
      <w:r w:rsidR="00494FD0">
        <w:t>s</w:t>
      </w:r>
      <w:r w:rsidR="007B494E">
        <w:t xml:space="preserve"> L-fucose, D-galactose and D-glucose</w:t>
      </w:r>
      <w:r w:rsidR="005940C3">
        <w:t>. It can also be described as the disaccharide</w:t>
      </w:r>
      <w:r w:rsidR="00494FD0">
        <w:t xml:space="preserve"> D-lactose at the reducing end and the monosaccharide L-fucose at the terminal galactose in </w:t>
      </w:r>
      <w:r w:rsidR="00494FD0">
        <w:rPr>
          <w:rFonts w:cs="Arial"/>
        </w:rPr>
        <w:t>α</w:t>
      </w:r>
      <w:r w:rsidR="00494FD0">
        <w:t xml:space="preserve"> (1</w:t>
      </w:r>
      <w:r w:rsidR="00494FD0">
        <w:rPr>
          <w:rFonts w:cs="Arial"/>
        </w:rPr>
        <w:t>→</w:t>
      </w:r>
      <w:r w:rsidR="00494FD0">
        <w:t>2) linkage to form the trisaccharide</w:t>
      </w:r>
      <w:r w:rsidR="005940C3">
        <w:t xml:space="preserve"> </w:t>
      </w:r>
      <w:r w:rsidR="007B494E">
        <w:t>(Figure 2.1).</w:t>
      </w:r>
    </w:p>
    <w:p w14:paraId="11E386B6" w14:textId="6317FDC1" w:rsidR="00494FD0" w:rsidRDefault="00866F97" w:rsidP="007F438D">
      <w:pPr>
        <w:jc w:val="center"/>
      </w:pPr>
      <w:r>
        <w:pict w14:anchorId="352D1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240pt">
            <v:imagedata r:id="rId22" o:title="Trisaccharide"/>
          </v:shape>
        </w:pict>
      </w:r>
    </w:p>
    <w:p w14:paraId="3C696BE0" w14:textId="5AB088B4" w:rsidR="007B494E" w:rsidRDefault="00866F97" w:rsidP="001D1D34">
      <w:pPr>
        <w:pStyle w:val="FSFigureTitle"/>
      </w:pPr>
      <w:hyperlink r:id="rId23" w:history="1">
        <w:r w:rsidR="00494FD0" w:rsidRPr="00A22986">
          <w:rPr>
            <w:rStyle w:val="Hyperlink"/>
            <w:b/>
            <w:bCs/>
            <w:i w:val="0"/>
            <w:color w:val="auto"/>
            <w:u w:val="none"/>
          </w:rPr>
          <w:t>Figure 2.1</w:t>
        </w:r>
      </w:hyperlink>
      <w:r w:rsidR="00494FD0" w:rsidRPr="00A22986">
        <w:t xml:space="preserve"> </w:t>
      </w:r>
      <w:r w:rsidR="00C77197">
        <w:t>Molecular</w:t>
      </w:r>
      <w:r w:rsidR="00C77197" w:rsidRPr="007F438D">
        <w:t xml:space="preserve"> </w:t>
      </w:r>
      <w:r w:rsidR="00494FD0" w:rsidRPr="007F438D">
        <w:t xml:space="preserve">structure of </w:t>
      </w:r>
      <w:r w:rsidR="00E927DD">
        <w:t>2′-FL</w:t>
      </w:r>
    </w:p>
    <w:p w14:paraId="6ECA3C6A" w14:textId="003266FF" w:rsidR="00B63FF7" w:rsidRDefault="008F70E9" w:rsidP="008F70E9">
      <w:pPr>
        <w:pStyle w:val="Heading3"/>
      </w:pPr>
      <w:r>
        <w:lastRenderedPageBreak/>
        <w:t>2.1.2</w:t>
      </w:r>
      <w:r w:rsidR="00B409E9">
        <w:tab/>
      </w:r>
      <w:r>
        <w:t>Structural identification</w:t>
      </w:r>
    </w:p>
    <w:p w14:paraId="01CD91C2" w14:textId="483FF505" w:rsidR="00952B23" w:rsidRDefault="009F3C6E" w:rsidP="00952B23">
      <w:pPr>
        <w:rPr>
          <w:lang w:eastAsia="en-AU" w:bidi="ar-SA"/>
        </w:rPr>
      </w:pPr>
      <w:r>
        <w:rPr>
          <w:lang w:eastAsia="en-AU" w:bidi="ar-SA"/>
        </w:rPr>
        <w:t>The identity</w:t>
      </w:r>
      <w:r w:rsidR="008070FB">
        <w:rPr>
          <w:lang w:eastAsia="en-AU" w:bidi="ar-SA"/>
        </w:rPr>
        <w:t xml:space="preserve"> of the </w:t>
      </w:r>
      <w:r w:rsidR="004B4381">
        <w:rPr>
          <w:lang w:eastAsia="en-AU" w:bidi="ar-SA"/>
        </w:rPr>
        <w:t>Applicant</w:t>
      </w:r>
      <w:r w:rsidR="008070FB">
        <w:rPr>
          <w:lang w:eastAsia="en-AU" w:bidi="ar-SA"/>
        </w:rPr>
        <w:t xml:space="preserve">’s </w:t>
      </w:r>
      <w:r w:rsidR="00E927DD">
        <w:rPr>
          <w:lang w:eastAsia="en-AU" w:bidi="ar-SA"/>
        </w:rPr>
        <w:t>2′-FL</w:t>
      </w:r>
      <w:r w:rsidR="008070FB">
        <w:rPr>
          <w:vertAlign w:val="subscript"/>
          <w:lang w:eastAsia="en-AU" w:bidi="ar-SA"/>
        </w:rPr>
        <w:t>micro</w:t>
      </w:r>
      <w:r w:rsidR="008070FB">
        <w:rPr>
          <w:lang w:eastAsia="en-AU" w:bidi="ar-SA"/>
        </w:rPr>
        <w:t xml:space="preserve"> </w:t>
      </w:r>
      <w:r>
        <w:rPr>
          <w:lang w:eastAsia="en-AU" w:bidi="ar-SA"/>
        </w:rPr>
        <w:t>was confirmed by nuclear magnetic resonance (NMR) spectroscopy performed by</w:t>
      </w:r>
      <w:r w:rsidRPr="009F3C6E">
        <w:rPr>
          <w:lang w:eastAsia="en-AU" w:bidi="ar-SA"/>
        </w:rPr>
        <w:t xml:space="preserve"> third-party </w:t>
      </w:r>
      <w:r w:rsidR="00B64F92">
        <w:rPr>
          <w:lang w:eastAsia="en-AU" w:bidi="ar-SA"/>
        </w:rPr>
        <w:t xml:space="preserve">analytical </w:t>
      </w:r>
      <w:r w:rsidRPr="009F3C6E">
        <w:rPr>
          <w:lang w:eastAsia="en-AU" w:bidi="ar-SA"/>
        </w:rPr>
        <w:t>service provider</w:t>
      </w:r>
      <w:r>
        <w:rPr>
          <w:lang w:eastAsia="en-AU" w:bidi="ar-SA"/>
        </w:rPr>
        <w:t>s</w:t>
      </w:r>
      <w:r w:rsidR="004855F1">
        <w:rPr>
          <w:lang w:eastAsia="en-AU" w:bidi="ar-SA"/>
        </w:rPr>
        <w:t>.</w:t>
      </w:r>
      <w:r w:rsidR="00952B23">
        <w:rPr>
          <w:lang w:eastAsia="en-AU" w:bidi="ar-SA"/>
        </w:rPr>
        <w:t xml:space="preserve"> The </w:t>
      </w:r>
      <w:r w:rsidR="004B4381">
        <w:rPr>
          <w:lang w:eastAsia="en-AU" w:bidi="ar-SA"/>
        </w:rPr>
        <w:t>Applicant</w:t>
      </w:r>
      <w:r w:rsidR="00952B23">
        <w:rPr>
          <w:lang w:eastAsia="en-AU" w:bidi="ar-SA"/>
        </w:rPr>
        <w:t xml:space="preserve"> developed a method using high-performance anion-exchange chromatography with pulsed amperometric detection (HPAEC-PAD) to </w:t>
      </w:r>
      <w:r w:rsidR="00E61C90">
        <w:rPr>
          <w:lang w:eastAsia="en-AU" w:bidi="ar-SA"/>
        </w:rPr>
        <w:t xml:space="preserve">characterise the final product. The </w:t>
      </w:r>
      <w:r w:rsidR="00952B23">
        <w:rPr>
          <w:lang w:eastAsia="en-AU" w:bidi="ar-SA"/>
        </w:rPr>
        <w:t>structural and chemical equivalence</w:t>
      </w:r>
      <w:r w:rsidR="00EB5237">
        <w:rPr>
          <w:lang w:eastAsia="en-AU" w:bidi="ar-SA"/>
        </w:rPr>
        <w:t xml:space="preserve"> of </w:t>
      </w:r>
      <w:r w:rsidR="004B4381">
        <w:rPr>
          <w:lang w:eastAsia="en-AU" w:bidi="ar-SA"/>
        </w:rPr>
        <w:t>Applicant</w:t>
      </w:r>
      <w:r w:rsidR="00EB5237">
        <w:rPr>
          <w:lang w:eastAsia="en-AU" w:bidi="ar-SA"/>
        </w:rPr>
        <w:t xml:space="preserve">’s </w:t>
      </w:r>
      <w:r w:rsidR="00E927DD">
        <w:rPr>
          <w:lang w:eastAsia="en-AU" w:bidi="ar-SA"/>
        </w:rPr>
        <w:t>2′-FL</w:t>
      </w:r>
      <w:r w:rsidR="00EB5237" w:rsidRPr="00E61C90">
        <w:rPr>
          <w:vertAlign w:val="subscript"/>
          <w:lang w:eastAsia="en-AU" w:bidi="ar-SA"/>
        </w:rPr>
        <w:t>micro</w:t>
      </w:r>
      <w:r w:rsidR="00E61C90">
        <w:rPr>
          <w:lang w:eastAsia="en-AU" w:bidi="ar-SA"/>
        </w:rPr>
        <w:t xml:space="preserve"> was compared</w:t>
      </w:r>
      <w:r w:rsidR="00952B23">
        <w:rPr>
          <w:lang w:eastAsia="en-AU" w:bidi="ar-SA"/>
        </w:rPr>
        <w:t xml:space="preserve"> to a </w:t>
      </w:r>
      <w:r w:rsidR="00E927DD">
        <w:rPr>
          <w:lang w:eastAsia="en-AU" w:bidi="ar-SA"/>
        </w:rPr>
        <w:t>2′-FL</w:t>
      </w:r>
      <w:r w:rsidR="00952B23">
        <w:rPr>
          <w:lang w:eastAsia="en-AU" w:bidi="ar-SA"/>
        </w:rPr>
        <w:t xml:space="preserve"> standard, of which the 2’-fucosyllactose was identified and quantified with quantitative NMR (qNMR). </w:t>
      </w:r>
      <w:r w:rsidR="00EB5237">
        <w:rPr>
          <w:lang w:eastAsia="en-AU" w:bidi="ar-SA"/>
        </w:rPr>
        <w:t xml:space="preserve">The analytical </w:t>
      </w:r>
      <w:r w:rsidR="00952B23">
        <w:rPr>
          <w:lang w:eastAsia="en-AU" w:bidi="ar-SA"/>
        </w:rPr>
        <w:t xml:space="preserve">methods </w:t>
      </w:r>
      <w:r w:rsidR="00EB5237">
        <w:rPr>
          <w:lang w:eastAsia="en-AU" w:bidi="ar-SA"/>
        </w:rPr>
        <w:t xml:space="preserve">used (NMR and HPAEC-PAD) </w:t>
      </w:r>
      <w:r w:rsidR="00952B23">
        <w:rPr>
          <w:lang w:eastAsia="en-AU" w:bidi="ar-SA"/>
        </w:rPr>
        <w:t xml:space="preserve">are accepted analytical techniques for the determination of oligosaccharides, as clearly articulated in </w:t>
      </w:r>
      <w:r w:rsidR="004B4381">
        <w:rPr>
          <w:lang w:eastAsia="en-AU" w:bidi="ar-SA"/>
        </w:rPr>
        <w:t>Application</w:t>
      </w:r>
      <w:r w:rsidR="00952B23">
        <w:rPr>
          <w:lang w:eastAsia="en-AU" w:bidi="ar-SA"/>
        </w:rPr>
        <w:t xml:space="preserve"> </w:t>
      </w:r>
      <w:r w:rsidR="00952B23">
        <w:t>A1190</w:t>
      </w:r>
      <w:r w:rsidR="00952B23">
        <w:rPr>
          <w:lang w:eastAsia="en-AU" w:bidi="ar-SA"/>
        </w:rPr>
        <w:t xml:space="preserve"> </w:t>
      </w:r>
      <w:r w:rsidR="00952B23">
        <w:t>(</w:t>
      </w:r>
      <w:hyperlink r:id="rId24" w:history="1">
        <w:r w:rsidR="00952B23" w:rsidRPr="00F66DD7">
          <w:rPr>
            <w:rStyle w:val="Hyperlink"/>
          </w:rPr>
          <w:t>FSANZ 2021</w:t>
        </w:r>
      </w:hyperlink>
      <w:r w:rsidR="00952B23">
        <w:t xml:space="preserve">). The </w:t>
      </w:r>
      <w:r w:rsidR="004B4381">
        <w:t>Applicant</w:t>
      </w:r>
      <w:r w:rsidR="00952B23">
        <w:t xml:space="preserve"> has provided sufficient information on how these methods were used.</w:t>
      </w:r>
    </w:p>
    <w:p w14:paraId="5E2F8734" w14:textId="77777777" w:rsidR="008070FB" w:rsidRDefault="008070FB" w:rsidP="008070FB">
      <w:pPr>
        <w:rPr>
          <w:lang w:eastAsia="en-AU" w:bidi="ar-SA"/>
        </w:rPr>
      </w:pPr>
    </w:p>
    <w:p w14:paraId="2FEAF012" w14:textId="06B76598" w:rsidR="00D87210" w:rsidRPr="008070FB" w:rsidRDefault="008070FB" w:rsidP="008070FB">
      <w:pPr>
        <w:widowControl/>
        <w:rPr>
          <w:rFonts w:ascii="Times New Roman" w:hAnsi="Times New Roman"/>
          <w:sz w:val="24"/>
          <w:lang w:eastAsia="en-GB" w:bidi="ar-SA"/>
        </w:rPr>
      </w:pPr>
      <w:r>
        <w:rPr>
          <w:lang w:eastAsia="en-AU" w:bidi="ar-SA"/>
        </w:rPr>
        <w:t xml:space="preserve">The analyses performed on five non-consecutive batches of the </w:t>
      </w:r>
      <w:r w:rsidR="004B4381">
        <w:rPr>
          <w:lang w:eastAsia="en-AU" w:bidi="ar-SA"/>
        </w:rPr>
        <w:t>Applicant</w:t>
      </w:r>
      <w:r>
        <w:rPr>
          <w:lang w:eastAsia="en-AU" w:bidi="ar-SA"/>
        </w:rPr>
        <w:t xml:space="preserve">’s </w:t>
      </w:r>
      <w:r w:rsidR="00E927DD">
        <w:rPr>
          <w:lang w:eastAsia="en-AU" w:bidi="ar-SA"/>
        </w:rPr>
        <w:t>2′-FL</w:t>
      </w:r>
      <w:r w:rsidR="00952B23" w:rsidRPr="007F438D">
        <w:rPr>
          <w:vertAlign w:val="subscript"/>
          <w:lang w:eastAsia="en-AU" w:bidi="ar-SA"/>
        </w:rPr>
        <w:t>micro</w:t>
      </w:r>
      <w:r w:rsidR="008C4486">
        <w:rPr>
          <w:lang w:eastAsia="en-AU" w:bidi="ar-SA"/>
        </w:rPr>
        <w:t xml:space="preserve"> confirmed its </w:t>
      </w:r>
      <w:r w:rsidR="00291D81">
        <w:rPr>
          <w:lang w:eastAsia="en-AU" w:bidi="ar-SA"/>
        </w:rPr>
        <w:t>identification with a</w:t>
      </w:r>
      <w:r>
        <w:rPr>
          <w:lang w:eastAsia="en-AU" w:bidi="ar-SA"/>
        </w:rPr>
        <w:t xml:space="preserve"> </w:t>
      </w:r>
      <w:r w:rsidR="00E927DD">
        <w:rPr>
          <w:lang w:eastAsia="en-AU" w:bidi="ar-SA"/>
        </w:rPr>
        <w:t>2′-FL</w:t>
      </w:r>
      <w:r w:rsidR="00E61C90">
        <w:rPr>
          <w:lang w:eastAsia="en-AU" w:bidi="ar-SA"/>
        </w:rPr>
        <w:t xml:space="preserve"> standard</w:t>
      </w:r>
      <w:r>
        <w:rPr>
          <w:lang w:eastAsia="en-AU" w:bidi="ar-SA"/>
        </w:rPr>
        <w:t>. The</w:t>
      </w:r>
      <w:r w:rsidR="00291D81">
        <w:rPr>
          <w:lang w:eastAsia="en-AU" w:bidi="ar-SA"/>
        </w:rPr>
        <w:t xml:space="preserve"> multi-batch</w:t>
      </w:r>
      <w:r>
        <w:rPr>
          <w:lang w:eastAsia="en-AU" w:bidi="ar-SA"/>
        </w:rPr>
        <w:t xml:space="preserve"> analytical results indicated that </w:t>
      </w:r>
      <w:r w:rsidR="00E927DD">
        <w:rPr>
          <w:lang w:eastAsia="en-AU" w:bidi="ar-SA"/>
        </w:rPr>
        <w:t>2′-FL</w:t>
      </w:r>
      <w:r>
        <w:rPr>
          <w:lang w:eastAsia="en-AU" w:bidi="ar-SA"/>
        </w:rPr>
        <w:t xml:space="preserve"> was the </w:t>
      </w:r>
      <w:r w:rsidR="008C4486">
        <w:rPr>
          <w:lang w:eastAsia="en-AU" w:bidi="ar-SA"/>
        </w:rPr>
        <w:t>primary</w:t>
      </w:r>
      <w:r>
        <w:rPr>
          <w:lang w:eastAsia="en-AU" w:bidi="ar-SA"/>
        </w:rPr>
        <w:t xml:space="preserve"> constituent of the final product, with a purity of no less than 90%.</w:t>
      </w:r>
    </w:p>
    <w:p w14:paraId="33D6628E" w14:textId="3F1B3B57" w:rsidR="00C74C9F" w:rsidRDefault="00D87210" w:rsidP="00C74C9F">
      <w:pPr>
        <w:pStyle w:val="Heading3"/>
      </w:pPr>
      <w:r>
        <w:t>2.1.3</w:t>
      </w:r>
      <w:r w:rsidR="00B409E9">
        <w:tab/>
      </w:r>
      <w:r>
        <w:t xml:space="preserve">Structural equivalence of </w:t>
      </w:r>
      <w:r w:rsidR="00E927DD">
        <w:t>2′-FL</w:t>
      </w:r>
      <w:r w:rsidR="00C74C9F">
        <w:t xml:space="preserve"> based on source</w:t>
      </w:r>
    </w:p>
    <w:p w14:paraId="4EFF8AB0" w14:textId="5D59449B" w:rsidR="008070FB" w:rsidRDefault="008070FB" w:rsidP="008070FB">
      <w:pPr>
        <w:rPr>
          <w:lang w:eastAsia="en-AU" w:bidi="ar-SA"/>
        </w:rPr>
      </w:pPr>
      <w:bookmarkStart w:id="70" w:name="_Toc515634589"/>
      <w:bookmarkStart w:id="71" w:name="_Toc517451203"/>
      <w:bookmarkStart w:id="72" w:name="_Toc518397308"/>
      <w:bookmarkStart w:id="73" w:name="_Toc518400834"/>
      <w:bookmarkStart w:id="74" w:name="_Toc518475266"/>
      <w:bookmarkStart w:id="75" w:name="_Toc518478863"/>
      <w:bookmarkStart w:id="76" w:name="_Toc518995914"/>
      <w:bookmarkStart w:id="77" w:name="_Toc519260317"/>
      <w:bookmarkStart w:id="78" w:name="_Toc519260643"/>
      <w:bookmarkStart w:id="79" w:name="_Toc519607924"/>
      <w:bookmarkStart w:id="80" w:name="_Toc521418039"/>
      <w:bookmarkStart w:id="81" w:name="_Toc13219502"/>
      <w:bookmarkStart w:id="82" w:name="_Toc70675679"/>
      <w:bookmarkStart w:id="83" w:name="_Toc70675772"/>
      <w:bookmarkStart w:id="84" w:name="_Toc72480611"/>
      <w:r>
        <w:rPr>
          <w:lang w:eastAsia="en-AU" w:bidi="ar-SA"/>
        </w:rPr>
        <w:t xml:space="preserve">FSANZ has previously reviewed structural analyses </w:t>
      </w:r>
      <w:r>
        <w:t>for 2′-FL</w:t>
      </w:r>
      <w:r>
        <w:rPr>
          <w:vertAlign w:val="subscript"/>
        </w:rPr>
        <w:t>human</w:t>
      </w:r>
      <w:r>
        <w:t xml:space="preserve">, </w:t>
      </w:r>
      <w:r w:rsidR="00E927DD">
        <w:t>2′-FL</w:t>
      </w:r>
      <w:r>
        <w:rPr>
          <w:vertAlign w:val="subscript"/>
        </w:rPr>
        <w:t>chem</w:t>
      </w:r>
      <w:r>
        <w:t xml:space="preserve"> and </w:t>
      </w:r>
      <w:r w:rsidR="00E927DD">
        <w:t>2′-FL</w:t>
      </w:r>
      <w:r>
        <w:rPr>
          <w:vertAlign w:val="subscript"/>
        </w:rPr>
        <w:t>micro</w:t>
      </w:r>
      <w:r>
        <w:t xml:space="preserve"> </w:t>
      </w:r>
      <w:r>
        <w:rPr>
          <w:lang w:eastAsia="en-AU" w:bidi="ar-SA"/>
        </w:rPr>
        <w:t xml:space="preserve">and confirmed that </w:t>
      </w:r>
      <w:r>
        <w:t>2′-FL</w:t>
      </w:r>
      <w:r>
        <w:rPr>
          <w:vertAlign w:val="subscript"/>
          <w:lang w:eastAsia="en-AU"/>
        </w:rPr>
        <w:t>micro</w:t>
      </w:r>
      <w:r>
        <w:rPr>
          <w:lang w:eastAsia="en-AU" w:bidi="ar-SA"/>
        </w:rPr>
        <w:t xml:space="preserve"> is chemically and structurally identical to the naturally occurring </w:t>
      </w:r>
      <w:r w:rsidR="00E927DD">
        <w:rPr>
          <w:lang w:eastAsia="en-AU" w:bidi="ar-SA"/>
        </w:rPr>
        <w:t>2′-FL</w:t>
      </w:r>
      <w:r>
        <w:rPr>
          <w:lang w:eastAsia="en-AU" w:bidi="ar-SA"/>
        </w:rPr>
        <w:t xml:space="preserve"> </w:t>
      </w:r>
      <w:r w:rsidR="00EB5237">
        <w:rPr>
          <w:lang w:eastAsia="en-AU" w:bidi="ar-SA"/>
        </w:rPr>
        <w:t>isolated from</w:t>
      </w:r>
      <w:r>
        <w:rPr>
          <w:lang w:eastAsia="en-AU" w:bidi="ar-SA"/>
        </w:rPr>
        <w:t xml:space="preserve"> human milk and </w:t>
      </w:r>
      <w:r w:rsidR="00EB5237">
        <w:rPr>
          <w:lang w:eastAsia="en-AU" w:bidi="ar-SA"/>
        </w:rPr>
        <w:t xml:space="preserve">the </w:t>
      </w:r>
      <w:r>
        <w:rPr>
          <w:lang w:eastAsia="en-AU" w:bidi="ar-SA"/>
        </w:rPr>
        <w:t xml:space="preserve">chemically synthesized 2′-FL </w:t>
      </w:r>
      <w:r>
        <w:rPr>
          <w:lang w:eastAsia="en-AU"/>
        </w:rPr>
        <w:t>(</w:t>
      </w:r>
      <w:hyperlink r:id="rId25" w:history="1">
        <w:r w:rsidR="002272CB">
          <w:rPr>
            <w:rStyle w:val="Hyperlink"/>
            <w:lang w:eastAsia="en-AU"/>
          </w:rPr>
          <w:t>FSANZ 2019a</w:t>
        </w:r>
      </w:hyperlink>
      <w:r>
        <w:rPr>
          <w:lang w:eastAsia="en-AU"/>
        </w:rPr>
        <w:t>).</w:t>
      </w:r>
    </w:p>
    <w:p w14:paraId="3996DCD1" w14:textId="7078E876" w:rsidR="00B63FF7" w:rsidRDefault="00B63FF7" w:rsidP="00BC1C5A">
      <w:pPr>
        <w:pStyle w:val="Heading2"/>
      </w:pPr>
      <w:bookmarkStart w:id="85" w:name="_Toc86413186"/>
      <w:bookmarkStart w:id="86" w:name="_Toc86914416"/>
      <w:bookmarkStart w:id="87" w:name="_Toc89242932"/>
      <w:r>
        <w:t>2.2</w:t>
      </w:r>
      <w:r w:rsidR="00B409E9">
        <w:tab/>
      </w:r>
      <w:r>
        <w:t>Analytical methods for detection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385DCDF" w14:textId="78F1B163" w:rsidR="008070FB" w:rsidRDefault="008070FB" w:rsidP="008070FB">
      <w:r>
        <w:t xml:space="preserve">Currently there are no internationally recognised methods for the analysis of </w:t>
      </w:r>
      <w:r w:rsidR="00E927DD">
        <w:t>2′-FL</w:t>
      </w:r>
      <w:r>
        <w:t>. However there is a large body of scientific literature on the isolation, quantitation and characterisation of human milk oligosaccharides (</w:t>
      </w:r>
      <w:r w:rsidR="00EB5237" w:rsidRPr="00EB5237">
        <w:t>Ruhaak et al. 2012</w:t>
      </w:r>
      <w:r>
        <w:t xml:space="preserve">, </w:t>
      </w:r>
      <w:r w:rsidR="00EB5237" w:rsidRPr="00EB5237">
        <w:t>Grabarics et al. 2017</w:t>
      </w:r>
      <w:r>
        <w:t xml:space="preserve">). </w:t>
      </w:r>
      <w:r w:rsidR="00B64F92">
        <w:t xml:space="preserve">The </w:t>
      </w:r>
      <w:r w:rsidR="004B4381">
        <w:t>Applicant</w:t>
      </w:r>
      <w:r w:rsidR="00B64F92">
        <w:t xml:space="preserve"> has developed appropriate a</w:t>
      </w:r>
      <w:r>
        <w:t>nalytical methods</w:t>
      </w:r>
      <w:r w:rsidR="005B70AD">
        <w:t xml:space="preserve"> to </w:t>
      </w:r>
      <w:r w:rsidR="00B64F92">
        <w:t xml:space="preserve">characterise </w:t>
      </w:r>
      <w:r w:rsidR="00E927DD">
        <w:t>2′-FL</w:t>
      </w:r>
      <w:r w:rsidR="00B64F92" w:rsidRPr="00E61C90">
        <w:rPr>
          <w:vertAlign w:val="subscript"/>
        </w:rPr>
        <w:t>micro</w:t>
      </w:r>
      <w:r w:rsidR="005B70AD">
        <w:t xml:space="preserve"> </w:t>
      </w:r>
      <w:r w:rsidR="00B64F92">
        <w:t xml:space="preserve">in addition to methods developed by third-party analytical service providers. </w:t>
      </w:r>
      <w:r w:rsidR="00B45F98">
        <w:t>Methods that were</w:t>
      </w:r>
      <w:r w:rsidR="00493288">
        <w:t xml:space="preserve"> developed by the</w:t>
      </w:r>
      <w:r w:rsidR="00B45F98">
        <w:t xml:space="preserve"> </w:t>
      </w:r>
      <w:r w:rsidR="004B4381">
        <w:t>Applicant</w:t>
      </w:r>
      <w:r w:rsidR="00B45F98">
        <w:t xml:space="preserve"> have been validated</w:t>
      </w:r>
      <w:r w:rsidR="00493288">
        <w:t xml:space="preserve"> </w:t>
      </w:r>
      <w:r w:rsidR="00B45F98">
        <w:t xml:space="preserve">by a third party. </w:t>
      </w:r>
      <w:r w:rsidR="005B70AD">
        <w:t xml:space="preserve">The </w:t>
      </w:r>
      <w:r w:rsidR="00B45F98">
        <w:t>methodology</w:t>
      </w:r>
      <w:r w:rsidR="00B64F92">
        <w:t xml:space="preserve"> including method validation data was submitted to FSANZ. </w:t>
      </w:r>
      <w:r w:rsidR="00B45F98">
        <w:t xml:space="preserve">The information </w:t>
      </w:r>
      <w:r w:rsidR="005B70AD">
        <w:t>provided included:</w:t>
      </w:r>
      <w:r>
        <w:t xml:space="preserve"> </w:t>
      </w:r>
    </w:p>
    <w:p w14:paraId="21774323" w14:textId="17518957" w:rsidR="008070FB" w:rsidRDefault="005B70AD" w:rsidP="00B4712E">
      <w:pPr>
        <w:pStyle w:val="ListParagraph"/>
        <w:numPr>
          <w:ilvl w:val="0"/>
          <w:numId w:val="4"/>
        </w:numPr>
      </w:pPr>
      <w:r>
        <w:t>d</w:t>
      </w:r>
      <w:r w:rsidR="008070FB">
        <w:t xml:space="preserve">etailed methods </w:t>
      </w:r>
      <w:r>
        <w:t xml:space="preserve">to confirm the identity of </w:t>
      </w:r>
      <w:r w:rsidR="00E927DD">
        <w:t>2′-FL</w:t>
      </w:r>
      <w:r w:rsidR="008070FB">
        <w:t xml:space="preserve"> using NMR, a well-established analytical technique for structural determination. These method have sufficient sensitivity to detect other by-products and contaminants. Low levels (&lt;2%) of </w:t>
      </w:r>
      <w:r w:rsidR="005A424E">
        <w:t xml:space="preserve">two </w:t>
      </w:r>
      <w:r w:rsidR="008070FB">
        <w:t xml:space="preserve">other human milk sugars (3-fucosyllactose and lactodifucotetraose) were detected in the </w:t>
      </w:r>
      <w:r w:rsidR="004B4381">
        <w:t>Applicant</w:t>
      </w:r>
      <w:r>
        <w:t xml:space="preserve">’s </w:t>
      </w:r>
      <w:r w:rsidR="00E927DD">
        <w:t>2′-FL</w:t>
      </w:r>
      <w:r w:rsidR="00EB5237" w:rsidRPr="001E1F13">
        <w:rPr>
          <w:vertAlign w:val="subscript"/>
        </w:rPr>
        <w:t>micro</w:t>
      </w:r>
      <w:r w:rsidRPr="001E1F13">
        <w:rPr>
          <w:vertAlign w:val="subscript"/>
        </w:rPr>
        <w:t xml:space="preserve"> </w:t>
      </w:r>
      <w:r>
        <w:t>product</w:t>
      </w:r>
    </w:p>
    <w:p w14:paraId="77574D4F" w14:textId="00A94E63" w:rsidR="008070FB" w:rsidRDefault="005B70AD" w:rsidP="00B4712E">
      <w:pPr>
        <w:pStyle w:val="ListParagraph"/>
        <w:numPr>
          <w:ilvl w:val="0"/>
          <w:numId w:val="4"/>
        </w:numPr>
      </w:pPr>
      <w:r>
        <w:t>d</w:t>
      </w:r>
      <w:r w:rsidR="008070FB">
        <w:t xml:space="preserve">etails of the methodology used to </w:t>
      </w:r>
      <w:r w:rsidR="00EB5237">
        <w:t xml:space="preserve">characterise </w:t>
      </w:r>
      <w:r w:rsidR="00E927DD">
        <w:t>2′-FL</w:t>
      </w:r>
      <w:r w:rsidR="00EB5237" w:rsidRPr="001E1F13">
        <w:rPr>
          <w:vertAlign w:val="subscript"/>
        </w:rPr>
        <w:t>micro</w:t>
      </w:r>
      <w:r w:rsidR="008070FB">
        <w:t xml:space="preserve"> using HPAEC-PAD</w:t>
      </w:r>
      <w:r w:rsidR="0078199B">
        <w:t xml:space="preserve">, </w:t>
      </w:r>
      <w:r w:rsidR="008070FB">
        <w:t xml:space="preserve">including </w:t>
      </w:r>
      <w:r w:rsidR="0078199B">
        <w:t xml:space="preserve">a </w:t>
      </w:r>
      <w:r w:rsidR="008070FB">
        <w:t xml:space="preserve">method validation </w:t>
      </w:r>
      <w:r w:rsidR="00B45F98">
        <w:t>report by a third party</w:t>
      </w:r>
      <w:r w:rsidR="0078199B">
        <w:t xml:space="preserve"> confirming </w:t>
      </w:r>
      <w:r w:rsidR="00EB5237">
        <w:t xml:space="preserve">that </w:t>
      </w:r>
      <w:r w:rsidR="0078199B">
        <w:t xml:space="preserve">the method </w:t>
      </w:r>
      <w:r w:rsidR="00EB5237">
        <w:t xml:space="preserve">was </w:t>
      </w:r>
      <w:r w:rsidR="0078199B">
        <w:t>fit for purpose</w:t>
      </w:r>
    </w:p>
    <w:p w14:paraId="460DAC2E" w14:textId="3FE1C4C2" w:rsidR="00EB5237" w:rsidRDefault="005B70AD" w:rsidP="00B4712E">
      <w:pPr>
        <w:pStyle w:val="ListParagraph"/>
        <w:numPr>
          <w:ilvl w:val="0"/>
          <w:numId w:val="4"/>
        </w:numPr>
      </w:pPr>
      <w:r>
        <w:t>d</w:t>
      </w:r>
      <w:r w:rsidR="008070FB">
        <w:t xml:space="preserve">etailed method used to measure the protein </w:t>
      </w:r>
      <w:r w:rsidR="0078199B">
        <w:t xml:space="preserve">content </w:t>
      </w:r>
      <w:r w:rsidR="008070FB">
        <w:t xml:space="preserve">in purified </w:t>
      </w:r>
      <w:r w:rsidR="00E927DD">
        <w:t>2′-FL</w:t>
      </w:r>
      <w:r w:rsidR="00EB5237" w:rsidRPr="001E1F13">
        <w:rPr>
          <w:vertAlign w:val="subscript"/>
        </w:rPr>
        <w:t>micro</w:t>
      </w:r>
      <w:r w:rsidR="008070FB">
        <w:t xml:space="preserve"> product using </w:t>
      </w:r>
      <w:r w:rsidR="0078199B">
        <w:t xml:space="preserve">a modified </w:t>
      </w:r>
      <w:r w:rsidR="008070FB">
        <w:t>Bradford assay</w:t>
      </w:r>
      <w:r w:rsidR="0078199B">
        <w:t xml:space="preserve">, including a method validation report by a third party confirming </w:t>
      </w:r>
      <w:r w:rsidR="00EB5237">
        <w:t xml:space="preserve">that </w:t>
      </w:r>
      <w:r w:rsidR="0078199B">
        <w:t xml:space="preserve">method </w:t>
      </w:r>
      <w:r w:rsidR="00EB5237">
        <w:t xml:space="preserve">was </w:t>
      </w:r>
      <w:r w:rsidR="0078199B">
        <w:t>fit for purpose</w:t>
      </w:r>
    </w:p>
    <w:p w14:paraId="6B3DC75B" w14:textId="76CE9BD2" w:rsidR="008070FB" w:rsidRDefault="00EB5237" w:rsidP="00B4712E">
      <w:pPr>
        <w:pStyle w:val="ListParagraph"/>
        <w:numPr>
          <w:ilvl w:val="0"/>
          <w:numId w:val="4"/>
        </w:numPr>
      </w:pPr>
      <w:r>
        <w:t>a</w:t>
      </w:r>
      <w:r w:rsidR="008070FB">
        <w:t xml:space="preserve"> number of internationally recognised test methods (ISO</w:t>
      </w:r>
      <w:r w:rsidR="005B70AD">
        <w:rPr>
          <w:rStyle w:val="FootnoteReference"/>
        </w:rPr>
        <w:footnoteReference w:id="2"/>
      </w:r>
      <w:r w:rsidR="008070FB">
        <w:t>) were employed to determine</w:t>
      </w:r>
      <w:r w:rsidR="0078199B">
        <w:t xml:space="preserve"> other</w:t>
      </w:r>
      <w:r w:rsidR="008070FB">
        <w:t xml:space="preserve"> impurities and contaminants such as metals, </w:t>
      </w:r>
      <w:r w:rsidR="005B70AD">
        <w:t xml:space="preserve">microbial </w:t>
      </w:r>
      <w:r w:rsidR="0078199B">
        <w:t xml:space="preserve">presence </w:t>
      </w:r>
      <w:r w:rsidR="008070FB">
        <w:t xml:space="preserve">and </w:t>
      </w:r>
      <w:r w:rsidR="005B70AD">
        <w:t>toxins</w:t>
      </w:r>
      <w:r>
        <w:t xml:space="preserve"> in the final </w:t>
      </w:r>
      <w:r w:rsidR="00E927DD">
        <w:t>2′-FL</w:t>
      </w:r>
      <w:r w:rsidRPr="001E1F13">
        <w:rPr>
          <w:vertAlign w:val="subscript"/>
        </w:rPr>
        <w:t xml:space="preserve">micro </w:t>
      </w:r>
      <w:r>
        <w:t>product</w:t>
      </w:r>
    </w:p>
    <w:p w14:paraId="45C5ABDB" w14:textId="47ABA8E8" w:rsidR="005B70AD" w:rsidRDefault="005B70AD" w:rsidP="00B4712E">
      <w:pPr>
        <w:pStyle w:val="ListParagraph"/>
        <w:numPr>
          <w:ilvl w:val="0"/>
          <w:numId w:val="4"/>
        </w:numPr>
      </w:pPr>
      <w:r>
        <w:t xml:space="preserve">detailed method used to evaluate the absence of residual genetic materials </w:t>
      </w:r>
      <w:r>
        <w:lastRenderedPageBreak/>
        <w:t>from the</w:t>
      </w:r>
      <w:r w:rsidR="0078199B">
        <w:t xml:space="preserve"> </w:t>
      </w:r>
      <w:r w:rsidR="0078199B" w:rsidRPr="00E61C90">
        <w:rPr>
          <w:i/>
        </w:rPr>
        <w:t>Escherichia coli</w:t>
      </w:r>
      <w:r w:rsidR="0078199B">
        <w:t xml:space="preserve"> </w:t>
      </w:r>
      <w:r w:rsidR="0078199B" w:rsidRPr="009744DB">
        <w:rPr>
          <w:szCs w:val="22"/>
        </w:rPr>
        <w:t>(</w:t>
      </w:r>
      <w:r w:rsidRPr="00E61C90">
        <w:rPr>
          <w:i/>
          <w:szCs w:val="22"/>
        </w:rPr>
        <w:t>E.coli</w:t>
      </w:r>
      <w:r w:rsidR="0078199B" w:rsidRPr="00E61C90">
        <w:rPr>
          <w:rStyle w:val="CommentReference"/>
          <w:sz w:val="22"/>
          <w:szCs w:val="22"/>
        </w:rPr>
        <w:t>)</w:t>
      </w:r>
      <w:r w:rsidR="0078199B">
        <w:rPr>
          <w:rStyle w:val="CommentReference"/>
          <w:sz w:val="22"/>
          <w:szCs w:val="22"/>
        </w:rPr>
        <w:t xml:space="preserve"> K</w:t>
      </w:r>
      <w:r w:rsidR="0078199B">
        <w:t xml:space="preserve">12 </w:t>
      </w:r>
      <w:r>
        <w:t>production strain by quantitative polymerase chain reaction (qPCR)</w:t>
      </w:r>
    </w:p>
    <w:p w14:paraId="22C3CD51" w14:textId="2E47F616" w:rsidR="008070FB" w:rsidRDefault="005B70AD" w:rsidP="00B4712E">
      <w:pPr>
        <w:pStyle w:val="ListParagraph"/>
        <w:numPr>
          <w:ilvl w:val="0"/>
          <w:numId w:val="4"/>
        </w:numPr>
      </w:pPr>
      <w:r>
        <w:t>d</w:t>
      </w:r>
      <w:r w:rsidR="008070FB">
        <w:t xml:space="preserve">etailed information regarding reagents, reference materials and standards, solution preparation, run parameters and procedures, </w:t>
      </w:r>
      <w:r w:rsidR="00F55B6C">
        <w:t>evaluation</w:t>
      </w:r>
      <w:r>
        <w:t xml:space="preserve"> and calculations, </w:t>
      </w:r>
      <w:r w:rsidR="008070FB">
        <w:t>chromatograms and method validation data</w:t>
      </w:r>
      <w:r>
        <w:t>.</w:t>
      </w:r>
    </w:p>
    <w:p w14:paraId="19B87D17" w14:textId="77777777" w:rsidR="005B70AD" w:rsidRDefault="005B70AD" w:rsidP="005B70AD">
      <w:pPr>
        <w:pStyle w:val="ListParagraph"/>
      </w:pPr>
    </w:p>
    <w:p w14:paraId="1D48B47D" w14:textId="513833ED" w:rsidR="00B63FF7" w:rsidRDefault="008070FB" w:rsidP="00B63FF7">
      <w:r>
        <w:t xml:space="preserve">The </w:t>
      </w:r>
      <w:r w:rsidR="004B4381">
        <w:t>Applicant</w:t>
      </w:r>
      <w:r>
        <w:t xml:space="preserve"> conducted analyses on five non-consecutive batches of </w:t>
      </w:r>
      <w:r w:rsidR="00E927DD">
        <w:t>2′-FL</w:t>
      </w:r>
      <w:r w:rsidR="001E1F13" w:rsidRPr="001E1F13">
        <w:rPr>
          <w:vertAlign w:val="subscript"/>
        </w:rPr>
        <w:t>micro</w:t>
      </w:r>
      <w:r w:rsidR="001E1F13">
        <w:t xml:space="preserve"> </w:t>
      </w:r>
      <w:r>
        <w:t xml:space="preserve">product. The </w:t>
      </w:r>
      <w:r w:rsidR="001E1F13">
        <w:t>multi-</w:t>
      </w:r>
      <w:r>
        <w:t xml:space="preserve">batch analyses results demonstrated that </w:t>
      </w:r>
      <w:r w:rsidR="00E927DD">
        <w:t>2′-FL</w:t>
      </w:r>
      <w:r>
        <w:rPr>
          <w:vertAlign w:val="subscript"/>
        </w:rPr>
        <w:t>micro</w:t>
      </w:r>
      <w:r>
        <w:t xml:space="preserve"> can be produced according to the proposed manufacturing process, with the purity and </w:t>
      </w:r>
      <w:r w:rsidR="00F55B6C">
        <w:t>impurities</w:t>
      </w:r>
      <w:r>
        <w:t xml:space="preserve"> profile consistent with the specifications proposed by the </w:t>
      </w:r>
      <w:r w:rsidR="004B4381">
        <w:t>Applicant</w:t>
      </w:r>
      <w:r>
        <w:t xml:space="preserve"> (see Section 2.4).</w:t>
      </w:r>
    </w:p>
    <w:p w14:paraId="21AD8A1E" w14:textId="79F5E41A" w:rsidR="00B63FF7" w:rsidRDefault="00B63FF7" w:rsidP="00BC1C5A">
      <w:pPr>
        <w:pStyle w:val="Heading2"/>
      </w:pPr>
      <w:bookmarkStart w:id="88" w:name="_Toc515634590"/>
      <w:bookmarkStart w:id="89" w:name="_Toc517451204"/>
      <w:bookmarkStart w:id="90" w:name="_Toc518397309"/>
      <w:bookmarkStart w:id="91" w:name="_Toc518400835"/>
      <w:bookmarkStart w:id="92" w:name="_Toc518475267"/>
      <w:bookmarkStart w:id="93" w:name="_Toc518478864"/>
      <w:bookmarkStart w:id="94" w:name="_Toc518995915"/>
      <w:bookmarkStart w:id="95" w:name="_Toc519260318"/>
      <w:bookmarkStart w:id="96" w:name="_Toc519260644"/>
      <w:bookmarkStart w:id="97" w:name="_Toc519607925"/>
      <w:bookmarkStart w:id="98" w:name="_Toc521418040"/>
      <w:bookmarkStart w:id="99" w:name="_Toc13219503"/>
      <w:bookmarkStart w:id="100" w:name="_Toc70675680"/>
      <w:bookmarkStart w:id="101" w:name="_Toc70675773"/>
      <w:bookmarkStart w:id="102" w:name="_Toc72480612"/>
      <w:bookmarkStart w:id="103" w:name="_Toc86413187"/>
      <w:bookmarkStart w:id="104" w:name="_Toc86914417"/>
      <w:bookmarkStart w:id="105" w:name="_Toc89242933"/>
      <w:r>
        <w:t>2.3</w:t>
      </w:r>
      <w:r w:rsidR="00B409E9">
        <w:tab/>
      </w:r>
      <w:r>
        <w:t>Manufacturing processes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30379E4" w14:textId="188EED7F" w:rsidR="008070FB" w:rsidRDefault="00B63FF7" w:rsidP="00F55B6C">
      <w:pPr>
        <w:pStyle w:val="Heading3"/>
      </w:pPr>
      <w:r>
        <w:t>2.3.1</w:t>
      </w:r>
      <w:r w:rsidR="00B409E9">
        <w:tab/>
      </w:r>
      <w:r>
        <w:t>Fermentation and purification</w:t>
      </w:r>
    </w:p>
    <w:p w14:paraId="0767D721" w14:textId="73E8383B" w:rsidR="008070FB" w:rsidRDefault="008070FB" w:rsidP="008070FB">
      <w:r>
        <w:t xml:space="preserve">The manufacturing process consists of two stages: fermentation and purification. </w:t>
      </w:r>
      <w:r w:rsidR="00E927DD">
        <w:t>2′-FL</w:t>
      </w:r>
      <w:r w:rsidRPr="0038620D">
        <w:rPr>
          <w:vertAlign w:val="subscript"/>
        </w:rPr>
        <w:t>micro</w:t>
      </w:r>
      <w:r>
        <w:t xml:space="preserve"> is produced via batch fermentation, using glucose as the primary energy and carbon source. Precursors for </w:t>
      </w:r>
      <w:r w:rsidR="00E927DD">
        <w:t>2′-FL</w:t>
      </w:r>
      <w:r>
        <w:t xml:space="preserve"> are glucose and disaccharide α-lactose, which is comprised of galactose and glucose. The production host is a GM strain of </w:t>
      </w:r>
      <w:r w:rsidRPr="0038620D">
        <w:rPr>
          <w:i/>
        </w:rPr>
        <w:t>E.coli</w:t>
      </w:r>
      <w:r>
        <w:t xml:space="preserve"> K12 (See Section 3). The fermentation is performed in a well-defined minimal medium and under sterile conditions. Microbial fermentation is a well-established production method for food and food ingredients.</w:t>
      </w:r>
    </w:p>
    <w:p w14:paraId="35B4C26A" w14:textId="77777777" w:rsidR="008070FB" w:rsidRDefault="008070FB" w:rsidP="008070FB"/>
    <w:p w14:paraId="72932389" w14:textId="7B0031E0" w:rsidR="008070FB" w:rsidRDefault="008070FB" w:rsidP="008070FB">
      <w:r>
        <w:t xml:space="preserve">After fermentation, </w:t>
      </w:r>
      <w:r w:rsidRPr="0038620D">
        <w:rPr>
          <w:i/>
        </w:rPr>
        <w:t>E.coli</w:t>
      </w:r>
      <w:r>
        <w:t xml:space="preserve"> cells are separated from the growth medium by microfiltration. Since the </w:t>
      </w:r>
      <w:r w:rsidR="00E927DD">
        <w:t>2′-FL</w:t>
      </w:r>
      <w:r>
        <w:t xml:space="preserve"> has been excreted into the medium, the product is purified from the medium with multiple filtration steps and chromatography separation (Figure </w:t>
      </w:r>
      <w:r w:rsidR="001D1D34">
        <w:t>2.2</w:t>
      </w:r>
      <w:r>
        <w:t xml:space="preserve">). The purified </w:t>
      </w:r>
      <w:r w:rsidR="00E927DD">
        <w:t>2′-FL</w:t>
      </w:r>
      <w:r>
        <w:t xml:space="preserve"> is then concentrated using nanofiltration or reverse osmosis, then spray dried in a spray drier to obtain high purity </w:t>
      </w:r>
      <w:r w:rsidR="00E927DD">
        <w:t>2′-FL</w:t>
      </w:r>
      <w:r w:rsidR="001E1F13" w:rsidRPr="001E1F13">
        <w:rPr>
          <w:vertAlign w:val="subscript"/>
        </w:rPr>
        <w:t>micro</w:t>
      </w:r>
      <w:r>
        <w:t xml:space="preserve"> powder.</w:t>
      </w:r>
    </w:p>
    <w:p w14:paraId="11C74678" w14:textId="77777777" w:rsidR="008070FB" w:rsidRDefault="008070FB" w:rsidP="008070FB"/>
    <w:p w14:paraId="3362430F" w14:textId="05DB2C68" w:rsidR="005B70AD" w:rsidRDefault="0038620D" w:rsidP="00DD16BD">
      <w:r>
        <w:t xml:space="preserve">The </w:t>
      </w:r>
      <w:r w:rsidR="004B4381">
        <w:t>Applicant</w:t>
      </w:r>
      <w:r>
        <w:t xml:space="preserve"> has provided </w:t>
      </w:r>
      <w:r w:rsidR="008070FB">
        <w:t>details of the production and purification processes, including identification and specifications</w:t>
      </w:r>
      <w:r>
        <w:t xml:space="preserve"> including certificate of analysis</w:t>
      </w:r>
      <w:r w:rsidR="008070FB">
        <w:t xml:space="preserve"> of the raw</w:t>
      </w:r>
      <w:r>
        <w:t xml:space="preserve"> materials and processing aids. Detailed information of </w:t>
      </w:r>
      <w:r w:rsidR="008070FB">
        <w:t>the production host organism</w:t>
      </w:r>
      <w:r>
        <w:t xml:space="preserve"> </w:t>
      </w:r>
      <w:r w:rsidRPr="0038620D">
        <w:t>(</w:t>
      </w:r>
      <w:r w:rsidRPr="0038620D">
        <w:rPr>
          <w:i/>
        </w:rPr>
        <w:t>E.coli</w:t>
      </w:r>
      <w:r>
        <w:t xml:space="preserve"> K12)</w:t>
      </w:r>
      <w:r w:rsidR="008070FB">
        <w:t xml:space="preserve">, </w:t>
      </w:r>
      <w:r>
        <w:t xml:space="preserve">methodology for the </w:t>
      </w:r>
      <w:r w:rsidR="008070FB">
        <w:t xml:space="preserve">purification and isolation </w:t>
      </w:r>
      <w:r>
        <w:t>steps</w:t>
      </w:r>
      <w:r w:rsidR="008070FB">
        <w:t xml:space="preserve">, and quality controls are </w:t>
      </w:r>
      <w:r>
        <w:t>also submitted to FSANZ</w:t>
      </w:r>
      <w:r w:rsidR="008070FB">
        <w:t>.</w:t>
      </w:r>
    </w:p>
    <w:p w14:paraId="5DA53726" w14:textId="1BEFD00F" w:rsidR="008070FB" w:rsidRDefault="008070FB" w:rsidP="008070FB"/>
    <w:p w14:paraId="5A0D876B" w14:textId="7BB7C81A" w:rsidR="008070FB" w:rsidRDefault="009744DB" w:rsidP="00DD16BD">
      <w:pPr>
        <w:jc w:val="center"/>
      </w:pPr>
      <w:r>
        <w:rPr>
          <w:b/>
          <w:i/>
          <w:noProof/>
          <w:lang w:eastAsia="en-GB" w:bidi="ar-SA"/>
        </w:rPr>
        <w:lastRenderedPageBreak/>
        <w:drawing>
          <wp:inline distT="0" distB="0" distL="0" distR="0" wp14:anchorId="2AB3DFD2" wp14:editId="04973A8F">
            <wp:extent cx="5528603" cy="38575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90309" cy="3900578"/>
                    </a:xfrm>
                    <a:prstGeom prst="rect">
                      <a:avLst/>
                    </a:prstGeom>
                    <a:noFill/>
                  </pic:spPr>
                </pic:pic>
              </a:graphicData>
            </a:graphic>
          </wp:inline>
        </w:drawing>
      </w:r>
    </w:p>
    <w:p w14:paraId="531EA7AC" w14:textId="2548794F" w:rsidR="005A424E" w:rsidRPr="009744DB" w:rsidRDefault="00866F97" w:rsidP="00E61C90">
      <w:pPr>
        <w:pStyle w:val="FSFigureTitle"/>
        <w:spacing w:before="120"/>
      </w:pPr>
      <w:hyperlink r:id="rId27" w:history="1">
        <w:r w:rsidR="005A424E" w:rsidRPr="00A22986">
          <w:rPr>
            <w:rStyle w:val="Hyperlink"/>
            <w:b/>
            <w:i w:val="0"/>
            <w:color w:val="auto"/>
            <w:u w:val="none"/>
          </w:rPr>
          <w:t xml:space="preserve">Figure </w:t>
        </w:r>
        <w:r w:rsidR="00CE7173" w:rsidRPr="00A22986">
          <w:rPr>
            <w:rStyle w:val="Hyperlink"/>
            <w:b/>
            <w:i w:val="0"/>
            <w:color w:val="auto"/>
            <w:u w:val="none"/>
          </w:rPr>
          <w:t>2.2</w:t>
        </w:r>
      </w:hyperlink>
      <w:r w:rsidR="009744DB" w:rsidRPr="009744DB">
        <w:t xml:space="preserve"> </w:t>
      </w:r>
      <w:r w:rsidR="005A424E" w:rsidRPr="009744DB">
        <w:t>Flow chart of the manufacturing process</w:t>
      </w:r>
    </w:p>
    <w:p w14:paraId="40E641D7" w14:textId="185F2E2C" w:rsidR="005C2D0B" w:rsidRDefault="008F70E9" w:rsidP="005A424E">
      <w:pPr>
        <w:pStyle w:val="Heading3"/>
      </w:pPr>
      <w:r>
        <w:t>2.3.2</w:t>
      </w:r>
      <w:r w:rsidR="00B409E9">
        <w:tab/>
      </w:r>
      <w:r>
        <w:t>Fermentation</w:t>
      </w:r>
      <w:r w:rsidR="00C62D89">
        <w:t xml:space="preserve"> by-products</w:t>
      </w:r>
    </w:p>
    <w:p w14:paraId="372BBA59" w14:textId="288E609E" w:rsidR="008070FB" w:rsidRDefault="008070FB" w:rsidP="008070FB">
      <w:pPr>
        <w:rPr>
          <w:lang w:eastAsia="en-AU"/>
        </w:rPr>
      </w:pPr>
      <w:r>
        <w:rPr>
          <w:lang w:eastAsia="en-AU"/>
        </w:rPr>
        <w:t xml:space="preserve">The </w:t>
      </w:r>
      <w:r w:rsidR="004B4381">
        <w:rPr>
          <w:lang w:eastAsia="en-AU"/>
        </w:rPr>
        <w:t>Applicant</w:t>
      </w:r>
      <w:r>
        <w:rPr>
          <w:lang w:eastAsia="en-AU"/>
        </w:rPr>
        <w:t xml:space="preserve">’s </w:t>
      </w:r>
      <w:r w:rsidR="00E927DD">
        <w:rPr>
          <w:lang w:eastAsia="en-AU"/>
        </w:rPr>
        <w:t>2′-FL</w:t>
      </w:r>
      <w:r>
        <w:rPr>
          <w:vertAlign w:val="subscript"/>
          <w:lang w:eastAsia="en-AU"/>
        </w:rPr>
        <w:t xml:space="preserve">micro </w:t>
      </w:r>
      <w:r>
        <w:rPr>
          <w:lang w:eastAsia="en-AU"/>
        </w:rPr>
        <w:t xml:space="preserve">final product was analysed to determine if there were any </w:t>
      </w:r>
      <w:r w:rsidR="00EA50F8">
        <w:rPr>
          <w:lang w:eastAsia="en-AU"/>
        </w:rPr>
        <w:t xml:space="preserve">carbohydrate </w:t>
      </w:r>
      <w:r w:rsidR="00F61F6C">
        <w:rPr>
          <w:lang w:eastAsia="en-AU"/>
        </w:rPr>
        <w:t xml:space="preserve">impurities and </w:t>
      </w:r>
      <w:r>
        <w:rPr>
          <w:lang w:eastAsia="en-AU"/>
        </w:rPr>
        <w:t>contaminants</w:t>
      </w:r>
      <w:r w:rsidR="00C62D89">
        <w:rPr>
          <w:lang w:eastAsia="en-AU"/>
        </w:rPr>
        <w:t xml:space="preserve"> </w:t>
      </w:r>
      <w:r w:rsidR="00EA50F8">
        <w:rPr>
          <w:lang w:eastAsia="en-AU"/>
        </w:rPr>
        <w:t xml:space="preserve">as a result of </w:t>
      </w:r>
      <w:r>
        <w:rPr>
          <w:lang w:eastAsia="en-AU"/>
        </w:rPr>
        <w:t xml:space="preserve">the fermentation process. These contaminants could include the bacterial DNA (production strain </w:t>
      </w:r>
      <w:r>
        <w:rPr>
          <w:i/>
          <w:lang w:eastAsia="en-AU"/>
        </w:rPr>
        <w:t>E.coli</w:t>
      </w:r>
      <w:r>
        <w:rPr>
          <w:lang w:eastAsia="en-AU"/>
        </w:rPr>
        <w:t xml:space="preserve"> K12), proteins</w:t>
      </w:r>
      <w:r w:rsidR="00B8263B">
        <w:rPr>
          <w:lang w:eastAsia="en-AU"/>
        </w:rPr>
        <w:t xml:space="preserve">, microbial contamination and microbial toxins </w:t>
      </w:r>
      <w:r>
        <w:rPr>
          <w:lang w:eastAsia="en-AU"/>
        </w:rPr>
        <w:t xml:space="preserve">such as </w:t>
      </w:r>
      <w:r>
        <w:rPr>
          <w:i/>
          <w:lang w:eastAsia="en-AU"/>
        </w:rPr>
        <w:t>E.coli</w:t>
      </w:r>
      <w:r>
        <w:rPr>
          <w:lang w:eastAsia="en-AU"/>
        </w:rPr>
        <w:t>-derived endotoxins and fungal-derived aflatoxins</w:t>
      </w:r>
      <w:r w:rsidR="00B8263B">
        <w:rPr>
          <w:lang w:eastAsia="en-AU"/>
        </w:rPr>
        <w:t>. The presence of these microbial toxins</w:t>
      </w:r>
      <w:r>
        <w:rPr>
          <w:lang w:eastAsia="en-AU"/>
        </w:rPr>
        <w:t xml:space="preserve"> could indicate microbial contamination of the fermentation system.</w:t>
      </w:r>
    </w:p>
    <w:p w14:paraId="4CA82113" w14:textId="77777777" w:rsidR="00F61F6C" w:rsidRDefault="00F61F6C" w:rsidP="00F61F6C">
      <w:pPr>
        <w:rPr>
          <w:rFonts w:cs="Arial"/>
          <w:szCs w:val="20"/>
          <w:lang w:eastAsia="en-AU"/>
        </w:rPr>
      </w:pPr>
    </w:p>
    <w:p w14:paraId="2398AB8B" w14:textId="679FA01F" w:rsidR="008070FB" w:rsidRDefault="00F61F6C" w:rsidP="008070FB">
      <w:pPr>
        <w:rPr>
          <w:lang w:eastAsia="en-AU"/>
        </w:rPr>
      </w:pPr>
      <w:r>
        <w:rPr>
          <w:rFonts w:cs="Arial"/>
          <w:szCs w:val="20"/>
          <w:lang w:eastAsia="en-AU"/>
        </w:rPr>
        <w:t>During the fermentation process, it is expected that other carbohydrate impurities will be produced or will remain in the fermentation medium. The typical carbohydrate impurity profile showed the presence</w:t>
      </w:r>
      <w:r w:rsidR="009A5735">
        <w:rPr>
          <w:rFonts w:cs="Arial"/>
          <w:szCs w:val="20"/>
          <w:lang w:eastAsia="en-AU"/>
        </w:rPr>
        <w:t xml:space="preserve"> </w:t>
      </w:r>
      <w:r w:rsidR="00B8263B">
        <w:rPr>
          <w:rFonts w:cs="Arial"/>
          <w:szCs w:val="20"/>
          <w:lang w:eastAsia="en-AU"/>
        </w:rPr>
        <w:t>of mono</w:t>
      </w:r>
      <w:r w:rsidR="00B8263B" w:rsidRPr="009A5735">
        <w:rPr>
          <w:rFonts w:cs="Arial"/>
          <w:szCs w:val="20"/>
          <w:lang w:eastAsia="en-AU"/>
        </w:rPr>
        <w:t>saccharide</w:t>
      </w:r>
      <w:r w:rsidR="0016111C">
        <w:rPr>
          <w:rFonts w:cs="Arial"/>
          <w:szCs w:val="20"/>
          <w:lang w:eastAsia="en-AU"/>
        </w:rPr>
        <w:t>s</w:t>
      </w:r>
      <w:r w:rsidR="00B8263B">
        <w:rPr>
          <w:rFonts w:cs="Arial"/>
          <w:szCs w:val="20"/>
          <w:lang w:eastAsia="en-AU"/>
        </w:rPr>
        <w:t xml:space="preserve"> glucose, galactose</w:t>
      </w:r>
      <w:r w:rsidR="0016111C">
        <w:rPr>
          <w:rFonts w:cs="Arial"/>
          <w:szCs w:val="20"/>
          <w:lang w:eastAsia="en-AU"/>
        </w:rPr>
        <w:t xml:space="preserve"> and</w:t>
      </w:r>
      <w:r w:rsidR="00B8263B">
        <w:rPr>
          <w:rFonts w:cs="Arial"/>
          <w:szCs w:val="20"/>
          <w:lang w:eastAsia="en-AU"/>
        </w:rPr>
        <w:t xml:space="preserve"> fucose</w:t>
      </w:r>
      <w:r w:rsidR="001E1F13">
        <w:rPr>
          <w:rFonts w:cs="Arial"/>
          <w:szCs w:val="20"/>
          <w:lang w:eastAsia="en-AU"/>
        </w:rPr>
        <w:t xml:space="preserve"> and </w:t>
      </w:r>
      <w:r w:rsidR="009A5735" w:rsidRPr="009A5735">
        <w:rPr>
          <w:rFonts w:cs="Arial"/>
          <w:szCs w:val="20"/>
          <w:lang w:eastAsia="en-AU"/>
        </w:rPr>
        <w:t>disaccharide</w:t>
      </w:r>
      <w:r w:rsidR="0016111C">
        <w:rPr>
          <w:rFonts w:cs="Arial"/>
          <w:szCs w:val="20"/>
          <w:lang w:eastAsia="en-AU"/>
        </w:rPr>
        <w:t>s</w:t>
      </w:r>
      <w:r w:rsidR="009A5735" w:rsidRPr="009A5735">
        <w:rPr>
          <w:rFonts w:cs="Arial"/>
          <w:szCs w:val="20"/>
          <w:lang w:eastAsia="en-AU"/>
        </w:rPr>
        <w:t xml:space="preserve"> </w:t>
      </w:r>
      <w:r>
        <w:rPr>
          <w:rFonts w:cs="Arial"/>
          <w:szCs w:val="20"/>
          <w:lang w:eastAsia="en-AU"/>
        </w:rPr>
        <w:t>lactose</w:t>
      </w:r>
      <w:r w:rsidR="0016111C">
        <w:rPr>
          <w:rFonts w:cs="Arial"/>
          <w:szCs w:val="20"/>
          <w:lang w:eastAsia="en-AU"/>
        </w:rPr>
        <w:t xml:space="preserve"> and</w:t>
      </w:r>
      <w:r w:rsidR="00B8263B">
        <w:rPr>
          <w:rFonts w:cs="Arial"/>
          <w:szCs w:val="20"/>
          <w:lang w:eastAsia="en-AU"/>
        </w:rPr>
        <w:t xml:space="preserve"> allo-lactose</w:t>
      </w:r>
      <w:r w:rsidR="001E1F13">
        <w:rPr>
          <w:rFonts w:cs="Arial"/>
          <w:szCs w:val="20"/>
          <w:lang w:eastAsia="en-AU"/>
        </w:rPr>
        <w:t>.</w:t>
      </w:r>
      <w:r w:rsidR="009A5735">
        <w:rPr>
          <w:rFonts w:cs="Arial"/>
          <w:szCs w:val="20"/>
          <w:lang w:eastAsia="en-AU"/>
        </w:rPr>
        <w:t xml:space="preserve"> </w:t>
      </w:r>
      <w:r w:rsidR="00B8263B">
        <w:rPr>
          <w:rFonts w:cs="Arial"/>
          <w:szCs w:val="20"/>
          <w:lang w:eastAsia="en-AU"/>
        </w:rPr>
        <w:t>These substances are naturally found in human milk and their</w:t>
      </w:r>
      <w:r w:rsidR="009A5735">
        <w:rPr>
          <w:rFonts w:cs="Arial"/>
          <w:szCs w:val="20"/>
          <w:lang w:eastAsia="en-AU"/>
        </w:rPr>
        <w:t xml:space="preserve"> </w:t>
      </w:r>
      <w:r w:rsidR="00B8263B">
        <w:rPr>
          <w:rFonts w:cs="Arial"/>
          <w:szCs w:val="20"/>
          <w:lang w:eastAsia="en-AU"/>
        </w:rPr>
        <w:t>presence</w:t>
      </w:r>
      <w:r>
        <w:rPr>
          <w:rFonts w:cs="Arial"/>
          <w:szCs w:val="20"/>
          <w:lang w:eastAsia="en-AU"/>
        </w:rPr>
        <w:t xml:space="preserve"> was determined using HPAEC-PAD. </w:t>
      </w:r>
      <w:r w:rsidR="009A5735">
        <w:rPr>
          <w:rFonts w:cs="Arial"/>
          <w:szCs w:val="20"/>
          <w:lang w:eastAsia="en-AU"/>
        </w:rPr>
        <w:t>Multiple batch analyses showed</w:t>
      </w:r>
      <w:r>
        <w:rPr>
          <w:rFonts w:cs="Arial"/>
          <w:szCs w:val="20"/>
          <w:lang w:eastAsia="en-AU"/>
        </w:rPr>
        <w:t xml:space="preserve"> that amounts of these </w:t>
      </w:r>
      <w:r w:rsidR="009A5735">
        <w:rPr>
          <w:rFonts w:cs="Arial"/>
          <w:szCs w:val="20"/>
          <w:lang w:eastAsia="en-AU"/>
        </w:rPr>
        <w:t>substances</w:t>
      </w:r>
      <w:r>
        <w:rPr>
          <w:rFonts w:cs="Arial"/>
          <w:szCs w:val="20"/>
          <w:lang w:eastAsia="en-AU"/>
        </w:rPr>
        <w:t xml:space="preserve"> were consistently within the specifica</w:t>
      </w:r>
      <w:r w:rsidR="009A5735">
        <w:rPr>
          <w:rFonts w:cs="Arial"/>
          <w:szCs w:val="20"/>
          <w:lang w:eastAsia="en-AU"/>
        </w:rPr>
        <w:t xml:space="preserve">tions proposed by the </w:t>
      </w:r>
      <w:r w:rsidR="004B4381">
        <w:rPr>
          <w:rFonts w:cs="Arial"/>
          <w:szCs w:val="20"/>
          <w:lang w:eastAsia="en-AU"/>
        </w:rPr>
        <w:t>Applicant</w:t>
      </w:r>
      <w:r w:rsidR="009A5735">
        <w:rPr>
          <w:rFonts w:cs="Arial"/>
          <w:szCs w:val="20"/>
          <w:lang w:eastAsia="en-AU"/>
        </w:rPr>
        <w:t>, with the either low levels detected</w:t>
      </w:r>
      <w:r w:rsidR="00175A07">
        <w:rPr>
          <w:rFonts w:cs="Arial"/>
          <w:szCs w:val="20"/>
          <w:lang w:eastAsia="en-AU"/>
        </w:rPr>
        <w:t xml:space="preserve"> (≤3%)</w:t>
      </w:r>
      <w:r w:rsidR="009A5735">
        <w:rPr>
          <w:rFonts w:cs="Arial"/>
          <w:szCs w:val="20"/>
          <w:lang w:eastAsia="en-AU"/>
        </w:rPr>
        <w:t xml:space="preserve"> or none detected at the detection limits.</w:t>
      </w:r>
    </w:p>
    <w:p w14:paraId="2566BFB5" w14:textId="77777777" w:rsidR="00F61F6C" w:rsidRDefault="00F61F6C" w:rsidP="008070FB">
      <w:pPr>
        <w:rPr>
          <w:lang w:eastAsia="en-AU"/>
        </w:rPr>
      </w:pPr>
    </w:p>
    <w:p w14:paraId="33E29271" w14:textId="1F15A906" w:rsidR="008070FB" w:rsidRDefault="008070FB" w:rsidP="008070FB">
      <w:pPr>
        <w:rPr>
          <w:lang w:eastAsia="en-AU"/>
        </w:rPr>
      </w:pPr>
      <w:r>
        <w:rPr>
          <w:lang w:eastAsia="en-AU"/>
        </w:rPr>
        <w:t xml:space="preserve">The presence of residual bacterial DNA in </w:t>
      </w:r>
      <w:r w:rsidR="00E927DD">
        <w:rPr>
          <w:lang w:eastAsia="en-AU"/>
        </w:rPr>
        <w:t>2′-FL</w:t>
      </w:r>
      <w:r w:rsidR="00F61F6C" w:rsidRPr="00F61F6C">
        <w:rPr>
          <w:vertAlign w:val="subscript"/>
          <w:lang w:eastAsia="en-AU"/>
        </w:rPr>
        <w:t>micro</w:t>
      </w:r>
      <w:r>
        <w:rPr>
          <w:lang w:eastAsia="en-AU"/>
        </w:rPr>
        <w:t xml:space="preserve"> product was determined using three </w:t>
      </w:r>
      <w:r w:rsidR="00F61F6C">
        <w:rPr>
          <w:lang w:eastAsia="en-AU"/>
        </w:rPr>
        <w:t>qPCR</w:t>
      </w:r>
      <w:r>
        <w:rPr>
          <w:lang w:eastAsia="en-AU"/>
        </w:rPr>
        <w:t xml:space="preserve"> assays. These qPCR assays have been developed to detect unique chromosomal target regions of production strain </w:t>
      </w:r>
      <w:r>
        <w:rPr>
          <w:i/>
          <w:lang w:eastAsia="en-AU"/>
        </w:rPr>
        <w:t>E.coli</w:t>
      </w:r>
      <w:r>
        <w:rPr>
          <w:lang w:eastAsia="en-AU"/>
        </w:rPr>
        <w:t xml:space="preserve"> K12 (E997), with the LOD ranging from 4.5 x 10</w:t>
      </w:r>
      <w:r>
        <w:rPr>
          <w:vertAlign w:val="superscript"/>
          <w:lang w:eastAsia="en-AU"/>
        </w:rPr>
        <w:t>-7</w:t>
      </w:r>
      <w:r>
        <w:rPr>
          <w:lang w:eastAsia="en-AU"/>
        </w:rPr>
        <w:t xml:space="preserve"> ng/</w:t>
      </w:r>
      <w:r>
        <w:rPr>
          <w:rFonts w:cs="Arial"/>
          <w:lang w:eastAsia="en-AU"/>
        </w:rPr>
        <w:t>µ</w:t>
      </w:r>
      <w:r>
        <w:rPr>
          <w:lang w:eastAsia="en-AU"/>
        </w:rPr>
        <w:t>L to 4.5 x 10</w:t>
      </w:r>
      <w:r>
        <w:rPr>
          <w:vertAlign w:val="superscript"/>
          <w:lang w:eastAsia="en-AU"/>
        </w:rPr>
        <w:t>-4</w:t>
      </w:r>
      <w:r>
        <w:rPr>
          <w:lang w:eastAsia="en-AU"/>
        </w:rPr>
        <w:t xml:space="preserve"> ng/</w:t>
      </w:r>
      <w:r>
        <w:rPr>
          <w:rFonts w:cs="Arial"/>
          <w:lang w:eastAsia="en-AU"/>
        </w:rPr>
        <w:t>µ</w:t>
      </w:r>
      <w:r>
        <w:rPr>
          <w:lang w:eastAsia="en-AU"/>
        </w:rPr>
        <w:t xml:space="preserve">L cDNA. Concentration of total protein in </w:t>
      </w:r>
      <w:r w:rsidR="00E927DD">
        <w:rPr>
          <w:lang w:eastAsia="en-AU"/>
        </w:rPr>
        <w:t>2′-FL</w:t>
      </w:r>
      <w:r w:rsidR="007B20E1" w:rsidRPr="007B20E1">
        <w:rPr>
          <w:vertAlign w:val="subscript"/>
          <w:lang w:eastAsia="en-AU"/>
        </w:rPr>
        <w:t>micro</w:t>
      </w:r>
      <w:r>
        <w:rPr>
          <w:lang w:eastAsia="en-AU"/>
        </w:rPr>
        <w:t xml:space="preserve"> product was measured using a Bradford protein assay with the LOQ of 0.01% (m/m). Results from analyses of five non-consecutive batches showed that there was no detectable levels of residual</w:t>
      </w:r>
      <w:r w:rsidR="00B8263B">
        <w:rPr>
          <w:lang w:eastAsia="en-AU"/>
        </w:rPr>
        <w:t xml:space="preserve"> </w:t>
      </w:r>
      <w:r w:rsidR="00B8263B" w:rsidRPr="00B8263B">
        <w:rPr>
          <w:i/>
          <w:lang w:eastAsia="en-AU"/>
        </w:rPr>
        <w:t>E.coli</w:t>
      </w:r>
      <w:r>
        <w:rPr>
          <w:lang w:eastAsia="en-AU"/>
        </w:rPr>
        <w:t xml:space="preserve"> DNA and proteins present in the final product. </w:t>
      </w:r>
      <w:r w:rsidR="00B8263B">
        <w:rPr>
          <w:lang w:eastAsia="en-AU"/>
        </w:rPr>
        <w:t xml:space="preserve">The </w:t>
      </w:r>
      <w:r w:rsidR="004D6986">
        <w:rPr>
          <w:lang w:eastAsia="en-AU"/>
        </w:rPr>
        <w:t xml:space="preserve">absence </w:t>
      </w:r>
      <w:r w:rsidR="00B8263B">
        <w:rPr>
          <w:lang w:eastAsia="en-AU"/>
        </w:rPr>
        <w:t>of microbial contamination and microbial toxins (</w:t>
      </w:r>
      <w:r>
        <w:rPr>
          <w:lang w:eastAsia="en-AU"/>
        </w:rPr>
        <w:t xml:space="preserve">endotoxins and aflatoxin </w:t>
      </w:r>
      <w:r w:rsidR="00B8263B">
        <w:rPr>
          <w:lang w:eastAsia="en-AU"/>
        </w:rPr>
        <w:t>M</w:t>
      </w:r>
      <w:r w:rsidR="00B8263B" w:rsidRPr="00B8263B">
        <w:rPr>
          <w:vertAlign w:val="subscript"/>
          <w:lang w:eastAsia="en-AU"/>
        </w:rPr>
        <w:t>1</w:t>
      </w:r>
      <w:r w:rsidR="00B8263B">
        <w:rPr>
          <w:lang w:eastAsia="en-AU"/>
        </w:rPr>
        <w:t xml:space="preserve">) </w:t>
      </w:r>
      <w:r w:rsidR="004D6986">
        <w:rPr>
          <w:lang w:eastAsia="en-AU"/>
        </w:rPr>
        <w:t>was confirmed</w:t>
      </w:r>
      <w:r w:rsidR="007B20E1">
        <w:rPr>
          <w:lang w:eastAsia="en-AU"/>
        </w:rPr>
        <w:t xml:space="preserve"> </w:t>
      </w:r>
      <w:r>
        <w:rPr>
          <w:lang w:eastAsia="en-AU"/>
        </w:rPr>
        <w:t xml:space="preserve">using internationally recognised methods. </w:t>
      </w:r>
      <w:r w:rsidR="00B8263B">
        <w:rPr>
          <w:lang w:eastAsia="en-AU"/>
        </w:rPr>
        <w:t>Multi batch</w:t>
      </w:r>
      <w:r>
        <w:rPr>
          <w:lang w:eastAsia="en-AU"/>
        </w:rPr>
        <w:t xml:space="preserve"> analyses </w:t>
      </w:r>
      <w:r w:rsidR="006671D8">
        <w:rPr>
          <w:lang w:eastAsia="en-AU"/>
        </w:rPr>
        <w:t xml:space="preserve">of the final </w:t>
      </w:r>
      <w:r w:rsidR="00E927DD">
        <w:rPr>
          <w:lang w:eastAsia="en-AU"/>
        </w:rPr>
        <w:t>2′-FL</w:t>
      </w:r>
      <w:r w:rsidR="006671D8" w:rsidRPr="006671D8">
        <w:rPr>
          <w:vertAlign w:val="subscript"/>
          <w:lang w:eastAsia="en-AU"/>
        </w:rPr>
        <w:t>micro</w:t>
      </w:r>
      <w:r w:rsidR="006671D8">
        <w:rPr>
          <w:lang w:eastAsia="en-AU"/>
        </w:rPr>
        <w:t xml:space="preserve"> product </w:t>
      </w:r>
      <w:r>
        <w:rPr>
          <w:lang w:eastAsia="en-AU"/>
        </w:rPr>
        <w:t>showed that</w:t>
      </w:r>
      <w:r w:rsidR="006671D8">
        <w:rPr>
          <w:lang w:eastAsia="en-AU"/>
        </w:rPr>
        <w:t xml:space="preserve"> microbial </w:t>
      </w:r>
      <w:r w:rsidR="006671D8">
        <w:rPr>
          <w:lang w:eastAsia="en-AU"/>
        </w:rPr>
        <w:lastRenderedPageBreak/>
        <w:t xml:space="preserve">contamination and microbial toxins were consistently absent </w:t>
      </w:r>
      <w:r w:rsidR="004770C4">
        <w:rPr>
          <w:lang w:eastAsia="en-AU"/>
        </w:rPr>
        <w:t xml:space="preserve">or </w:t>
      </w:r>
      <w:r w:rsidR="006671D8">
        <w:rPr>
          <w:lang w:eastAsia="en-AU"/>
        </w:rPr>
        <w:t xml:space="preserve">within the specifications proposed by the </w:t>
      </w:r>
      <w:r w:rsidR="004B4381">
        <w:rPr>
          <w:lang w:eastAsia="en-AU"/>
        </w:rPr>
        <w:t>Applicant</w:t>
      </w:r>
      <w:r w:rsidR="006671D8">
        <w:rPr>
          <w:lang w:eastAsia="en-AU"/>
        </w:rPr>
        <w:t>.</w:t>
      </w:r>
    </w:p>
    <w:p w14:paraId="2FB3092E" w14:textId="302EE26A" w:rsidR="00B8263B" w:rsidRDefault="00B8263B" w:rsidP="008070FB">
      <w:pPr>
        <w:rPr>
          <w:lang w:eastAsia="en-AU"/>
        </w:rPr>
      </w:pPr>
    </w:p>
    <w:p w14:paraId="11B0C484" w14:textId="5991B685" w:rsidR="00B8263B" w:rsidRDefault="00B8263B" w:rsidP="008070FB">
      <w:pPr>
        <w:rPr>
          <w:lang w:eastAsia="en-AU"/>
        </w:rPr>
      </w:pPr>
      <w:r>
        <w:t xml:space="preserve">The </w:t>
      </w:r>
      <w:r w:rsidR="004B4381">
        <w:t>Application</w:t>
      </w:r>
      <w:r>
        <w:t xml:space="preserve"> included a description of quality control measures and </w:t>
      </w:r>
      <w:r w:rsidR="006671D8">
        <w:t xml:space="preserve">analytical </w:t>
      </w:r>
      <w:r>
        <w:t xml:space="preserve">methods for </w:t>
      </w:r>
      <w:r w:rsidR="006671D8">
        <w:t>parameters such as pH</w:t>
      </w:r>
      <w:r w:rsidR="0085748A">
        <w:t xml:space="preserve"> and </w:t>
      </w:r>
      <w:r w:rsidR="00BA3EFE">
        <w:t>water content.</w:t>
      </w:r>
      <w:r w:rsidR="00BA3EFE" w:rsidRPr="00BA3EFE">
        <w:t xml:space="preserve"> </w:t>
      </w:r>
      <w:r w:rsidR="00BA3EFE">
        <w:t xml:space="preserve">Multi batch analyses demonstrated that the pH and water content for </w:t>
      </w:r>
      <w:r w:rsidR="00E927DD">
        <w:t>2′-FL</w:t>
      </w:r>
      <w:r w:rsidR="00BA3EFE">
        <w:t xml:space="preserve"> product were within the proposed specifications. The presence of other contaminants and/or impurities including</w:t>
      </w:r>
      <w:r w:rsidR="006671D8">
        <w:t xml:space="preserve"> ash, metals (aluminium, lead, arsenic, cadmium and mercury), nitrite, nitrate and scorched particles from the growth medium</w:t>
      </w:r>
      <w:r w:rsidR="00BA3EFE">
        <w:t xml:space="preserve"> were determined using internationally recognised methods</w:t>
      </w:r>
      <w:r w:rsidR="006671D8">
        <w:t>.</w:t>
      </w:r>
      <w:r>
        <w:t xml:space="preserve"> </w:t>
      </w:r>
      <w:r w:rsidR="00BA3EFE">
        <w:t>Results from multi</w:t>
      </w:r>
      <w:r w:rsidR="00E46486">
        <w:t>-</w:t>
      </w:r>
      <w:r w:rsidR="00BA3EFE">
        <w:t>batch analyses showed that these contaminants</w:t>
      </w:r>
      <w:r w:rsidR="007B20E1">
        <w:t xml:space="preserve"> and</w:t>
      </w:r>
      <w:r w:rsidR="00BA3EFE">
        <w:t>/</w:t>
      </w:r>
      <w:r w:rsidR="007B20E1">
        <w:t xml:space="preserve">or </w:t>
      </w:r>
      <w:r w:rsidR="00BA3EFE">
        <w:t xml:space="preserve">impurities </w:t>
      </w:r>
      <w:r>
        <w:t>were</w:t>
      </w:r>
      <w:r w:rsidR="00BA3EFE">
        <w:t xml:space="preserve"> either</w:t>
      </w:r>
      <w:r>
        <w:t xml:space="preserve"> insignificant or absent in</w:t>
      </w:r>
      <w:r w:rsidR="00BA3EFE">
        <w:t xml:space="preserve"> five</w:t>
      </w:r>
      <w:r>
        <w:t xml:space="preserve"> non-consecutive batches of </w:t>
      </w:r>
      <w:r w:rsidR="00BA3EFE">
        <w:t>final</w:t>
      </w:r>
      <w:r>
        <w:t xml:space="preserve"> </w:t>
      </w:r>
      <w:r w:rsidR="00E927DD">
        <w:t>2′-FL</w:t>
      </w:r>
      <w:r w:rsidRPr="00BA3EFE">
        <w:rPr>
          <w:vertAlign w:val="subscript"/>
        </w:rPr>
        <w:t xml:space="preserve">micro </w:t>
      </w:r>
      <w:r w:rsidR="00BA3EFE">
        <w:t>product.</w:t>
      </w:r>
    </w:p>
    <w:p w14:paraId="1B0240D4" w14:textId="7BA27A85" w:rsidR="008F70E9" w:rsidRDefault="008F70E9" w:rsidP="00F61F6C">
      <w:pPr>
        <w:pStyle w:val="Heading3"/>
        <w:ind w:left="0" w:firstLine="0"/>
      </w:pPr>
      <w:r>
        <w:t>2.3.3</w:t>
      </w:r>
      <w:r w:rsidR="00B409E9">
        <w:tab/>
      </w:r>
      <w:r>
        <w:t>Stability</w:t>
      </w:r>
    </w:p>
    <w:p w14:paraId="212BCA04" w14:textId="0E35EA12" w:rsidR="008070FB" w:rsidRDefault="008070FB" w:rsidP="008070FB">
      <w:r>
        <w:t xml:space="preserve">Stability studies were conducted on </w:t>
      </w:r>
      <w:r w:rsidR="00E927DD">
        <w:t>2′-FL</w:t>
      </w:r>
      <w:r>
        <w:rPr>
          <w:vertAlign w:val="subscript"/>
        </w:rPr>
        <w:t>micro</w:t>
      </w:r>
      <w:r>
        <w:t xml:space="preserve"> product under </w:t>
      </w:r>
      <w:r w:rsidR="0085748A">
        <w:t xml:space="preserve">ambient </w:t>
      </w:r>
      <w:r>
        <w:t xml:space="preserve">shelf-storage conditions (25°C/60% relative humidity) and accelerated storage conditions (40°C/75% relative humidity). The data demonstrated that </w:t>
      </w:r>
      <w:r w:rsidR="00E927DD">
        <w:t>2′-FL</w:t>
      </w:r>
      <w:r>
        <w:rPr>
          <w:vertAlign w:val="subscript"/>
        </w:rPr>
        <w:t>micro</w:t>
      </w:r>
      <w:r>
        <w:t xml:space="preserve"> did not show significant changes in the appearance,</w:t>
      </w:r>
      <w:r w:rsidR="00BA3EFE">
        <w:t xml:space="preserve"> moisture, </w:t>
      </w:r>
      <w:r>
        <w:t>microbiological profiles, impurity profiles or degradation of the ingredient over t</w:t>
      </w:r>
      <w:r w:rsidR="00BA3EFE">
        <w:t>he study duration.</w:t>
      </w:r>
      <w:r w:rsidR="00BA3EFE" w:rsidRPr="00BA3EFE">
        <w:t xml:space="preserve"> </w:t>
      </w:r>
      <w:r w:rsidR="00BA3EFE">
        <w:t xml:space="preserve">The </w:t>
      </w:r>
      <w:r w:rsidR="004B4381">
        <w:t>Applicant</w:t>
      </w:r>
      <w:r w:rsidR="00BA3EFE">
        <w:t xml:space="preserve">’s </w:t>
      </w:r>
      <w:r w:rsidR="00E927DD">
        <w:t>2′-FL</w:t>
      </w:r>
      <w:r w:rsidR="00BA3EFE">
        <w:rPr>
          <w:vertAlign w:val="subscript"/>
        </w:rPr>
        <w:t>micro</w:t>
      </w:r>
      <w:r w:rsidR="00BA3EFE">
        <w:t xml:space="preserve"> is stable for</w:t>
      </w:r>
      <w:r w:rsidR="0029283D">
        <w:t xml:space="preserve"> at least</w:t>
      </w:r>
      <w:r w:rsidR="00BA3EFE">
        <w:t xml:space="preserve"> 6 months under accelerated storage conditions and </w:t>
      </w:r>
      <w:r w:rsidR="00F66DD7">
        <w:t xml:space="preserve">at least </w:t>
      </w:r>
      <w:r w:rsidR="0029283D">
        <w:t>3</w:t>
      </w:r>
      <w:r w:rsidR="00F66DD7">
        <w:t>6 months</w:t>
      </w:r>
      <w:r w:rsidR="000C77D7">
        <w:rPr>
          <w:color w:val="FF0000"/>
        </w:rPr>
        <w:t xml:space="preserve"> </w:t>
      </w:r>
      <w:r w:rsidR="00BA3EFE">
        <w:t>under standard shelf-storage conditions.</w:t>
      </w:r>
    </w:p>
    <w:p w14:paraId="27F1CDE0" w14:textId="77777777" w:rsidR="008070FB" w:rsidRDefault="008070FB" w:rsidP="008070FB"/>
    <w:p w14:paraId="09AFACDF" w14:textId="45FC72B6" w:rsidR="000E0144" w:rsidRDefault="008070FB" w:rsidP="000E0144">
      <w:r>
        <w:t xml:space="preserve">The stability of </w:t>
      </w:r>
      <w:r w:rsidR="00E927DD">
        <w:t>2′-FL</w:t>
      </w:r>
      <w:r>
        <w:rPr>
          <w:vertAlign w:val="subscript"/>
        </w:rPr>
        <w:t xml:space="preserve">micro </w:t>
      </w:r>
      <w:r>
        <w:t>has been previ</w:t>
      </w:r>
      <w:r w:rsidR="000C77D7">
        <w:t>ously assessed as part of A1155 (</w:t>
      </w:r>
      <w:hyperlink r:id="rId28" w:history="1">
        <w:r w:rsidR="000C77D7" w:rsidRPr="00F66DD7">
          <w:rPr>
            <w:rStyle w:val="Hyperlink"/>
          </w:rPr>
          <w:t>FSANZ 2019</w:t>
        </w:r>
        <w:r w:rsidR="00F66DD7" w:rsidRPr="00F66DD7">
          <w:rPr>
            <w:rStyle w:val="Hyperlink"/>
          </w:rPr>
          <w:t>a</w:t>
        </w:r>
      </w:hyperlink>
      <w:r w:rsidR="000C77D7">
        <w:t xml:space="preserve">) </w:t>
      </w:r>
      <w:r>
        <w:t>and A1190</w:t>
      </w:r>
      <w:r w:rsidR="000C77D7">
        <w:t xml:space="preserve"> (</w:t>
      </w:r>
      <w:hyperlink r:id="rId29" w:history="1">
        <w:r w:rsidR="00F66DD7" w:rsidRPr="00F66DD7">
          <w:rPr>
            <w:rStyle w:val="Hyperlink"/>
          </w:rPr>
          <w:t>FSANZ 2021</w:t>
        </w:r>
      </w:hyperlink>
      <w:r w:rsidR="000C77D7">
        <w:t>)</w:t>
      </w:r>
      <w:r>
        <w:t xml:space="preserve">. It has been reported that </w:t>
      </w:r>
      <w:r w:rsidR="00E927DD">
        <w:t>2′-FL</w:t>
      </w:r>
      <w:r w:rsidR="000C77D7">
        <w:rPr>
          <w:vertAlign w:val="subscript"/>
        </w:rPr>
        <w:t>chem</w:t>
      </w:r>
      <w:r>
        <w:t xml:space="preserve"> is stable when </w:t>
      </w:r>
      <w:r w:rsidR="00F55B6C">
        <w:t>incorporated</w:t>
      </w:r>
      <w:r>
        <w:t xml:space="preserve"> into infant formula products and the reconstitution process of dry infant formula products has no significant effect on </w:t>
      </w:r>
      <w:r w:rsidR="00E927DD">
        <w:t>2′-FL</w:t>
      </w:r>
      <w:r>
        <w:t xml:space="preserve"> levels (</w:t>
      </w:r>
      <w:hyperlink r:id="rId30" w:history="1">
        <w:r w:rsidR="00F66DD7">
          <w:rPr>
            <w:rStyle w:val="Hyperlink"/>
          </w:rPr>
          <w:t>FSANZ 2019a</w:t>
        </w:r>
      </w:hyperlink>
      <w:r>
        <w:t xml:space="preserve">). </w:t>
      </w:r>
      <w:r w:rsidR="000E0144">
        <w:t xml:space="preserve">Stability studies conducted on </w:t>
      </w:r>
      <w:r w:rsidR="00E927DD">
        <w:t>2′-FL</w:t>
      </w:r>
      <w:r w:rsidR="000E0144" w:rsidRPr="00291D81">
        <w:rPr>
          <w:vertAlign w:val="subscript"/>
        </w:rPr>
        <w:t xml:space="preserve">micro </w:t>
      </w:r>
      <w:r w:rsidR="000E0144" w:rsidRPr="00291D81">
        <w:t>confirmed</w:t>
      </w:r>
      <w:r w:rsidR="000E0144">
        <w:rPr>
          <w:vertAlign w:val="subscript"/>
        </w:rPr>
        <w:t xml:space="preserve"> </w:t>
      </w:r>
      <w:r w:rsidR="000E0144">
        <w:t xml:space="preserve">that </w:t>
      </w:r>
      <w:r w:rsidR="00E927DD">
        <w:t>2′-FL</w:t>
      </w:r>
      <w:r w:rsidR="000E0144" w:rsidRPr="00291D81">
        <w:rPr>
          <w:vertAlign w:val="subscript"/>
        </w:rPr>
        <w:t>micro</w:t>
      </w:r>
      <w:r w:rsidR="000E0144">
        <w:t xml:space="preserve"> is stable when incorporated into IFP and the reconstitution process of dry IFP has no significant effect on 2′-FL levels (</w:t>
      </w:r>
      <w:hyperlink r:id="rId31" w:history="1">
        <w:r w:rsidR="000E0144" w:rsidRPr="000E0144">
          <w:rPr>
            <w:rStyle w:val="Hyperlink"/>
          </w:rPr>
          <w:t>FSANZ 2021</w:t>
        </w:r>
      </w:hyperlink>
      <w:r w:rsidR="000E0144">
        <w:t>).</w:t>
      </w:r>
    </w:p>
    <w:p w14:paraId="51FE4E51" w14:textId="77777777" w:rsidR="000E0144" w:rsidRDefault="000E0144" w:rsidP="00B63FF7"/>
    <w:p w14:paraId="72A7A610" w14:textId="5E0B73DA" w:rsidR="00B63FF7" w:rsidRDefault="000E0144" w:rsidP="00B63FF7">
      <w:r>
        <w:t>While no s</w:t>
      </w:r>
      <w:r w:rsidR="008070FB">
        <w:t xml:space="preserve">tability studies specifically for the </w:t>
      </w:r>
      <w:r w:rsidR="004B4381">
        <w:t>Applicant</w:t>
      </w:r>
      <w:r w:rsidR="008070FB">
        <w:t xml:space="preserve">’s </w:t>
      </w:r>
      <w:r w:rsidR="00E927DD">
        <w:t>2′-FL</w:t>
      </w:r>
      <w:r w:rsidR="008070FB">
        <w:rPr>
          <w:vertAlign w:val="subscript"/>
        </w:rPr>
        <w:t>micro</w:t>
      </w:r>
      <w:r w:rsidR="008070FB">
        <w:t xml:space="preserve"> in a fo</w:t>
      </w:r>
      <w:r w:rsidR="000C77D7">
        <w:t>od matrix such as</w:t>
      </w:r>
      <w:r>
        <w:t xml:space="preserve"> IFP </w:t>
      </w:r>
      <w:r w:rsidR="008070FB">
        <w:t>w</w:t>
      </w:r>
      <w:r w:rsidR="00CE7173">
        <w:t>as provided</w:t>
      </w:r>
      <w:r>
        <w:t>, i</w:t>
      </w:r>
      <w:r w:rsidR="009744DB">
        <w:t>t is unlikely that</w:t>
      </w:r>
      <w:r w:rsidR="008070FB">
        <w:t xml:space="preserve"> the </w:t>
      </w:r>
      <w:r w:rsidR="004B4381">
        <w:t>Applicant</w:t>
      </w:r>
      <w:r w:rsidR="008070FB">
        <w:t xml:space="preserve"> </w:t>
      </w:r>
      <w:r w:rsidR="00E927DD">
        <w:t>2′-FL</w:t>
      </w:r>
      <w:r w:rsidR="008070FB">
        <w:rPr>
          <w:vertAlign w:val="subscript"/>
        </w:rPr>
        <w:t>micro</w:t>
      </w:r>
      <w:r w:rsidR="008070FB">
        <w:t xml:space="preserve">’s stability profiles </w:t>
      </w:r>
      <w:r w:rsidR="009744DB">
        <w:t>differ</w:t>
      </w:r>
      <w:r w:rsidR="008070FB">
        <w:t xml:space="preserve"> to </w:t>
      </w:r>
      <w:r w:rsidR="00E927DD">
        <w:t>2′-FL</w:t>
      </w:r>
      <w:r w:rsidRPr="00291D81">
        <w:rPr>
          <w:vertAlign w:val="subscript"/>
        </w:rPr>
        <w:t>micro</w:t>
      </w:r>
      <w:r w:rsidR="008070FB">
        <w:t xml:space="preserve"> </w:t>
      </w:r>
      <w:r>
        <w:t xml:space="preserve">and </w:t>
      </w:r>
      <w:r w:rsidR="00E927DD">
        <w:t>2′-FL</w:t>
      </w:r>
      <w:r w:rsidRPr="00291D81">
        <w:rPr>
          <w:vertAlign w:val="subscript"/>
        </w:rPr>
        <w:t>chem</w:t>
      </w:r>
      <w:r>
        <w:t xml:space="preserve"> </w:t>
      </w:r>
      <w:r w:rsidR="000C77D7">
        <w:t>based on their chemical and structural equivalence (see Section 2.1.3)</w:t>
      </w:r>
      <w:r w:rsidR="008070FB">
        <w:t xml:space="preserve">. In addition, </w:t>
      </w:r>
      <w:r w:rsidR="000C77D7">
        <w:t>the impurities</w:t>
      </w:r>
      <w:r w:rsidR="008070FB">
        <w:t xml:space="preserve"> present in the preparation of the </w:t>
      </w:r>
      <w:r w:rsidR="004B4381">
        <w:t>Applicant</w:t>
      </w:r>
      <w:r w:rsidR="008070FB">
        <w:t xml:space="preserve">’s </w:t>
      </w:r>
      <w:r w:rsidR="00E927DD">
        <w:t>2′-FL</w:t>
      </w:r>
      <w:r w:rsidR="008070FB">
        <w:rPr>
          <w:vertAlign w:val="subscript"/>
        </w:rPr>
        <w:t>micro</w:t>
      </w:r>
      <w:r w:rsidR="008070FB">
        <w:t xml:space="preserve"> </w:t>
      </w:r>
      <w:r w:rsidR="000C77D7">
        <w:t>are not suspected to cause or</w:t>
      </w:r>
      <w:r w:rsidR="008070FB">
        <w:t xml:space="preserve"> accelerate the degradation</w:t>
      </w:r>
      <w:r w:rsidR="000C77D7">
        <w:t xml:space="preserve"> of </w:t>
      </w:r>
      <w:r w:rsidR="00E927DD">
        <w:t>2′-FL</w:t>
      </w:r>
      <w:r w:rsidR="007B20E1">
        <w:t xml:space="preserve"> in the final product</w:t>
      </w:r>
      <w:r w:rsidR="000C77D7">
        <w:t xml:space="preserve"> (see Section 2.3.2).</w:t>
      </w:r>
    </w:p>
    <w:p w14:paraId="5974EE44" w14:textId="199C686C" w:rsidR="00B63FF7" w:rsidRDefault="00B63FF7" w:rsidP="00BC1C5A">
      <w:pPr>
        <w:pStyle w:val="Heading2"/>
      </w:pPr>
      <w:bookmarkStart w:id="106" w:name="_Toc70675681"/>
      <w:bookmarkStart w:id="107" w:name="_Toc70675774"/>
      <w:bookmarkStart w:id="108" w:name="_Toc72480613"/>
      <w:bookmarkStart w:id="109" w:name="_Toc86413188"/>
      <w:bookmarkStart w:id="110" w:name="_Toc86914418"/>
      <w:bookmarkStart w:id="111" w:name="_Toc89242934"/>
      <w:r>
        <w:t>2.4</w:t>
      </w:r>
      <w:r w:rsidR="00B409E9">
        <w:tab/>
      </w:r>
      <w:r>
        <w:t>Product specifications</w:t>
      </w:r>
      <w:bookmarkEnd w:id="106"/>
      <w:bookmarkEnd w:id="107"/>
      <w:bookmarkEnd w:id="108"/>
      <w:bookmarkEnd w:id="109"/>
      <w:bookmarkEnd w:id="110"/>
      <w:bookmarkEnd w:id="111"/>
    </w:p>
    <w:p w14:paraId="11905DC8" w14:textId="04E48C05" w:rsidR="006A5B2B" w:rsidRDefault="006A5B2B" w:rsidP="006A5B2B">
      <w:r w:rsidRPr="000E7C54">
        <w:t xml:space="preserve">The </w:t>
      </w:r>
      <w:r w:rsidR="004B4381" w:rsidRPr="000E7C54">
        <w:t>Applicant</w:t>
      </w:r>
      <w:r w:rsidRPr="000E7C54">
        <w:t xml:space="preserve"> has established product specifications for 2′-FL</w:t>
      </w:r>
      <w:r w:rsidRPr="000E7C54">
        <w:rPr>
          <w:vertAlign w:val="subscript"/>
        </w:rPr>
        <w:t xml:space="preserve">micro </w:t>
      </w:r>
      <w:r w:rsidR="00782BB7" w:rsidRPr="000E7C54">
        <w:t xml:space="preserve">however has </w:t>
      </w:r>
      <w:r w:rsidR="000928E2" w:rsidRPr="000E7C54">
        <w:t>requested</w:t>
      </w:r>
      <w:r w:rsidR="00782BB7" w:rsidRPr="000E7C54">
        <w:t xml:space="preserve"> </w:t>
      </w:r>
      <w:r w:rsidR="000928E2" w:rsidRPr="000E7C54">
        <w:t>that</w:t>
      </w:r>
      <w:r w:rsidRPr="000E7C54">
        <w:rPr>
          <w:vertAlign w:val="subscript"/>
        </w:rPr>
        <w:t xml:space="preserve"> </w:t>
      </w:r>
      <w:r w:rsidRPr="000E7C54">
        <w:t>the specification established by the European Union (EU)</w:t>
      </w:r>
      <w:r w:rsidR="000928E2" w:rsidRPr="000E7C54">
        <w:t xml:space="preserve"> in 2019</w:t>
      </w:r>
      <w:r w:rsidR="003F18B9" w:rsidRPr="000E7C54">
        <w:t xml:space="preserve"> (European </w:t>
      </w:r>
      <w:r w:rsidR="00DB702F" w:rsidRPr="000E7C54">
        <w:t>Union 2019</w:t>
      </w:r>
      <w:r w:rsidR="003F18B9" w:rsidRPr="000E7C54">
        <w:t>)</w:t>
      </w:r>
      <w:r w:rsidR="00782BB7" w:rsidRPr="000E7C54">
        <w:t xml:space="preserve"> </w:t>
      </w:r>
      <w:r w:rsidR="000928E2" w:rsidRPr="000E7C54">
        <w:t>be applied to their 2</w:t>
      </w:r>
      <w:r w:rsidR="00254462" w:rsidRPr="000E7C54">
        <w:t>′</w:t>
      </w:r>
      <w:r w:rsidR="000928E2" w:rsidRPr="000E7C54">
        <w:t>-FL preparation</w:t>
      </w:r>
      <w:r w:rsidRPr="000E7C54">
        <w:t xml:space="preserve">. </w:t>
      </w:r>
      <w:r w:rsidR="004022D6" w:rsidRPr="000E7C54">
        <w:t>A</w:t>
      </w:r>
      <w:r w:rsidRPr="000E7C54">
        <w:t xml:space="preserve"> relevant specification for 2′-FL is listed in Schedule 3 under section S3—2(2) of the Code (</w:t>
      </w:r>
      <w:hyperlink r:id="rId32" w:history="1">
        <w:r w:rsidRPr="000E7C54">
          <w:rPr>
            <w:rStyle w:val="Hyperlink"/>
          </w:rPr>
          <w:t>A1155</w:t>
        </w:r>
      </w:hyperlink>
      <w:r w:rsidRPr="000E7C54">
        <w:t xml:space="preserve"> gazetted 25 March 2021</w:t>
      </w:r>
      <w:r w:rsidR="007E1234" w:rsidRPr="000E7C54">
        <w:t>)</w:t>
      </w:r>
      <w:r w:rsidR="00DD16BD" w:rsidRPr="000E7C54">
        <w:t>.</w:t>
      </w:r>
    </w:p>
    <w:p w14:paraId="28A9519F" w14:textId="77777777" w:rsidR="006A5B2B" w:rsidRDefault="006A5B2B" w:rsidP="00B63FF7">
      <w:pPr>
        <w:rPr>
          <w:lang w:bidi="ar-SA"/>
        </w:rPr>
      </w:pPr>
    </w:p>
    <w:p w14:paraId="378F498A" w14:textId="3023D2AB" w:rsidR="00D15CBB" w:rsidRDefault="00D15CBB" w:rsidP="00B63FF7">
      <w:pPr>
        <w:rPr>
          <w:color w:val="FF0000"/>
          <w:lang w:bidi="ar-SA"/>
        </w:rPr>
      </w:pPr>
      <w:r>
        <w:rPr>
          <w:lang w:bidi="ar-SA"/>
        </w:rPr>
        <w:t xml:space="preserve">The </w:t>
      </w:r>
      <w:r w:rsidR="004B4381">
        <w:rPr>
          <w:lang w:bidi="ar-SA"/>
        </w:rPr>
        <w:t>Applicant</w:t>
      </w:r>
      <w:r>
        <w:rPr>
          <w:lang w:bidi="ar-SA"/>
        </w:rPr>
        <w:t>’s specification</w:t>
      </w:r>
      <w:r w:rsidR="004022D6">
        <w:rPr>
          <w:lang w:bidi="ar-SA"/>
        </w:rPr>
        <w:t xml:space="preserve"> </w:t>
      </w:r>
      <w:r>
        <w:rPr>
          <w:lang w:bidi="ar-SA"/>
        </w:rPr>
        <w:t>prescribes</w:t>
      </w:r>
      <w:r w:rsidR="004022D6">
        <w:rPr>
          <w:lang w:bidi="ar-SA"/>
        </w:rPr>
        <w:t xml:space="preserve"> maximum amou</w:t>
      </w:r>
      <w:r>
        <w:rPr>
          <w:lang w:bidi="ar-SA"/>
        </w:rPr>
        <w:t>nts for carbohydrate impurities and other contaminants</w:t>
      </w:r>
      <w:r w:rsidR="004022D6">
        <w:rPr>
          <w:lang w:bidi="ar-SA"/>
        </w:rPr>
        <w:t xml:space="preserve"> </w:t>
      </w:r>
      <w:r w:rsidR="004770C4">
        <w:rPr>
          <w:lang w:bidi="ar-SA"/>
        </w:rPr>
        <w:t xml:space="preserve">resulting </w:t>
      </w:r>
      <w:r w:rsidR="004022D6">
        <w:rPr>
          <w:lang w:bidi="ar-SA"/>
        </w:rPr>
        <w:t xml:space="preserve">from the </w:t>
      </w:r>
      <w:r w:rsidR="002272CB">
        <w:rPr>
          <w:lang w:bidi="ar-SA"/>
        </w:rPr>
        <w:t>manufacturing</w:t>
      </w:r>
      <w:r w:rsidR="004022D6">
        <w:rPr>
          <w:lang w:bidi="ar-SA"/>
        </w:rPr>
        <w:t xml:space="preserve"> process</w:t>
      </w:r>
      <w:r w:rsidR="002272CB">
        <w:rPr>
          <w:lang w:bidi="ar-SA"/>
        </w:rPr>
        <w:t xml:space="preserve">. These specifications are dissimilar to </w:t>
      </w:r>
      <w:r>
        <w:rPr>
          <w:lang w:bidi="ar-SA"/>
        </w:rPr>
        <w:t xml:space="preserve">those listed in Schedule 3 under section </w:t>
      </w:r>
      <w:r w:rsidRPr="00D15CBB">
        <w:rPr>
          <w:lang w:bidi="ar-SA"/>
        </w:rPr>
        <w:t>S3—</w:t>
      </w:r>
      <w:r w:rsidR="00471A3C">
        <w:rPr>
          <w:lang w:bidi="ar-SA"/>
        </w:rPr>
        <w:t>40</w:t>
      </w:r>
      <w:r w:rsidR="00DD16BD">
        <w:rPr>
          <w:lang w:bidi="ar-SA"/>
        </w:rPr>
        <w:t>.</w:t>
      </w:r>
    </w:p>
    <w:p w14:paraId="1EF10B40" w14:textId="77777777" w:rsidR="00D15CBB" w:rsidRDefault="00D15CBB" w:rsidP="00B63FF7">
      <w:pPr>
        <w:rPr>
          <w:lang w:bidi="ar-SA"/>
        </w:rPr>
      </w:pPr>
    </w:p>
    <w:p w14:paraId="4DB823BC" w14:textId="540E77B3" w:rsidR="001D1D34" w:rsidRDefault="008070FB" w:rsidP="001D1D34">
      <w:r>
        <w:rPr>
          <w:lang w:bidi="ar-SA"/>
        </w:rPr>
        <w:t xml:space="preserve">The </w:t>
      </w:r>
      <w:r w:rsidR="00A04C5B">
        <w:rPr>
          <w:lang w:bidi="ar-SA"/>
        </w:rPr>
        <w:t xml:space="preserve">proposed </w:t>
      </w:r>
      <w:r>
        <w:rPr>
          <w:lang w:bidi="ar-SA"/>
        </w:rPr>
        <w:t>specifications</w:t>
      </w:r>
      <w:r w:rsidR="00A04C5B">
        <w:rPr>
          <w:lang w:bidi="ar-SA"/>
        </w:rPr>
        <w:t xml:space="preserve"> for the </w:t>
      </w:r>
      <w:r w:rsidR="004B4381">
        <w:rPr>
          <w:lang w:bidi="ar-SA"/>
        </w:rPr>
        <w:t>Applicant</w:t>
      </w:r>
      <w:r w:rsidR="00A04C5B">
        <w:rPr>
          <w:lang w:bidi="ar-SA"/>
        </w:rPr>
        <w:t xml:space="preserve">’s </w:t>
      </w:r>
      <w:r w:rsidR="00E927DD">
        <w:rPr>
          <w:lang w:bidi="ar-SA"/>
        </w:rPr>
        <w:t>2′-FL</w:t>
      </w:r>
      <w:r w:rsidR="00A04C5B" w:rsidRPr="007856B7">
        <w:rPr>
          <w:vertAlign w:val="subscript"/>
          <w:lang w:bidi="ar-SA"/>
        </w:rPr>
        <w:t>micro</w:t>
      </w:r>
      <w:r w:rsidR="00A04C5B">
        <w:rPr>
          <w:lang w:bidi="ar-SA"/>
        </w:rPr>
        <w:t xml:space="preserve">, and existing specifications for </w:t>
      </w:r>
      <w:r w:rsidR="00E927DD">
        <w:rPr>
          <w:lang w:bidi="ar-SA"/>
        </w:rPr>
        <w:t>2′-FL</w:t>
      </w:r>
      <w:r w:rsidR="00A04C5B">
        <w:rPr>
          <w:lang w:bidi="ar-SA"/>
        </w:rPr>
        <w:t xml:space="preserve"> established in the EU and in the Code, </w:t>
      </w:r>
      <w:r>
        <w:rPr>
          <w:lang w:bidi="ar-SA"/>
        </w:rPr>
        <w:t>are presented in the Table 2.</w:t>
      </w:r>
      <w:r w:rsidR="001D1D34">
        <w:rPr>
          <w:lang w:bidi="ar-SA"/>
        </w:rPr>
        <w:t>3</w:t>
      </w:r>
      <w:r w:rsidR="00A04C5B">
        <w:rPr>
          <w:lang w:bidi="ar-SA"/>
        </w:rPr>
        <w:t xml:space="preserve">. </w:t>
      </w:r>
      <w:r w:rsidR="002272CB">
        <w:rPr>
          <w:lang w:bidi="ar-SA"/>
        </w:rPr>
        <w:t>Submitted c</w:t>
      </w:r>
      <w:r>
        <w:rPr>
          <w:lang w:bidi="ar-SA"/>
        </w:rPr>
        <w:t>ertificate</w:t>
      </w:r>
      <w:r w:rsidR="00D15CBB">
        <w:rPr>
          <w:lang w:bidi="ar-SA"/>
        </w:rPr>
        <w:t>s</w:t>
      </w:r>
      <w:r>
        <w:rPr>
          <w:lang w:bidi="ar-SA"/>
        </w:rPr>
        <w:t xml:space="preserve"> of analysis for five non-consecutive batches of </w:t>
      </w:r>
      <w:r w:rsidR="00E927DD">
        <w:rPr>
          <w:lang w:bidi="ar-SA"/>
        </w:rPr>
        <w:t>2′-FL</w:t>
      </w:r>
      <w:r>
        <w:rPr>
          <w:vertAlign w:val="subscript"/>
          <w:lang w:bidi="ar-SA"/>
        </w:rPr>
        <w:t>micro</w:t>
      </w:r>
      <w:r>
        <w:rPr>
          <w:lang w:bidi="ar-SA"/>
        </w:rPr>
        <w:t xml:space="preserve"> </w:t>
      </w:r>
      <w:r>
        <w:rPr>
          <w:lang w:bidi="ar-SA"/>
        </w:rPr>
        <w:lastRenderedPageBreak/>
        <w:t>demonstrated that the product consistently meet</w:t>
      </w:r>
      <w:r w:rsidR="004770C4">
        <w:rPr>
          <w:lang w:bidi="ar-SA"/>
        </w:rPr>
        <w:t>s</w:t>
      </w:r>
      <w:r>
        <w:rPr>
          <w:lang w:bidi="ar-SA"/>
        </w:rPr>
        <w:t xml:space="preserve"> the specifications proposed by the </w:t>
      </w:r>
      <w:r w:rsidR="004B4381">
        <w:rPr>
          <w:lang w:bidi="ar-SA"/>
        </w:rPr>
        <w:t>Applicant</w:t>
      </w:r>
      <w:r>
        <w:rPr>
          <w:lang w:bidi="ar-SA"/>
        </w:rPr>
        <w:t xml:space="preserve"> across all batches tested. </w:t>
      </w:r>
      <w:r w:rsidR="00D15CBB">
        <w:rPr>
          <w:lang w:bidi="ar-SA"/>
        </w:rPr>
        <w:t>Multi</w:t>
      </w:r>
      <w:r w:rsidR="007B20E1">
        <w:rPr>
          <w:lang w:bidi="ar-SA"/>
        </w:rPr>
        <w:t>-</w:t>
      </w:r>
      <w:r w:rsidR="00D15CBB">
        <w:rPr>
          <w:lang w:bidi="ar-SA"/>
        </w:rPr>
        <w:t xml:space="preserve">batch analyses showed that </w:t>
      </w:r>
      <w:r>
        <w:rPr>
          <w:lang w:bidi="ar-SA"/>
        </w:rPr>
        <w:t>2′-FL</w:t>
      </w:r>
      <w:r>
        <w:rPr>
          <w:vertAlign w:val="subscript"/>
          <w:lang w:bidi="ar-SA"/>
        </w:rPr>
        <w:t>micro</w:t>
      </w:r>
      <w:r>
        <w:rPr>
          <w:lang w:bidi="ar-SA"/>
        </w:rPr>
        <w:t xml:space="preserve"> </w:t>
      </w:r>
      <w:r w:rsidR="007E1234">
        <w:rPr>
          <w:lang w:bidi="ar-SA"/>
        </w:rPr>
        <w:t xml:space="preserve">also </w:t>
      </w:r>
      <w:r>
        <w:rPr>
          <w:lang w:bidi="ar-SA"/>
        </w:rPr>
        <w:t>meets requirements for lea</w:t>
      </w:r>
      <w:r w:rsidR="00D15CBB">
        <w:rPr>
          <w:lang w:bidi="ar-SA"/>
        </w:rPr>
        <w:t xml:space="preserve">d, arsenic, cadmium and mercury prescribed in Schedule 3 under section </w:t>
      </w:r>
      <w:r w:rsidR="00D15CBB">
        <w:t>S3—4 of the Code.</w:t>
      </w:r>
      <w:r w:rsidR="00DB702F">
        <w:t xml:space="preserve"> The finished product also meets the specifications established in the EU for </w:t>
      </w:r>
      <w:r w:rsidR="00E927DD">
        <w:t>2′-FL</w:t>
      </w:r>
      <w:r w:rsidR="00DB702F">
        <w:t xml:space="preserve"> produced </w:t>
      </w:r>
      <w:r w:rsidR="00222320">
        <w:t xml:space="preserve">with </w:t>
      </w:r>
      <w:r w:rsidR="00DB702F" w:rsidRPr="00222320">
        <w:rPr>
          <w:i/>
        </w:rPr>
        <w:t>E.coli</w:t>
      </w:r>
      <w:r w:rsidR="00DB702F">
        <w:t xml:space="preserve"> K12. </w:t>
      </w:r>
      <w:r w:rsidR="003610B6">
        <w:t xml:space="preserve">Additionally, either an internationally recognised method, or a method that was developed by the </w:t>
      </w:r>
      <w:r w:rsidR="004B4381">
        <w:t>Applicant</w:t>
      </w:r>
      <w:r w:rsidR="003610B6">
        <w:t xml:space="preserve"> and/or a third-party analytical service provider </w:t>
      </w:r>
      <w:r w:rsidR="004E6BA0">
        <w:t xml:space="preserve">was specified for the analysis of the </w:t>
      </w:r>
      <w:r w:rsidR="004B4381">
        <w:t>Applicant</w:t>
      </w:r>
      <w:r w:rsidR="004E6BA0">
        <w:t xml:space="preserve">’s </w:t>
      </w:r>
      <w:r w:rsidR="00E927DD">
        <w:t>2′-FL</w:t>
      </w:r>
      <w:r w:rsidR="004E6BA0" w:rsidRPr="004E6BA0">
        <w:rPr>
          <w:vertAlign w:val="subscript"/>
        </w:rPr>
        <w:t>micro</w:t>
      </w:r>
      <w:r w:rsidR="004E6BA0">
        <w:t xml:space="preserve"> for </w:t>
      </w:r>
      <w:r w:rsidR="003610B6">
        <w:t>each para</w:t>
      </w:r>
      <w:r w:rsidR="00CD2100">
        <w:t>meter</w:t>
      </w:r>
      <w:r w:rsidR="004E6BA0">
        <w:t xml:space="preserve"> in the proposed specifications.</w:t>
      </w:r>
    </w:p>
    <w:p w14:paraId="4D9CDD88" w14:textId="77777777" w:rsidR="001D1D34" w:rsidRDefault="001D1D34" w:rsidP="001D1D34">
      <w:pPr>
        <w:rPr>
          <w:rFonts w:cs="Arial"/>
          <w:b/>
        </w:rPr>
      </w:pPr>
    </w:p>
    <w:p w14:paraId="11498D60" w14:textId="513F2DDD" w:rsidR="008070FB" w:rsidRPr="001D1D34" w:rsidRDefault="00866F97" w:rsidP="001D1D34">
      <w:pPr>
        <w:rPr>
          <w:b/>
          <w:i/>
          <w:lang w:bidi="ar-SA"/>
        </w:rPr>
      </w:pPr>
      <w:hyperlink r:id="rId33" w:history="1">
        <w:r w:rsidR="00291D81" w:rsidRPr="00A22986">
          <w:rPr>
            <w:rStyle w:val="Hyperlink"/>
            <w:b/>
            <w:color w:val="auto"/>
            <w:u w:val="none"/>
            <w:lang w:bidi="ar-SA"/>
          </w:rPr>
          <w:t>Table 2.3</w:t>
        </w:r>
      </w:hyperlink>
      <w:r w:rsidR="00CE7173" w:rsidRPr="00A22986">
        <w:rPr>
          <w:b/>
          <w:i/>
          <w:lang w:bidi="ar-SA"/>
        </w:rPr>
        <w:t xml:space="preserve"> </w:t>
      </w:r>
      <w:r w:rsidR="006D5CCA" w:rsidRPr="001D1D34">
        <w:rPr>
          <w:i/>
          <w:lang w:bidi="ar-SA"/>
        </w:rPr>
        <w:t>Proposed s</w:t>
      </w:r>
      <w:r w:rsidR="008070FB" w:rsidRPr="001D1D34">
        <w:rPr>
          <w:i/>
          <w:lang w:bidi="ar-SA"/>
        </w:rPr>
        <w:t xml:space="preserve">pecifications for </w:t>
      </w:r>
      <w:r w:rsidR="00E927DD">
        <w:rPr>
          <w:i/>
          <w:lang w:bidi="ar-SA"/>
        </w:rPr>
        <w:t>2′-FL</w:t>
      </w:r>
    </w:p>
    <w:p w14:paraId="2F132B64" w14:textId="77777777" w:rsidR="00DF51E2" w:rsidRDefault="00DF51E2" w:rsidP="008070FB">
      <w:pPr>
        <w:rPr>
          <w:lang w:bidi="ar-SA"/>
        </w:rPr>
      </w:pP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2.5"/>
        <w:tblDescription w:val="Product specifications proposed by the applicant for 2'-FL"/>
      </w:tblPr>
      <w:tblGrid>
        <w:gridCol w:w="2493"/>
        <w:gridCol w:w="2162"/>
        <w:gridCol w:w="2240"/>
        <w:gridCol w:w="2165"/>
      </w:tblGrid>
      <w:tr w:rsidR="00DF51E2" w:rsidRPr="00291D81" w14:paraId="383E4E0A" w14:textId="77777777" w:rsidTr="00222320">
        <w:trPr>
          <w:cnfStyle w:val="100000000000" w:firstRow="1" w:lastRow="0" w:firstColumn="0" w:lastColumn="0" w:oddVBand="0" w:evenVBand="0" w:oddHBand="0"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shd w:val="clear" w:color="auto" w:fill="7F7F7F"/>
            <w:vAlign w:val="center"/>
            <w:hideMark/>
          </w:tcPr>
          <w:p w14:paraId="0BA7B8B7" w14:textId="77777777" w:rsidR="00DF51E2" w:rsidRPr="00291D81" w:rsidRDefault="00DF51E2" w:rsidP="0029283D">
            <w:pPr>
              <w:spacing w:before="0" w:after="0"/>
              <w:jc w:val="center"/>
              <w:rPr>
                <w:rFonts w:cs="Arial"/>
                <w:szCs w:val="20"/>
              </w:rPr>
            </w:pPr>
            <w:r w:rsidRPr="00291D81">
              <w:rPr>
                <w:rFonts w:cs="Arial"/>
                <w:szCs w:val="20"/>
              </w:rPr>
              <w:t>Parameters</w:t>
            </w:r>
          </w:p>
        </w:tc>
        <w:tc>
          <w:tcPr>
            <w:tcW w:w="1193" w:type="pct"/>
            <w:tcBorders>
              <w:top w:val="single" w:sz="4" w:space="0" w:color="auto"/>
              <w:left w:val="single" w:sz="4" w:space="0" w:color="auto"/>
              <w:bottom w:val="single" w:sz="4" w:space="0" w:color="auto"/>
              <w:right w:val="single" w:sz="4" w:space="0" w:color="auto"/>
            </w:tcBorders>
            <w:shd w:val="clear" w:color="auto" w:fill="7F7F7F"/>
            <w:vAlign w:val="center"/>
            <w:hideMark/>
          </w:tcPr>
          <w:p w14:paraId="3C65FEDA" w14:textId="77777777" w:rsidR="00DF51E2" w:rsidRPr="00291D81" w:rsidRDefault="00DF51E2" w:rsidP="0029283D">
            <w:pPr>
              <w:spacing w:before="0" w:after="0"/>
              <w:jc w:val="center"/>
              <w:rPr>
                <w:rFonts w:cs="Arial"/>
                <w:szCs w:val="20"/>
              </w:rPr>
            </w:pPr>
            <w:r w:rsidRPr="00291D81">
              <w:rPr>
                <w:rFonts w:cs="Arial"/>
                <w:szCs w:val="20"/>
              </w:rPr>
              <w:t>Friesland Campina Specifications</w:t>
            </w:r>
          </w:p>
        </w:tc>
        <w:tc>
          <w:tcPr>
            <w:tcW w:w="1236" w:type="pct"/>
            <w:tcBorders>
              <w:top w:val="single" w:sz="4" w:space="0" w:color="auto"/>
              <w:left w:val="single" w:sz="4" w:space="0" w:color="auto"/>
              <w:bottom w:val="single" w:sz="4" w:space="0" w:color="auto"/>
              <w:right w:val="single" w:sz="4" w:space="0" w:color="auto"/>
            </w:tcBorders>
            <w:shd w:val="clear" w:color="auto" w:fill="7F7F7F"/>
            <w:vAlign w:val="center"/>
          </w:tcPr>
          <w:p w14:paraId="2FEEB7C7" w14:textId="4CA518BB" w:rsidR="00DF51E2" w:rsidRPr="00291D81" w:rsidRDefault="00DF51E2" w:rsidP="008328EA">
            <w:pPr>
              <w:jc w:val="center"/>
              <w:rPr>
                <w:rFonts w:cs="Arial"/>
                <w:szCs w:val="20"/>
              </w:rPr>
            </w:pPr>
            <w:r w:rsidRPr="00291D81">
              <w:rPr>
                <w:rFonts w:cs="Arial"/>
                <w:szCs w:val="20"/>
              </w:rPr>
              <w:t>EU Specifications</w:t>
            </w:r>
            <w:r w:rsidR="005A6C0F" w:rsidRPr="00222320">
              <w:rPr>
                <w:rFonts w:cs="Arial"/>
                <w:szCs w:val="20"/>
                <w:vertAlign w:val="superscript"/>
              </w:rPr>
              <w:t>1</w:t>
            </w:r>
            <w:r w:rsidR="003D5CD8">
              <w:rPr>
                <w:rFonts w:cs="Arial"/>
                <w:szCs w:val="20"/>
                <w:vertAlign w:val="superscript"/>
              </w:rPr>
              <w:t xml:space="preserve"> </w:t>
            </w:r>
          </w:p>
        </w:tc>
        <w:tc>
          <w:tcPr>
            <w:tcW w:w="1194" w:type="pct"/>
            <w:tcBorders>
              <w:top w:val="single" w:sz="4" w:space="0" w:color="auto"/>
              <w:left w:val="single" w:sz="4" w:space="0" w:color="auto"/>
              <w:bottom w:val="single" w:sz="4" w:space="0" w:color="auto"/>
              <w:right w:val="single" w:sz="4" w:space="0" w:color="auto"/>
            </w:tcBorders>
            <w:shd w:val="clear" w:color="auto" w:fill="7F7F7F"/>
            <w:vAlign w:val="center"/>
            <w:hideMark/>
          </w:tcPr>
          <w:p w14:paraId="740D2B2D" w14:textId="57ACBA2A" w:rsidR="00DF51E2" w:rsidRPr="00291D81" w:rsidRDefault="00CE7173" w:rsidP="00DD16BD">
            <w:pPr>
              <w:spacing w:before="0" w:after="0"/>
              <w:jc w:val="center"/>
              <w:rPr>
                <w:rFonts w:cs="Arial"/>
                <w:szCs w:val="20"/>
              </w:rPr>
            </w:pPr>
            <w:r w:rsidRPr="00291D81">
              <w:rPr>
                <w:rFonts w:cs="Arial"/>
                <w:szCs w:val="20"/>
              </w:rPr>
              <w:t>Specifications in the Code (S3—40)</w:t>
            </w:r>
            <w:r w:rsidR="003E55AA" w:rsidRPr="00222320">
              <w:rPr>
                <w:rFonts w:cs="Arial"/>
                <w:szCs w:val="20"/>
                <w:vertAlign w:val="superscript"/>
              </w:rPr>
              <w:t>2</w:t>
            </w:r>
          </w:p>
        </w:tc>
      </w:tr>
      <w:tr w:rsidR="00DF51E2" w:rsidRPr="00291D81" w14:paraId="6C207A36" w14:textId="77777777" w:rsidTr="00291D81">
        <w:trPr>
          <w:cnfStyle w:val="000000100000" w:firstRow="0" w:lastRow="0" w:firstColumn="0" w:lastColumn="0" w:oddVBand="0" w:evenVBand="0" w:oddHBand="1" w:evenHBand="0" w:firstRowFirstColumn="0" w:firstRowLastColumn="0" w:lastRowFirstColumn="0" w:lastRowLastColumn="0"/>
          <w:trHeight w:val="39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944B6AA" w14:textId="77777777" w:rsidR="00DF51E2" w:rsidRPr="00291D81" w:rsidRDefault="00DF51E2" w:rsidP="0029283D">
            <w:pPr>
              <w:spacing w:before="60" w:after="60"/>
              <w:ind w:left="0"/>
              <w:jc w:val="center"/>
              <w:rPr>
                <w:rFonts w:cs="Arial"/>
                <w:b/>
                <w:sz w:val="20"/>
                <w:szCs w:val="20"/>
              </w:rPr>
            </w:pPr>
            <w:r w:rsidRPr="00291D81">
              <w:rPr>
                <w:rFonts w:cs="Arial"/>
                <w:b/>
                <w:sz w:val="20"/>
                <w:szCs w:val="20"/>
              </w:rPr>
              <w:t>Physical and chemical</w:t>
            </w:r>
          </w:p>
        </w:tc>
      </w:tr>
      <w:tr w:rsidR="00DF51E2" w:rsidRPr="00291D81" w14:paraId="630BDA17"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34FD5D62" w14:textId="0577B77A" w:rsidR="00DF51E2" w:rsidRPr="001E0491" w:rsidRDefault="00DF51E2" w:rsidP="0085748A">
            <w:pPr>
              <w:spacing w:before="60" w:after="60"/>
              <w:rPr>
                <w:rFonts w:cs="Arial"/>
                <w:b/>
                <w:sz w:val="20"/>
                <w:szCs w:val="20"/>
              </w:rPr>
            </w:pPr>
            <w:r w:rsidRPr="001E0491">
              <w:rPr>
                <w:rFonts w:cs="Arial"/>
                <w:b/>
                <w:sz w:val="20"/>
                <w:szCs w:val="20"/>
              </w:rPr>
              <w:t>Appearance</w:t>
            </w:r>
          </w:p>
        </w:tc>
        <w:tc>
          <w:tcPr>
            <w:tcW w:w="1193" w:type="pct"/>
            <w:tcBorders>
              <w:top w:val="single" w:sz="4" w:space="0" w:color="auto"/>
              <w:left w:val="single" w:sz="4" w:space="0" w:color="auto"/>
              <w:bottom w:val="single" w:sz="4" w:space="0" w:color="auto"/>
              <w:right w:val="single" w:sz="4" w:space="0" w:color="auto"/>
            </w:tcBorders>
            <w:vAlign w:val="center"/>
            <w:hideMark/>
          </w:tcPr>
          <w:p w14:paraId="76F44480" w14:textId="77777777" w:rsidR="00DF51E2" w:rsidRPr="00291D81" w:rsidRDefault="00DF51E2" w:rsidP="0029283D">
            <w:pPr>
              <w:spacing w:before="60" w:after="60"/>
              <w:rPr>
                <w:rFonts w:cs="Arial"/>
                <w:sz w:val="20"/>
                <w:szCs w:val="20"/>
              </w:rPr>
            </w:pPr>
            <w:r w:rsidRPr="00291D81">
              <w:rPr>
                <w:rFonts w:cs="Arial"/>
                <w:sz w:val="20"/>
                <w:szCs w:val="20"/>
              </w:rPr>
              <w:t>Homogenous powder</w:t>
            </w:r>
          </w:p>
        </w:tc>
        <w:tc>
          <w:tcPr>
            <w:tcW w:w="1236" w:type="pct"/>
            <w:tcBorders>
              <w:top w:val="single" w:sz="4" w:space="0" w:color="auto"/>
              <w:left w:val="single" w:sz="4" w:space="0" w:color="auto"/>
              <w:bottom w:val="single" w:sz="4" w:space="0" w:color="auto"/>
              <w:right w:val="single" w:sz="4" w:space="0" w:color="auto"/>
            </w:tcBorders>
            <w:vAlign w:val="center"/>
          </w:tcPr>
          <w:p w14:paraId="13F4E2C8" w14:textId="77777777" w:rsidR="00DF51E2" w:rsidRPr="00291D81" w:rsidRDefault="00DF51E2" w:rsidP="0029283D">
            <w:pPr>
              <w:spacing w:before="60" w:after="60"/>
              <w:rPr>
                <w:rFonts w:cs="Arial"/>
                <w:color w:val="000000" w:themeColor="text1"/>
                <w:sz w:val="20"/>
                <w:szCs w:val="20"/>
              </w:rPr>
            </w:pPr>
            <w:r w:rsidRPr="00291D81">
              <w:rPr>
                <w:rFonts w:cs="Arial"/>
                <w:color w:val="000000" w:themeColor="text1"/>
                <w:sz w:val="20"/>
                <w:szCs w:val="20"/>
              </w:rPr>
              <w:t>Powder</w:t>
            </w:r>
          </w:p>
        </w:tc>
        <w:tc>
          <w:tcPr>
            <w:tcW w:w="1194" w:type="pct"/>
            <w:tcBorders>
              <w:top w:val="single" w:sz="4" w:space="0" w:color="auto"/>
              <w:left w:val="single" w:sz="4" w:space="0" w:color="auto"/>
              <w:bottom w:val="single" w:sz="4" w:space="0" w:color="auto"/>
              <w:right w:val="single" w:sz="4" w:space="0" w:color="auto"/>
            </w:tcBorders>
            <w:vAlign w:val="center"/>
          </w:tcPr>
          <w:p w14:paraId="34ACC4EF" w14:textId="5CC683AF" w:rsidR="00DF51E2" w:rsidRPr="00291D81" w:rsidRDefault="000B4664" w:rsidP="0029283D">
            <w:pPr>
              <w:spacing w:before="60" w:after="60"/>
              <w:rPr>
                <w:rFonts w:cs="Arial"/>
                <w:sz w:val="20"/>
                <w:szCs w:val="20"/>
              </w:rPr>
            </w:pPr>
            <w:r w:rsidRPr="00291D81">
              <w:rPr>
                <w:rFonts w:cs="Arial"/>
                <w:sz w:val="20"/>
                <w:szCs w:val="20"/>
              </w:rPr>
              <w:t>P</w:t>
            </w:r>
            <w:r w:rsidR="00CE7173" w:rsidRPr="00291D81">
              <w:rPr>
                <w:rFonts w:cs="Arial"/>
                <w:sz w:val="20"/>
                <w:szCs w:val="20"/>
              </w:rPr>
              <w:t>owder or agglomerates</w:t>
            </w:r>
          </w:p>
        </w:tc>
      </w:tr>
      <w:tr w:rsidR="00DF51E2" w:rsidRPr="00291D81" w14:paraId="080BFF19"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58BA9951" w14:textId="03FD76BE" w:rsidR="00DF51E2" w:rsidRPr="001E0491" w:rsidRDefault="00DF51E2" w:rsidP="0029283D">
            <w:pPr>
              <w:spacing w:before="60" w:after="60"/>
              <w:rPr>
                <w:rFonts w:cs="Arial"/>
                <w:b/>
                <w:sz w:val="20"/>
                <w:szCs w:val="20"/>
              </w:rPr>
            </w:pPr>
            <w:r w:rsidRPr="001E0491">
              <w:rPr>
                <w:rFonts w:cs="Arial"/>
                <w:b/>
                <w:sz w:val="20"/>
                <w:szCs w:val="20"/>
              </w:rPr>
              <w:t>Appearance colo</w:t>
            </w:r>
            <w:r w:rsidR="0085748A" w:rsidRPr="001E0491">
              <w:rPr>
                <w:rFonts w:cs="Arial"/>
                <w:b/>
                <w:sz w:val="20"/>
                <w:szCs w:val="20"/>
              </w:rPr>
              <w:t>u</w:t>
            </w:r>
            <w:r w:rsidRPr="001E0491">
              <w:rPr>
                <w:rFonts w:cs="Arial"/>
                <w:b/>
                <w:sz w:val="20"/>
                <w:szCs w:val="20"/>
              </w:rPr>
              <w:t>r</w:t>
            </w:r>
          </w:p>
        </w:tc>
        <w:tc>
          <w:tcPr>
            <w:tcW w:w="1193" w:type="pct"/>
            <w:tcBorders>
              <w:top w:val="single" w:sz="4" w:space="0" w:color="auto"/>
              <w:left w:val="single" w:sz="4" w:space="0" w:color="auto"/>
              <w:bottom w:val="single" w:sz="4" w:space="0" w:color="auto"/>
              <w:right w:val="single" w:sz="4" w:space="0" w:color="auto"/>
            </w:tcBorders>
            <w:vAlign w:val="center"/>
            <w:hideMark/>
          </w:tcPr>
          <w:p w14:paraId="0998A706" w14:textId="77777777" w:rsidR="00DF51E2" w:rsidRPr="00291D81" w:rsidRDefault="00DF51E2" w:rsidP="0029283D">
            <w:pPr>
              <w:spacing w:before="60" w:after="60"/>
              <w:rPr>
                <w:rFonts w:cs="Arial"/>
                <w:sz w:val="20"/>
                <w:szCs w:val="20"/>
              </w:rPr>
            </w:pPr>
            <w:r w:rsidRPr="00291D81">
              <w:rPr>
                <w:rFonts w:cs="Arial"/>
                <w:sz w:val="20"/>
                <w:szCs w:val="20"/>
              </w:rPr>
              <w:t>White</w:t>
            </w:r>
          </w:p>
        </w:tc>
        <w:tc>
          <w:tcPr>
            <w:tcW w:w="1236" w:type="pct"/>
            <w:tcBorders>
              <w:top w:val="single" w:sz="4" w:space="0" w:color="auto"/>
              <w:left w:val="single" w:sz="4" w:space="0" w:color="auto"/>
              <w:bottom w:val="single" w:sz="4" w:space="0" w:color="auto"/>
              <w:right w:val="single" w:sz="4" w:space="0" w:color="auto"/>
            </w:tcBorders>
            <w:vAlign w:val="center"/>
          </w:tcPr>
          <w:p w14:paraId="404C488D" w14:textId="77777777" w:rsidR="00DF51E2" w:rsidRPr="00291D81" w:rsidRDefault="00DF51E2" w:rsidP="0029283D">
            <w:pPr>
              <w:spacing w:before="60" w:after="60"/>
              <w:rPr>
                <w:rFonts w:cs="Arial"/>
                <w:color w:val="000000" w:themeColor="text1"/>
                <w:sz w:val="20"/>
                <w:szCs w:val="20"/>
                <w:lang w:eastAsia="en-GB" w:bidi="ar-SA"/>
              </w:rPr>
            </w:pPr>
            <w:r w:rsidRPr="00291D81">
              <w:rPr>
                <w:rFonts w:cs="Arial"/>
                <w:color w:val="000000" w:themeColor="text1"/>
                <w:sz w:val="20"/>
                <w:szCs w:val="20"/>
                <w:lang w:eastAsia="en-GB" w:bidi="ar-SA"/>
              </w:rPr>
              <w:t>White to off-white</w:t>
            </w:r>
          </w:p>
        </w:tc>
        <w:tc>
          <w:tcPr>
            <w:tcW w:w="1194" w:type="pct"/>
            <w:tcBorders>
              <w:top w:val="single" w:sz="4" w:space="0" w:color="auto"/>
              <w:left w:val="single" w:sz="4" w:space="0" w:color="auto"/>
              <w:bottom w:val="single" w:sz="4" w:space="0" w:color="auto"/>
              <w:right w:val="single" w:sz="4" w:space="0" w:color="auto"/>
            </w:tcBorders>
            <w:vAlign w:val="center"/>
          </w:tcPr>
          <w:p w14:paraId="49882BFA" w14:textId="46B6AB89" w:rsidR="00DF51E2" w:rsidRPr="00291D81" w:rsidRDefault="000B4664" w:rsidP="0029283D">
            <w:pPr>
              <w:spacing w:before="60" w:after="60"/>
              <w:rPr>
                <w:rFonts w:cs="Arial"/>
                <w:sz w:val="20"/>
                <w:szCs w:val="20"/>
                <w:lang w:eastAsia="en-GB" w:bidi="ar-SA"/>
              </w:rPr>
            </w:pPr>
            <w:r w:rsidRPr="00291D81">
              <w:rPr>
                <w:rFonts w:cs="Arial"/>
                <w:sz w:val="20"/>
                <w:szCs w:val="20"/>
                <w:lang w:eastAsia="en-GB" w:bidi="ar-SA"/>
              </w:rPr>
              <w:t>W</w:t>
            </w:r>
            <w:r w:rsidR="00CE7173" w:rsidRPr="00291D81">
              <w:rPr>
                <w:rFonts w:cs="Arial"/>
                <w:sz w:val="20"/>
                <w:szCs w:val="20"/>
                <w:lang w:eastAsia="en-GB" w:bidi="ar-SA"/>
              </w:rPr>
              <w:t>hite to off white</w:t>
            </w:r>
          </w:p>
        </w:tc>
      </w:tr>
      <w:tr w:rsidR="00DF51E2" w:rsidRPr="00291D81" w14:paraId="2490C744"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4F461D6D" w14:textId="51C0CF44" w:rsidR="00DF51E2" w:rsidRPr="001E0491" w:rsidRDefault="00E927DD" w:rsidP="0029283D">
            <w:pPr>
              <w:spacing w:before="60" w:after="60"/>
              <w:rPr>
                <w:rFonts w:cs="Arial"/>
                <w:b/>
                <w:sz w:val="20"/>
                <w:szCs w:val="20"/>
              </w:rPr>
            </w:pPr>
            <w:r>
              <w:rPr>
                <w:rFonts w:cs="Arial"/>
                <w:b/>
                <w:sz w:val="20"/>
                <w:szCs w:val="20"/>
              </w:rPr>
              <w:t>2′-FL</w:t>
            </w:r>
            <w:r w:rsidR="00DF51E2" w:rsidRPr="001E0491">
              <w:rPr>
                <w:rFonts w:cs="Arial"/>
                <w:b/>
                <w:sz w:val="20"/>
                <w:szCs w:val="20"/>
              </w:rPr>
              <w:t xml:space="preserve"> content</w:t>
            </w:r>
          </w:p>
        </w:tc>
        <w:tc>
          <w:tcPr>
            <w:tcW w:w="1193" w:type="pct"/>
            <w:tcBorders>
              <w:top w:val="single" w:sz="4" w:space="0" w:color="auto"/>
              <w:left w:val="single" w:sz="4" w:space="0" w:color="auto"/>
              <w:bottom w:val="single" w:sz="4" w:space="0" w:color="auto"/>
              <w:right w:val="single" w:sz="4" w:space="0" w:color="auto"/>
            </w:tcBorders>
            <w:vAlign w:val="center"/>
            <w:hideMark/>
          </w:tcPr>
          <w:p w14:paraId="4FE3B30B" w14:textId="77777777" w:rsidR="00DF51E2" w:rsidRPr="00291D81" w:rsidRDefault="00DF51E2" w:rsidP="0029283D">
            <w:pPr>
              <w:spacing w:before="60" w:after="60"/>
              <w:rPr>
                <w:rFonts w:cs="Arial"/>
                <w:sz w:val="20"/>
                <w:szCs w:val="20"/>
              </w:rPr>
            </w:pPr>
            <w:r w:rsidRPr="00291D81">
              <w:rPr>
                <w:rFonts w:cs="Arial"/>
                <w:sz w:val="20"/>
                <w:szCs w:val="20"/>
              </w:rPr>
              <w:t>≥ 90%</w:t>
            </w:r>
          </w:p>
        </w:tc>
        <w:tc>
          <w:tcPr>
            <w:tcW w:w="1236" w:type="pct"/>
            <w:tcBorders>
              <w:top w:val="single" w:sz="4" w:space="0" w:color="auto"/>
              <w:left w:val="single" w:sz="4" w:space="0" w:color="auto"/>
              <w:bottom w:val="single" w:sz="4" w:space="0" w:color="auto"/>
              <w:right w:val="single" w:sz="4" w:space="0" w:color="auto"/>
            </w:tcBorders>
            <w:vAlign w:val="center"/>
          </w:tcPr>
          <w:p w14:paraId="6D587BAB" w14:textId="03CC2354" w:rsidR="00DF51E2" w:rsidRPr="00291D81" w:rsidRDefault="00DF51E2">
            <w:pPr>
              <w:spacing w:before="60" w:after="60"/>
              <w:rPr>
                <w:rFonts w:cs="Arial"/>
                <w:sz w:val="20"/>
                <w:szCs w:val="20"/>
                <w:lang w:eastAsia="en-GB" w:bidi="ar-SA"/>
              </w:rPr>
            </w:pPr>
            <w:r w:rsidRPr="00291D81">
              <w:rPr>
                <w:rFonts w:cs="Arial"/>
                <w:sz w:val="20"/>
                <w:szCs w:val="20"/>
              </w:rPr>
              <w:t xml:space="preserve">≥ </w:t>
            </w:r>
            <w:r w:rsidR="005A6C0F">
              <w:rPr>
                <w:rFonts w:cs="Arial"/>
                <w:sz w:val="20"/>
                <w:szCs w:val="20"/>
              </w:rPr>
              <w:t>83</w:t>
            </w:r>
            <w:r w:rsidRPr="00291D81">
              <w:rPr>
                <w:rFonts w:cs="Arial"/>
                <w:sz w:val="20"/>
                <w:szCs w:val="20"/>
              </w:rPr>
              <w:t>%</w:t>
            </w:r>
          </w:p>
        </w:tc>
        <w:tc>
          <w:tcPr>
            <w:tcW w:w="1194" w:type="pct"/>
            <w:tcBorders>
              <w:top w:val="single" w:sz="4" w:space="0" w:color="auto"/>
              <w:left w:val="single" w:sz="4" w:space="0" w:color="auto"/>
              <w:bottom w:val="single" w:sz="4" w:space="0" w:color="auto"/>
              <w:right w:val="single" w:sz="4" w:space="0" w:color="auto"/>
            </w:tcBorders>
            <w:vAlign w:val="center"/>
          </w:tcPr>
          <w:p w14:paraId="768D44AE" w14:textId="4973EDA9" w:rsidR="00DF51E2" w:rsidRPr="00291D81" w:rsidRDefault="00CE7173" w:rsidP="0029283D">
            <w:pPr>
              <w:spacing w:before="60" w:after="60"/>
              <w:rPr>
                <w:rFonts w:cs="Arial"/>
                <w:sz w:val="20"/>
                <w:szCs w:val="20"/>
                <w:lang w:eastAsia="en-GB" w:bidi="ar-SA"/>
              </w:rPr>
            </w:pPr>
            <w:r w:rsidRPr="00291D81">
              <w:rPr>
                <w:rFonts w:cs="Arial"/>
                <w:sz w:val="20"/>
                <w:szCs w:val="20"/>
              </w:rPr>
              <w:t xml:space="preserve">≥ </w:t>
            </w:r>
            <w:r w:rsidRPr="00291D81">
              <w:rPr>
                <w:rFonts w:cs="Arial"/>
                <w:sz w:val="20"/>
                <w:szCs w:val="20"/>
                <w:lang w:eastAsia="en-GB" w:bidi="ar-SA"/>
              </w:rPr>
              <w:t>94%</w:t>
            </w:r>
          </w:p>
        </w:tc>
      </w:tr>
      <w:tr w:rsidR="00DF51E2" w:rsidRPr="00291D81" w14:paraId="73B99B90"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61393F83" w14:textId="77777777" w:rsidR="00DF51E2" w:rsidRPr="001E0491" w:rsidRDefault="00DF51E2" w:rsidP="0029283D">
            <w:pPr>
              <w:spacing w:before="60" w:after="60"/>
              <w:rPr>
                <w:rFonts w:cs="Arial"/>
                <w:b/>
                <w:sz w:val="20"/>
                <w:szCs w:val="20"/>
              </w:rPr>
            </w:pPr>
            <w:r w:rsidRPr="001E0491">
              <w:rPr>
                <w:rFonts w:cs="Arial"/>
                <w:b/>
                <w:sz w:val="20"/>
                <w:szCs w:val="20"/>
              </w:rPr>
              <w:t>pH</w:t>
            </w:r>
          </w:p>
        </w:tc>
        <w:tc>
          <w:tcPr>
            <w:tcW w:w="1193" w:type="pct"/>
            <w:tcBorders>
              <w:top w:val="single" w:sz="4" w:space="0" w:color="auto"/>
              <w:left w:val="single" w:sz="4" w:space="0" w:color="auto"/>
              <w:bottom w:val="single" w:sz="4" w:space="0" w:color="auto"/>
              <w:right w:val="single" w:sz="4" w:space="0" w:color="auto"/>
            </w:tcBorders>
            <w:vAlign w:val="center"/>
            <w:hideMark/>
          </w:tcPr>
          <w:p w14:paraId="6C466D30" w14:textId="75E484C6" w:rsidR="00DF51E2" w:rsidRPr="00291D81" w:rsidRDefault="00DF51E2" w:rsidP="00CD2100">
            <w:pPr>
              <w:spacing w:before="60" w:after="60"/>
              <w:rPr>
                <w:rFonts w:cs="Arial"/>
                <w:sz w:val="20"/>
                <w:szCs w:val="20"/>
              </w:rPr>
            </w:pPr>
            <w:r w:rsidRPr="00291D81">
              <w:rPr>
                <w:rFonts w:cs="Arial"/>
                <w:sz w:val="20"/>
                <w:szCs w:val="20"/>
              </w:rPr>
              <w:t>3.0</w:t>
            </w:r>
            <w:r w:rsidR="00CD2100">
              <w:rPr>
                <w:rFonts w:cs="Arial"/>
                <w:sz w:val="20"/>
                <w:szCs w:val="20"/>
              </w:rPr>
              <w:t xml:space="preserve"> to </w:t>
            </w:r>
            <w:r w:rsidRPr="00291D81">
              <w:rPr>
                <w:rFonts w:cs="Arial"/>
                <w:sz w:val="20"/>
                <w:szCs w:val="20"/>
              </w:rPr>
              <w:t>7.5 (10% solution)</w:t>
            </w:r>
          </w:p>
        </w:tc>
        <w:tc>
          <w:tcPr>
            <w:tcW w:w="1236" w:type="pct"/>
            <w:tcBorders>
              <w:top w:val="single" w:sz="4" w:space="0" w:color="auto"/>
              <w:left w:val="single" w:sz="4" w:space="0" w:color="auto"/>
              <w:bottom w:val="single" w:sz="4" w:space="0" w:color="auto"/>
              <w:right w:val="single" w:sz="4" w:space="0" w:color="auto"/>
            </w:tcBorders>
            <w:vAlign w:val="center"/>
          </w:tcPr>
          <w:p w14:paraId="64D7BA27" w14:textId="3A973573" w:rsidR="00DF51E2" w:rsidRPr="00291D81" w:rsidRDefault="00DF51E2">
            <w:pPr>
              <w:rPr>
                <w:rFonts w:cs="Arial"/>
                <w:sz w:val="20"/>
                <w:szCs w:val="20"/>
              </w:rPr>
            </w:pPr>
            <w:r w:rsidRPr="00291D81">
              <w:rPr>
                <w:rFonts w:cs="Arial"/>
                <w:sz w:val="20"/>
                <w:szCs w:val="20"/>
              </w:rPr>
              <w:t>3.</w:t>
            </w:r>
            <w:r w:rsidR="008231AA">
              <w:rPr>
                <w:rFonts w:cs="Arial"/>
                <w:sz w:val="20"/>
                <w:szCs w:val="20"/>
              </w:rPr>
              <w:t xml:space="preserve">0 </w:t>
            </w:r>
            <w:r w:rsidR="00CD2100">
              <w:rPr>
                <w:rFonts w:cs="Arial"/>
                <w:sz w:val="20"/>
                <w:szCs w:val="20"/>
              </w:rPr>
              <w:t xml:space="preserve">to </w:t>
            </w:r>
            <w:r w:rsidRPr="00291D81">
              <w:rPr>
                <w:rFonts w:cs="Arial"/>
                <w:sz w:val="20"/>
                <w:szCs w:val="20"/>
              </w:rPr>
              <w:t>7.</w:t>
            </w:r>
            <w:r w:rsidR="005A6C0F">
              <w:rPr>
                <w:rFonts w:cs="Arial"/>
                <w:sz w:val="20"/>
                <w:szCs w:val="20"/>
              </w:rPr>
              <w:t xml:space="preserve">5 </w:t>
            </w:r>
            <w:r w:rsidR="00C51645" w:rsidRPr="00291D81">
              <w:rPr>
                <w:rFonts w:cs="Arial"/>
                <w:sz w:val="20"/>
                <w:szCs w:val="20"/>
                <w:lang w:eastAsia="en-GB" w:bidi="ar-SA"/>
              </w:rPr>
              <w:t>(20</w:t>
            </w:r>
            <w:r w:rsidR="00C51645" w:rsidRPr="00291D81">
              <w:rPr>
                <w:rFonts w:cs="Arial"/>
                <w:sz w:val="20"/>
                <w:szCs w:val="20"/>
                <w:vertAlign w:val="superscript"/>
                <w:lang w:eastAsia="en-GB" w:bidi="ar-SA"/>
              </w:rPr>
              <w:t>o</w:t>
            </w:r>
            <w:r w:rsidR="00C51645" w:rsidRPr="00291D81">
              <w:rPr>
                <w:rFonts w:cs="Arial"/>
                <w:sz w:val="20"/>
                <w:szCs w:val="20"/>
                <w:lang w:eastAsia="en-GB" w:bidi="ar-SA"/>
              </w:rPr>
              <w:t>C, 5% solution)</w:t>
            </w:r>
          </w:p>
        </w:tc>
        <w:tc>
          <w:tcPr>
            <w:tcW w:w="1194" w:type="pct"/>
            <w:tcBorders>
              <w:top w:val="single" w:sz="4" w:space="0" w:color="auto"/>
              <w:left w:val="single" w:sz="4" w:space="0" w:color="auto"/>
              <w:bottom w:val="single" w:sz="4" w:space="0" w:color="auto"/>
              <w:right w:val="single" w:sz="4" w:space="0" w:color="auto"/>
            </w:tcBorders>
            <w:vAlign w:val="center"/>
          </w:tcPr>
          <w:p w14:paraId="430D63C7" w14:textId="0900D80F" w:rsidR="00DF51E2" w:rsidRPr="00291D81" w:rsidRDefault="000F0C40" w:rsidP="0029283D">
            <w:pPr>
              <w:rPr>
                <w:rFonts w:cs="Arial"/>
                <w:sz w:val="20"/>
                <w:szCs w:val="20"/>
              </w:rPr>
            </w:pPr>
            <w:r w:rsidRPr="00291D81">
              <w:rPr>
                <w:rFonts w:cs="Arial"/>
                <w:sz w:val="20"/>
                <w:szCs w:val="20"/>
                <w:lang w:eastAsia="en-GB" w:bidi="ar-SA"/>
              </w:rPr>
              <w:t>3.2 to 5.0 (20</w:t>
            </w:r>
            <w:r w:rsidRPr="00291D81">
              <w:rPr>
                <w:rFonts w:cs="Arial"/>
                <w:sz w:val="20"/>
                <w:szCs w:val="20"/>
                <w:vertAlign w:val="superscript"/>
                <w:lang w:eastAsia="en-GB" w:bidi="ar-SA"/>
              </w:rPr>
              <w:t>o</w:t>
            </w:r>
            <w:r w:rsidRPr="00291D81">
              <w:rPr>
                <w:rFonts w:cs="Arial"/>
                <w:sz w:val="20"/>
                <w:szCs w:val="20"/>
                <w:lang w:eastAsia="en-GB" w:bidi="ar-SA"/>
              </w:rPr>
              <w:t>C, 5% solution)</w:t>
            </w:r>
          </w:p>
        </w:tc>
      </w:tr>
      <w:tr w:rsidR="00DF51E2" w:rsidRPr="00291D81" w14:paraId="4A14DE22"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3291CE16" w14:textId="77777777" w:rsidR="00DF51E2" w:rsidRPr="001E0491" w:rsidRDefault="00DF51E2" w:rsidP="0029283D">
            <w:pPr>
              <w:spacing w:before="60" w:after="60"/>
              <w:rPr>
                <w:rFonts w:cs="Arial"/>
                <w:b/>
                <w:sz w:val="20"/>
                <w:szCs w:val="20"/>
              </w:rPr>
            </w:pPr>
            <w:r w:rsidRPr="001E0491">
              <w:rPr>
                <w:rFonts w:cs="Arial"/>
                <w:b/>
                <w:sz w:val="20"/>
                <w:szCs w:val="20"/>
              </w:rPr>
              <w:t>Water</w:t>
            </w:r>
          </w:p>
        </w:tc>
        <w:tc>
          <w:tcPr>
            <w:tcW w:w="1193" w:type="pct"/>
            <w:tcBorders>
              <w:top w:val="single" w:sz="4" w:space="0" w:color="auto"/>
              <w:left w:val="single" w:sz="4" w:space="0" w:color="auto"/>
              <w:bottom w:val="single" w:sz="4" w:space="0" w:color="auto"/>
              <w:right w:val="single" w:sz="4" w:space="0" w:color="auto"/>
            </w:tcBorders>
            <w:vAlign w:val="center"/>
            <w:hideMark/>
          </w:tcPr>
          <w:p w14:paraId="1E9BF5B1" w14:textId="14AB053F" w:rsidR="00DF51E2" w:rsidRPr="00291D81" w:rsidRDefault="00DF51E2" w:rsidP="0029283D">
            <w:pPr>
              <w:spacing w:before="60" w:after="60"/>
              <w:rPr>
                <w:rFonts w:cs="Arial"/>
                <w:sz w:val="20"/>
                <w:szCs w:val="20"/>
              </w:rPr>
            </w:pPr>
            <w:r w:rsidRPr="00291D81">
              <w:rPr>
                <w:rFonts w:cs="Arial"/>
                <w:sz w:val="20"/>
                <w:szCs w:val="20"/>
              </w:rPr>
              <w:t>≤ 5</w:t>
            </w:r>
            <w:r w:rsidR="00DB702F">
              <w:rPr>
                <w:rFonts w:cs="Arial"/>
                <w:sz w:val="20"/>
                <w:szCs w:val="20"/>
              </w:rPr>
              <w:t>.0</w:t>
            </w:r>
            <w:r w:rsidRPr="00291D81">
              <w:rPr>
                <w:rFonts w:cs="Arial"/>
                <w:sz w:val="20"/>
                <w:szCs w:val="20"/>
              </w:rPr>
              <w:t>%</w:t>
            </w:r>
          </w:p>
        </w:tc>
        <w:tc>
          <w:tcPr>
            <w:tcW w:w="1236" w:type="pct"/>
            <w:tcBorders>
              <w:top w:val="single" w:sz="4" w:space="0" w:color="auto"/>
              <w:left w:val="single" w:sz="4" w:space="0" w:color="auto"/>
              <w:bottom w:val="single" w:sz="4" w:space="0" w:color="auto"/>
              <w:right w:val="single" w:sz="4" w:space="0" w:color="auto"/>
            </w:tcBorders>
            <w:vAlign w:val="center"/>
          </w:tcPr>
          <w:p w14:paraId="602D36A7" w14:textId="77777777" w:rsidR="00DF51E2" w:rsidRPr="00291D81" w:rsidRDefault="00DF51E2" w:rsidP="0029283D">
            <w:pPr>
              <w:spacing w:before="60" w:after="60"/>
              <w:rPr>
                <w:rFonts w:cs="Arial"/>
                <w:sz w:val="20"/>
                <w:szCs w:val="20"/>
              </w:rPr>
            </w:pPr>
            <w:r w:rsidRPr="00291D81">
              <w:rPr>
                <w:rFonts w:cs="Arial"/>
                <w:sz w:val="20"/>
                <w:szCs w:val="20"/>
                <w:lang w:eastAsia="en-GB" w:bidi="ar-SA"/>
              </w:rPr>
              <w:t xml:space="preserve">≤ </w:t>
            </w:r>
            <w:r w:rsidRPr="00291D81">
              <w:rPr>
                <w:rFonts w:cs="Arial"/>
                <w:sz w:val="20"/>
                <w:szCs w:val="20"/>
              </w:rPr>
              <w:t>9.0%</w:t>
            </w:r>
          </w:p>
        </w:tc>
        <w:tc>
          <w:tcPr>
            <w:tcW w:w="1194" w:type="pct"/>
            <w:tcBorders>
              <w:top w:val="single" w:sz="4" w:space="0" w:color="auto"/>
              <w:left w:val="single" w:sz="4" w:space="0" w:color="auto"/>
              <w:bottom w:val="single" w:sz="4" w:space="0" w:color="auto"/>
              <w:right w:val="single" w:sz="4" w:space="0" w:color="auto"/>
            </w:tcBorders>
            <w:vAlign w:val="center"/>
          </w:tcPr>
          <w:p w14:paraId="41969D14" w14:textId="3ABE90BD" w:rsidR="00DF51E2" w:rsidRPr="00291D81" w:rsidRDefault="000F0C40" w:rsidP="0029283D">
            <w:pPr>
              <w:spacing w:before="60" w:after="60"/>
              <w:rPr>
                <w:rFonts w:cs="Arial"/>
                <w:sz w:val="20"/>
                <w:szCs w:val="20"/>
              </w:rPr>
            </w:pPr>
            <w:r w:rsidRPr="00291D81">
              <w:rPr>
                <w:rFonts w:cs="Arial"/>
                <w:sz w:val="20"/>
                <w:szCs w:val="20"/>
                <w:lang w:eastAsia="en-GB" w:bidi="ar-SA"/>
              </w:rPr>
              <w:t xml:space="preserve">≤ </w:t>
            </w:r>
            <w:r w:rsidRPr="00291D81">
              <w:rPr>
                <w:rFonts w:cs="Arial"/>
                <w:sz w:val="20"/>
                <w:szCs w:val="20"/>
              </w:rPr>
              <w:t>5.0%</w:t>
            </w:r>
          </w:p>
        </w:tc>
      </w:tr>
      <w:tr w:rsidR="00DF51E2" w:rsidRPr="00291D81" w14:paraId="54EB41F5"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1D9A9E56" w14:textId="77777777" w:rsidR="00DF51E2" w:rsidRPr="001E0491" w:rsidRDefault="00DF51E2" w:rsidP="0029283D">
            <w:pPr>
              <w:spacing w:before="60" w:after="60"/>
              <w:rPr>
                <w:rFonts w:cs="Arial"/>
                <w:b/>
                <w:sz w:val="20"/>
                <w:szCs w:val="20"/>
              </w:rPr>
            </w:pPr>
            <w:r w:rsidRPr="001E0491">
              <w:rPr>
                <w:rFonts w:cs="Arial"/>
                <w:b/>
                <w:sz w:val="20"/>
                <w:szCs w:val="20"/>
              </w:rPr>
              <w:t>Ash (sulphated)</w:t>
            </w:r>
          </w:p>
        </w:tc>
        <w:tc>
          <w:tcPr>
            <w:tcW w:w="1193" w:type="pct"/>
            <w:tcBorders>
              <w:top w:val="single" w:sz="4" w:space="0" w:color="auto"/>
              <w:left w:val="single" w:sz="4" w:space="0" w:color="auto"/>
              <w:bottom w:val="single" w:sz="4" w:space="0" w:color="auto"/>
              <w:right w:val="single" w:sz="4" w:space="0" w:color="auto"/>
            </w:tcBorders>
            <w:vAlign w:val="center"/>
            <w:hideMark/>
          </w:tcPr>
          <w:p w14:paraId="4FB916DE" w14:textId="77777777" w:rsidR="00DF51E2" w:rsidRPr="00291D81" w:rsidRDefault="00DF51E2" w:rsidP="0029283D">
            <w:pPr>
              <w:spacing w:before="60" w:after="60"/>
              <w:rPr>
                <w:rFonts w:cs="Arial"/>
                <w:sz w:val="20"/>
                <w:szCs w:val="20"/>
              </w:rPr>
            </w:pPr>
            <w:r w:rsidRPr="00291D81">
              <w:rPr>
                <w:rFonts w:cs="Arial"/>
                <w:sz w:val="20"/>
                <w:szCs w:val="20"/>
              </w:rPr>
              <w:t>≤ 0.2%</w:t>
            </w:r>
          </w:p>
        </w:tc>
        <w:tc>
          <w:tcPr>
            <w:tcW w:w="1236" w:type="pct"/>
            <w:tcBorders>
              <w:top w:val="single" w:sz="4" w:space="0" w:color="auto"/>
              <w:left w:val="single" w:sz="4" w:space="0" w:color="auto"/>
              <w:bottom w:val="single" w:sz="4" w:space="0" w:color="auto"/>
              <w:right w:val="single" w:sz="4" w:space="0" w:color="auto"/>
            </w:tcBorders>
            <w:vAlign w:val="center"/>
          </w:tcPr>
          <w:p w14:paraId="0AAF2362" w14:textId="2392EF98" w:rsidR="00DF51E2" w:rsidRPr="00291D81" w:rsidRDefault="00DF51E2" w:rsidP="0029283D">
            <w:pPr>
              <w:spacing w:before="60" w:after="60"/>
              <w:rPr>
                <w:rFonts w:cs="Arial"/>
                <w:sz w:val="20"/>
                <w:szCs w:val="20"/>
              </w:rPr>
            </w:pPr>
            <w:r w:rsidRPr="00291D81">
              <w:rPr>
                <w:rFonts w:cs="Arial"/>
                <w:sz w:val="20"/>
                <w:szCs w:val="20"/>
                <w:lang w:eastAsia="en-GB" w:bidi="ar-SA"/>
              </w:rPr>
              <w:t xml:space="preserve">≤ </w:t>
            </w:r>
            <w:r w:rsidRPr="00291D81">
              <w:rPr>
                <w:rFonts w:cs="Arial"/>
                <w:sz w:val="20"/>
                <w:szCs w:val="20"/>
              </w:rPr>
              <w:t>2</w:t>
            </w:r>
            <w:r w:rsidR="005A6C0F">
              <w:rPr>
                <w:rFonts w:cs="Arial"/>
                <w:sz w:val="20"/>
                <w:szCs w:val="20"/>
              </w:rPr>
              <w:t>.0</w:t>
            </w:r>
            <w:r w:rsidRPr="00291D81">
              <w:rPr>
                <w:rFonts w:cs="Arial"/>
                <w:sz w:val="20"/>
                <w:szCs w:val="20"/>
              </w:rPr>
              <w:t>%</w:t>
            </w:r>
          </w:p>
        </w:tc>
        <w:tc>
          <w:tcPr>
            <w:tcW w:w="1194" w:type="pct"/>
            <w:tcBorders>
              <w:top w:val="single" w:sz="4" w:space="0" w:color="auto"/>
              <w:left w:val="single" w:sz="4" w:space="0" w:color="auto"/>
              <w:bottom w:val="single" w:sz="4" w:space="0" w:color="auto"/>
              <w:right w:val="single" w:sz="4" w:space="0" w:color="auto"/>
            </w:tcBorders>
            <w:vAlign w:val="center"/>
          </w:tcPr>
          <w:p w14:paraId="7BED2D2E" w14:textId="55A02B44" w:rsidR="00DF51E2" w:rsidRPr="00291D81" w:rsidRDefault="000F0C40" w:rsidP="0029283D">
            <w:pPr>
              <w:spacing w:before="60" w:after="60"/>
              <w:rPr>
                <w:rFonts w:cs="Arial"/>
                <w:sz w:val="20"/>
                <w:szCs w:val="20"/>
              </w:rPr>
            </w:pPr>
            <w:r w:rsidRPr="00291D81">
              <w:rPr>
                <w:rFonts w:cs="Arial"/>
                <w:sz w:val="20"/>
                <w:szCs w:val="20"/>
                <w:lang w:eastAsia="en-GB" w:bidi="ar-SA"/>
              </w:rPr>
              <w:t xml:space="preserve">≤ </w:t>
            </w:r>
            <w:r w:rsidRPr="00291D81">
              <w:rPr>
                <w:rFonts w:cs="Arial"/>
                <w:sz w:val="20"/>
                <w:szCs w:val="20"/>
              </w:rPr>
              <w:t>1.5%</w:t>
            </w:r>
          </w:p>
        </w:tc>
      </w:tr>
      <w:tr w:rsidR="00A04C5B" w:rsidRPr="00291D81" w14:paraId="0D34D244"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5CC73644" w14:textId="29583467" w:rsidR="00A04C5B" w:rsidRPr="001E0491" w:rsidRDefault="00A04C5B" w:rsidP="00A04C5B">
            <w:pPr>
              <w:spacing w:before="60" w:after="60"/>
              <w:rPr>
                <w:rFonts w:cs="Arial"/>
                <w:b/>
                <w:sz w:val="20"/>
                <w:szCs w:val="20"/>
              </w:rPr>
            </w:pPr>
            <w:r w:rsidRPr="001E0491">
              <w:rPr>
                <w:rFonts w:cs="Arial"/>
                <w:b/>
                <w:sz w:val="20"/>
                <w:szCs w:val="20"/>
              </w:rPr>
              <w:t>Lactose</w:t>
            </w:r>
          </w:p>
        </w:tc>
        <w:tc>
          <w:tcPr>
            <w:tcW w:w="1193" w:type="pct"/>
            <w:tcBorders>
              <w:top w:val="single" w:sz="4" w:space="0" w:color="auto"/>
              <w:left w:val="single" w:sz="4" w:space="0" w:color="auto"/>
              <w:bottom w:val="single" w:sz="4" w:space="0" w:color="auto"/>
              <w:right w:val="single" w:sz="4" w:space="0" w:color="auto"/>
            </w:tcBorders>
            <w:vAlign w:val="center"/>
          </w:tcPr>
          <w:p w14:paraId="6179C790" w14:textId="4E7FEC5B" w:rsidR="00A04C5B" w:rsidRPr="00291D81" w:rsidRDefault="00A04C5B" w:rsidP="00A04C5B">
            <w:pPr>
              <w:spacing w:before="60" w:after="60"/>
              <w:rPr>
                <w:rFonts w:cs="Arial"/>
                <w:sz w:val="20"/>
                <w:szCs w:val="20"/>
              </w:rPr>
            </w:pPr>
            <w:r w:rsidRPr="00291D81">
              <w:rPr>
                <w:rFonts w:cs="Arial"/>
                <w:sz w:val="20"/>
                <w:szCs w:val="20"/>
                <w:lang w:eastAsia="en-GB" w:bidi="ar-SA"/>
              </w:rPr>
              <w:t>≤ 3%</w:t>
            </w:r>
          </w:p>
        </w:tc>
        <w:tc>
          <w:tcPr>
            <w:tcW w:w="1236" w:type="pct"/>
            <w:tcBorders>
              <w:top w:val="single" w:sz="4" w:space="0" w:color="auto"/>
              <w:left w:val="single" w:sz="4" w:space="0" w:color="auto"/>
              <w:bottom w:val="single" w:sz="4" w:space="0" w:color="auto"/>
              <w:right w:val="single" w:sz="4" w:space="0" w:color="auto"/>
            </w:tcBorders>
            <w:vAlign w:val="center"/>
          </w:tcPr>
          <w:p w14:paraId="17E9B8A1" w14:textId="25A90F74" w:rsidR="00A04C5B" w:rsidRPr="00291D81" w:rsidRDefault="00A04C5B">
            <w:pPr>
              <w:spacing w:before="60" w:after="60"/>
              <w:rPr>
                <w:rFonts w:cs="Arial"/>
                <w:sz w:val="20"/>
                <w:szCs w:val="20"/>
                <w:lang w:eastAsia="en-GB" w:bidi="ar-SA"/>
              </w:rPr>
            </w:pPr>
            <w:r w:rsidRPr="00291D81">
              <w:rPr>
                <w:rFonts w:cs="Arial"/>
                <w:sz w:val="20"/>
                <w:szCs w:val="20"/>
                <w:lang w:eastAsia="en-GB" w:bidi="ar-SA"/>
              </w:rPr>
              <w:t xml:space="preserve">≤ </w:t>
            </w:r>
            <w:r w:rsidRPr="00291D81">
              <w:rPr>
                <w:rFonts w:cs="Arial"/>
                <w:sz w:val="20"/>
                <w:szCs w:val="20"/>
              </w:rPr>
              <w:t>1</w:t>
            </w:r>
            <w:r w:rsidR="005A6C0F">
              <w:rPr>
                <w:rFonts w:cs="Arial"/>
                <w:sz w:val="20"/>
                <w:szCs w:val="20"/>
              </w:rPr>
              <w:t>0</w:t>
            </w:r>
            <w:r w:rsidRPr="00291D81">
              <w:rPr>
                <w:rFonts w:cs="Arial"/>
                <w:sz w:val="20"/>
                <w:szCs w:val="20"/>
              </w:rPr>
              <w:t>.0</w:t>
            </w:r>
            <w:r w:rsidR="005A6C0F">
              <w:rPr>
                <w:rFonts w:cs="Arial"/>
                <w:sz w:val="20"/>
                <w:szCs w:val="20"/>
              </w:rPr>
              <w:t xml:space="preserve">% </w:t>
            </w:r>
            <w:r w:rsidRPr="00291D81">
              <w:rPr>
                <w:rFonts w:cs="Arial"/>
                <w:sz w:val="20"/>
                <w:szCs w:val="20"/>
              </w:rPr>
              <w:t>(D-lactose)</w:t>
            </w:r>
          </w:p>
        </w:tc>
        <w:tc>
          <w:tcPr>
            <w:tcW w:w="1194" w:type="pct"/>
            <w:tcBorders>
              <w:top w:val="single" w:sz="4" w:space="0" w:color="auto"/>
              <w:left w:val="single" w:sz="4" w:space="0" w:color="auto"/>
              <w:bottom w:val="single" w:sz="4" w:space="0" w:color="auto"/>
              <w:right w:val="single" w:sz="4" w:space="0" w:color="auto"/>
            </w:tcBorders>
            <w:vAlign w:val="center"/>
          </w:tcPr>
          <w:p w14:paraId="7C5CBFBE" w14:textId="5861571F" w:rsidR="00A04C5B" w:rsidRDefault="00A04C5B" w:rsidP="00A04C5B">
            <w:pPr>
              <w:spacing w:before="60" w:after="60"/>
              <w:rPr>
                <w:rFonts w:cs="Arial"/>
                <w:sz w:val="20"/>
                <w:szCs w:val="20"/>
                <w:lang w:eastAsia="en-GB" w:bidi="ar-SA"/>
              </w:rPr>
            </w:pPr>
            <w:r w:rsidRPr="00291D81">
              <w:rPr>
                <w:rFonts w:cs="Arial"/>
                <w:sz w:val="20"/>
                <w:szCs w:val="20"/>
                <w:lang w:eastAsia="en-GB" w:bidi="ar-SA"/>
              </w:rPr>
              <w:t>≤ 3.0% (D-lactose)</w:t>
            </w:r>
          </w:p>
        </w:tc>
      </w:tr>
      <w:tr w:rsidR="00A04C5B" w:rsidRPr="00291D81" w14:paraId="0A505089"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16F7E56B" w14:textId="31E0049E" w:rsidR="00A04C5B" w:rsidRPr="001E0491" w:rsidRDefault="00A04C5B" w:rsidP="00A04C5B">
            <w:pPr>
              <w:spacing w:before="60" w:after="60"/>
              <w:rPr>
                <w:rFonts w:cs="Arial"/>
                <w:b/>
                <w:sz w:val="20"/>
                <w:szCs w:val="20"/>
              </w:rPr>
            </w:pPr>
            <w:r w:rsidRPr="001E0491">
              <w:rPr>
                <w:rFonts w:cs="Arial"/>
                <w:b/>
                <w:sz w:val="20"/>
                <w:szCs w:val="20"/>
              </w:rPr>
              <w:t>Allo-lactose</w:t>
            </w:r>
          </w:p>
        </w:tc>
        <w:tc>
          <w:tcPr>
            <w:tcW w:w="1193" w:type="pct"/>
            <w:tcBorders>
              <w:top w:val="single" w:sz="4" w:space="0" w:color="auto"/>
              <w:left w:val="single" w:sz="4" w:space="0" w:color="auto"/>
              <w:bottom w:val="single" w:sz="4" w:space="0" w:color="auto"/>
              <w:right w:val="single" w:sz="4" w:space="0" w:color="auto"/>
            </w:tcBorders>
            <w:vAlign w:val="center"/>
          </w:tcPr>
          <w:p w14:paraId="3F2902DA" w14:textId="0A0AD035" w:rsidR="00A04C5B" w:rsidRPr="00291D81" w:rsidRDefault="00A04C5B" w:rsidP="00A04C5B">
            <w:pPr>
              <w:spacing w:before="60" w:after="60"/>
              <w:rPr>
                <w:rFonts w:cs="Arial"/>
                <w:sz w:val="20"/>
                <w:szCs w:val="20"/>
              </w:rPr>
            </w:pPr>
            <w:r w:rsidRPr="00291D81">
              <w:rPr>
                <w:rFonts w:cs="Arial"/>
                <w:sz w:val="20"/>
                <w:szCs w:val="20"/>
                <w:lang w:eastAsia="en-GB" w:bidi="ar-SA"/>
              </w:rPr>
              <w:t>≤ 2%</w:t>
            </w:r>
          </w:p>
        </w:tc>
        <w:tc>
          <w:tcPr>
            <w:tcW w:w="1236" w:type="pct"/>
            <w:tcBorders>
              <w:top w:val="single" w:sz="4" w:space="0" w:color="auto"/>
              <w:left w:val="single" w:sz="4" w:space="0" w:color="auto"/>
              <w:bottom w:val="single" w:sz="4" w:space="0" w:color="auto"/>
              <w:right w:val="single" w:sz="4" w:space="0" w:color="auto"/>
            </w:tcBorders>
            <w:vAlign w:val="center"/>
          </w:tcPr>
          <w:p w14:paraId="235F3BE4" w14:textId="7B84D0FF" w:rsidR="00A04C5B" w:rsidRPr="00291D81" w:rsidRDefault="00A04C5B" w:rsidP="00A04C5B">
            <w:pPr>
              <w:spacing w:before="60" w:after="60"/>
              <w:rPr>
                <w:rFonts w:cs="Arial"/>
                <w:sz w:val="20"/>
                <w:szCs w:val="20"/>
                <w:lang w:eastAsia="en-GB" w:bidi="ar-SA"/>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17895360" w14:textId="4461E292" w:rsidR="00A04C5B" w:rsidRDefault="00A04C5B" w:rsidP="00A04C5B">
            <w:pPr>
              <w:spacing w:before="60" w:after="60"/>
              <w:rPr>
                <w:rFonts w:cs="Arial"/>
                <w:sz w:val="20"/>
                <w:szCs w:val="20"/>
                <w:lang w:eastAsia="en-GB" w:bidi="ar-SA"/>
              </w:rPr>
            </w:pPr>
            <w:r w:rsidRPr="00291D81">
              <w:rPr>
                <w:rFonts w:cs="Arial"/>
                <w:color w:val="A6A6A6" w:themeColor="background1" w:themeShade="A6"/>
                <w:sz w:val="20"/>
                <w:szCs w:val="20"/>
                <w:lang w:eastAsia="en-GB" w:bidi="ar-SA"/>
              </w:rPr>
              <w:t>NS</w:t>
            </w:r>
          </w:p>
        </w:tc>
      </w:tr>
      <w:tr w:rsidR="00A04C5B" w:rsidRPr="00291D81" w14:paraId="6171FE81"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2F6E49D2" w14:textId="20D13A8D" w:rsidR="00A04C5B" w:rsidRPr="001E0491" w:rsidRDefault="00A04C5B" w:rsidP="00A04C5B">
            <w:pPr>
              <w:spacing w:before="60" w:after="60"/>
              <w:rPr>
                <w:rFonts w:cs="Arial"/>
                <w:b/>
                <w:sz w:val="20"/>
                <w:szCs w:val="20"/>
              </w:rPr>
            </w:pPr>
            <w:r w:rsidRPr="001E0491">
              <w:rPr>
                <w:rFonts w:cs="Arial"/>
                <w:b/>
                <w:sz w:val="20"/>
                <w:szCs w:val="20"/>
              </w:rPr>
              <w:t>Glucose</w:t>
            </w:r>
          </w:p>
        </w:tc>
        <w:tc>
          <w:tcPr>
            <w:tcW w:w="1193" w:type="pct"/>
            <w:tcBorders>
              <w:top w:val="single" w:sz="4" w:space="0" w:color="auto"/>
              <w:left w:val="single" w:sz="4" w:space="0" w:color="auto"/>
              <w:bottom w:val="single" w:sz="4" w:space="0" w:color="auto"/>
              <w:right w:val="single" w:sz="4" w:space="0" w:color="auto"/>
            </w:tcBorders>
            <w:vAlign w:val="center"/>
          </w:tcPr>
          <w:p w14:paraId="3512CDFD" w14:textId="0363C76E" w:rsidR="00A04C5B" w:rsidRPr="00291D81" w:rsidRDefault="00A04C5B" w:rsidP="00A04C5B">
            <w:pPr>
              <w:spacing w:before="60" w:after="60"/>
              <w:rPr>
                <w:rFonts w:cs="Arial"/>
                <w:sz w:val="20"/>
                <w:szCs w:val="20"/>
              </w:rPr>
            </w:pPr>
            <w:r w:rsidRPr="00291D81">
              <w:rPr>
                <w:rFonts w:cs="Arial"/>
                <w:sz w:val="20"/>
                <w:szCs w:val="20"/>
                <w:lang w:eastAsia="en-GB" w:bidi="ar-SA"/>
              </w:rPr>
              <w:t>≤ 2%</w:t>
            </w:r>
          </w:p>
        </w:tc>
        <w:tc>
          <w:tcPr>
            <w:tcW w:w="1236" w:type="pct"/>
            <w:tcBorders>
              <w:top w:val="single" w:sz="4" w:space="0" w:color="auto"/>
              <w:left w:val="single" w:sz="4" w:space="0" w:color="auto"/>
              <w:bottom w:val="single" w:sz="4" w:space="0" w:color="auto"/>
              <w:right w:val="single" w:sz="4" w:space="0" w:color="auto"/>
            </w:tcBorders>
            <w:vAlign w:val="center"/>
          </w:tcPr>
          <w:p w14:paraId="2D752E70" w14:textId="25E67DD0" w:rsidR="00A04C5B" w:rsidRPr="00291D81" w:rsidRDefault="00A04C5B" w:rsidP="00A04C5B">
            <w:pPr>
              <w:spacing w:before="60" w:after="60"/>
              <w:rPr>
                <w:rFonts w:cs="Arial"/>
                <w:sz w:val="20"/>
                <w:szCs w:val="20"/>
                <w:lang w:eastAsia="en-GB" w:bidi="ar-SA"/>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03835C21" w14:textId="6B972772" w:rsidR="00A04C5B" w:rsidRDefault="00A04C5B" w:rsidP="00A04C5B">
            <w:pPr>
              <w:spacing w:before="60" w:after="60"/>
              <w:rPr>
                <w:rFonts w:cs="Arial"/>
                <w:sz w:val="20"/>
                <w:szCs w:val="20"/>
                <w:lang w:eastAsia="en-GB" w:bidi="ar-SA"/>
              </w:rPr>
            </w:pPr>
            <w:r w:rsidRPr="00291D81">
              <w:rPr>
                <w:rFonts w:cs="Arial"/>
                <w:color w:val="A6A6A6" w:themeColor="background1" w:themeShade="A6"/>
                <w:sz w:val="20"/>
                <w:szCs w:val="20"/>
                <w:lang w:eastAsia="en-GB" w:bidi="ar-SA"/>
              </w:rPr>
              <w:t>NS</w:t>
            </w:r>
          </w:p>
        </w:tc>
      </w:tr>
      <w:tr w:rsidR="00A04C5B" w:rsidRPr="00291D81" w14:paraId="7152042B"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10CA29F1" w14:textId="1A72E6E8" w:rsidR="00A04C5B" w:rsidRPr="001E0491" w:rsidRDefault="00A04C5B" w:rsidP="00A04C5B">
            <w:pPr>
              <w:spacing w:before="60" w:after="60"/>
              <w:rPr>
                <w:rFonts w:cs="Arial"/>
                <w:b/>
                <w:sz w:val="20"/>
                <w:szCs w:val="20"/>
              </w:rPr>
            </w:pPr>
            <w:r w:rsidRPr="001E0491">
              <w:rPr>
                <w:rFonts w:cs="Arial"/>
                <w:b/>
                <w:sz w:val="20"/>
                <w:szCs w:val="20"/>
              </w:rPr>
              <w:t>Galactose</w:t>
            </w:r>
          </w:p>
        </w:tc>
        <w:tc>
          <w:tcPr>
            <w:tcW w:w="1193" w:type="pct"/>
            <w:tcBorders>
              <w:top w:val="single" w:sz="4" w:space="0" w:color="auto"/>
              <w:left w:val="single" w:sz="4" w:space="0" w:color="auto"/>
              <w:bottom w:val="single" w:sz="4" w:space="0" w:color="auto"/>
              <w:right w:val="single" w:sz="4" w:space="0" w:color="auto"/>
            </w:tcBorders>
            <w:vAlign w:val="center"/>
          </w:tcPr>
          <w:p w14:paraId="36B7B6ED" w14:textId="1D3A7A72" w:rsidR="00A04C5B" w:rsidRPr="00291D81" w:rsidRDefault="00A04C5B" w:rsidP="00A04C5B">
            <w:pPr>
              <w:spacing w:before="60" w:after="60"/>
              <w:rPr>
                <w:rFonts w:cs="Arial"/>
                <w:sz w:val="20"/>
                <w:szCs w:val="20"/>
              </w:rPr>
            </w:pPr>
            <w:r w:rsidRPr="00291D81">
              <w:rPr>
                <w:rFonts w:cs="Arial"/>
                <w:sz w:val="20"/>
                <w:szCs w:val="20"/>
                <w:lang w:eastAsia="en-GB" w:bidi="ar-SA"/>
              </w:rPr>
              <w:t>≤ 2%</w:t>
            </w:r>
          </w:p>
        </w:tc>
        <w:tc>
          <w:tcPr>
            <w:tcW w:w="1236" w:type="pct"/>
            <w:tcBorders>
              <w:top w:val="single" w:sz="4" w:space="0" w:color="auto"/>
              <w:left w:val="single" w:sz="4" w:space="0" w:color="auto"/>
              <w:bottom w:val="single" w:sz="4" w:space="0" w:color="auto"/>
              <w:right w:val="single" w:sz="4" w:space="0" w:color="auto"/>
            </w:tcBorders>
            <w:vAlign w:val="center"/>
          </w:tcPr>
          <w:p w14:paraId="40F17AAA" w14:textId="67783915" w:rsidR="00A04C5B" w:rsidRPr="00291D81" w:rsidRDefault="00A04C5B" w:rsidP="00A04C5B">
            <w:pPr>
              <w:spacing w:before="60" w:after="60"/>
              <w:rPr>
                <w:rFonts w:cs="Arial"/>
                <w:sz w:val="20"/>
                <w:szCs w:val="20"/>
                <w:lang w:eastAsia="en-GB" w:bidi="ar-SA"/>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0AFB9A10" w14:textId="516F9192" w:rsidR="00A04C5B" w:rsidRPr="00291D81" w:rsidRDefault="00A04C5B" w:rsidP="00A04C5B">
            <w:pPr>
              <w:spacing w:before="60" w:after="60"/>
              <w:rPr>
                <w:rFonts w:cs="Arial"/>
                <w:sz w:val="20"/>
                <w:szCs w:val="20"/>
                <w:lang w:eastAsia="en-GB" w:bidi="ar-SA"/>
              </w:rPr>
            </w:pPr>
            <w:r w:rsidRPr="00291D81">
              <w:rPr>
                <w:rFonts w:cs="Arial"/>
                <w:color w:val="A6A6A6" w:themeColor="background1" w:themeShade="A6"/>
                <w:sz w:val="20"/>
                <w:szCs w:val="20"/>
                <w:lang w:eastAsia="en-GB" w:bidi="ar-SA"/>
              </w:rPr>
              <w:t>NS</w:t>
            </w:r>
          </w:p>
        </w:tc>
      </w:tr>
      <w:tr w:rsidR="00A04C5B" w:rsidRPr="00291D81" w14:paraId="0EAB0099"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7A6CA4CC" w14:textId="05808963" w:rsidR="00A04C5B" w:rsidRPr="001E0491" w:rsidRDefault="00A04C5B" w:rsidP="00A04C5B">
            <w:pPr>
              <w:spacing w:before="60" w:after="60"/>
              <w:rPr>
                <w:rFonts w:cs="Arial"/>
                <w:b/>
                <w:sz w:val="20"/>
                <w:szCs w:val="20"/>
              </w:rPr>
            </w:pPr>
            <w:r w:rsidRPr="001E0491">
              <w:rPr>
                <w:rFonts w:cs="Arial"/>
                <w:b/>
                <w:sz w:val="20"/>
                <w:szCs w:val="20"/>
              </w:rPr>
              <w:t>Fucose</w:t>
            </w:r>
          </w:p>
        </w:tc>
        <w:tc>
          <w:tcPr>
            <w:tcW w:w="1193" w:type="pct"/>
            <w:tcBorders>
              <w:top w:val="single" w:sz="4" w:space="0" w:color="auto"/>
              <w:left w:val="single" w:sz="4" w:space="0" w:color="auto"/>
              <w:bottom w:val="single" w:sz="4" w:space="0" w:color="auto"/>
              <w:right w:val="single" w:sz="4" w:space="0" w:color="auto"/>
            </w:tcBorders>
            <w:vAlign w:val="center"/>
          </w:tcPr>
          <w:p w14:paraId="34FB24AA" w14:textId="196FED39" w:rsidR="00A04C5B" w:rsidRPr="00291D81" w:rsidRDefault="00A04C5B" w:rsidP="00A04C5B">
            <w:pPr>
              <w:spacing w:before="60" w:after="60"/>
              <w:rPr>
                <w:rFonts w:cs="Arial"/>
                <w:sz w:val="20"/>
                <w:szCs w:val="20"/>
              </w:rPr>
            </w:pPr>
            <w:r w:rsidRPr="00291D81">
              <w:rPr>
                <w:rFonts w:cs="Arial"/>
                <w:sz w:val="20"/>
                <w:szCs w:val="20"/>
                <w:lang w:eastAsia="en-GB" w:bidi="ar-SA"/>
              </w:rPr>
              <w:t>≤ 2%</w:t>
            </w:r>
          </w:p>
        </w:tc>
        <w:tc>
          <w:tcPr>
            <w:tcW w:w="1236" w:type="pct"/>
            <w:tcBorders>
              <w:top w:val="single" w:sz="4" w:space="0" w:color="auto"/>
              <w:left w:val="single" w:sz="4" w:space="0" w:color="auto"/>
              <w:bottom w:val="single" w:sz="4" w:space="0" w:color="auto"/>
              <w:right w:val="single" w:sz="4" w:space="0" w:color="auto"/>
            </w:tcBorders>
            <w:vAlign w:val="center"/>
          </w:tcPr>
          <w:p w14:paraId="21BA5FA8" w14:textId="48E330DF" w:rsidR="00A04C5B" w:rsidRPr="00291D81" w:rsidRDefault="00A04C5B">
            <w:pPr>
              <w:spacing w:before="60" w:after="60"/>
              <w:rPr>
                <w:rFonts w:cs="Arial"/>
                <w:sz w:val="20"/>
                <w:szCs w:val="20"/>
                <w:lang w:eastAsia="en-GB" w:bidi="ar-SA"/>
              </w:rPr>
            </w:pPr>
            <w:r w:rsidRPr="00291D81">
              <w:rPr>
                <w:rFonts w:cs="Arial"/>
                <w:sz w:val="20"/>
                <w:szCs w:val="20"/>
                <w:lang w:eastAsia="en-GB" w:bidi="ar-SA"/>
              </w:rPr>
              <w:t xml:space="preserve">≤ </w:t>
            </w:r>
            <w:r w:rsidR="005A6C0F">
              <w:rPr>
                <w:rFonts w:cs="Arial"/>
                <w:sz w:val="20"/>
                <w:szCs w:val="20"/>
              </w:rPr>
              <w:t>2</w:t>
            </w:r>
            <w:r w:rsidRPr="00291D81">
              <w:rPr>
                <w:rFonts w:cs="Arial"/>
                <w:sz w:val="20"/>
                <w:szCs w:val="20"/>
              </w:rPr>
              <w:t>.0</w:t>
            </w:r>
            <w:r w:rsidR="005A6C0F">
              <w:rPr>
                <w:rFonts w:cs="Arial"/>
                <w:sz w:val="20"/>
                <w:szCs w:val="20"/>
              </w:rPr>
              <w:t>%</w:t>
            </w:r>
            <w:r w:rsidRPr="00291D81">
              <w:rPr>
                <w:rFonts w:cs="Arial"/>
                <w:sz w:val="20"/>
                <w:szCs w:val="20"/>
              </w:rPr>
              <w:t xml:space="preserve"> (L-fucose)</w:t>
            </w:r>
          </w:p>
        </w:tc>
        <w:tc>
          <w:tcPr>
            <w:tcW w:w="1194" w:type="pct"/>
            <w:tcBorders>
              <w:top w:val="single" w:sz="4" w:space="0" w:color="auto"/>
              <w:left w:val="single" w:sz="4" w:space="0" w:color="auto"/>
              <w:bottom w:val="single" w:sz="4" w:space="0" w:color="auto"/>
              <w:right w:val="single" w:sz="4" w:space="0" w:color="auto"/>
            </w:tcBorders>
            <w:vAlign w:val="center"/>
          </w:tcPr>
          <w:p w14:paraId="05F477F7" w14:textId="10BEDF13" w:rsidR="00A04C5B" w:rsidRDefault="00A04C5B" w:rsidP="00A04C5B">
            <w:pPr>
              <w:spacing w:before="60" w:after="60"/>
              <w:rPr>
                <w:rFonts w:cs="Arial"/>
                <w:sz w:val="20"/>
                <w:szCs w:val="20"/>
                <w:lang w:eastAsia="en-GB" w:bidi="ar-SA"/>
              </w:rPr>
            </w:pPr>
            <w:r w:rsidRPr="00291D81">
              <w:rPr>
                <w:rFonts w:cs="Arial"/>
                <w:sz w:val="20"/>
                <w:szCs w:val="20"/>
                <w:lang w:eastAsia="en-GB" w:bidi="ar-SA"/>
              </w:rPr>
              <w:t>≤ 1.0% (L-fucose)</w:t>
            </w:r>
          </w:p>
        </w:tc>
      </w:tr>
      <w:tr w:rsidR="00A04C5B" w:rsidRPr="00291D81" w14:paraId="0D1B4639"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2911F5F5" w14:textId="6735BB9E" w:rsidR="00A04C5B" w:rsidRPr="001E0491" w:rsidRDefault="00A04C5B">
            <w:pPr>
              <w:spacing w:before="60" w:after="60"/>
              <w:rPr>
                <w:rFonts w:cs="Arial"/>
                <w:b/>
                <w:sz w:val="20"/>
                <w:szCs w:val="20"/>
              </w:rPr>
            </w:pPr>
            <w:r w:rsidRPr="001E0491">
              <w:rPr>
                <w:rFonts w:cs="Arial"/>
                <w:b/>
                <w:sz w:val="20"/>
                <w:szCs w:val="20"/>
              </w:rPr>
              <w:t>Difucosyl-</w:t>
            </w:r>
            <w:r w:rsidR="005A6C0F">
              <w:rPr>
                <w:rFonts w:cs="Arial"/>
                <w:b/>
                <w:sz w:val="20"/>
                <w:szCs w:val="20"/>
              </w:rPr>
              <w:t>D</w:t>
            </w:r>
            <w:r w:rsidRPr="001E0491">
              <w:rPr>
                <w:rFonts w:cs="Arial"/>
                <w:b/>
                <w:sz w:val="20"/>
                <w:szCs w:val="20"/>
              </w:rPr>
              <w:t xml:space="preserve">-lactose </w:t>
            </w:r>
          </w:p>
        </w:tc>
        <w:tc>
          <w:tcPr>
            <w:tcW w:w="1193" w:type="pct"/>
            <w:tcBorders>
              <w:top w:val="single" w:sz="4" w:space="0" w:color="auto"/>
              <w:left w:val="single" w:sz="4" w:space="0" w:color="auto"/>
              <w:bottom w:val="single" w:sz="4" w:space="0" w:color="auto"/>
              <w:right w:val="single" w:sz="4" w:space="0" w:color="auto"/>
            </w:tcBorders>
            <w:vAlign w:val="center"/>
          </w:tcPr>
          <w:p w14:paraId="31158C73" w14:textId="340641D0" w:rsidR="00A04C5B" w:rsidRPr="00291D81" w:rsidRDefault="00A04C5B" w:rsidP="00A04C5B">
            <w:pPr>
              <w:spacing w:before="60" w:after="60"/>
              <w:rPr>
                <w:rFonts w:cs="Arial"/>
                <w:sz w:val="20"/>
                <w:szCs w:val="20"/>
              </w:rPr>
            </w:pPr>
            <w:r w:rsidRPr="00291D81">
              <w:rPr>
                <w:rFonts w:cs="Arial"/>
                <w:color w:val="A6A6A6" w:themeColor="background1" w:themeShade="A6"/>
                <w:sz w:val="20"/>
                <w:szCs w:val="20"/>
                <w:lang w:eastAsia="en-GB" w:bidi="ar-SA"/>
              </w:rPr>
              <w:t>NS</w:t>
            </w:r>
          </w:p>
        </w:tc>
        <w:tc>
          <w:tcPr>
            <w:tcW w:w="1236" w:type="pct"/>
            <w:tcBorders>
              <w:top w:val="single" w:sz="4" w:space="0" w:color="auto"/>
              <w:left w:val="single" w:sz="4" w:space="0" w:color="auto"/>
              <w:bottom w:val="single" w:sz="4" w:space="0" w:color="auto"/>
              <w:right w:val="single" w:sz="4" w:space="0" w:color="auto"/>
            </w:tcBorders>
            <w:vAlign w:val="center"/>
          </w:tcPr>
          <w:p w14:paraId="22B9E674" w14:textId="1D41ECB9" w:rsidR="00A04C5B" w:rsidRPr="001E0491" w:rsidRDefault="00A04C5B">
            <w:pPr>
              <w:spacing w:before="60" w:after="60"/>
              <w:rPr>
                <w:rFonts w:cs="Arial"/>
                <w:color w:val="auto"/>
                <w:sz w:val="20"/>
                <w:szCs w:val="20"/>
                <w:lang w:eastAsia="en-GB" w:bidi="ar-SA"/>
              </w:rPr>
            </w:pPr>
            <w:r w:rsidRPr="001E0491">
              <w:rPr>
                <w:rFonts w:cs="Arial"/>
                <w:color w:val="auto"/>
                <w:sz w:val="20"/>
                <w:szCs w:val="20"/>
                <w:lang w:eastAsia="en-GB" w:bidi="ar-SA"/>
              </w:rPr>
              <w:t xml:space="preserve">≤ </w:t>
            </w:r>
            <w:r w:rsidR="005A6C0F">
              <w:rPr>
                <w:rFonts w:cs="Arial"/>
                <w:color w:val="auto"/>
                <w:sz w:val="20"/>
                <w:szCs w:val="20"/>
              </w:rPr>
              <w:t>5</w:t>
            </w:r>
            <w:r w:rsidRPr="001E0491">
              <w:rPr>
                <w:rFonts w:cs="Arial"/>
                <w:color w:val="auto"/>
                <w:sz w:val="20"/>
                <w:szCs w:val="20"/>
              </w:rPr>
              <w:t>.0%</w:t>
            </w:r>
          </w:p>
        </w:tc>
        <w:tc>
          <w:tcPr>
            <w:tcW w:w="1194" w:type="pct"/>
            <w:tcBorders>
              <w:top w:val="single" w:sz="4" w:space="0" w:color="auto"/>
              <w:left w:val="single" w:sz="4" w:space="0" w:color="auto"/>
              <w:bottom w:val="single" w:sz="4" w:space="0" w:color="auto"/>
              <w:right w:val="single" w:sz="4" w:space="0" w:color="auto"/>
            </w:tcBorders>
            <w:vAlign w:val="center"/>
          </w:tcPr>
          <w:p w14:paraId="50CABF57" w14:textId="0B5E963B" w:rsidR="00A04C5B" w:rsidRPr="00291D81" w:rsidRDefault="00A04C5B" w:rsidP="00A04C5B">
            <w:pPr>
              <w:spacing w:before="60" w:after="60"/>
              <w:rPr>
                <w:rFonts w:cs="Arial"/>
                <w:sz w:val="20"/>
                <w:szCs w:val="20"/>
                <w:lang w:eastAsia="en-GB" w:bidi="ar-SA"/>
              </w:rPr>
            </w:pPr>
            <w:r w:rsidRPr="00291D81">
              <w:rPr>
                <w:rFonts w:cs="Arial"/>
                <w:sz w:val="20"/>
                <w:szCs w:val="20"/>
                <w:lang w:eastAsia="en-GB" w:bidi="ar-SA"/>
              </w:rPr>
              <w:t xml:space="preserve">≤ </w:t>
            </w:r>
            <w:r w:rsidRPr="00291D81">
              <w:rPr>
                <w:rFonts w:cs="Arial"/>
                <w:sz w:val="20"/>
                <w:szCs w:val="20"/>
              </w:rPr>
              <w:t>1.0% (difucosyllactose)</w:t>
            </w:r>
          </w:p>
        </w:tc>
      </w:tr>
      <w:tr w:rsidR="00A04C5B" w:rsidRPr="00291D81" w14:paraId="4BB90942"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73681CC2" w14:textId="2B1B9755" w:rsidR="00A04C5B" w:rsidRPr="001E0491" w:rsidRDefault="00A04C5B">
            <w:pPr>
              <w:spacing w:before="60" w:after="60"/>
              <w:rPr>
                <w:rFonts w:cs="Arial"/>
                <w:b/>
                <w:sz w:val="20"/>
                <w:szCs w:val="20"/>
              </w:rPr>
            </w:pPr>
            <w:r w:rsidRPr="001E0491">
              <w:rPr>
                <w:rFonts w:cs="Arial"/>
                <w:b/>
                <w:sz w:val="20"/>
                <w:szCs w:val="20"/>
                <w:lang w:eastAsia="en-GB" w:bidi="ar-SA"/>
              </w:rPr>
              <w:t>2’-Fucosyl-</w:t>
            </w:r>
            <w:r w:rsidR="005A6C0F">
              <w:rPr>
                <w:rFonts w:cs="Arial"/>
                <w:b/>
                <w:sz w:val="20"/>
                <w:szCs w:val="20"/>
                <w:lang w:eastAsia="en-GB" w:bidi="ar-SA"/>
              </w:rPr>
              <w:t>D</w:t>
            </w:r>
            <w:r w:rsidRPr="001E0491">
              <w:rPr>
                <w:rFonts w:cs="Arial"/>
                <w:b/>
                <w:sz w:val="20"/>
                <w:szCs w:val="20"/>
                <w:lang w:eastAsia="en-GB" w:bidi="ar-SA"/>
              </w:rPr>
              <w:t>-lactulose</w:t>
            </w:r>
          </w:p>
        </w:tc>
        <w:tc>
          <w:tcPr>
            <w:tcW w:w="1193" w:type="pct"/>
            <w:tcBorders>
              <w:top w:val="single" w:sz="4" w:space="0" w:color="auto"/>
              <w:left w:val="single" w:sz="4" w:space="0" w:color="auto"/>
              <w:bottom w:val="single" w:sz="4" w:space="0" w:color="auto"/>
              <w:right w:val="single" w:sz="4" w:space="0" w:color="auto"/>
            </w:tcBorders>
            <w:vAlign w:val="center"/>
          </w:tcPr>
          <w:p w14:paraId="7C243EE6" w14:textId="0B3536B8" w:rsidR="00A04C5B" w:rsidRPr="00291D81" w:rsidRDefault="00A04C5B" w:rsidP="00A04C5B">
            <w:pPr>
              <w:spacing w:before="60" w:after="60"/>
              <w:rPr>
                <w:rFonts w:cs="Arial"/>
                <w:sz w:val="20"/>
                <w:szCs w:val="20"/>
              </w:rPr>
            </w:pPr>
            <w:r w:rsidRPr="00291D81">
              <w:rPr>
                <w:rFonts w:cs="Arial"/>
                <w:color w:val="A6A6A6" w:themeColor="background1" w:themeShade="A6"/>
                <w:sz w:val="20"/>
                <w:szCs w:val="20"/>
                <w:lang w:eastAsia="en-GB" w:bidi="ar-SA"/>
              </w:rPr>
              <w:t>NS</w:t>
            </w:r>
          </w:p>
        </w:tc>
        <w:tc>
          <w:tcPr>
            <w:tcW w:w="1236" w:type="pct"/>
            <w:tcBorders>
              <w:top w:val="single" w:sz="4" w:space="0" w:color="auto"/>
              <w:left w:val="single" w:sz="4" w:space="0" w:color="auto"/>
              <w:bottom w:val="single" w:sz="4" w:space="0" w:color="auto"/>
              <w:right w:val="single" w:sz="4" w:space="0" w:color="auto"/>
            </w:tcBorders>
            <w:vAlign w:val="center"/>
          </w:tcPr>
          <w:p w14:paraId="158E0AA6" w14:textId="1F1BDA2F" w:rsidR="00A04C5B" w:rsidRPr="001E0491" w:rsidRDefault="00A04C5B">
            <w:pPr>
              <w:spacing w:before="60" w:after="60"/>
              <w:rPr>
                <w:rFonts w:cs="Arial"/>
                <w:color w:val="auto"/>
                <w:sz w:val="20"/>
                <w:szCs w:val="20"/>
                <w:lang w:eastAsia="en-GB" w:bidi="ar-SA"/>
              </w:rPr>
            </w:pPr>
            <w:r w:rsidRPr="001E0491">
              <w:rPr>
                <w:rFonts w:cs="Arial"/>
                <w:color w:val="auto"/>
                <w:sz w:val="20"/>
                <w:szCs w:val="20"/>
                <w:lang w:eastAsia="en-GB" w:bidi="ar-SA"/>
              </w:rPr>
              <w:t xml:space="preserve">≤ </w:t>
            </w:r>
            <w:r w:rsidR="005A6C0F">
              <w:rPr>
                <w:rFonts w:cs="Arial"/>
                <w:color w:val="auto"/>
                <w:sz w:val="20"/>
                <w:szCs w:val="20"/>
              </w:rPr>
              <w:t>1.5</w:t>
            </w:r>
            <w:r w:rsidRPr="001E0491">
              <w:rPr>
                <w:rFonts w:cs="Arial"/>
                <w:color w:val="auto"/>
                <w:sz w:val="20"/>
                <w:szCs w:val="20"/>
              </w:rPr>
              <w:t>%</w:t>
            </w:r>
          </w:p>
        </w:tc>
        <w:tc>
          <w:tcPr>
            <w:tcW w:w="1194" w:type="pct"/>
            <w:tcBorders>
              <w:top w:val="single" w:sz="4" w:space="0" w:color="auto"/>
              <w:left w:val="single" w:sz="4" w:space="0" w:color="auto"/>
              <w:bottom w:val="single" w:sz="4" w:space="0" w:color="auto"/>
              <w:right w:val="single" w:sz="4" w:space="0" w:color="auto"/>
            </w:tcBorders>
            <w:vAlign w:val="center"/>
          </w:tcPr>
          <w:p w14:paraId="053B36FC" w14:textId="4AE84BCF" w:rsidR="00A04C5B" w:rsidRDefault="00A04C5B" w:rsidP="00A04C5B">
            <w:pPr>
              <w:spacing w:before="60" w:after="60"/>
              <w:rPr>
                <w:rFonts w:cs="Arial"/>
                <w:sz w:val="20"/>
                <w:szCs w:val="20"/>
                <w:lang w:eastAsia="en-GB" w:bidi="ar-SA"/>
              </w:rPr>
            </w:pPr>
            <w:r w:rsidRPr="00291D81">
              <w:rPr>
                <w:rFonts w:cs="Arial"/>
                <w:sz w:val="20"/>
                <w:szCs w:val="20"/>
                <w:lang w:eastAsia="en-GB" w:bidi="ar-SA"/>
              </w:rPr>
              <w:t xml:space="preserve">≤ </w:t>
            </w:r>
            <w:r w:rsidRPr="00291D81">
              <w:rPr>
                <w:rFonts w:cs="Arial"/>
                <w:sz w:val="20"/>
                <w:szCs w:val="20"/>
              </w:rPr>
              <w:t>1.0%</w:t>
            </w:r>
          </w:p>
        </w:tc>
      </w:tr>
      <w:tr w:rsidR="005A6C0F" w:rsidRPr="00291D81" w14:paraId="1A0C747E"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78A0E579" w14:textId="47606A35" w:rsidR="005A6C0F" w:rsidRDefault="005A6C0F">
            <w:pPr>
              <w:spacing w:before="60" w:after="60"/>
              <w:rPr>
                <w:rFonts w:cs="Arial"/>
                <w:b/>
                <w:sz w:val="20"/>
                <w:szCs w:val="20"/>
                <w:lang w:eastAsia="en-GB" w:bidi="ar-SA"/>
              </w:rPr>
            </w:pPr>
            <w:r w:rsidRPr="005A6C0F">
              <w:rPr>
                <w:rFonts w:cs="Arial"/>
                <w:b/>
                <w:sz w:val="20"/>
                <w:szCs w:val="20"/>
                <w:lang w:eastAsia="en-GB" w:bidi="ar-SA"/>
              </w:rPr>
              <w:t xml:space="preserve">Sum of saccharides </w:t>
            </w:r>
          </w:p>
        </w:tc>
        <w:tc>
          <w:tcPr>
            <w:tcW w:w="1193" w:type="pct"/>
            <w:tcBorders>
              <w:top w:val="single" w:sz="4" w:space="0" w:color="auto"/>
              <w:left w:val="single" w:sz="4" w:space="0" w:color="auto"/>
              <w:bottom w:val="single" w:sz="4" w:space="0" w:color="auto"/>
              <w:right w:val="single" w:sz="4" w:space="0" w:color="auto"/>
            </w:tcBorders>
            <w:vAlign w:val="center"/>
          </w:tcPr>
          <w:p w14:paraId="4F903BDB" w14:textId="5E389085" w:rsidR="005A6C0F" w:rsidRPr="00291D81" w:rsidRDefault="005A6C0F" w:rsidP="00A04C5B">
            <w:pPr>
              <w:spacing w:before="60" w:after="60"/>
              <w:rPr>
                <w:rFonts w:cs="Arial"/>
                <w:color w:val="A6A6A6" w:themeColor="background1" w:themeShade="A6"/>
                <w:sz w:val="20"/>
                <w:szCs w:val="20"/>
                <w:lang w:eastAsia="en-GB" w:bidi="ar-SA"/>
              </w:rPr>
            </w:pPr>
            <w:r>
              <w:rPr>
                <w:rFonts w:cs="Arial"/>
                <w:color w:val="A6A6A6" w:themeColor="background1" w:themeShade="A6"/>
                <w:sz w:val="20"/>
                <w:szCs w:val="20"/>
                <w:lang w:eastAsia="en-GB" w:bidi="ar-SA"/>
              </w:rPr>
              <w:t>NS</w:t>
            </w:r>
          </w:p>
        </w:tc>
        <w:tc>
          <w:tcPr>
            <w:tcW w:w="1236" w:type="pct"/>
            <w:tcBorders>
              <w:top w:val="single" w:sz="4" w:space="0" w:color="auto"/>
              <w:left w:val="single" w:sz="4" w:space="0" w:color="auto"/>
              <w:bottom w:val="single" w:sz="4" w:space="0" w:color="auto"/>
              <w:right w:val="single" w:sz="4" w:space="0" w:color="auto"/>
            </w:tcBorders>
            <w:vAlign w:val="center"/>
          </w:tcPr>
          <w:p w14:paraId="49CBB958" w14:textId="77777777" w:rsidR="00DB702F" w:rsidRDefault="005A6C0F" w:rsidP="005A6C0F">
            <w:pPr>
              <w:spacing w:before="60" w:after="60"/>
              <w:rPr>
                <w:color w:val="000000"/>
                <w:sz w:val="20"/>
                <w:szCs w:val="20"/>
              </w:rPr>
            </w:pPr>
            <w:r w:rsidRPr="00222320">
              <w:rPr>
                <w:color w:val="000000"/>
                <w:sz w:val="20"/>
                <w:szCs w:val="20"/>
              </w:rPr>
              <w:t xml:space="preserve">≥ </w:t>
            </w:r>
            <w:r>
              <w:rPr>
                <w:color w:val="000000"/>
                <w:sz w:val="20"/>
                <w:szCs w:val="20"/>
              </w:rPr>
              <w:t>90</w:t>
            </w:r>
            <w:r w:rsidR="003E55AA">
              <w:rPr>
                <w:color w:val="000000"/>
                <w:sz w:val="20"/>
                <w:szCs w:val="20"/>
              </w:rPr>
              <w:t>.0</w:t>
            </w:r>
            <w:r w:rsidRPr="00222320">
              <w:rPr>
                <w:color w:val="000000"/>
                <w:sz w:val="20"/>
                <w:szCs w:val="20"/>
              </w:rPr>
              <w:t>%</w:t>
            </w:r>
            <w:r w:rsidR="00DB702F">
              <w:rPr>
                <w:color w:val="000000"/>
                <w:sz w:val="20"/>
                <w:szCs w:val="20"/>
              </w:rPr>
              <w:t xml:space="preserve"> </w:t>
            </w:r>
          </w:p>
          <w:p w14:paraId="6B5525C9" w14:textId="3065BB35" w:rsidR="005A6C0F" w:rsidRPr="005A6C0F" w:rsidRDefault="00DB702F" w:rsidP="005A6C0F">
            <w:pPr>
              <w:spacing w:before="60" w:after="60"/>
              <w:rPr>
                <w:rFonts w:cs="Arial"/>
                <w:sz w:val="20"/>
                <w:szCs w:val="20"/>
                <w:lang w:eastAsia="en-GB" w:bidi="ar-SA"/>
              </w:rPr>
            </w:pPr>
            <w:r w:rsidRPr="00222320">
              <w:rPr>
                <w:rFonts w:cs="Arial"/>
                <w:sz w:val="20"/>
                <w:szCs w:val="20"/>
                <w:lang w:eastAsia="en-GB" w:bidi="ar-SA"/>
              </w:rPr>
              <w:t>(</w:t>
            </w:r>
            <w:r>
              <w:rPr>
                <w:rFonts w:cs="Arial"/>
                <w:sz w:val="20"/>
                <w:szCs w:val="20"/>
                <w:lang w:eastAsia="en-GB" w:bidi="ar-SA"/>
              </w:rPr>
              <w:t xml:space="preserve">sum of </w:t>
            </w:r>
            <w:r w:rsidRPr="00222320">
              <w:rPr>
                <w:rFonts w:cs="Arial"/>
                <w:sz w:val="20"/>
                <w:szCs w:val="20"/>
                <w:lang w:eastAsia="en-GB" w:bidi="ar-SA"/>
              </w:rPr>
              <w:t>2′-Fucosyllactose, D-Lactose, L-Fucose, Difucosyl-D-lactose, 2′-Fucosyl-D-lactulose)</w:t>
            </w:r>
          </w:p>
        </w:tc>
        <w:tc>
          <w:tcPr>
            <w:tcW w:w="1194" w:type="pct"/>
            <w:tcBorders>
              <w:top w:val="single" w:sz="4" w:space="0" w:color="auto"/>
              <w:left w:val="single" w:sz="4" w:space="0" w:color="auto"/>
              <w:bottom w:val="single" w:sz="4" w:space="0" w:color="auto"/>
              <w:right w:val="single" w:sz="4" w:space="0" w:color="auto"/>
            </w:tcBorders>
            <w:vAlign w:val="center"/>
          </w:tcPr>
          <w:p w14:paraId="28181FF8" w14:textId="77777777" w:rsidR="00DB702F" w:rsidRDefault="003E55AA">
            <w:pPr>
              <w:spacing w:before="60" w:after="60"/>
              <w:rPr>
                <w:rFonts w:cs="Arial"/>
                <w:sz w:val="20"/>
                <w:szCs w:val="20"/>
                <w:lang w:eastAsia="en-GB" w:bidi="ar-SA"/>
              </w:rPr>
            </w:pPr>
            <w:r w:rsidRPr="003E55AA">
              <w:rPr>
                <w:rFonts w:cs="Arial"/>
                <w:sz w:val="20"/>
                <w:szCs w:val="20"/>
                <w:lang w:eastAsia="en-GB" w:bidi="ar-SA"/>
              </w:rPr>
              <w:t>≥ 9</w:t>
            </w:r>
            <w:r>
              <w:rPr>
                <w:rFonts w:cs="Arial"/>
                <w:sz w:val="20"/>
                <w:szCs w:val="20"/>
                <w:lang w:eastAsia="en-GB" w:bidi="ar-SA"/>
              </w:rPr>
              <w:t>6.0</w:t>
            </w:r>
            <w:r w:rsidRPr="003E55AA">
              <w:rPr>
                <w:rFonts w:cs="Arial"/>
                <w:sz w:val="20"/>
                <w:szCs w:val="20"/>
                <w:lang w:eastAsia="en-GB" w:bidi="ar-SA"/>
              </w:rPr>
              <w:t>%</w:t>
            </w:r>
          </w:p>
          <w:p w14:paraId="3C977912" w14:textId="3862C7C7" w:rsidR="005A6C0F" w:rsidRPr="00291D81" w:rsidRDefault="00DB702F">
            <w:pPr>
              <w:spacing w:before="60" w:after="60"/>
              <w:rPr>
                <w:rFonts w:cs="Arial"/>
                <w:sz w:val="20"/>
                <w:szCs w:val="20"/>
                <w:lang w:eastAsia="en-GB" w:bidi="ar-SA"/>
              </w:rPr>
            </w:pPr>
            <w:r>
              <w:rPr>
                <w:rFonts w:cs="Arial"/>
                <w:sz w:val="20"/>
                <w:szCs w:val="20"/>
                <w:lang w:eastAsia="en-GB" w:bidi="ar-SA"/>
              </w:rPr>
              <w:t>(</w:t>
            </w:r>
            <w:r w:rsidRPr="00DB702F">
              <w:rPr>
                <w:rFonts w:cs="Arial"/>
                <w:sz w:val="20"/>
                <w:szCs w:val="20"/>
                <w:lang w:eastAsia="en-GB" w:bidi="ar-SA"/>
              </w:rPr>
              <w:t>sum of 2′-FL, lactose, difucosyllactose and fucose</w:t>
            </w:r>
            <w:r>
              <w:rPr>
                <w:rFonts w:cs="Arial"/>
                <w:sz w:val="20"/>
                <w:szCs w:val="20"/>
                <w:lang w:eastAsia="en-GB" w:bidi="ar-SA"/>
              </w:rPr>
              <w:t>)</w:t>
            </w:r>
          </w:p>
        </w:tc>
      </w:tr>
      <w:tr w:rsidR="00A04C5B" w:rsidRPr="00291D81" w14:paraId="6CFFF7A4"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3E5A3838" w14:textId="1AA3A9BD" w:rsidR="00A04C5B" w:rsidRPr="001E0491" w:rsidRDefault="00A04C5B" w:rsidP="00A04C5B">
            <w:pPr>
              <w:spacing w:before="60" w:after="60"/>
              <w:rPr>
                <w:rFonts w:cs="Arial"/>
                <w:b/>
                <w:sz w:val="20"/>
                <w:szCs w:val="20"/>
              </w:rPr>
            </w:pPr>
            <w:r w:rsidRPr="001E0491">
              <w:rPr>
                <w:rFonts w:cs="Arial"/>
                <w:b/>
                <w:sz w:val="20"/>
                <w:szCs w:val="20"/>
              </w:rPr>
              <w:t>Residual proteins</w:t>
            </w:r>
          </w:p>
        </w:tc>
        <w:tc>
          <w:tcPr>
            <w:tcW w:w="1193" w:type="pct"/>
            <w:tcBorders>
              <w:top w:val="single" w:sz="4" w:space="0" w:color="auto"/>
              <w:left w:val="single" w:sz="4" w:space="0" w:color="auto"/>
              <w:bottom w:val="single" w:sz="4" w:space="0" w:color="auto"/>
              <w:right w:val="single" w:sz="4" w:space="0" w:color="auto"/>
            </w:tcBorders>
            <w:vAlign w:val="center"/>
          </w:tcPr>
          <w:p w14:paraId="262B9223" w14:textId="1B46EFC9" w:rsidR="00A04C5B" w:rsidRPr="00291D81" w:rsidRDefault="00A04C5B" w:rsidP="00A04C5B">
            <w:pPr>
              <w:spacing w:before="60" w:after="60"/>
              <w:rPr>
                <w:rFonts w:cs="Arial"/>
                <w:sz w:val="20"/>
                <w:szCs w:val="20"/>
              </w:rPr>
            </w:pPr>
            <w:r w:rsidRPr="00291D81">
              <w:rPr>
                <w:rFonts w:cs="Arial"/>
                <w:sz w:val="20"/>
                <w:szCs w:val="20"/>
                <w:lang w:eastAsia="en-GB" w:bidi="ar-SA"/>
              </w:rPr>
              <w:t>≤ 0.01%</w:t>
            </w:r>
          </w:p>
        </w:tc>
        <w:tc>
          <w:tcPr>
            <w:tcW w:w="1236" w:type="pct"/>
            <w:tcBorders>
              <w:top w:val="single" w:sz="4" w:space="0" w:color="auto"/>
              <w:left w:val="single" w:sz="4" w:space="0" w:color="auto"/>
              <w:bottom w:val="single" w:sz="4" w:space="0" w:color="auto"/>
              <w:right w:val="single" w:sz="4" w:space="0" w:color="auto"/>
            </w:tcBorders>
            <w:vAlign w:val="center"/>
          </w:tcPr>
          <w:p w14:paraId="709221BA" w14:textId="0B69A9FF" w:rsidR="00A04C5B" w:rsidRPr="00291D81" w:rsidRDefault="00A04C5B" w:rsidP="00A04C5B">
            <w:pPr>
              <w:spacing w:before="60" w:after="60"/>
              <w:rPr>
                <w:rFonts w:cs="Arial"/>
                <w:sz w:val="20"/>
                <w:szCs w:val="20"/>
                <w:lang w:eastAsia="en-GB" w:bidi="ar-SA"/>
              </w:rPr>
            </w:pPr>
            <w:r w:rsidRPr="00291D81">
              <w:rPr>
                <w:rFonts w:cs="Arial"/>
                <w:sz w:val="20"/>
                <w:szCs w:val="20"/>
                <w:lang w:eastAsia="en-GB" w:bidi="ar-SA"/>
              </w:rPr>
              <w:t xml:space="preserve">≤ </w:t>
            </w:r>
            <w:r w:rsidRPr="00291D81">
              <w:rPr>
                <w:rFonts w:cs="Arial"/>
                <w:sz w:val="20"/>
                <w:szCs w:val="20"/>
              </w:rPr>
              <w:t>0.01%</w:t>
            </w:r>
          </w:p>
        </w:tc>
        <w:tc>
          <w:tcPr>
            <w:tcW w:w="1194" w:type="pct"/>
            <w:tcBorders>
              <w:top w:val="single" w:sz="4" w:space="0" w:color="auto"/>
              <w:left w:val="single" w:sz="4" w:space="0" w:color="auto"/>
              <w:bottom w:val="single" w:sz="4" w:space="0" w:color="auto"/>
              <w:right w:val="single" w:sz="4" w:space="0" w:color="auto"/>
            </w:tcBorders>
            <w:vAlign w:val="center"/>
          </w:tcPr>
          <w:p w14:paraId="3124D4AE" w14:textId="6B98FA50" w:rsidR="00A04C5B" w:rsidRDefault="00A04C5B" w:rsidP="00A04C5B">
            <w:pPr>
              <w:spacing w:before="60" w:after="60"/>
              <w:rPr>
                <w:rFonts w:cs="Arial"/>
                <w:sz w:val="20"/>
                <w:szCs w:val="20"/>
                <w:lang w:eastAsia="en-GB" w:bidi="ar-SA"/>
              </w:rPr>
            </w:pPr>
            <w:r w:rsidRPr="00291D81">
              <w:rPr>
                <w:rFonts w:cs="Arial"/>
                <w:sz w:val="20"/>
                <w:szCs w:val="20"/>
                <w:lang w:eastAsia="en-GB" w:bidi="ar-SA"/>
              </w:rPr>
              <w:t xml:space="preserve">≤ </w:t>
            </w:r>
            <w:r w:rsidRPr="00291D81">
              <w:rPr>
                <w:rFonts w:cs="Arial"/>
                <w:sz w:val="20"/>
                <w:szCs w:val="20"/>
              </w:rPr>
              <w:t>0.01%</w:t>
            </w:r>
          </w:p>
        </w:tc>
      </w:tr>
      <w:tr w:rsidR="00A04C5B" w:rsidRPr="00291D81" w14:paraId="7E5485BB"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7F3A9251" w14:textId="6C60BF63" w:rsidR="00A04C5B" w:rsidRPr="001E0491" w:rsidRDefault="00A04C5B" w:rsidP="00A04C5B">
            <w:pPr>
              <w:spacing w:before="60" w:after="60"/>
              <w:rPr>
                <w:rFonts w:cs="Arial"/>
                <w:b/>
                <w:sz w:val="20"/>
                <w:szCs w:val="20"/>
              </w:rPr>
            </w:pPr>
            <w:r w:rsidRPr="001E0491">
              <w:rPr>
                <w:rFonts w:cs="Arial"/>
                <w:b/>
                <w:sz w:val="20"/>
                <w:szCs w:val="20"/>
                <w:lang w:eastAsia="en-GB" w:bidi="ar-SA"/>
              </w:rPr>
              <w:t>Acetic Acid</w:t>
            </w:r>
          </w:p>
        </w:tc>
        <w:tc>
          <w:tcPr>
            <w:tcW w:w="1193" w:type="pct"/>
            <w:tcBorders>
              <w:top w:val="single" w:sz="4" w:space="0" w:color="auto"/>
              <w:left w:val="single" w:sz="4" w:space="0" w:color="auto"/>
              <w:bottom w:val="single" w:sz="4" w:space="0" w:color="auto"/>
              <w:right w:val="single" w:sz="4" w:space="0" w:color="auto"/>
            </w:tcBorders>
            <w:vAlign w:val="center"/>
          </w:tcPr>
          <w:p w14:paraId="050C32CD" w14:textId="56A37D47" w:rsidR="00A04C5B" w:rsidRPr="00291D81" w:rsidRDefault="00A04C5B" w:rsidP="00A04C5B">
            <w:pPr>
              <w:spacing w:before="60" w:after="60"/>
              <w:rPr>
                <w:rFonts w:cs="Arial"/>
                <w:sz w:val="20"/>
                <w:szCs w:val="20"/>
              </w:rPr>
            </w:pPr>
            <w:r w:rsidRPr="00291D81">
              <w:rPr>
                <w:rFonts w:cs="Arial"/>
                <w:color w:val="A6A6A6" w:themeColor="background1" w:themeShade="A6"/>
                <w:sz w:val="20"/>
                <w:szCs w:val="20"/>
                <w:lang w:eastAsia="en-GB" w:bidi="ar-SA"/>
              </w:rPr>
              <w:t>NS</w:t>
            </w:r>
          </w:p>
        </w:tc>
        <w:tc>
          <w:tcPr>
            <w:tcW w:w="1236" w:type="pct"/>
            <w:tcBorders>
              <w:top w:val="single" w:sz="4" w:space="0" w:color="auto"/>
              <w:left w:val="single" w:sz="4" w:space="0" w:color="auto"/>
              <w:bottom w:val="single" w:sz="4" w:space="0" w:color="auto"/>
              <w:right w:val="single" w:sz="4" w:space="0" w:color="auto"/>
            </w:tcBorders>
            <w:vAlign w:val="center"/>
          </w:tcPr>
          <w:p w14:paraId="4005A23D" w14:textId="0FA062B1" w:rsidR="00A04C5B" w:rsidRPr="00291D81" w:rsidRDefault="00A04C5B">
            <w:pPr>
              <w:spacing w:before="60" w:after="60"/>
              <w:rPr>
                <w:rFonts w:cs="Arial"/>
                <w:sz w:val="20"/>
                <w:szCs w:val="20"/>
                <w:lang w:eastAsia="en-GB" w:bidi="ar-SA"/>
              </w:rPr>
            </w:pPr>
            <w:r w:rsidRPr="00A56BA4">
              <w:rPr>
                <w:rFonts w:cs="Arial"/>
                <w:color w:val="auto"/>
                <w:sz w:val="20"/>
                <w:szCs w:val="20"/>
                <w:lang w:eastAsia="en-GB" w:bidi="ar-SA"/>
              </w:rPr>
              <w:t xml:space="preserve">≤ </w:t>
            </w:r>
            <w:r w:rsidR="005A6C0F">
              <w:rPr>
                <w:rFonts w:cs="Arial"/>
                <w:color w:val="auto"/>
                <w:sz w:val="20"/>
                <w:szCs w:val="20"/>
              </w:rPr>
              <w:t>1.0</w:t>
            </w:r>
            <w:r w:rsidRPr="00A56BA4">
              <w:rPr>
                <w:rFonts w:cs="Arial"/>
                <w:color w:val="auto"/>
                <w:sz w:val="20"/>
                <w:szCs w:val="20"/>
              </w:rPr>
              <w:t>%</w:t>
            </w:r>
          </w:p>
        </w:tc>
        <w:tc>
          <w:tcPr>
            <w:tcW w:w="1194" w:type="pct"/>
            <w:tcBorders>
              <w:top w:val="single" w:sz="4" w:space="0" w:color="auto"/>
              <w:left w:val="single" w:sz="4" w:space="0" w:color="auto"/>
              <w:bottom w:val="single" w:sz="4" w:space="0" w:color="auto"/>
              <w:right w:val="single" w:sz="4" w:space="0" w:color="auto"/>
            </w:tcBorders>
            <w:vAlign w:val="center"/>
          </w:tcPr>
          <w:p w14:paraId="332DC7BE" w14:textId="2963953B" w:rsidR="00A04C5B" w:rsidRDefault="00A04C5B" w:rsidP="00A04C5B">
            <w:pPr>
              <w:spacing w:before="60" w:after="60"/>
              <w:rPr>
                <w:rFonts w:cs="Arial"/>
                <w:sz w:val="20"/>
                <w:szCs w:val="20"/>
                <w:lang w:eastAsia="en-GB" w:bidi="ar-SA"/>
              </w:rPr>
            </w:pPr>
            <w:r w:rsidRPr="00291D81">
              <w:rPr>
                <w:rFonts w:cs="Arial"/>
                <w:sz w:val="20"/>
                <w:szCs w:val="20"/>
                <w:lang w:eastAsia="en-GB" w:bidi="ar-SA"/>
              </w:rPr>
              <w:t xml:space="preserve">≤ </w:t>
            </w:r>
            <w:r w:rsidRPr="00291D81">
              <w:rPr>
                <w:rFonts w:cs="Arial"/>
                <w:sz w:val="20"/>
                <w:szCs w:val="20"/>
              </w:rPr>
              <w:t>1.0% (as free acid and/or sodium acetate)</w:t>
            </w:r>
          </w:p>
        </w:tc>
      </w:tr>
      <w:tr w:rsidR="00A04C5B" w:rsidRPr="00291D81" w14:paraId="5CCBCA82"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7A72FF57" w14:textId="499B1DE9" w:rsidR="00A04C5B" w:rsidRPr="001E0491" w:rsidRDefault="00A04C5B" w:rsidP="00A04C5B">
            <w:pPr>
              <w:spacing w:before="60" w:after="60"/>
              <w:rPr>
                <w:rFonts w:cs="Arial"/>
                <w:b/>
                <w:sz w:val="20"/>
                <w:szCs w:val="20"/>
                <w:lang w:eastAsia="en-GB" w:bidi="ar-SA"/>
              </w:rPr>
            </w:pPr>
            <w:r w:rsidRPr="001E0491">
              <w:rPr>
                <w:rFonts w:cs="Arial"/>
                <w:b/>
                <w:sz w:val="20"/>
                <w:szCs w:val="20"/>
              </w:rPr>
              <w:t>Nitrite</w:t>
            </w:r>
          </w:p>
        </w:tc>
        <w:tc>
          <w:tcPr>
            <w:tcW w:w="1193" w:type="pct"/>
            <w:tcBorders>
              <w:top w:val="single" w:sz="4" w:space="0" w:color="auto"/>
              <w:left w:val="single" w:sz="4" w:space="0" w:color="auto"/>
              <w:bottom w:val="single" w:sz="4" w:space="0" w:color="auto"/>
              <w:right w:val="single" w:sz="4" w:space="0" w:color="auto"/>
            </w:tcBorders>
            <w:vAlign w:val="center"/>
          </w:tcPr>
          <w:p w14:paraId="28BAB19B" w14:textId="77777777" w:rsidR="00A04C5B" w:rsidRPr="00291D81" w:rsidRDefault="00A04C5B" w:rsidP="00A04C5B">
            <w:pPr>
              <w:spacing w:before="60" w:after="60"/>
              <w:rPr>
                <w:rFonts w:cs="Arial"/>
                <w:sz w:val="20"/>
                <w:szCs w:val="20"/>
              </w:rPr>
            </w:pPr>
            <w:r w:rsidRPr="00291D81">
              <w:rPr>
                <w:rFonts w:cs="Arial"/>
                <w:sz w:val="20"/>
                <w:szCs w:val="20"/>
                <w:lang w:eastAsia="en-GB" w:bidi="ar-SA"/>
              </w:rPr>
              <w:t>≤ 1 mg/kg</w:t>
            </w:r>
          </w:p>
        </w:tc>
        <w:tc>
          <w:tcPr>
            <w:tcW w:w="1236" w:type="pct"/>
            <w:tcBorders>
              <w:top w:val="single" w:sz="4" w:space="0" w:color="auto"/>
              <w:left w:val="single" w:sz="4" w:space="0" w:color="auto"/>
              <w:bottom w:val="single" w:sz="4" w:space="0" w:color="auto"/>
              <w:right w:val="single" w:sz="4" w:space="0" w:color="auto"/>
            </w:tcBorders>
            <w:vAlign w:val="center"/>
          </w:tcPr>
          <w:p w14:paraId="1D3C4AAC" w14:textId="77777777" w:rsidR="00A04C5B" w:rsidRPr="00291D81" w:rsidRDefault="00A04C5B" w:rsidP="00A04C5B">
            <w:pPr>
              <w:spacing w:before="60" w:after="60"/>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2D096747" w14:textId="46942588" w:rsidR="00A04C5B" w:rsidRPr="00291D81" w:rsidRDefault="00A04C5B" w:rsidP="00A04C5B">
            <w:pPr>
              <w:spacing w:before="60" w:after="60"/>
              <w:rPr>
                <w:rFonts w:cs="Arial"/>
                <w:color w:val="A6A6A6" w:themeColor="background1" w:themeShade="A6"/>
                <w:sz w:val="20"/>
                <w:szCs w:val="20"/>
              </w:rPr>
            </w:pPr>
            <w:r w:rsidRPr="00291D81">
              <w:rPr>
                <w:rFonts w:cs="Arial"/>
                <w:color w:val="A6A6A6" w:themeColor="background1" w:themeShade="A6"/>
                <w:sz w:val="20"/>
                <w:szCs w:val="20"/>
              </w:rPr>
              <w:t>NS</w:t>
            </w:r>
          </w:p>
        </w:tc>
      </w:tr>
      <w:tr w:rsidR="00A04C5B" w:rsidRPr="00291D81" w14:paraId="14803A98"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1124D484" w14:textId="4292714E" w:rsidR="00A04C5B" w:rsidRPr="001E0491" w:rsidRDefault="00A04C5B" w:rsidP="00A04C5B">
            <w:pPr>
              <w:spacing w:before="60" w:after="60"/>
              <w:rPr>
                <w:rFonts w:cs="Arial"/>
                <w:b/>
                <w:sz w:val="20"/>
                <w:szCs w:val="20"/>
                <w:lang w:eastAsia="en-GB" w:bidi="ar-SA"/>
              </w:rPr>
            </w:pPr>
            <w:r w:rsidRPr="001E0491">
              <w:rPr>
                <w:rFonts w:cs="Arial"/>
                <w:b/>
                <w:sz w:val="20"/>
                <w:szCs w:val="20"/>
                <w:lang w:eastAsia="en-GB" w:bidi="ar-SA"/>
              </w:rPr>
              <w:t>Nitrate</w:t>
            </w:r>
          </w:p>
        </w:tc>
        <w:tc>
          <w:tcPr>
            <w:tcW w:w="1193" w:type="pct"/>
            <w:tcBorders>
              <w:top w:val="single" w:sz="4" w:space="0" w:color="auto"/>
              <w:left w:val="single" w:sz="4" w:space="0" w:color="auto"/>
              <w:bottom w:val="single" w:sz="4" w:space="0" w:color="auto"/>
              <w:right w:val="single" w:sz="4" w:space="0" w:color="auto"/>
            </w:tcBorders>
            <w:vAlign w:val="center"/>
          </w:tcPr>
          <w:p w14:paraId="4CF98606" w14:textId="77777777" w:rsidR="00A04C5B" w:rsidRPr="00291D81" w:rsidRDefault="00A04C5B" w:rsidP="00A04C5B">
            <w:pPr>
              <w:spacing w:before="60" w:after="60"/>
              <w:rPr>
                <w:rFonts w:cs="Arial"/>
                <w:sz w:val="20"/>
                <w:szCs w:val="20"/>
              </w:rPr>
            </w:pPr>
            <w:r w:rsidRPr="00291D81">
              <w:rPr>
                <w:rFonts w:cs="Arial"/>
                <w:sz w:val="20"/>
                <w:szCs w:val="20"/>
                <w:lang w:eastAsia="en-GB" w:bidi="ar-SA"/>
              </w:rPr>
              <w:t>≤ 50 mg/kg</w:t>
            </w:r>
          </w:p>
        </w:tc>
        <w:tc>
          <w:tcPr>
            <w:tcW w:w="1236" w:type="pct"/>
            <w:tcBorders>
              <w:top w:val="single" w:sz="4" w:space="0" w:color="auto"/>
              <w:left w:val="single" w:sz="4" w:space="0" w:color="auto"/>
              <w:bottom w:val="single" w:sz="4" w:space="0" w:color="auto"/>
              <w:right w:val="single" w:sz="4" w:space="0" w:color="auto"/>
            </w:tcBorders>
            <w:vAlign w:val="center"/>
          </w:tcPr>
          <w:p w14:paraId="1B976541" w14:textId="77777777" w:rsidR="00A04C5B" w:rsidRPr="00291D81" w:rsidRDefault="00A04C5B" w:rsidP="00A04C5B">
            <w:pPr>
              <w:spacing w:before="60" w:after="60"/>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1A14369F" w14:textId="6610BEE5" w:rsidR="00A04C5B" w:rsidRPr="00291D81" w:rsidRDefault="00A04C5B" w:rsidP="00A04C5B">
            <w:pPr>
              <w:spacing w:before="60" w:after="60"/>
              <w:rPr>
                <w:rFonts w:cs="Arial"/>
                <w:color w:val="A6A6A6" w:themeColor="background1" w:themeShade="A6"/>
                <w:sz w:val="20"/>
                <w:szCs w:val="20"/>
              </w:rPr>
            </w:pPr>
            <w:r w:rsidRPr="00291D81">
              <w:rPr>
                <w:rFonts w:cs="Arial"/>
                <w:color w:val="A6A6A6" w:themeColor="background1" w:themeShade="A6"/>
                <w:sz w:val="20"/>
                <w:szCs w:val="20"/>
              </w:rPr>
              <w:t>NS</w:t>
            </w:r>
          </w:p>
        </w:tc>
      </w:tr>
      <w:tr w:rsidR="00A04C5B" w:rsidRPr="00291D81" w14:paraId="59A5B6D0"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1654A1FA" w14:textId="2BE49C4D" w:rsidR="00A04C5B" w:rsidRPr="001E0491" w:rsidRDefault="00A04C5B" w:rsidP="00A04C5B">
            <w:pPr>
              <w:spacing w:before="60" w:after="60"/>
              <w:rPr>
                <w:rFonts w:cs="Arial"/>
                <w:b/>
                <w:sz w:val="20"/>
                <w:szCs w:val="20"/>
              </w:rPr>
            </w:pPr>
            <w:r w:rsidRPr="001E0491">
              <w:rPr>
                <w:rFonts w:cs="Arial"/>
                <w:b/>
                <w:sz w:val="20"/>
                <w:szCs w:val="20"/>
                <w:lang w:eastAsia="en-GB" w:bidi="ar-SA"/>
              </w:rPr>
              <w:t>Scorched particles</w:t>
            </w:r>
          </w:p>
        </w:tc>
        <w:tc>
          <w:tcPr>
            <w:tcW w:w="1193" w:type="pct"/>
            <w:tcBorders>
              <w:top w:val="single" w:sz="4" w:space="0" w:color="auto"/>
              <w:left w:val="single" w:sz="4" w:space="0" w:color="auto"/>
              <w:bottom w:val="single" w:sz="4" w:space="0" w:color="auto"/>
              <w:right w:val="single" w:sz="4" w:space="0" w:color="auto"/>
            </w:tcBorders>
            <w:vAlign w:val="center"/>
          </w:tcPr>
          <w:p w14:paraId="47D6B59B" w14:textId="118D874A" w:rsidR="00A04C5B" w:rsidRPr="00291D81" w:rsidRDefault="00A04C5B" w:rsidP="00A04C5B">
            <w:pPr>
              <w:spacing w:before="60" w:after="60"/>
              <w:rPr>
                <w:rFonts w:cs="Arial"/>
                <w:sz w:val="20"/>
                <w:szCs w:val="20"/>
              </w:rPr>
            </w:pPr>
            <w:r w:rsidRPr="00291D81">
              <w:rPr>
                <w:rFonts w:cs="Arial"/>
                <w:sz w:val="20"/>
                <w:szCs w:val="20"/>
              </w:rPr>
              <w:t>Max. disc A</w:t>
            </w:r>
          </w:p>
        </w:tc>
        <w:tc>
          <w:tcPr>
            <w:tcW w:w="1236" w:type="pct"/>
            <w:tcBorders>
              <w:top w:val="single" w:sz="4" w:space="0" w:color="auto"/>
              <w:left w:val="single" w:sz="4" w:space="0" w:color="auto"/>
              <w:bottom w:val="single" w:sz="4" w:space="0" w:color="auto"/>
              <w:right w:val="single" w:sz="4" w:space="0" w:color="auto"/>
            </w:tcBorders>
            <w:vAlign w:val="center"/>
          </w:tcPr>
          <w:p w14:paraId="1301E795" w14:textId="3A88A8DB" w:rsidR="00A04C5B" w:rsidRPr="00291D81" w:rsidRDefault="00A04C5B" w:rsidP="00A04C5B">
            <w:pPr>
              <w:spacing w:before="60" w:after="60"/>
              <w:rPr>
                <w:rFonts w:cs="Arial"/>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4B1E04A9" w14:textId="2758D9B4" w:rsidR="00A04C5B" w:rsidRPr="00291D81" w:rsidRDefault="00A04C5B" w:rsidP="00A04C5B">
            <w:pPr>
              <w:spacing w:before="60" w:after="60"/>
              <w:rPr>
                <w:rFonts w:cs="Arial"/>
                <w:sz w:val="20"/>
                <w:szCs w:val="20"/>
              </w:rPr>
            </w:pPr>
            <w:r w:rsidRPr="00291D81">
              <w:rPr>
                <w:rFonts w:cs="Arial"/>
                <w:color w:val="A6A6A6" w:themeColor="background1" w:themeShade="A6"/>
                <w:sz w:val="20"/>
                <w:szCs w:val="20"/>
                <w:lang w:eastAsia="en-GB" w:bidi="ar-SA"/>
              </w:rPr>
              <w:t>NS</w:t>
            </w:r>
          </w:p>
        </w:tc>
      </w:tr>
      <w:tr w:rsidR="00A04C5B" w:rsidRPr="00291D81" w14:paraId="0E763BCA" w14:textId="77777777" w:rsidTr="00291D81">
        <w:trPr>
          <w:cnfStyle w:val="000000100000" w:firstRow="0" w:lastRow="0" w:firstColumn="0" w:lastColumn="0" w:oddVBand="0" w:evenVBand="0" w:oddHBand="1" w:evenHBand="0" w:firstRowFirstColumn="0" w:firstRowLastColumn="0" w:lastRowFirstColumn="0" w:lastRowLastColumn="0"/>
          <w:trHeight w:val="39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4F24CB9" w14:textId="3AB39B31" w:rsidR="00A04C5B" w:rsidRPr="00291D81" w:rsidRDefault="00A04C5B" w:rsidP="00A04C5B">
            <w:pPr>
              <w:spacing w:before="60" w:after="60"/>
              <w:ind w:left="0"/>
              <w:jc w:val="center"/>
              <w:rPr>
                <w:rFonts w:cs="Arial"/>
                <w:b/>
                <w:sz w:val="20"/>
                <w:szCs w:val="20"/>
              </w:rPr>
            </w:pPr>
            <w:r>
              <w:rPr>
                <w:rFonts w:cs="Arial"/>
                <w:b/>
                <w:sz w:val="20"/>
                <w:szCs w:val="20"/>
              </w:rPr>
              <w:t>Metals</w:t>
            </w:r>
          </w:p>
        </w:tc>
      </w:tr>
      <w:tr w:rsidR="00A04C5B" w:rsidRPr="00291D81" w14:paraId="2C03AF95"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68E05B1E" w14:textId="1120D272" w:rsidR="00A04C5B" w:rsidRPr="001E0491" w:rsidRDefault="00A04C5B" w:rsidP="00A04C5B">
            <w:pPr>
              <w:spacing w:before="60" w:after="60"/>
              <w:rPr>
                <w:rFonts w:cs="Arial"/>
                <w:b/>
                <w:sz w:val="20"/>
                <w:szCs w:val="20"/>
              </w:rPr>
            </w:pPr>
            <w:r w:rsidRPr="001E0491">
              <w:rPr>
                <w:rFonts w:cs="Arial"/>
                <w:b/>
                <w:sz w:val="20"/>
                <w:szCs w:val="20"/>
              </w:rPr>
              <w:t>Aluminium</w:t>
            </w:r>
          </w:p>
        </w:tc>
        <w:tc>
          <w:tcPr>
            <w:tcW w:w="1193" w:type="pct"/>
            <w:tcBorders>
              <w:top w:val="single" w:sz="4" w:space="0" w:color="auto"/>
              <w:left w:val="single" w:sz="4" w:space="0" w:color="auto"/>
              <w:bottom w:val="single" w:sz="4" w:space="0" w:color="auto"/>
              <w:right w:val="single" w:sz="4" w:space="0" w:color="auto"/>
            </w:tcBorders>
            <w:vAlign w:val="center"/>
            <w:hideMark/>
          </w:tcPr>
          <w:p w14:paraId="02148A95" w14:textId="77777777" w:rsidR="00A04C5B" w:rsidRPr="00291D81" w:rsidRDefault="00A04C5B" w:rsidP="00A04C5B">
            <w:pPr>
              <w:spacing w:before="60" w:after="60"/>
              <w:rPr>
                <w:rFonts w:cs="Arial"/>
                <w:sz w:val="20"/>
                <w:szCs w:val="20"/>
              </w:rPr>
            </w:pPr>
            <w:r w:rsidRPr="00291D81">
              <w:rPr>
                <w:rFonts w:cs="Arial"/>
                <w:sz w:val="20"/>
                <w:szCs w:val="20"/>
                <w:lang w:eastAsia="en-GB" w:bidi="ar-SA"/>
              </w:rPr>
              <w:t>≤ 4.8 mg/kg</w:t>
            </w:r>
          </w:p>
        </w:tc>
        <w:tc>
          <w:tcPr>
            <w:tcW w:w="1236" w:type="pct"/>
            <w:tcBorders>
              <w:top w:val="single" w:sz="4" w:space="0" w:color="auto"/>
              <w:left w:val="single" w:sz="4" w:space="0" w:color="auto"/>
              <w:bottom w:val="single" w:sz="4" w:space="0" w:color="auto"/>
              <w:right w:val="single" w:sz="4" w:space="0" w:color="auto"/>
            </w:tcBorders>
            <w:vAlign w:val="center"/>
          </w:tcPr>
          <w:p w14:paraId="69153331" w14:textId="77777777" w:rsidR="00A04C5B" w:rsidRPr="00291D81" w:rsidRDefault="00A04C5B" w:rsidP="00A04C5B">
            <w:pPr>
              <w:spacing w:before="60" w:after="60"/>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6D59E06D" w14:textId="24F6CA3A" w:rsidR="00A04C5B" w:rsidRPr="00291D81" w:rsidRDefault="00A04C5B" w:rsidP="00A04C5B">
            <w:pPr>
              <w:spacing w:before="60" w:after="60"/>
              <w:rPr>
                <w:rFonts w:cs="Arial"/>
                <w:sz w:val="20"/>
                <w:szCs w:val="20"/>
              </w:rPr>
            </w:pPr>
          </w:p>
        </w:tc>
      </w:tr>
      <w:tr w:rsidR="00A04C5B" w:rsidRPr="00291D81" w14:paraId="7B7C1E8D"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2473B5E1" w14:textId="2E9AFED5" w:rsidR="00A04C5B" w:rsidRPr="001E0491" w:rsidRDefault="00A04C5B" w:rsidP="00A04C5B">
            <w:pPr>
              <w:spacing w:before="60" w:after="60"/>
              <w:rPr>
                <w:rFonts w:cs="Arial"/>
                <w:b/>
                <w:sz w:val="20"/>
                <w:szCs w:val="20"/>
              </w:rPr>
            </w:pPr>
            <w:r w:rsidRPr="001E0491">
              <w:rPr>
                <w:rFonts w:cs="Arial"/>
                <w:b/>
                <w:sz w:val="20"/>
                <w:szCs w:val="20"/>
              </w:rPr>
              <w:t>Lead</w:t>
            </w:r>
          </w:p>
        </w:tc>
        <w:tc>
          <w:tcPr>
            <w:tcW w:w="1193" w:type="pct"/>
            <w:tcBorders>
              <w:top w:val="single" w:sz="4" w:space="0" w:color="auto"/>
              <w:left w:val="single" w:sz="4" w:space="0" w:color="auto"/>
              <w:bottom w:val="single" w:sz="4" w:space="0" w:color="auto"/>
              <w:right w:val="single" w:sz="4" w:space="0" w:color="auto"/>
            </w:tcBorders>
            <w:vAlign w:val="center"/>
            <w:hideMark/>
          </w:tcPr>
          <w:p w14:paraId="06154EE9" w14:textId="77777777" w:rsidR="00A04C5B" w:rsidRPr="00291D81" w:rsidRDefault="00A04C5B" w:rsidP="00A04C5B">
            <w:pPr>
              <w:spacing w:before="60" w:after="60"/>
              <w:rPr>
                <w:rFonts w:cs="Arial"/>
                <w:sz w:val="20"/>
                <w:szCs w:val="20"/>
              </w:rPr>
            </w:pPr>
            <w:r w:rsidRPr="00291D81">
              <w:rPr>
                <w:rFonts w:cs="Arial"/>
                <w:sz w:val="20"/>
                <w:szCs w:val="20"/>
                <w:lang w:eastAsia="en-GB" w:bidi="ar-SA"/>
              </w:rPr>
              <w:t>≤ 0.05 mg/kg</w:t>
            </w:r>
          </w:p>
        </w:tc>
        <w:tc>
          <w:tcPr>
            <w:tcW w:w="1236" w:type="pct"/>
            <w:tcBorders>
              <w:top w:val="single" w:sz="4" w:space="0" w:color="auto"/>
              <w:left w:val="single" w:sz="4" w:space="0" w:color="auto"/>
              <w:bottom w:val="single" w:sz="4" w:space="0" w:color="auto"/>
              <w:right w:val="single" w:sz="4" w:space="0" w:color="auto"/>
            </w:tcBorders>
            <w:vAlign w:val="center"/>
          </w:tcPr>
          <w:p w14:paraId="7A80EFC5" w14:textId="77777777" w:rsidR="00A04C5B" w:rsidRPr="00291D81" w:rsidRDefault="00A04C5B" w:rsidP="00A04C5B">
            <w:pPr>
              <w:spacing w:before="60" w:after="60"/>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1E8A54A1" w14:textId="6719850A" w:rsidR="00A04C5B" w:rsidRPr="00291D81" w:rsidRDefault="00A04C5B" w:rsidP="00A04C5B">
            <w:pPr>
              <w:spacing w:before="60" w:after="60"/>
              <w:rPr>
                <w:rFonts w:cs="Arial"/>
                <w:sz w:val="20"/>
                <w:szCs w:val="20"/>
                <w:lang w:eastAsia="en-GB" w:bidi="ar-SA"/>
              </w:rPr>
            </w:pPr>
            <w:r w:rsidRPr="00291D81">
              <w:rPr>
                <w:rFonts w:cs="Arial"/>
                <w:sz w:val="20"/>
                <w:szCs w:val="20"/>
                <w:lang w:eastAsia="en-GB" w:bidi="ar-SA"/>
              </w:rPr>
              <w:t>≤ 0.1 mg/kg</w:t>
            </w:r>
            <w:r w:rsidRPr="00291D81" w:rsidDel="00CE7173">
              <w:rPr>
                <w:rFonts w:cs="Arial"/>
                <w:sz w:val="20"/>
                <w:szCs w:val="20"/>
                <w:lang w:eastAsia="en-GB" w:bidi="ar-SA"/>
              </w:rPr>
              <w:t xml:space="preserve"> </w:t>
            </w:r>
            <w:r w:rsidRPr="00291D81">
              <w:rPr>
                <w:rFonts w:cs="Arial"/>
                <w:sz w:val="20"/>
                <w:szCs w:val="20"/>
                <w:lang w:eastAsia="en-GB" w:bidi="ar-SA"/>
              </w:rPr>
              <w:t>(S3—40)</w:t>
            </w:r>
          </w:p>
          <w:p w14:paraId="3F7B626F" w14:textId="6074A4B8" w:rsidR="00A04C5B" w:rsidRPr="00291D81" w:rsidRDefault="00A04C5B" w:rsidP="00A04C5B">
            <w:pPr>
              <w:spacing w:before="60" w:after="60"/>
              <w:rPr>
                <w:rFonts w:cs="Arial"/>
                <w:sz w:val="20"/>
                <w:szCs w:val="20"/>
              </w:rPr>
            </w:pPr>
            <w:r w:rsidRPr="00291D81">
              <w:rPr>
                <w:rFonts w:cs="Arial"/>
                <w:sz w:val="20"/>
                <w:szCs w:val="20"/>
                <w:lang w:eastAsia="en-GB" w:bidi="ar-SA"/>
              </w:rPr>
              <w:t>≤ 2 mg/kg</w:t>
            </w:r>
            <w:r w:rsidRPr="00291D81" w:rsidDel="00CE7173">
              <w:rPr>
                <w:rFonts w:cs="Arial"/>
                <w:sz w:val="20"/>
                <w:szCs w:val="20"/>
                <w:lang w:eastAsia="en-GB" w:bidi="ar-SA"/>
              </w:rPr>
              <w:t xml:space="preserve"> </w:t>
            </w:r>
            <w:r w:rsidRPr="00291D81">
              <w:rPr>
                <w:rFonts w:cs="Arial"/>
                <w:sz w:val="20"/>
                <w:szCs w:val="20"/>
                <w:lang w:eastAsia="en-GB" w:bidi="ar-SA"/>
              </w:rPr>
              <w:t>(S3—4)</w:t>
            </w:r>
          </w:p>
        </w:tc>
      </w:tr>
      <w:tr w:rsidR="00A04C5B" w:rsidRPr="00291D81" w14:paraId="3D654347"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63AD0C71" w14:textId="59321805" w:rsidR="00A04C5B" w:rsidRPr="001E0491" w:rsidRDefault="00A04C5B" w:rsidP="00A04C5B">
            <w:pPr>
              <w:spacing w:before="60" w:after="60"/>
              <w:rPr>
                <w:rFonts w:cs="Arial"/>
                <w:b/>
                <w:sz w:val="20"/>
                <w:szCs w:val="20"/>
              </w:rPr>
            </w:pPr>
            <w:r w:rsidRPr="001E0491">
              <w:rPr>
                <w:rFonts w:cs="Arial"/>
                <w:b/>
                <w:sz w:val="20"/>
                <w:szCs w:val="20"/>
              </w:rPr>
              <w:t>Arsenic</w:t>
            </w:r>
          </w:p>
        </w:tc>
        <w:tc>
          <w:tcPr>
            <w:tcW w:w="1193" w:type="pct"/>
            <w:tcBorders>
              <w:top w:val="single" w:sz="4" w:space="0" w:color="auto"/>
              <w:left w:val="single" w:sz="4" w:space="0" w:color="auto"/>
              <w:bottom w:val="single" w:sz="4" w:space="0" w:color="auto"/>
              <w:right w:val="single" w:sz="4" w:space="0" w:color="auto"/>
            </w:tcBorders>
            <w:vAlign w:val="center"/>
            <w:hideMark/>
          </w:tcPr>
          <w:p w14:paraId="00C349C2" w14:textId="77777777" w:rsidR="00A04C5B" w:rsidRPr="00291D81" w:rsidRDefault="00A04C5B" w:rsidP="00A04C5B">
            <w:pPr>
              <w:spacing w:before="60" w:after="60"/>
              <w:rPr>
                <w:rFonts w:cs="Arial"/>
                <w:sz w:val="20"/>
                <w:szCs w:val="20"/>
              </w:rPr>
            </w:pPr>
            <w:r w:rsidRPr="00291D81">
              <w:rPr>
                <w:rFonts w:cs="Arial"/>
                <w:sz w:val="20"/>
                <w:szCs w:val="20"/>
                <w:lang w:eastAsia="en-GB" w:bidi="ar-SA"/>
              </w:rPr>
              <w:t>≤ 0.1 mg/kg</w:t>
            </w:r>
          </w:p>
        </w:tc>
        <w:tc>
          <w:tcPr>
            <w:tcW w:w="1236" w:type="pct"/>
            <w:tcBorders>
              <w:top w:val="single" w:sz="4" w:space="0" w:color="auto"/>
              <w:left w:val="single" w:sz="4" w:space="0" w:color="auto"/>
              <w:bottom w:val="single" w:sz="4" w:space="0" w:color="auto"/>
              <w:right w:val="single" w:sz="4" w:space="0" w:color="auto"/>
            </w:tcBorders>
            <w:vAlign w:val="center"/>
          </w:tcPr>
          <w:p w14:paraId="5EF150DF" w14:textId="77777777" w:rsidR="00A04C5B" w:rsidRPr="00291D81" w:rsidRDefault="00A04C5B" w:rsidP="00A04C5B">
            <w:pPr>
              <w:spacing w:before="60" w:after="60"/>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6AB85A18" w14:textId="21855E05" w:rsidR="00A04C5B" w:rsidRPr="00291D81" w:rsidRDefault="00A04C5B" w:rsidP="00A04C5B">
            <w:pPr>
              <w:spacing w:before="60" w:after="60"/>
              <w:rPr>
                <w:rFonts w:cs="Arial"/>
                <w:sz w:val="20"/>
                <w:szCs w:val="20"/>
              </w:rPr>
            </w:pPr>
            <w:r w:rsidRPr="00291D81">
              <w:rPr>
                <w:rFonts w:cs="Arial"/>
                <w:sz w:val="20"/>
                <w:szCs w:val="20"/>
                <w:lang w:eastAsia="en-GB" w:bidi="ar-SA"/>
              </w:rPr>
              <w:t>≤ 1 mg/kg (S3—4)</w:t>
            </w:r>
          </w:p>
        </w:tc>
      </w:tr>
      <w:tr w:rsidR="00A04C5B" w:rsidRPr="00291D81" w14:paraId="051762ED"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70D2DE98" w14:textId="09158719" w:rsidR="00A04C5B" w:rsidRPr="001E0491" w:rsidRDefault="00A04C5B" w:rsidP="00A04C5B">
            <w:pPr>
              <w:spacing w:before="60" w:after="60"/>
              <w:rPr>
                <w:rFonts w:cs="Arial"/>
                <w:b/>
                <w:sz w:val="20"/>
                <w:szCs w:val="20"/>
              </w:rPr>
            </w:pPr>
            <w:r w:rsidRPr="001E0491">
              <w:rPr>
                <w:rFonts w:cs="Arial"/>
                <w:b/>
                <w:sz w:val="20"/>
                <w:szCs w:val="20"/>
              </w:rPr>
              <w:t>Cadmium</w:t>
            </w:r>
          </w:p>
        </w:tc>
        <w:tc>
          <w:tcPr>
            <w:tcW w:w="1193" w:type="pct"/>
            <w:tcBorders>
              <w:top w:val="single" w:sz="4" w:space="0" w:color="auto"/>
              <w:left w:val="single" w:sz="4" w:space="0" w:color="auto"/>
              <w:bottom w:val="single" w:sz="4" w:space="0" w:color="auto"/>
              <w:right w:val="single" w:sz="4" w:space="0" w:color="auto"/>
            </w:tcBorders>
            <w:vAlign w:val="center"/>
            <w:hideMark/>
          </w:tcPr>
          <w:p w14:paraId="64B26B52" w14:textId="77777777" w:rsidR="00A04C5B" w:rsidRPr="00291D81" w:rsidRDefault="00A04C5B" w:rsidP="00A04C5B">
            <w:pPr>
              <w:spacing w:before="60" w:after="60"/>
              <w:rPr>
                <w:rFonts w:cs="Arial"/>
                <w:sz w:val="20"/>
                <w:szCs w:val="20"/>
              </w:rPr>
            </w:pPr>
            <w:r w:rsidRPr="00291D81">
              <w:rPr>
                <w:rFonts w:cs="Arial"/>
                <w:sz w:val="20"/>
                <w:szCs w:val="20"/>
                <w:lang w:eastAsia="en-GB" w:bidi="ar-SA"/>
              </w:rPr>
              <w:t>≤ 0.01 mg/kg</w:t>
            </w:r>
          </w:p>
        </w:tc>
        <w:tc>
          <w:tcPr>
            <w:tcW w:w="1236" w:type="pct"/>
            <w:tcBorders>
              <w:top w:val="single" w:sz="4" w:space="0" w:color="auto"/>
              <w:left w:val="single" w:sz="4" w:space="0" w:color="auto"/>
              <w:bottom w:val="single" w:sz="4" w:space="0" w:color="auto"/>
              <w:right w:val="single" w:sz="4" w:space="0" w:color="auto"/>
            </w:tcBorders>
            <w:vAlign w:val="center"/>
          </w:tcPr>
          <w:p w14:paraId="2BCC1D9B" w14:textId="77777777" w:rsidR="00A04C5B" w:rsidRPr="00291D81" w:rsidRDefault="00A04C5B" w:rsidP="00A04C5B">
            <w:pPr>
              <w:spacing w:before="60" w:after="60"/>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50987D9A" w14:textId="263BDAEE" w:rsidR="00A04C5B" w:rsidRPr="00291D81" w:rsidRDefault="00A04C5B" w:rsidP="00A04C5B">
            <w:pPr>
              <w:spacing w:before="60" w:after="60"/>
              <w:rPr>
                <w:rFonts w:cs="Arial"/>
                <w:sz w:val="20"/>
                <w:szCs w:val="20"/>
              </w:rPr>
            </w:pPr>
            <w:r w:rsidRPr="00291D81">
              <w:rPr>
                <w:rFonts w:cs="Arial"/>
                <w:sz w:val="20"/>
                <w:szCs w:val="20"/>
                <w:lang w:eastAsia="en-GB" w:bidi="ar-SA"/>
              </w:rPr>
              <w:t>≤ 1 mg/kg (S3—4)</w:t>
            </w:r>
          </w:p>
        </w:tc>
      </w:tr>
      <w:tr w:rsidR="00A04C5B" w:rsidRPr="00291D81" w14:paraId="7C4DA9D1"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6D3AD9BD" w14:textId="6809FB2B" w:rsidR="00A04C5B" w:rsidRPr="001E0491" w:rsidRDefault="00A04C5B" w:rsidP="00A04C5B">
            <w:pPr>
              <w:spacing w:before="60" w:after="60"/>
              <w:rPr>
                <w:rFonts w:cs="Arial"/>
                <w:b/>
                <w:sz w:val="20"/>
                <w:szCs w:val="20"/>
              </w:rPr>
            </w:pPr>
            <w:r w:rsidRPr="001E0491">
              <w:rPr>
                <w:rFonts w:cs="Arial"/>
                <w:b/>
                <w:sz w:val="20"/>
                <w:szCs w:val="20"/>
              </w:rPr>
              <w:t>Mercury</w:t>
            </w:r>
          </w:p>
        </w:tc>
        <w:tc>
          <w:tcPr>
            <w:tcW w:w="1193" w:type="pct"/>
            <w:tcBorders>
              <w:top w:val="single" w:sz="4" w:space="0" w:color="auto"/>
              <w:left w:val="single" w:sz="4" w:space="0" w:color="auto"/>
              <w:bottom w:val="single" w:sz="4" w:space="0" w:color="auto"/>
              <w:right w:val="single" w:sz="4" w:space="0" w:color="auto"/>
            </w:tcBorders>
            <w:vAlign w:val="center"/>
            <w:hideMark/>
          </w:tcPr>
          <w:p w14:paraId="05C017FB" w14:textId="77777777" w:rsidR="00A04C5B" w:rsidRPr="00291D81" w:rsidRDefault="00A04C5B" w:rsidP="00A04C5B">
            <w:pPr>
              <w:spacing w:before="60" w:after="60"/>
              <w:rPr>
                <w:rFonts w:cs="Arial"/>
                <w:sz w:val="20"/>
                <w:szCs w:val="20"/>
              </w:rPr>
            </w:pPr>
            <w:r w:rsidRPr="00291D81">
              <w:rPr>
                <w:rFonts w:cs="Arial"/>
                <w:sz w:val="20"/>
                <w:szCs w:val="20"/>
                <w:lang w:eastAsia="en-GB" w:bidi="ar-SA"/>
              </w:rPr>
              <w:t>≤ 0.05 mg/kg</w:t>
            </w:r>
          </w:p>
        </w:tc>
        <w:tc>
          <w:tcPr>
            <w:tcW w:w="1236" w:type="pct"/>
            <w:tcBorders>
              <w:top w:val="single" w:sz="4" w:space="0" w:color="auto"/>
              <w:left w:val="single" w:sz="4" w:space="0" w:color="auto"/>
              <w:bottom w:val="single" w:sz="4" w:space="0" w:color="auto"/>
              <w:right w:val="single" w:sz="4" w:space="0" w:color="auto"/>
            </w:tcBorders>
            <w:vAlign w:val="center"/>
          </w:tcPr>
          <w:p w14:paraId="3564B673" w14:textId="77777777" w:rsidR="00A04C5B" w:rsidRPr="00291D81" w:rsidRDefault="00A04C5B" w:rsidP="00A04C5B">
            <w:pPr>
              <w:spacing w:before="60" w:after="60"/>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73B83171" w14:textId="190A88A4" w:rsidR="00A04C5B" w:rsidRPr="00291D81" w:rsidRDefault="00A04C5B" w:rsidP="00A04C5B">
            <w:pPr>
              <w:spacing w:before="60" w:after="60"/>
              <w:rPr>
                <w:rFonts w:cs="Arial"/>
                <w:sz w:val="20"/>
                <w:szCs w:val="20"/>
              </w:rPr>
            </w:pPr>
            <w:r w:rsidRPr="00291D81">
              <w:rPr>
                <w:rFonts w:cs="Arial"/>
                <w:sz w:val="20"/>
                <w:szCs w:val="20"/>
                <w:lang w:eastAsia="en-GB" w:bidi="ar-SA"/>
              </w:rPr>
              <w:t>≤ 1 mg/kg (S3—4)</w:t>
            </w:r>
          </w:p>
        </w:tc>
      </w:tr>
      <w:tr w:rsidR="00A04C5B" w:rsidRPr="00291D81" w14:paraId="41D0E0FF" w14:textId="77777777" w:rsidTr="00291D81">
        <w:trPr>
          <w:cnfStyle w:val="000000100000" w:firstRow="0" w:lastRow="0" w:firstColumn="0" w:lastColumn="0" w:oddVBand="0" w:evenVBand="0" w:oddHBand="1" w:evenHBand="0" w:firstRowFirstColumn="0" w:firstRowLastColumn="0" w:lastRowFirstColumn="0" w:lastRowLastColumn="0"/>
          <w:trHeight w:val="39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199BC12" w14:textId="6A9960EF" w:rsidR="00A04C5B" w:rsidRPr="001E0491" w:rsidRDefault="00A04C5B" w:rsidP="00A04C5B">
            <w:pPr>
              <w:spacing w:before="60" w:after="60"/>
              <w:jc w:val="center"/>
              <w:rPr>
                <w:rFonts w:cs="Arial"/>
                <w:b/>
                <w:sz w:val="20"/>
                <w:szCs w:val="20"/>
              </w:rPr>
            </w:pPr>
            <w:r w:rsidRPr="001E0491">
              <w:rPr>
                <w:rFonts w:cs="Arial"/>
                <w:b/>
                <w:sz w:val="20"/>
                <w:szCs w:val="20"/>
              </w:rPr>
              <w:t>Microbiological</w:t>
            </w:r>
          </w:p>
        </w:tc>
      </w:tr>
      <w:tr w:rsidR="00A04C5B" w:rsidRPr="00291D81" w14:paraId="6379910B"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0554640B" w14:textId="6D9940E4" w:rsidR="00A04C5B" w:rsidRPr="001E0491" w:rsidRDefault="00A04C5B" w:rsidP="00A04C5B">
            <w:pPr>
              <w:rPr>
                <w:rFonts w:cs="Arial"/>
                <w:b/>
                <w:sz w:val="20"/>
                <w:szCs w:val="20"/>
                <w:lang w:eastAsia="en-GB" w:bidi="ar-SA"/>
              </w:rPr>
            </w:pPr>
            <w:r w:rsidRPr="001E0491">
              <w:rPr>
                <w:rFonts w:cs="Arial"/>
                <w:b/>
                <w:sz w:val="20"/>
                <w:szCs w:val="20"/>
                <w:lang w:eastAsia="en-GB" w:bidi="ar-SA"/>
              </w:rPr>
              <w:t>Aerobic mesophilic bacteria total count</w:t>
            </w:r>
          </w:p>
        </w:tc>
        <w:tc>
          <w:tcPr>
            <w:tcW w:w="1193" w:type="pct"/>
            <w:tcBorders>
              <w:top w:val="single" w:sz="4" w:space="0" w:color="auto"/>
              <w:left w:val="single" w:sz="4" w:space="0" w:color="auto"/>
              <w:bottom w:val="single" w:sz="4" w:space="0" w:color="auto"/>
              <w:right w:val="single" w:sz="4" w:space="0" w:color="auto"/>
            </w:tcBorders>
            <w:vAlign w:val="center"/>
            <w:hideMark/>
          </w:tcPr>
          <w:p w14:paraId="118E9F77" w14:textId="77777777" w:rsidR="00A04C5B" w:rsidRPr="00291D81" w:rsidRDefault="00A04C5B" w:rsidP="00A04C5B">
            <w:pPr>
              <w:rPr>
                <w:rFonts w:cs="Arial"/>
                <w:sz w:val="20"/>
                <w:szCs w:val="20"/>
              </w:rPr>
            </w:pPr>
            <w:r w:rsidRPr="00291D81">
              <w:rPr>
                <w:rFonts w:cs="Arial"/>
                <w:sz w:val="20"/>
                <w:szCs w:val="20"/>
                <w:lang w:eastAsia="en-GB" w:bidi="ar-SA"/>
              </w:rPr>
              <w:t xml:space="preserve">≤ </w:t>
            </w:r>
            <w:r w:rsidRPr="00291D81">
              <w:rPr>
                <w:rFonts w:cs="Arial"/>
                <w:sz w:val="20"/>
                <w:szCs w:val="20"/>
              </w:rPr>
              <w:t>3,000 cfu/g</w:t>
            </w:r>
          </w:p>
        </w:tc>
        <w:tc>
          <w:tcPr>
            <w:tcW w:w="1236" w:type="pct"/>
            <w:tcBorders>
              <w:top w:val="single" w:sz="4" w:space="0" w:color="auto"/>
              <w:left w:val="single" w:sz="4" w:space="0" w:color="auto"/>
              <w:bottom w:val="single" w:sz="4" w:space="0" w:color="auto"/>
              <w:right w:val="single" w:sz="4" w:space="0" w:color="auto"/>
            </w:tcBorders>
            <w:vAlign w:val="center"/>
          </w:tcPr>
          <w:p w14:paraId="278844D1" w14:textId="6E8C0747" w:rsidR="00A04C5B" w:rsidRPr="00291D81" w:rsidRDefault="00A04C5B">
            <w:pPr>
              <w:rPr>
                <w:rFonts w:cs="Arial"/>
                <w:sz w:val="20"/>
                <w:szCs w:val="20"/>
              </w:rPr>
            </w:pPr>
            <w:r w:rsidRPr="00291D81">
              <w:rPr>
                <w:rFonts w:cs="Arial"/>
                <w:sz w:val="20"/>
                <w:szCs w:val="20"/>
                <w:lang w:eastAsia="en-GB" w:bidi="ar-SA"/>
              </w:rPr>
              <w:t xml:space="preserve">≤ </w:t>
            </w:r>
            <w:r w:rsidR="005A6C0F">
              <w:rPr>
                <w:rFonts w:cs="Arial"/>
                <w:sz w:val="20"/>
                <w:szCs w:val="20"/>
              </w:rPr>
              <w:t>3000</w:t>
            </w:r>
            <w:r w:rsidR="005A6C0F" w:rsidRPr="00291D81">
              <w:rPr>
                <w:rFonts w:cs="Arial"/>
                <w:sz w:val="20"/>
                <w:szCs w:val="20"/>
              </w:rPr>
              <w:t xml:space="preserve"> </w:t>
            </w:r>
            <w:r w:rsidR="00CD2100">
              <w:rPr>
                <w:rFonts w:cs="Arial"/>
                <w:sz w:val="20"/>
                <w:szCs w:val="20"/>
              </w:rPr>
              <w:t>cfu</w:t>
            </w:r>
            <w:r w:rsidRPr="00291D81">
              <w:rPr>
                <w:rFonts w:cs="Arial"/>
                <w:sz w:val="20"/>
                <w:szCs w:val="20"/>
              </w:rPr>
              <w:t>/g</w:t>
            </w:r>
          </w:p>
        </w:tc>
        <w:tc>
          <w:tcPr>
            <w:tcW w:w="1194" w:type="pct"/>
            <w:tcBorders>
              <w:top w:val="single" w:sz="4" w:space="0" w:color="auto"/>
              <w:left w:val="single" w:sz="4" w:space="0" w:color="auto"/>
              <w:bottom w:val="single" w:sz="4" w:space="0" w:color="auto"/>
              <w:right w:val="single" w:sz="4" w:space="0" w:color="auto"/>
            </w:tcBorders>
            <w:vAlign w:val="center"/>
          </w:tcPr>
          <w:p w14:paraId="31C4BC53" w14:textId="616FE91B" w:rsidR="00A04C5B" w:rsidRPr="00291D81" w:rsidRDefault="00A04C5B" w:rsidP="00A04C5B">
            <w:pPr>
              <w:rPr>
                <w:rFonts w:cs="Arial"/>
                <w:sz w:val="20"/>
                <w:szCs w:val="20"/>
              </w:rPr>
            </w:pPr>
            <w:r w:rsidRPr="00291D81">
              <w:rPr>
                <w:rFonts w:cs="Arial"/>
                <w:sz w:val="20"/>
                <w:szCs w:val="20"/>
                <w:lang w:eastAsia="en-GB" w:bidi="ar-SA"/>
              </w:rPr>
              <w:t>≤ 500 cfu/g (total plate count)</w:t>
            </w:r>
          </w:p>
        </w:tc>
      </w:tr>
      <w:tr w:rsidR="00A04C5B" w:rsidRPr="00291D81" w14:paraId="05591968"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49BE4B7B" w14:textId="5654E7E9" w:rsidR="00A04C5B" w:rsidRPr="001E0491" w:rsidRDefault="00A04C5B" w:rsidP="00A04C5B">
            <w:pPr>
              <w:spacing w:before="0" w:after="0"/>
              <w:rPr>
                <w:rFonts w:cs="Arial"/>
                <w:b/>
                <w:sz w:val="20"/>
                <w:szCs w:val="20"/>
              </w:rPr>
            </w:pPr>
            <w:r w:rsidRPr="001E0491">
              <w:rPr>
                <w:rFonts w:cs="Arial"/>
                <w:b/>
                <w:sz w:val="20"/>
                <w:szCs w:val="20"/>
              </w:rPr>
              <w:t>Yeasts</w:t>
            </w:r>
          </w:p>
        </w:tc>
        <w:tc>
          <w:tcPr>
            <w:tcW w:w="1193" w:type="pct"/>
            <w:tcBorders>
              <w:top w:val="single" w:sz="4" w:space="0" w:color="auto"/>
              <w:left w:val="single" w:sz="4" w:space="0" w:color="auto"/>
              <w:bottom w:val="single" w:sz="4" w:space="0" w:color="auto"/>
              <w:right w:val="single" w:sz="4" w:space="0" w:color="auto"/>
            </w:tcBorders>
            <w:vAlign w:val="center"/>
            <w:hideMark/>
          </w:tcPr>
          <w:p w14:paraId="24628A86" w14:textId="77777777" w:rsidR="00A04C5B" w:rsidRPr="00291D81" w:rsidRDefault="00A04C5B" w:rsidP="00A04C5B">
            <w:pPr>
              <w:spacing w:before="0" w:after="0"/>
              <w:rPr>
                <w:rFonts w:cs="Arial"/>
                <w:sz w:val="20"/>
                <w:szCs w:val="20"/>
              </w:rPr>
            </w:pPr>
            <w:r w:rsidRPr="00291D81">
              <w:rPr>
                <w:rFonts w:cs="Arial"/>
                <w:sz w:val="20"/>
                <w:szCs w:val="20"/>
                <w:lang w:eastAsia="en-GB" w:bidi="ar-SA"/>
              </w:rPr>
              <w:t xml:space="preserve">≤ </w:t>
            </w:r>
            <w:r w:rsidRPr="00291D81">
              <w:rPr>
                <w:rFonts w:cs="Arial"/>
                <w:sz w:val="20"/>
                <w:szCs w:val="20"/>
              </w:rPr>
              <w:t>10 cfu/g</w:t>
            </w:r>
          </w:p>
        </w:tc>
        <w:tc>
          <w:tcPr>
            <w:tcW w:w="1236" w:type="pct"/>
            <w:tcBorders>
              <w:top w:val="single" w:sz="4" w:space="0" w:color="auto"/>
              <w:left w:val="single" w:sz="4" w:space="0" w:color="auto"/>
              <w:bottom w:val="single" w:sz="4" w:space="0" w:color="auto"/>
              <w:right w:val="single" w:sz="4" w:space="0" w:color="auto"/>
            </w:tcBorders>
            <w:vAlign w:val="center"/>
          </w:tcPr>
          <w:p w14:paraId="7368EC2D" w14:textId="35AAF603" w:rsidR="00A04C5B" w:rsidRPr="00291D81" w:rsidRDefault="00A04C5B" w:rsidP="00A04C5B">
            <w:pPr>
              <w:rPr>
                <w:rFonts w:cs="Arial"/>
                <w:sz w:val="20"/>
                <w:szCs w:val="20"/>
              </w:rPr>
            </w:pPr>
            <w:r w:rsidRPr="00291D81">
              <w:rPr>
                <w:rFonts w:cs="Arial"/>
                <w:sz w:val="20"/>
                <w:szCs w:val="20"/>
                <w:lang w:eastAsia="en-GB" w:bidi="ar-SA"/>
              </w:rPr>
              <w:t xml:space="preserve">≤ </w:t>
            </w:r>
            <w:r w:rsidRPr="00291D81">
              <w:rPr>
                <w:rFonts w:cs="Arial"/>
                <w:sz w:val="20"/>
                <w:szCs w:val="20"/>
              </w:rPr>
              <w:t>10</w:t>
            </w:r>
            <w:r w:rsidR="005A6C0F">
              <w:rPr>
                <w:rFonts w:cs="Arial"/>
                <w:sz w:val="20"/>
                <w:szCs w:val="20"/>
              </w:rPr>
              <w:t>0</w:t>
            </w:r>
            <w:r w:rsidRPr="00291D81">
              <w:rPr>
                <w:rFonts w:cs="Arial"/>
                <w:sz w:val="20"/>
                <w:szCs w:val="20"/>
              </w:rPr>
              <w:t xml:space="preserve"> </w:t>
            </w:r>
            <w:r w:rsidR="00CD2100">
              <w:rPr>
                <w:rFonts w:cs="Arial"/>
                <w:sz w:val="20"/>
                <w:szCs w:val="20"/>
              </w:rPr>
              <w:t>cfu</w:t>
            </w:r>
            <w:r w:rsidRPr="00291D81">
              <w:rPr>
                <w:rFonts w:cs="Arial"/>
                <w:sz w:val="20"/>
                <w:szCs w:val="20"/>
              </w:rPr>
              <w:t>/g</w:t>
            </w:r>
          </w:p>
        </w:tc>
        <w:tc>
          <w:tcPr>
            <w:tcW w:w="1194" w:type="pct"/>
            <w:tcBorders>
              <w:top w:val="single" w:sz="4" w:space="0" w:color="auto"/>
              <w:left w:val="single" w:sz="4" w:space="0" w:color="auto"/>
              <w:bottom w:val="single" w:sz="4" w:space="0" w:color="auto"/>
              <w:right w:val="single" w:sz="4" w:space="0" w:color="auto"/>
            </w:tcBorders>
            <w:vAlign w:val="center"/>
          </w:tcPr>
          <w:p w14:paraId="1B396EB7" w14:textId="3870390E" w:rsidR="00A04C5B" w:rsidRPr="00291D81" w:rsidRDefault="00A04C5B" w:rsidP="00A04C5B">
            <w:pPr>
              <w:rPr>
                <w:rFonts w:cs="Arial"/>
                <w:sz w:val="20"/>
                <w:szCs w:val="20"/>
              </w:rPr>
            </w:pPr>
            <w:r w:rsidRPr="00291D81">
              <w:rPr>
                <w:rFonts w:cs="Arial"/>
                <w:sz w:val="20"/>
                <w:szCs w:val="20"/>
                <w:lang w:eastAsia="en-GB" w:bidi="ar-SA"/>
              </w:rPr>
              <w:t>≤ 10 cfu/g</w:t>
            </w:r>
            <w:r w:rsidRPr="00291D81" w:rsidDel="00CE7173">
              <w:rPr>
                <w:rFonts w:cs="Arial"/>
                <w:sz w:val="20"/>
                <w:szCs w:val="20"/>
                <w:lang w:eastAsia="en-GB" w:bidi="ar-SA"/>
              </w:rPr>
              <w:t xml:space="preserve"> </w:t>
            </w:r>
          </w:p>
        </w:tc>
      </w:tr>
      <w:tr w:rsidR="00A04C5B" w:rsidRPr="00291D81" w14:paraId="60DB3A84"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463063BA" w14:textId="3E092F7E" w:rsidR="00A04C5B" w:rsidRPr="001E0491" w:rsidRDefault="00A04C5B" w:rsidP="00A04C5B">
            <w:pPr>
              <w:spacing w:before="0" w:after="0"/>
              <w:rPr>
                <w:rFonts w:cs="Arial"/>
                <w:b/>
                <w:sz w:val="20"/>
                <w:szCs w:val="20"/>
              </w:rPr>
            </w:pPr>
            <w:r w:rsidRPr="001E0491">
              <w:rPr>
                <w:rFonts w:cs="Arial"/>
                <w:b/>
                <w:sz w:val="20"/>
                <w:szCs w:val="20"/>
              </w:rPr>
              <w:t>Moulds</w:t>
            </w:r>
          </w:p>
        </w:tc>
        <w:tc>
          <w:tcPr>
            <w:tcW w:w="1193" w:type="pct"/>
            <w:tcBorders>
              <w:top w:val="single" w:sz="4" w:space="0" w:color="auto"/>
              <w:left w:val="single" w:sz="4" w:space="0" w:color="auto"/>
              <w:bottom w:val="single" w:sz="4" w:space="0" w:color="auto"/>
              <w:right w:val="single" w:sz="4" w:space="0" w:color="auto"/>
            </w:tcBorders>
            <w:vAlign w:val="center"/>
            <w:hideMark/>
          </w:tcPr>
          <w:p w14:paraId="496EB235" w14:textId="77777777" w:rsidR="00A04C5B" w:rsidRPr="00291D81" w:rsidRDefault="00A04C5B" w:rsidP="00A04C5B">
            <w:pPr>
              <w:spacing w:before="0" w:after="0"/>
              <w:rPr>
                <w:rFonts w:cs="Arial"/>
                <w:sz w:val="20"/>
                <w:szCs w:val="20"/>
              </w:rPr>
            </w:pPr>
            <w:r w:rsidRPr="00291D81">
              <w:rPr>
                <w:rFonts w:cs="Arial"/>
                <w:sz w:val="20"/>
                <w:szCs w:val="20"/>
                <w:lang w:eastAsia="en-GB" w:bidi="ar-SA"/>
              </w:rPr>
              <w:t xml:space="preserve">≤ </w:t>
            </w:r>
            <w:r w:rsidRPr="00291D81">
              <w:rPr>
                <w:rFonts w:cs="Arial"/>
                <w:sz w:val="20"/>
                <w:szCs w:val="20"/>
              </w:rPr>
              <w:t>10 cfu/g</w:t>
            </w:r>
          </w:p>
        </w:tc>
        <w:tc>
          <w:tcPr>
            <w:tcW w:w="1236" w:type="pct"/>
            <w:tcBorders>
              <w:top w:val="single" w:sz="4" w:space="0" w:color="auto"/>
              <w:left w:val="single" w:sz="4" w:space="0" w:color="auto"/>
              <w:bottom w:val="single" w:sz="4" w:space="0" w:color="auto"/>
              <w:right w:val="single" w:sz="4" w:space="0" w:color="auto"/>
            </w:tcBorders>
            <w:vAlign w:val="center"/>
          </w:tcPr>
          <w:p w14:paraId="36B77AB7" w14:textId="2FB31226" w:rsidR="00A04C5B" w:rsidRPr="00291D81" w:rsidRDefault="00A04C5B" w:rsidP="00A04C5B">
            <w:pPr>
              <w:rPr>
                <w:rFonts w:cs="Arial"/>
                <w:sz w:val="20"/>
                <w:szCs w:val="20"/>
              </w:rPr>
            </w:pPr>
            <w:r w:rsidRPr="00291D81">
              <w:rPr>
                <w:rFonts w:cs="Arial"/>
                <w:sz w:val="20"/>
                <w:szCs w:val="20"/>
                <w:lang w:eastAsia="en-GB" w:bidi="ar-SA"/>
              </w:rPr>
              <w:t xml:space="preserve">≤ </w:t>
            </w:r>
            <w:r w:rsidRPr="00291D81">
              <w:rPr>
                <w:rFonts w:cs="Arial"/>
                <w:sz w:val="20"/>
                <w:szCs w:val="20"/>
              </w:rPr>
              <w:t>10</w:t>
            </w:r>
            <w:r w:rsidR="005A6C0F">
              <w:rPr>
                <w:rFonts w:cs="Arial"/>
                <w:sz w:val="20"/>
                <w:szCs w:val="20"/>
              </w:rPr>
              <w:t>0</w:t>
            </w:r>
            <w:r w:rsidRPr="00291D81">
              <w:rPr>
                <w:rFonts w:cs="Arial"/>
                <w:sz w:val="20"/>
                <w:szCs w:val="20"/>
              </w:rPr>
              <w:t xml:space="preserve"> </w:t>
            </w:r>
            <w:r w:rsidR="00CD2100">
              <w:rPr>
                <w:rFonts w:cs="Arial"/>
                <w:sz w:val="20"/>
                <w:szCs w:val="20"/>
              </w:rPr>
              <w:t>cfu</w:t>
            </w:r>
            <w:r w:rsidRPr="00291D81">
              <w:rPr>
                <w:rFonts w:cs="Arial"/>
                <w:sz w:val="20"/>
                <w:szCs w:val="20"/>
              </w:rPr>
              <w:t>/g</w:t>
            </w:r>
          </w:p>
        </w:tc>
        <w:tc>
          <w:tcPr>
            <w:tcW w:w="1194" w:type="pct"/>
            <w:tcBorders>
              <w:top w:val="single" w:sz="4" w:space="0" w:color="auto"/>
              <w:left w:val="single" w:sz="4" w:space="0" w:color="auto"/>
              <w:bottom w:val="single" w:sz="4" w:space="0" w:color="auto"/>
              <w:right w:val="single" w:sz="4" w:space="0" w:color="auto"/>
            </w:tcBorders>
            <w:vAlign w:val="center"/>
          </w:tcPr>
          <w:p w14:paraId="37EB81B1" w14:textId="4200F652" w:rsidR="00A04C5B" w:rsidRPr="00291D81" w:rsidRDefault="00A04C5B" w:rsidP="00A04C5B">
            <w:pPr>
              <w:rPr>
                <w:rFonts w:cs="Arial"/>
                <w:sz w:val="20"/>
                <w:szCs w:val="20"/>
              </w:rPr>
            </w:pPr>
            <w:r w:rsidRPr="00291D81">
              <w:rPr>
                <w:rFonts w:cs="Arial"/>
                <w:sz w:val="20"/>
                <w:szCs w:val="20"/>
                <w:lang w:eastAsia="en-GB" w:bidi="ar-SA"/>
              </w:rPr>
              <w:t>≤ 10 cfu/g</w:t>
            </w:r>
            <w:r w:rsidRPr="00291D81" w:rsidDel="00CE7173">
              <w:rPr>
                <w:rFonts w:cs="Arial"/>
                <w:sz w:val="20"/>
                <w:szCs w:val="20"/>
                <w:lang w:eastAsia="en-GB" w:bidi="ar-SA"/>
              </w:rPr>
              <w:t xml:space="preserve"> </w:t>
            </w:r>
          </w:p>
        </w:tc>
      </w:tr>
      <w:tr w:rsidR="00A04C5B" w:rsidRPr="00291D81" w14:paraId="55B9B97A"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5560C446" w14:textId="58D57001" w:rsidR="00A04C5B" w:rsidRPr="001E0491" w:rsidRDefault="00A04C5B" w:rsidP="00A04C5B">
            <w:pPr>
              <w:spacing w:before="0" w:after="0"/>
              <w:rPr>
                <w:rFonts w:cs="Arial"/>
                <w:b/>
                <w:i/>
                <w:sz w:val="20"/>
                <w:szCs w:val="20"/>
              </w:rPr>
            </w:pPr>
            <w:r w:rsidRPr="001E0491">
              <w:rPr>
                <w:rFonts w:cs="Arial"/>
                <w:b/>
                <w:i/>
                <w:sz w:val="20"/>
                <w:szCs w:val="20"/>
              </w:rPr>
              <w:t>Salmonella</w:t>
            </w:r>
          </w:p>
        </w:tc>
        <w:tc>
          <w:tcPr>
            <w:tcW w:w="1193" w:type="pct"/>
            <w:tcBorders>
              <w:top w:val="single" w:sz="4" w:space="0" w:color="auto"/>
              <w:left w:val="single" w:sz="4" w:space="0" w:color="auto"/>
              <w:bottom w:val="single" w:sz="4" w:space="0" w:color="auto"/>
              <w:right w:val="single" w:sz="4" w:space="0" w:color="auto"/>
            </w:tcBorders>
            <w:vAlign w:val="center"/>
            <w:hideMark/>
          </w:tcPr>
          <w:p w14:paraId="7C56A7F6" w14:textId="77777777" w:rsidR="00A04C5B" w:rsidRPr="00291D81" w:rsidRDefault="00A04C5B" w:rsidP="00A04C5B">
            <w:pPr>
              <w:spacing w:before="0" w:after="0"/>
              <w:rPr>
                <w:rFonts w:cs="Arial"/>
                <w:sz w:val="20"/>
                <w:szCs w:val="20"/>
              </w:rPr>
            </w:pPr>
            <w:r w:rsidRPr="00291D81">
              <w:rPr>
                <w:rFonts w:cs="Arial"/>
                <w:sz w:val="20"/>
                <w:szCs w:val="20"/>
                <w:lang w:eastAsia="en-GB" w:bidi="ar-SA"/>
              </w:rPr>
              <w:t>Absent in 25 g</w:t>
            </w:r>
          </w:p>
        </w:tc>
        <w:tc>
          <w:tcPr>
            <w:tcW w:w="1236" w:type="pct"/>
            <w:tcBorders>
              <w:top w:val="single" w:sz="4" w:space="0" w:color="auto"/>
              <w:left w:val="single" w:sz="4" w:space="0" w:color="auto"/>
              <w:bottom w:val="single" w:sz="4" w:space="0" w:color="auto"/>
              <w:right w:val="single" w:sz="4" w:space="0" w:color="auto"/>
            </w:tcBorders>
            <w:vAlign w:val="center"/>
          </w:tcPr>
          <w:p w14:paraId="23769635" w14:textId="77777777"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176D4340" w14:textId="6666B21A" w:rsidR="00A04C5B" w:rsidRPr="00291D81" w:rsidRDefault="00A04C5B" w:rsidP="00A04C5B">
            <w:pPr>
              <w:rPr>
                <w:rFonts w:cs="Arial"/>
                <w:sz w:val="20"/>
                <w:szCs w:val="20"/>
              </w:rPr>
            </w:pPr>
            <w:r w:rsidRPr="00291D81">
              <w:rPr>
                <w:rFonts w:cs="Arial"/>
                <w:sz w:val="20"/>
                <w:szCs w:val="20"/>
                <w:lang w:eastAsia="en-GB" w:bidi="ar-SA"/>
              </w:rPr>
              <w:t xml:space="preserve">Absent in 25 </w:t>
            </w:r>
            <w:r w:rsidR="00CC5D5A">
              <w:rPr>
                <w:rFonts w:cs="Arial"/>
                <w:sz w:val="20"/>
                <w:szCs w:val="20"/>
                <w:lang w:eastAsia="en-GB" w:bidi="ar-SA"/>
              </w:rPr>
              <w:t>g</w:t>
            </w:r>
          </w:p>
        </w:tc>
      </w:tr>
      <w:tr w:rsidR="00A04C5B" w:rsidRPr="00291D81" w14:paraId="5A081F8A"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510D653F" w14:textId="2D5FDE0B" w:rsidR="00A04C5B" w:rsidRPr="001E0491" w:rsidRDefault="00A04C5B" w:rsidP="00A04C5B">
            <w:pPr>
              <w:rPr>
                <w:rFonts w:cs="Arial"/>
                <w:b/>
                <w:sz w:val="20"/>
                <w:szCs w:val="20"/>
              </w:rPr>
            </w:pPr>
            <w:r w:rsidRPr="001E0491">
              <w:rPr>
                <w:rFonts w:cs="Arial"/>
                <w:b/>
                <w:sz w:val="20"/>
                <w:szCs w:val="20"/>
              </w:rPr>
              <w:t>Enterobacteriaceae</w:t>
            </w:r>
          </w:p>
        </w:tc>
        <w:tc>
          <w:tcPr>
            <w:tcW w:w="1193" w:type="pct"/>
            <w:tcBorders>
              <w:top w:val="single" w:sz="4" w:space="0" w:color="auto"/>
              <w:left w:val="single" w:sz="4" w:space="0" w:color="auto"/>
              <w:bottom w:val="single" w:sz="4" w:space="0" w:color="auto"/>
              <w:right w:val="single" w:sz="4" w:space="0" w:color="auto"/>
            </w:tcBorders>
            <w:vAlign w:val="center"/>
            <w:hideMark/>
          </w:tcPr>
          <w:p w14:paraId="09F1F942" w14:textId="77777777" w:rsidR="00A04C5B" w:rsidRPr="00291D81" w:rsidRDefault="00A04C5B" w:rsidP="00A04C5B">
            <w:pPr>
              <w:rPr>
                <w:rFonts w:cs="Arial"/>
                <w:sz w:val="20"/>
                <w:szCs w:val="20"/>
                <w:lang w:eastAsia="en-GB" w:bidi="ar-SA"/>
              </w:rPr>
            </w:pPr>
            <w:r w:rsidRPr="00291D81">
              <w:rPr>
                <w:rFonts w:cs="Arial"/>
                <w:sz w:val="20"/>
                <w:szCs w:val="20"/>
                <w:lang w:eastAsia="en-GB" w:bidi="ar-SA"/>
              </w:rPr>
              <w:t>Absent in 10 g</w:t>
            </w:r>
          </w:p>
        </w:tc>
        <w:tc>
          <w:tcPr>
            <w:tcW w:w="1236" w:type="pct"/>
            <w:tcBorders>
              <w:top w:val="single" w:sz="4" w:space="0" w:color="auto"/>
              <w:left w:val="single" w:sz="4" w:space="0" w:color="auto"/>
              <w:bottom w:val="single" w:sz="4" w:space="0" w:color="auto"/>
              <w:right w:val="single" w:sz="4" w:space="0" w:color="auto"/>
            </w:tcBorders>
            <w:vAlign w:val="center"/>
          </w:tcPr>
          <w:p w14:paraId="22F40483" w14:textId="77777777"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065DDD86" w14:textId="61A7D3AA" w:rsidR="00A04C5B" w:rsidRPr="00291D81" w:rsidRDefault="00A04C5B" w:rsidP="00A04C5B">
            <w:pPr>
              <w:rPr>
                <w:rFonts w:cs="Arial"/>
                <w:sz w:val="20"/>
                <w:szCs w:val="20"/>
              </w:rPr>
            </w:pPr>
            <w:r w:rsidRPr="00291D81">
              <w:rPr>
                <w:rFonts w:cs="Arial"/>
                <w:sz w:val="20"/>
                <w:szCs w:val="20"/>
                <w:lang w:eastAsia="en-GB" w:bidi="ar-SA"/>
              </w:rPr>
              <w:t>Absent in 10 g</w:t>
            </w:r>
            <w:r w:rsidRPr="00291D81" w:rsidDel="00CE7173">
              <w:rPr>
                <w:rFonts w:cs="Arial"/>
                <w:sz w:val="20"/>
                <w:szCs w:val="20"/>
                <w:lang w:eastAsia="en-GB" w:bidi="ar-SA"/>
              </w:rPr>
              <w:t xml:space="preserve"> </w:t>
            </w:r>
          </w:p>
        </w:tc>
      </w:tr>
      <w:tr w:rsidR="00A04C5B" w:rsidRPr="00291D81" w14:paraId="414F6513"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04AEE460" w14:textId="653F9AC1" w:rsidR="00A04C5B" w:rsidRPr="001E0491" w:rsidRDefault="00A04C5B" w:rsidP="00A04C5B">
            <w:pPr>
              <w:rPr>
                <w:rFonts w:cs="Arial"/>
                <w:b/>
                <w:i/>
                <w:sz w:val="20"/>
                <w:szCs w:val="20"/>
              </w:rPr>
            </w:pPr>
            <w:r w:rsidRPr="001E0491">
              <w:rPr>
                <w:rFonts w:cs="Arial"/>
                <w:b/>
                <w:i/>
                <w:sz w:val="20"/>
                <w:szCs w:val="20"/>
              </w:rPr>
              <w:lastRenderedPageBreak/>
              <w:t>Cronobacter (Enterobacter) sakazakii</w:t>
            </w:r>
          </w:p>
        </w:tc>
        <w:tc>
          <w:tcPr>
            <w:tcW w:w="1193" w:type="pct"/>
            <w:tcBorders>
              <w:top w:val="single" w:sz="4" w:space="0" w:color="auto"/>
              <w:left w:val="single" w:sz="4" w:space="0" w:color="auto"/>
              <w:bottom w:val="single" w:sz="4" w:space="0" w:color="auto"/>
              <w:right w:val="single" w:sz="4" w:space="0" w:color="auto"/>
            </w:tcBorders>
            <w:vAlign w:val="center"/>
            <w:hideMark/>
          </w:tcPr>
          <w:p w14:paraId="447BF84A" w14:textId="77777777" w:rsidR="00A04C5B" w:rsidRPr="00291D81" w:rsidRDefault="00A04C5B" w:rsidP="00A04C5B">
            <w:pPr>
              <w:rPr>
                <w:rFonts w:cs="Arial"/>
                <w:sz w:val="20"/>
                <w:szCs w:val="20"/>
                <w:lang w:eastAsia="en-GB" w:bidi="ar-SA"/>
              </w:rPr>
            </w:pPr>
            <w:r w:rsidRPr="00291D81">
              <w:rPr>
                <w:rFonts w:cs="Arial"/>
                <w:sz w:val="20"/>
                <w:szCs w:val="20"/>
                <w:lang w:eastAsia="en-GB" w:bidi="ar-SA"/>
              </w:rPr>
              <w:t>Absent in 25 g</w:t>
            </w:r>
          </w:p>
        </w:tc>
        <w:tc>
          <w:tcPr>
            <w:tcW w:w="1236" w:type="pct"/>
            <w:tcBorders>
              <w:top w:val="single" w:sz="4" w:space="0" w:color="auto"/>
              <w:left w:val="single" w:sz="4" w:space="0" w:color="auto"/>
              <w:bottom w:val="single" w:sz="4" w:space="0" w:color="auto"/>
              <w:right w:val="single" w:sz="4" w:space="0" w:color="auto"/>
            </w:tcBorders>
            <w:vAlign w:val="center"/>
          </w:tcPr>
          <w:p w14:paraId="62F0F850" w14:textId="77777777"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5172EF33" w14:textId="29D1BFAC" w:rsidR="00A04C5B" w:rsidRPr="00291D81" w:rsidRDefault="00A04C5B" w:rsidP="00A04C5B">
            <w:pPr>
              <w:rPr>
                <w:rFonts w:cs="Arial"/>
                <w:sz w:val="20"/>
                <w:szCs w:val="20"/>
              </w:rPr>
            </w:pPr>
            <w:r w:rsidRPr="00291D81">
              <w:rPr>
                <w:rFonts w:cs="Arial"/>
                <w:sz w:val="20"/>
                <w:szCs w:val="20"/>
                <w:lang w:eastAsia="en-GB" w:bidi="ar-SA"/>
              </w:rPr>
              <w:t>Absent in 10 g</w:t>
            </w:r>
            <w:r w:rsidRPr="00291D81" w:rsidDel="00CE7173">
              <w:rPr>
                <w:rFonts w:cs="Arial"/>
                <w:sz w:val="20"/>
                <w:szCs w:val="20"/>
                <w:lang w:eastAsia="en-GB" w:bidi="ar-SA"/>
              </w:rPr>
              <w:t xml:space="preserve"> </w:t>
            </w:r>
          </w:p>
        </w:tc>
      </w:tr>
      <w:tr w:rsidR="00A04C5B" w:rsidRPr="00291D81" w14:paraId="77477DF2"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tcPr>
          <w:p w14:paraId="53FB909E" w14:textId="33B9CB31" w:rsidR="00A04C5B" w:rsidRPr="001E0491" w:rsidRDefault="00A04C5B" w:rsidP="00A04C5B">
            <w:pPr>
              <w:rPr>
                <w:rFonts w:cs="Arial"/>
                <w:b/>
                <w:i/>
                <w:sz w:val="20"/>
                <w:szCs w:val="20"/>
              </w:rPr>
            </w:pPr>
            <w:r w:rsidRPr="001E0491">
              <w:rPr>
                <w:rFonts w:cs="Arial"/>
                <w:b/>
                <w:i/>
                <w:sz w:val="20"/>
                <w:szCs w:val="20"/>
                <w:lang w:eastAsia="en-GB" w:bidi="ar-SA"/>
              </w:rPr>
              <w:t>Listeria monocytogenes</w:t>
            </w:r>
          </w:p>
        </w:tc>
        <w:tc>
          <w:tcPr>
            <w:tcW w:w="1193" w:type="pct"/>
            <w:tcBorders>
              <w:top w:val="single" w:sz="4" w:space="0" w:color="auto"/>
              <w:left w:val="single" w:sz="4" w:space="0" w:color="auto"/>
              <w:bottom w:val="single" w:sz="4" w:space="0" w:color="auto"/>
              <w:right w:val="single" w:sz="4" w:space="0" w:color="auto"/>
            </w:tcBorders>
            <w:vAlign w:val="center"/>
          </w:tcPr>
          <w:p w14:paraId="74E7F129" w14:textId="28A67FE8" w:rsidR="00A04C5B" w:rsidRPr="00291D81" w:rsidRDefault="00A04C5B" w:rsidP="00A04C5B">
            <w:pPr>
              <w:rPr>
                <w:rFonts w:cs="Arial"/>
                <w:sz w:val="20"/>
                <w:szCs w:val="20"/>
                <w:lang w:eastAsia="en-GB" w:bidi="ar-SA"/>
              </w:rPr>
            </w:pPr>
            <w:r w:rsidRPr="00291D81">
              <w:rPr>
                <w:rFonts w:cs="Arial"/>
                <w:color w:val="A6A6A6" w:themeColor="background1" w:themeShade="A6"/>
                <w:sz w:val="20"/>
                <w:szCs w:val="20"/>
                <w:lang w:eastAsia="en-GB" w:bidi="ar-SA"/>
              </w:rPr>
              <w:t>NS</w:t>
            </w:r>
          </w:p>
        </w:tc>
        <w:tc>
          <w:tcPr>
            <w:tcW w:w="1236" w:type="pct"/>
            <w:tcBorders>
              <w:top w:val="single" w:sz="4" w:space="0" w:color="auto"/>
              <w:left w:val="single" w:sz="4" w:space="0" w:color="auto"/>
              <w:bottom w:val="single" w:sz="4" w:space="0" w:color="auto"/>
              <w:right w:val="single" w:sz="4" w:space="0" w:color="auto"/>
            </w:tcBorders>
            <w:vAlign w:val="center"/>
          </w:tcPr>
          <w:p w14:paraId="011BA417" w14:textId="722AF2DC"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1C72B2F1" w14:textId="06C08763" w:rsidR="00A04C5B" w:rsidRPr="00291D81" w:rsidRDefault="00A04C5B" w:rsidP="00A04C5B">
            <w:pPr>
              <w:rPr>
                <w:rFonts w:cs="Arial"/>
                <w:sz w:val="20"/>
                <w:szCs w:val="20"/>
                <w:lang w:eastAsia="en-GB" w:bidi="ar-SA"/>
              </w:rPr>
            </w:pPr>
            <w:r w:rsidRPr="00291D81">
              <w:rPr>
                <w:rFonts w:cs="Arial"/>
                <w:sz w:val="20"/>
                <w:szCs w:val="20"/>
                <w:lang w:eastAsia="en-GB" w:bidi="ar-SA"/>
              </w:rPr>
              <w:t>Absent in 25 g</w:t>
            </w:r>
          </w:p>
        </w:tc>
      </w:tr>
      <w:tr w:rsidR="00A04C5B" w:rsidRPr="00291D81" w14:paraId="207E18F7"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1DE552CF" w14:textId="2A8244F1" w:rsidR="00A04C5B" w:rsidRPr="001E0491" w:rsidRDefault="00A04C5B" w:rsidP="00A04C5B">
            <w:pPr>
              <w:rPr>
                <w:rFonts w:cs="Arial"/>
                <w:b/>
                <w:i/>
                <w:sz w:val="20"/>
                <w:szCs w:val="20"/>
              </w:rPr>
            </w:pPr>
            <w:r w:rsidRPr="001E0491">
              <w:rPr>
                <w:rFonts w:cs="Arial"/>
                <w:b/>
                <w:i/>
                <w:sz w:val="20"/>
                <w:szCs w:val="20"/>
              </w:rPr>
              <w:t>Bacillus cereus</w:t>
            </w:r>
          </w:p>
        </w:tc>
        <w:tc>
          <w:tcPr>
            <w:tcW w:w="1193" w:type="pct"/>
            <w:tcBorders>
              <w:top w:val="single" w:sz="4" w:space="0" w:color="auto"/>
              <w:left w:val="single" w:sz="4" w:space="0" w:color="auto"/>
              <w:bottom w:val="single" w:sz="4" w:space="0" w:color="auto"/>
              <w:right w:val="single" w:sz="4" w:space="0" w:color="auto"/>
            </w:tcBorders>
            <w:vAlign w:val="center"/>
            <w:hideMark/>
          </w:tcPr>
          <w:p w14:paraId="01A69EED" w14:textId="77777777" w:rsidR="00A04C5B" w:rsidRPr="00291D81" w:rsidRDefault="00A04C5B" w:rsidP="00A04C5B">
            <w:pPr>
              <w:rPr>
                <w:rFonts w:cs="Arial"/>
                <w:sz w:val="20"/>
                <w:szCs w:val="20"/>
                <w:lang w:eastAsia="en-GB" w:bidi="ar-SA"/>
              </w:rPr>
            </w:pPr>
            <w:r w:rsidRPr="00291D81">
              <w:rPr>
                <w:rFonts w:cs="Arial"/>
                <w:sz w:val="20"/>
                <w:szCs w:val="20"/>
                <w:lang w:eastAsia="en-GB" w:bidi="ar-SA"/>
              </w:rPr>
              <w:t>≤ 100 cfu/g (presumptive)</w:t>
            </w:r>
          </w:p>
        </w:tc>
        <w:tc>
          <w:tcPr>
            <w:tcW w:w="1236" w:type="pct"/>
            <w:tcBorders>
              <w:top w:val="single" w:sz="4" w:space="0" w:color="auto"/>
              <w:left w:val="single" w:sz="4" w:space="0" w:color="auto"/>
              <w:bottom w:val="single" w:sz="4" w:space="0" w:color="auto"/>
              <w:right w:val="single" w:sz="4" w:space="0" w:color="auto"/>
            </w:tcBorders>
            <w:vAlign w:val="center"/>
          </w:tcPr>
          <w:p w14:paraId="702BA7C3" w14:textId="77777777"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55CFD07C" w14:textId="69779867" w:rsidR="00A04C5B" w:rsidRPr="00291D81" w:rsidRDefault="00A04C5B" w:rsidP="00A04C5B">
            <w:pPr>
              <w:rPr>
                <w:rFonts w:cs="Arial"/>
                <w:sz w:val="20"/>
                <w:szCs w:val="20"/>
              </w:rPr>
            </w:pPr>
            <w:r w:rsidRPr="00291D81">
              <w:rPr>
                <w:rFonts w:cs="Arial"/>
                <w:sz w:val="20"/>
                <w:szCs w:val="20"/>
                <w:lang w:eastAsia="en-GB" w:bidi="ar-SA"/>
              </w:rPr>
              <w:t>≤ 50 cfu/g</w:t>
            </w:r>
            <w:r w:rsidRPr="00291D81" w:rsidDel="00CE7173">
              <w:rPr>
                <w:rFonts w:cs="Arial"/>
                <w:sz w:val="20"/>
                <w:szCs w:val="20"/>
                <w:lang w:eastAsia="en-GB" w:bidi="ar-SA"/>
              </w:rPr>
              <w:t xml:space="preserve"> </w:t>
            </w:r>
          </w:p>
        </w:tc>
      </w:tr>
      <w:tr w:rsidR="00A04C5B" w:rsidRPr="00291D81" w14:paraId="457C9499"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20906F22" w14:textId="10E6205B" w:rsidR="00A04C5B" w:rsidRPr="001E0491" w:rsidRDefault="00A04C5B" w:rsidP="00A04C5B">
            <w:pPr>
              <w:rPr>
                <w:rFonts w:cs="Arial"/>
                <w:b/>
                <w:i/>
                <w:sz w:val="20"/>
                <w:szCs w:val="20"/>
                <w:lang w:eastAsia="en-GB" w:bidi="ar-SA"/>
              </w:rPr>
            </w:pPr>
            <w:r w:rsidRPr="001E0491">
              <w:rPr>
                <w:rFonts w:cs="Arial"/>
                <w:b/>
                <w:i/>
                <w:sz w:val="20"/>
                <w:szCs w:val="20"/>
                <w:lang w:eastAsia="en-GB" w:bidi="ar-SA"/>
              </w:rPr>
              <w:t>E. coli</w:t>
            </w:r>
          </w:p>
        </w:tc>
        <w:tc>
          <w:tcPr>
            <w:tcW w:w="1193" w:type="pct"/>
            <w:tcBorders>
              <w:top w:val="single" w:sz="4" w:space="0" w:color="auto"/>
              <w:left w:val="single" w:sz="4" w:space="0" w:color="auto"/>
              <w:bottom w:val="single" w:sz="4" w:space="0" w:color="auto"/>
              <w:right w:val="single" w:sz="4" w:space="0" w:color="auto"/>
            </w:tcBorders>
            <w:vAlign w:val="center"/>
            <w:hideMark/>
          </w:tcPr>
          <w:p w14:paraId="6004360E" w14:textId="77777777" w:rsidR="00A04C5B" w:rsidRPr="00291D81" w:rsidRDefault="00A04C5B" w:rsidP="00A04C5B">
            <w:pPr>
              <w:rPr>
                <w:rFonts w:cs="Arial"/>
                <w:sz w:val="20"/>
                <w:szCs w:val="20"/>
                <w:lang w:eastAsia="en-GB" w:bidi="ar-SA"/>
              </w:rPr>
            </w:pPr>
            <w:r w:rsidRPr="00291D81">
              <w:rPr>
                <w:rFonts w:cs="Arial"/>
                <w:sz w:val="20"/>
                <w:szCs w:val="20"/>
                <w:lang w:eastAsia="en-GB" w:bidi="ar-SA"/>
              </w:rPr>
              <w:t>Absent in 10 g</w:t>
            </w:r>
          </w:p>
        </w:tc>
        <w:tc>
          <w:tcPr>
            <w:tcW w:w="1236" w:type="pct"/>
            <w:tcBorders>
              <w:top w:val="single" w:sz="4" w:space="0" w:color="auto"/>
              <w:left w:val="single" w:sz="4" w:space="0" w:color="auto"/>
              <w:bottom w:val="single" w:sz="4" w:space="0" w:color="auto"/>
              <w:right w:val="single" w:sz="4" w:space="0" w:color="auto"/>
            </w:tcBorders>
            <w:vAlign w:val="center"/>
          </w:tcPr>
          <w:p w14:paraId="1C9A9499" w14:textId="77777777"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71437F6E" w14:textId="607B572C"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lang w:eastAsia="en-GB" w:bidi="ar-SA"/>
              </w:rPr>
              <w:t>NS</w:t>
            </w:r>
          </w:p>
        </w:tc>
      </w:tr>
      <w:tr w:rsidR="00A04C5B" w:rsidRPr="00291D81" w14:paraId="3C18FBD1"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575D9250" w14:textId="62C31A9E" w:rsidR="00A04C5B" w:rsidRPr="001E0491" w:rsidRDefault="00A04C5B" w:rsidP="00A04C5B">
            <w:pPr>
              <w:rPr>
                <w:rFonts w:cs="Arial"/>
                <w:b/>
                <w:i/>
                <w:sz w:val="20"/>
                <w:szCs w:val="20"/>
                <w:lang w:eastAsia="en-GB" w:bidi="ar-SA"/>
              </w:rPr>
            </w:pPr>
            <w:r w:rsidRPr="001E0491">
              <w:rPr>
                <w:rFonts w:cs="Arial"/>
                <w:b/>
                <w:i/>
                <w:sz w:val="20"/>
                <w:szCs w:val="20"/>
                <w:lang w:eastAsia="en-GB" w:bidi="ar-SA"/>
              </w:rPr>
              <w:t>Staphylococcus aureus</w:t>
            </w:r>
          </w:p>
        </w:tc>
        <w:tc>
          <w:tcPr>
            <w:tcW w:w="1193" w:type="pct"/>
            <w:tcBorders>
              <w:top w:val="single" w:sz="4" w:space="0" w:color="auto"/>
              <w:left w:val="single" w:sz="4" w:space="0" w:color="auto"/>
              <w:bottom w:val="single" w:sz="4" w:space="0" w:color="auto"/>
              <w:right w:val="single" w:sz="4" w:space="0" w:color="auto"/>
            </w:tcBorders>
            <w:vAlign w:val="center"/>
            <w:hideMark/>
          </w:tcPr>
          <w:p w14:paraId="3BC2F402" w14:textId="77777777" w:rsidR="00A04C5B" w:rsidRPr="00291D81" w:rsidRDefault="00A04C5B" w:rsidP="00A04C5B">
            <w:pPr>
              <w:rPr>
                <w:rFonts w:cs="Arial"/>
                <w:sz w:val="20"/>
                <w:szCs w:val="20"/>
                <w:lang w:eastAsia="en-GB" w:bidi="ar-SA"/>
              </w:rPr>
            </w:pPr>
            <w:r w:rsidRPr="00291D81">
              <w:rPr>
                <w:rFonts w:cs="Arial"/>
                <w:sz w:val="20"/>
                <w:szCs w:val="20"/>
                <w:lang w:eastAsia="en-GB" w:bidi="ar-SA"/>
              </w:rPr>
              <w:t>Absent in 1 g</w:t>
            </w:r>
          </w:p>
        </w:tc>
        <w:tc>
          <w:tcPr>
            <w:tcW w:w="1236" w:type="pct"/>
            <w:tcBorders>
              <w:top w:val="single" w:sz="4" w:space="0" w:color="auto"/>
              <w:left w:val="single" w:sz="4" w:space="0" w:color="auto"/>
              <w:bottom w:val="single" w:sz="4" w:space="0" w:color="auto"/>
              <w:right w:val="single" w:sz="4" w:space="0" w:color="auto"/>
            </w:tcBorders>
            <w:vAlign w:val="center"/>
          </w:tcPr>
          <w:p w14:paraId="4117CE9D" w14:textId="77777777"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495E275D" w14:textId="5E1ACB98"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lang w:eastAsia="en-GB" w:bidi="ar-SA"/>
              </w:rPr>
              <w:t>NS</w:t>
            </w:r>
          </w:p>
        </w:tc>
      </w:tr>
      <w:tr w:rsidR="00A04C5B" w:rsidRPr="00291D81" w14:paraId="0FECFAB4"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6FCE7400" w14:textId="1BD56499" w:rsidR="00A04C5B" w:rsidRPr="001E0491" w:rsidRDefault="00A04C5B" w:rsidP="00A04C5B">
            <w:pPr>
              <w:rPr>
                <w:rFonts w:cs="Arial"/>
                <w:b/>
                <w:sz w:val="20"/>
                <w:szCs w:val="20"/>
                <w:lang w:eastAsia="en-GB" w:bidi="ar-SA"/>
              </w:rPr>
            </w:pPr>
            <w:r w:rsidRPr="001E0491">
              <w:rPr>
                <w:rFonts w:cs="Arial"/>
                <w:b/>
                <w:sz w:val="20"/>
                <w:szCs w:val="20"/>
                <w:lang w:eastAsia="en-GB" w:bidi="ar-SA"/>
              </w:rPr>
              <w:t>Sulphite reducing clostridia spores</w:t>
            </w:r>
          </w:p>
        </w:tc>
        <w:tc>
          <w:tcPr>
            <w:tcW w:w="1193" w:type="pct"/>
            <w:tcBorders>
              <w:top w:val="single" w:sz="4" w:space="0" w:color="auto"/>
              <w:left w:val="single" w:sz="4" w:space="0" w:color="auto"/>
              <w:bottom w:val="single" w:sz="4" w:space="0" w:color="auto"/>
              <w:right w:val="single" w:sz="4" w:space="0" w:color="auto"/>
            </w:tcBorders>
            <w:vAlign w:val="center"/>
            <w:hideMark/>
          </w:tcPr>
          <w:p w14:paraId="5E451630" w14:textId="77777777" w:rsidR="00A04C5B" w:rsidRPr="00291D81" w:rsidRDefault="00A04C5B" w:rsidP="00A04C5B">
            <w:pPr>
              <w:rPr>
                <w:rFonts w:cs="Arial"/>
                <w:sz w:val="20"/>
                <w:szCs w:val="20"/>
                <w:lang w:eastAsia="en-GB" w:bidi="ar-SA"/>
              </w:rPr>
            </w:pPr>
            <w:r w:rsidRPr="00291D81">
              <w:rPr>
                <w:rFonts w:cs="Arial"/>
                <w:sz w:val="20"/>
                <w:szCs w:val="20"/>
                <w:lang w:eastAsia="en-GB" w:bidi="ar-SA"/>
              </w:rPr>
              <w:t>≤ 30 cfu/g</w:t>
            </w:r>
          </w:p>
        </w:tc>
        <w:tc>
          <w:tcPr>
            <w:tcW w:w="1236" w:type="pct"/>
            <w:tcBorders>
              <w:top w:val="single" w:sz="4" w:space="0" w:color="auto"/>
              <w:left w:val="single" w:sz="4" w:space="0" w:color="auto"/>
              <w:bottom w:val="single" w:sz="4" w:space="0" w:color="auto"/>
              <w:right w:val="single" w:sz="4" w:space="0" w:color="auto"/>
            </w:tcBorders>
            <w:vAlign w:val="center"/>
          </w:tcPr>
          <w:p w14:paraId="1B7128C0" w14:textId="77777777"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5F350425" w14:textId="7192CCBB"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lang w:eastAsia="en-GB" w:bidi="ar-SA"/>
              </w:rPr>
              <w:t>NS</w:t>
            </w:r>
          </w:p>
        </w:tc>
      </w:tr>
      <w:tr w:rsidR="00A04C5B" w:rsidRPr="00291D81" w14:paraId="244A8CEF"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115A7727" w14:textId="785CBC69" w:rsidR="00A04C5B" w:rsidRPr="001E0491" w:rsidRDefault="00A04C5B" w:rsidP="00A04C5B">
            <w:pPr>
              <w:rPr>
                <w:rFonts w:cs="Arial"/>
                <w:b/>
                <w:i/>
                <w:sz w:val="20"/>
                <w:szCs w:val="20"/>
                <w:lang w:eastAsia="en-GB" w:bidi="ar-SA"/>
              </w:rPr>
            </w:pPr>
            <w:r w:rsidRPr="001E0491">
              <w:rPr>
                <w:rFonts w:cs="Arial"/>
                <w:b/>
                <w:i/>
                <w:sz w:val="20"/>
                <w:szCs w:val="20"/>
                <w:lang w:eastAsia="en-GB" w:bidi="ar-SA"/>
              </w:rPr>
              <w:t>Clostridium perfringens</w:t>
            </w:r>
          </w:p>
        </w:tc>
        <w:tc>
          <w:tcPr>
            <w:tcW w:w="1193" w:type="pct"/>
            <w:tcBorders>
              <w:top w:val="single" w:sz="4" w:space="0" w:color="auto"/>
              <w:left w:val="single" w:sz="4" w:space="0" w:color="auto"/>
              <w:bottom w:val="single" w:sz="4" w:space="0" w:color="auto"/>
              <w:right w:val="single" w:sz="4" w:space="0" w:color="auto"/>
            </w:tcBorders>
            <w:vAlign w:val="center"/>
            <w:hideMark/>
          </w:tcPr>
          <w:p w14:paraId="5699C9A4" w14:textId="77777777" w:rsidR="00A04C5B" w:rsidRPr="00291D81" w:rsidRDefault="00A04C5B" w:rsidP="00A04C5B">
            <w:pPr>
              <w:rPr>
                <w:rFonts w:cs="Arial"/>
                <w:sz w:val="20"/>
                <w:szCs w:val="20"/>
                <w:lang w:eastAsia="en-GB" w:bidi="ar-SA"/>
              </w:rPr>
            </w:pPr>
            <w:r w:rsidRPr="00291D81">
              <w:rPr>
                <w:rFonts w:cs="Arial"/>
                <w:sz w:val="20"/>
                <w:szCs w:val="20"/>
                <w:lang w:eastAsia="en-GB" w:bidi="ar-SA"/>
              </w:rPr>
              <w:t>Absent in 1 g</w:t>
            </w:r>
          </w:p>
        </w:tc>
        <w:tc>
          <w:tcPr>
            <w:tcW w:w="1236" w:type="pct"/>
            <w:tcBorders>
              <w:top w:val="single" w:sz="4" w:space="0" w:color="auto"/>
              <w:left w:val="single" w:sz="4" w:space="0" w:color="auto"/>
              <w:bottom w:val="single" w:sz="4" w:space="0" w:color="auto"/>
              <w:right w:val="single" w:sz="4" w:space="0" w:color="auto"/>
            </w:tcBorders>
            <w:vAlign w:val="center"/>
          </w:tcPr>
          <w:p w14:paraId="64D97470" w14:textId="77777777" w:rsidR="00A04C5B" w:rsidRPr="00291D81" w:rsidRDefault="00A04C5B" w:rsidP="00A04C5B">
            <w:pPr>
              <w:rPr>
                <w:rFonts w:cs="Arial"/>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0554E10E" w14:textId="2E8B37BF"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lang w:eastAsia="en-GB" w:bidi="ar-SA"/>
              </w:rPr>
              <w:t>NS</w:t>
            </w:r>
          </w:p>
        </w:tc>
      </w:tr>
      <w:tr w:rsidR="00A04C5B" w:rsidRPr="00291D81" w14:paraId="7D3CD21B"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5B0D852A" w14:textId="03040688" w:rsidR="00A04C5B" w:rsidRPr="001E0491" w:rsidRDefault="00A04C5B" w:rsidP="00A04C5B">
            <w:pPr>
              <w:rPr>
                <w:rFonts w:cs="Arial"/>
                <w:b/>
                <w:sz w:val="20"/>
                <w:szCs w:val="20"/>
                <w:lang w:eastAsia="en-GB" w:bidi="ar-SA"/>
              </w:rPr>
            </w:pPr>
            <w:r w:rsidRPr="001E0491">
              <w:rPr>
                <w:rFonts w:cs="Arial"/>
                <w:b/>
                <w:sz w:val="20"/>
                <w:szCs w:val="20"/>
                <w:lang w:eastAsia="en-GB" w:bidi="ar-SA"/>
              </w:rPr>
              <w:t>Residual Endotoxins</w:t>
            </w:r>
          </w:p>
        </w:tc>
        <w:tc>
          <w:tcPr>
            <w:tcW w:w="1193" w:type="pct"/>
            <w:tcBorders>
              <w:top w:val="single" w:sz="4" w:space="0" w:color="auto"/>
              <w:left w:val="single" w:sz="4" w:space="0" w:color="auto"/>
              <w:bottom w:val="single" w:sz="4" w:space="0" w:color="auto"/>
              <w:right w:val="single" w:sz="4" w:space="0" w:color="auto"/>
            </w:tcBorders>
            <w:vAlign w:val="center"/>
            <w:hideMark/>
          </w:tcPr>
          <w:p w14:paraId="30BA7C04" w14:textId="77777777" w:rsidR="00A04C5B" w:rsidRPr="00291D81" w:rsidRDefault="00A04C5B" w:rsidP="00A04C5B">
            <w:pPr>
              <w:rPr>
                <w:rFonts w:cs="Arial"/>
                <w:sz w:val="20"/>
                <w:szCs w:val="20"/>
                <w:lang w:eastAsia="en-GB" w:bidi="ar-SA"/>
              </w:rPr>
            </w:pPr>
            <w:r w:rsidRPr="00291D81">
              <w:rPr>
                <w:rFonts w:cs="Arial"/>
                <w:sz w:val="20"/>
                <w:szCs w:val="20"/>
                <w:lang w:eastAsia="en-GB" w:bidi="ar-SA"/>
              </w:rPr>
              <w:t>≤ 10 EU/mg</w:t>
            </w:r>
          </w:p>
        </w:tc>
        <w:tc>
          <w:tcPr>
            <w:tcW w:w="1236" w:type="pct"/>
            <w:tcBorders>
              <w:top w:val="single" w:sz="4" w:space="0" w:color="auto"/>
              <w:left w:val="single" w:sz="4" w:space="0" w:color="auto"/>
              <w:bottom w:val="single" w:sz="4" w:space="0" w:color="auto"/>
              <w:right w:val="single" w:sz="4" w:space="0" w:color="auto"/>
            </w:tcBorders>
            <w:vAlign w:val="center"/>
          </w:tcPr>
          <w:p w14:paraId="7D348489" w14:textId="77777777" w:rsidR="00A04C5B" w:rsidRPr="00291D81" w:rsidRDefault="00A04C5B" w:rsidP="00A04C5B">
            <w:pPr>
              <w:rPr>
                <w:rFonts w:cs="Arial"/>
                <w:sz w:val="20"/>
                <w:szCs w:val="20"/>
              </w:rPr>
            </w:pPr>
            <w:r w:rsidRPr="00291D81">
              <w:rPr>
                <w:rFonts w:cs="Arial"/>
                <w:sz w:val="20"/>
                <w:szCs w:val="20"/>
                <w:lang w:eastAsia="en-GB" w:bidi="ar-SA"/>
              </w:rPr>
              <w:t xml:space="preserve">≤ </w:t>
            </w:r>
            <w:r w:rsidRPr="00291D81">
              <w:rPr>
                <w:rFonts w:cs="Arial"/>
                <w:sz w:val="20"/>
                <w:szCs w:val="20"/>
              </w:rPr>
              <w:t>10 EU/mg</w:t>
            </w:r>
          </w:p>
        </w:tc>
        <w:tc>
          <w:tcPr>
            <w:tcW w:w="1194" w:type="pct"/>
            <w:tcBorders>
              <w:top w:val="single" w:sz="4" w:space="0" w:color="auto"/>
              <w:left w:val="single" w:sz="4" w:space="0" w:color="auto"/>
              <w:bottom w:val="single" w:sz="4" w:space="0" w:color="auto"/>
              <w:right w:val="single" w:sz="4" w:space="0" w:color="auto"/>
            </w:tcBorders>
            <w:vAlign w:val="center"/>
          </w:tcPr>
          <w:p w14:paraId="62CD68DD" w14:textId="45D36CA4" w:rsidR="00A04C5B" w:rsidRPr="00291D81" w:rsidRDefault="00A04C5B" w:rsidP="00A04C5B">
            <w:pPr>
              <w:rPr>
                <w:rFonts w:cs="Arial"/>
                <w:sz w:val="20"/>
                <w:szCs w:val="20"/>
              </w:rPr>
            </w:pPr>
            <w:r w:rsidRPr="00291D81">
              <w:rPr>
                <w:rFonts w:cs="Arial"/>
                <w:sz w:val="20"/>
                <w:szCs w:val="20"/>
                <w:lang w:eastAsia="en-GB" w:bidi="ar-SA"/>
              </w:rPr>
              <w:t xml:space="preserve">≤ </w:t>
            </w:r>
            <w:r w:rsidRPr="00291D81">
              <w:rPr>
                <w:rFonts w:cs="Arial"/>
                <w:sz w:val="20"/>
                <w:szCs w:val="20"/>
              </w:rPr>
              <w:t>10 EU/mg</w:t>
            </w:r>
            <w:r w:rsidRPr="00291D81" w:rsidDel="00CE7173">
              <w:rPr>
                <w:rFonts w:cs="Arial"/>
                <w:sz w:val="20"/>
                <w:szCs w:val="20"/>
              </w:rPr>
              <w:t xml:space="preserve"> </w:t>
            </w:r>
          </w:p>
        </w:tc>
      </w:tr>
      <w:tr w:rsidR="00A04C5B" w:rsidRPr="00291D81" w14:paraId="07E8AC96" w14:textId="77777777" w:rsidTr="00222320">
        <w:trPr>
          <w:cnfStyle w:val="000000100000" w:firstRow="0" w:lastRow="0" w:firstColumn="0" w:lastColumn="0" w:oddVBand="0" w:evenVBand="0" w:oddHBand="1" w:evenHBand="0"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21553E43" w14:textId="1AEF434A" w:rsidR="00A04C5B" w:rsidRPr="001E0491" w:rsidRDefault="00A04C5B" w:rsidP="00A04C5B">
            <w:pPr>
              <w:spacing w:before="0" w:after="0"/>
              <w:rPr>
                <w:rFonts w:cs="Arial"/>
                <w:b/>
                <w:sz w:val="20"/>
                <w:szCs w:val="20"/>
              </w:rPr>
            </w:pPr>
            <w:r w:rsidRPr="001E0491">
              <w:rPr>
                <w:rFonts w:cs="Arial"/>
                <w:b/>
                <w:sz w:val="20"/>
                <w:szCs w:val="20"/>
                <w:lang w:eastAsia="en-GB" w:bidi="ar-SA"/>
              </w:rPr>
              <w:t>Aflatoxin M1</w:t>
            </w:r>
          </w:p>
        </w:tc>
        <w:tc>
          <w:tcPr>
            <w:tcW w:w="1193" w:type="pct"/>
            <w:tcBorders>
              <w:top w:val="single" w:sz="4" w:space="0" w:color="auto"/>
              <w:left w:val="single" w:sz="4" w:space="0" w:color="auto"/>
              <w:bottom w:val="single" w:sz="4" w:space="0" w:color="auto"/>
              <w:right w:val="single" w:sz="4" w:space="0" w:color="auto"/>
            </w:tcBorders>
            <w:vAlign w:val="center"/>
            <w:hideMark/>
          </w:tcPr>
          <w:p w14:paraId="5E424BE8" w14:textId="77777777" w:rsidR="00A04C5B" w:rsidRPr="00291D81" w:rsidRDefault="00A04C5B" w:rsidP="00A04C5B">
            <w:pPr>
              <w:spacing w:before="0" w:after="0"/>
              <w:rPr>
                <w:rFonts w:cs="Arial"/>
                <w:sz w:val="20"/>
                <w:szCs w:val="20"/>
              </w:rPr>
            </w:pPr>
            <w:r w:rsidRPr="00291D81">
              <w:rPr>
                <w:rFonts w:cs="Arial"/>
                <w:sz w:val="20"/>
                <w:szCs w:val="20"/>
                <w:lang w:eastAsia="en-GB" w:bidi="ar-SA"/>
              </w:rPr>
              <w:t>≤ 0.2 μg/kg</w:t>
            </w:r>
          </w:p>
        </w:tc>
        <w:tc>
          <w:tcPr>
            <w:tcW w:w="1236" w:type="pct"/>
            <w:tcBorders>
              <w:top w:val="single" w:sz="4" w:space="0" w:color="auto"/>
              <w:left w:val="single" w:sz="4" w:space="0" w:color="auto"/>
              <w:bottom w:val="single" w:sz="4" w:space="0" w:color="auto"/>
              <w:right w:val="single" w:sz="4" w:space="0" w:color="auto"/>
            </w:tcBorders>
            <w:vAlign w:val="center"/>
          </w:tcPr>
          <w:p w14:paraId="3066ECA2" w14:textId="77777777"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7790C529" w14:textId="7AD5D701"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r>
      <w:tr w:rsidR="00A04C5B" w:rsidRPr="00291D81" w14:paraId="48CC94FA" w14:textId="77777777" w:rsidTr="00222320">
        <w:trPr>
          <w:cnfStyle w:val="000000010000" w:firstRow="0" w:lastRow="0" w:firstColumn="0" w:lastColumn="0" w:oddVBand="0" w:evenVBand="0" w:oddHBand="0" w:evenHBand="1" w:firstRowFirstColumn="0" w:firstRowLastColumn="0" w:lastRowFirstColumn="0" w:lastRowLastColumn="0"/>
          <w:trHeight w:val="390"/>
        </w:trPr>
        <w:tc>
          <w:tcPr>
            <w:tcW w:w="1376" w:type="pct"/>
            <w:tcBorders>
              <w:top w:val="single" w:sz="4" w:space="0" w:color="auto"/>
              <w:left w:val="single" w:sz="4" w:space="0" w:color="auto"/>
              <w:bottom w:val="single" w:sz="4" w:space="0" w:color="auto"/>
              <w:right w:val="single" w:sz="4" w:space="0" w:color="auto"/>
            </w:tcBorders>
            <w:vAlign w:val="center"/>
            <w:hideMark/>
          </w:tcPr>
          <w:p w14:paraId="04319F2F" w14:textId="59E78449" w:rsidR="00A04C5B" w:rsidRPr="001E0491" w:rsidRDefault="00A04C5B" w:rsidP="00A04C5B">
            <w:pPr>
              <w:spacing w:before="0" w:after="0"/>
              <w:rPr>
                <w:rFonts w:cs="Arial"/>
                <w:b/>
                <w:sz w:val="20"/>
                <w:szCs w:val="20"/>
              </w:rPr>
            </w:pPr>
            <w:r w:rsidRPr="001E0491">
              <w:rPr>
                <w:rFonts w:cs="Arial"/>
                <w:b/>
                <w:sz w:val="20"/>
                <w:szCs w:val="20"/>
                <w:lang w:eastAsia="en-GB" w:bidi="ar-SA"/>
              </w:rPr>
              <w:t>GMO detection</w:t>
            </w:r>
          </w:p>
        </w:tc>
        <w:tc>
          <w:tcPr>
            <w:tcW w:w="1193" w:type="pct"/>
            <w:tcBorders>
              <w:top w:val="single" w:sz="4" w:space="0" w:color="auto"/>
              <w:left w:val="single" w:sz="4" w:space="0" w:color="auto"/>
              <w:bottom w:val="single" w:sz="4" w:space="0" w:color="auto"/>
              <w:right w:val="single" w:sz="4" w:space="0" w:color="auto"/>
            </w:tcBorders>
            <w:vAlign w:val="center"/>
            <w:hideMark/>
          </w:tcPr>
          <w:p w14:paraId="7EB47363" w14:textId="77777777" w:rsidR="00A04C5B" w:rsidRPr="00291D81" w:rsidRDefault="00A04C5B" w:rsidP="00A04C5B">
            <w:pPr>
              <w:spacing w:before="0" w:after="0"/>
              <w:rPr>
                <w:rFonts w:cs="Arial"/>
                <w:sz w:val="20"/>
                <w:szCs w:val="20"/>
              </w:rPr>
            </w:pPr>
            <w:r w:rsidRPr="00291D81">
              <w:rPr>
                <w:rFonts w:cs="Arial"/>
                <w:sz w:val="20"/>
                <w:szCs w:val="20"/>
              </w:rPr>
              <w:t>Negative</w:t>
            </w:r>
          </w:p>
        </w:tc>
        <w:tc>
          <w:tcPr>
            <w:tcW w:w="1236" w:type="pct"/>
            <w:tcBorders>
              <w:top w:val="single" w:sz="4" w:space="0" w:color="auto"/>
              <w:left w:val="single" w:sz="4" w:space="0" w:color="auto"/>
              <w:bottom w:val="single" w:sz="4" w:space="0" w:color="auto"/>
              <w:right w:val="single" w:sz="4" w:space="0" w:color="auto"/>
            </w:tcBorders>
            <w:vAlign w:val="center"/>
          </w:tcPr>
          <w:p w14:paraId="6BBB8856" w14:textId="77777777"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c>
          <w:tcPr>
            <w:tcW w:w="1194" w:type="pct"/>
            <w:tcBorders>
              <w:top w:val="single" w:sz="4" w:space="0" w:color="auto"/>
              <w:left w:val="single" w:sz="4" w:space="0" w:color="auto"/>
              <w:bottom w:val="single" w:sz="4" w:space="0" w:color="auto"/>
              <w:right w:val="single" w:sz="4" w:space="0" w:color="auto"/>
            </w:tcBorders>
            <w:vAlign w:val="center"/>
          </w:tcPr>
          <w:p w14:paraId="146A3053" w14:textId="5B517D3E" w:rsidR="00A04C5B" w:rsidRPr="00291D81" w:rsidRDefault="00A04C5B" w:rsidP="00A04C5B">
            <w:pPr>
              <w:rPr>
                <w:rFonts w:cs="Arial"/>
                <w:color w:val="A6A6A6" w:themeColor="background1" w:themeShade="A6"/>
                <w:sz w:val="20"/>
                <w:szCs w:val="20"/>
              </w:rPr>
            </w:pPr>
            <w:r w:rsidRPr="00291D81">
              <w:rPr>
                <w:rFonts w:cs="Arial"/>
                <w:color w:val="A6A6A6" w:themeColor="background1" w:themeShade="A6"/>
                <w:sz w:val="20"/>
                <w:szCs w:val="20"/>
              </w:rPr>
              <w:t>NS</w:t>
            </w:r>
          </w:p>
        </w:tc>
      </w:tr>
    </w:tbl>
    <w:p w14:paraId="7ED22046" w14:textId="35607AB7" w:rsidR="00B63FF7" w:rsidRDefault="00DF51E2" w:rsidP="00B63FF7">
      <w:pPr>
        <w:rPr>
          <w:sz w:val="18"/>
        </w:rPr>
      </w:pPr>
      <w:r>
        <w:rPr>
          <w:sz w:val="18"/>
        </w:rPr>
        <w:t>A</w:t>
      </w:r>
      <w:r w:rsidR="006A5B2B" w:rsidRPr="006A5B2B">
        <w:rPr>
          <w:sz w:val="18"/>
        </w:rPr>
        <w:t>bbreviations</w:t>
      </w:r>
      <w:r w:rsidR="006A5B2B">
        <w:t xml:space="preserve">: </w:t>
      </w:r>
      <w:r w:rsidR="004022D6" w:rsidRPr="004022D6">
        <w:rPr>
          <w:sz w:val="18"/>
        </w:rPr>
        <w:t>NS</w:t>
      </w:r>
      <w:r w:rsidR="00852DCD">
        <w:rPr>
          <w:sz w:val="18"/>
        </w:rPr>
        <w:t xml:space="preserve">: </w:t>
      </w:r>
      <w:r w:rsidR="004022D6" w:rsidRPr="004022D6">
        <w:rPr>
          <w:sz w:val="18"/>
        </w:rPr>
        <w:t>Not Specified</w:t>
      </w:r>
      <w:r w:rsidR="00852DCD">
        <w:rPr>
          <w:sz w:val="18"/>
        </w:rPr>
        <w:t xml:space="preserve">; </w:t>
      </w:r>
      <w:r w:rsidR="00852DCD" w:rsidRPr="00852DCD">
        <w:rPr>
          <w:sz w:val="18"/>
        </w:rPr>
        <w:t xml:space="preserve">EU: </w:t>
      </w:r>
      <w:r w:rsidR="00852DCD">
        <w:rPr>
          <w:sz w:val="18"/>
        </w:rPr>
        <w:t>e</w:t>
      </w:r>
      <w:r w:rsidR="00852DCD" w:rsidRPr="00852DCD">
        <w:rPr>
          <w:sz w:val="18"/>
        </w:rPr>
        <w:t>ndotoxin unit; cfu: colony forming unit</w:t>
      </w:r>
    </w:p>
    <w:p w14:paraId="574954AA" w14:textId="0772A8C8" w:rsidR="005A6C0F" w:rsidRPr="00222320" w:rsidRDefault="000B4664" w:rsidP="00B63FF7">
      <w:pPr>
        <w:rPr>
          <w:sz w:val="18"/>
        </w:rPr>
      </w:pPr>
      <w:r w:rsidRPr="000E7C54">
        <w:rPr>
          <w:sz w:val="18"/>
          <w:vertAlign w:val="superscript"/>
        </w:rPr>
        <w:t>1</w:t>
      </w:r>
      <w:r w:rsidR="005A6C0F" w:rsidRPr="000E7C54">
        <w:rPr>
          <w:sz w:val="18"/>
          <w:vertAlign w:val="superscript"/>
        </w:rPr>
        <w:t xml:space="preserve"> </w:t>
      </w:r>
      <w:r w:rsidR="005A6C0F" w:rsidRPr="000E7C54">
        <w:rPr>
          <w:sz w:val="18"/>
        </w:rPr>
        <w:t xml:space="preserve">European Union (2019) Specifications for </w:t>
      </w:r>
      <w:r w:rsidR="00E927DD" w:rsidRPr="000E7C54">
        <w:rPr>
          <w:sz w:val="18"/>
        </w:rPr>
        <w:t>2′-FL</w:t>
      </w:r>
      <w:r w:rsidR="005A6C0F" w:rsidRPr="000E7C54">
        <w:rPr>
          <w:sz w:val="18"/>
        </w:rPr>
        <w:t xml:space="preserve"> produced </w:t>
      </w:r>
      <w:r w:rsidR="00222320" w:rsidRPr="000E7C54">
        <w:rPr>
          <w:sz w:val="18"/>
        </w:rPr>
        <w:t xml:space="preserve">with </w:t>
      </w:r>
      <w:r w:rsidR="003E55AA" w:rsidRPr="000E7C54">
        <w:rPr>
          <w:sz w:val="18"/>
        </w:rPr>
        <w:t>genetically modified</w:t>
      </w:r>
      <w:r w:rsidR="005A6C0F" w:rsidRPr="000E7C54">
        <w:rPr>
          <w:sz w:val="18"/>
        </w:rPr>
        <w:t xml:space="preserve"> </w:t>
      </w:r>
      <w:r w:rsidR="005A6C0F" w:rsidRPr="000E7C54">
        <w:rPr>
          <w:i/>
          <w:sz w:val="18"/>
        </w:rPr>
        <w:t>E.coli</w:t>
      </w:r>
      <w:r w:rsidR="005A6C0F" w:rsidRPr="000E7C54">
        <w:rPr>
          <w:sz w:val="18"/>
        </w:rPr>
        <w:t xml:space="preserve"> K12</w:t>
      </w:r>
      <w:r w:rsidR="000928E2" w:rsidRPr="000E7C54">
        <w:rPr>
          <w:sz w:val="18"/>
        </w:rPr>
        <w:t xml:space="preserve">. The applicant has requested that </w:t>
      </w:r>
      <w:r w:rsidR="00254462" w:rsidRPr="000E7C54">
        <w:rPr>
          <w:sz w:val="18"/>
        </w:rPr>
        <w:t xml:space="preserve">this </w:t>
      </w:r>
      <w:r w:rsidR="000928E2" w:rsidRPr="000E7C54">
        <w:rPr>
          <w:sz w:val="18"/>
        </w:rPr>
        <w:t>specification be applied to their 2</w:t>
      </w:r>
      <w:r w:rsidR="00254462" w:rsidRPr="000E7C54">
        <w:t>′</w:t>
      </w:r>
      <w:r w:rsidR="000928E2" w:rsidRPr="000E7C54">
        <w:rPr>
          <w:sz w:val="18"/>
        </w:rPr>
        <w:t>-FL preparation by being referenced or included in Schedule 3 of the Code.</w:t>
      </w:r>
    </w:p>
    <w:p w14:paraId="3A5A1F48" w14:textId="51508B0E" w:rsidR="00852DCD" w:rsidRDefault="005A6C0F" w:rsidP="00B63FF7">
      <w:r w:rsidRPr="00222320">
        <w:rPr>
          <w:sz w:val="18"/>
          <w:vertAlign w:val="superscript"/>
        </w:rPr>
        <w:t>2</w:t>
      </w:r>
      <w:r>
        <w:rPr>
          <w:sz w:val="18"/>
        </w:rPr>
        <w:t xml:space="preserve"> </w:t>
      </w:r>
      <w:r w:rsidR="003E55AA">
        <w:rPr>
          <w:sz w:val="18"/>
        </w:rPr>
        <w:t>Schedule 3 Identity and Purity (</w:t>
      </w:r>
      <w:r w:rsidR="003E55AA" w:rsidRPr="003E55AA">
        <w:rPr>
          <w:sz w:val="18"/>
        </w:rPr>
        <w:t>S3—40</w:t>
      </w:r>
      <w:r w:rsidR="003E55AA">
        <w:rPr>
          <w:sz w:val="18"/>
        </w:rPr>
        <w:t>)</w:t>
      </w:r>
      <w:r w:rsidR="003E55AA" w:rsidRPr="003E55AA">
        <w:t xml:space="preserve"> </w:t>
      </w:r>
      <w:r w:rsidR="003E55AA" w:rsidRPr="003E55AA">
        <w:rPr>
          <w:sz w:val="18"/>
        </w:rPr>
        <w:t>Australia New Zealand Food Standards Code</w:t>
      </w:r>
    </w:p>
    <w:p w14:paraId="055D9548" w14:textId="38484C3E" w:rsidR="00E46486" w:rsidRDefault="00B63FF7" w:rsidP="00CD2100">
      <w:pPr>
        <w:pStyle w:val="Heading2"/>
      </w:pPr>
      <w:bookmarkStart w:id="112" w:name="_Toc86413189"/>
      <w:bookmarkStart w:id="113" w:name="_Toc86914419"/>
      <w:bookmarkStart w:id="114" w:name="_Toc89242935"/>
      <w:r>
        <w:t>2.5</w:t>
      </w:r>
      <w:r w:rsidR="00B409E9">
        <w:tab/>
      </w:r>
      <w:r w:rsidR="006D5CCA">
        <w:t>F</w:t>
      </w:r>
      <w:r>
        <w:t xml:space="preserve">ood technology </w:t>
      </w:r>
      <w:r w:rsidR="006D5CCA">
        <w:t>conclusion</w:t>
      </w:r>
      <w:bookmarkEnd w:id="112"/>
      <w:bookmarkEnd w:id="113"/>
      <w:bookmarkEnd w:id="114"/>
    </w:p>
    <w:p w14:paraId="445F765C" w14:textId="65AC523C" w:rsidR="00E46486" w:rsidRDefault="007856B7" w:rsidP="00DD16BD">
      <w:pPr>
        <w:rPr>
          <w:rFonts w:cs="Arial"/>
          <w:szCs w:val="20"/>
          <w:lang w:eastAsia="en-AU"/>
        </w:rPr>
      </w:pPr>
      <w:r>
        <w:t xml:space="preserve">The </w:t>
      </w:r>
      <w:r w:rsidR="004B4381">
        <w:t>Applicant</w:t>
      </w:r>
      <w:r w:rsidR="0008264B">
        <w:t>’s</w:t>
      </w:r>
      <w:r>
        <w:t xml:space="preserve"> </w:t>
      </w:r>
      <w:r w:rsidR="00E927DD">
        <w:t>2′-FL</w:t>
      </w:r>
      <w:r w:rsidRPr="00CD2100">
        <w:rPr>
          <w:vertAlign w:val="subscript"/>
        </w:rPr>
        <w:t>micro</w:t>
      </w:r>
      <w:r>
        <w:t xml:space="preserve"> is chemically and structurally identical to the naturally occurring </w:t>
      </w:r>
      <w:r w:rsidR="002E6045">
        <w:t>substance isolated from human milk (</w:t>
      </w:r>
      <w:r w:rsidR="00E927DD">
        <w:t>2′-FL</w:t>
      </w:r>
      <w:r w:rsidRPr="00CD2100">
        <w:rPr>
          <w:vertAlign w:val="subscript"/>
        </w:rPr>
        <w:t>human</w:t>
      </w:r>
      <w:r w:rsidR="002E6045">
        <w:t>) and chemically synthesized substances (</w:t>
      </w:r>
      <w:r w:rsidR="00E927DD">
        <w:t>2′-FL</w:t>
      </w:r>
      <w:r w:rsidR="002E6045" w:rsidRPr="00CD2100">
        <w:rPr>
          <w:vertAlign w:val="subscript"/>
        </w:rPr>
        <w:t>chem</w:t>
      </w:r>
      <w:r w:rsidR="002E6045">
        <w:t xml:space="preserve">). The Code currently permits </w:t>
      </w:r>
      <w:r w:rsidR="00E927DD">
        <w:t>2′-FL</w:t>
      </w:r>
      <w:r w:rsidR="002E6045">
        <w:t xml:space="preserve"> to be used as a nutritive substance in IFP, which generally </w:t>
      </w:r>
      <w:r w:rsidR="00E05F39">
        <w:t xml:space="preserve">has </w:t>
      </w:r>
      <w:r w:rsidR="002E6045">
        <w:t xml:space="preserve">a shelf life of two years. </w:t>
      </w:r>
      <w:r>
        <w:t>The final product is stable for up to 36 months</w:t>
      </w:r>
      <w:r w:rsidR="002E6045">
        <w:t xml:space="preserve"> at shelf-storage conditions, supporting the position that the </w:t>
      </w:r>
      <w:r w:rsidR="004B4381">
        <w:t>Applicant</w:t>
      </w:r>
      <w:r w:rsidR="002E6045">
        <w:t xml:space="preserve">’s </w:t>
      </w:r>
      <w:r w:rsidR="00E927DD">
        <w:t>2′-FL</w:t>
      </w:r>
      <w:r w:rsidR="002E6045" w:rsidRPr="00CD2100">
        <w:rPr>
          <w:vertAlign w:val="subscript"/>
        </w:rPr>
        <w:t>micro</w:t>
      </w:r>
      <w:r w:rsidR="002E6045">
        <w:t xml:space="preserve"> preparation is suited for intended food uses. The </w:t>
      </w:r>
      <w:r w:rsidR="004B4381">
        <w:t>Applicant</w:t>
      </w:r>
      <w:r w:rsidR="002E6045">
        <w:t xml:space="preserve"> has </w:t>
      </w:r>
      <w:r w:rsidR="00A54291">
        <w:t>requested that the specification established in the EU in 2019 be applied to their 2</w:t>
      </w:r>
      <w:r w:rsidR="00A54291">
        <w:rPr>
          <w:rFonts w:cs="Arial"/>
        </w:rPr>
        <w:t>ʹ-FL</w:t>
      </w:r>
      <w:r w:rsidR="00A54291" w:rsidRPr="00A54291">
        <w:rPr>
          <w:rFonts w:cs="Arial"/>
          <w:vertAlign w:val="subscript"/>
        </w:rPr>
        <w:t>micro</w:t>
      </w:r>
      <w:r w:rsidR="00A54291">
        <w:rPr>
          <w:rFonts w:cs="Arial"/>
        </w:rPr>
        <w:t xml:space="preserve"> preparation</w:t>
      </w:r>
      <w:r w:rsidR="00260062">
        <w:t>.</w:t>
      </w:r>
      <w:r w:rsidR="009A29EC">
        <w:t xml:space="preserve"> </w:t>
      </w:r>
      <w:r w:rsidR="000721F7">
        <w:t>M</w:t>
      </w:r>
      <w:r w:rsidR="001E0491">
        <w:t>ulti-batch analyses showed</w:t>
      </w:r>
      <w:r w:rsidR="001E0491" w:rsidDel="001E0491">
        <w:rPr>
          <w:rFonts w:cs="Arial"/>
          <w:szCs w:val="20"/>
          <w:lang w:eastAsia="en-AU"/>
        </w:rPr>
        <w:t xml:space="preserve"> </w:t>
      </w:r>
      <w:r w:rsidR="001E0491">
        <w:rPr>
          <w:rFonts w:cs="Arial"/>
          <w:szCs w:val="20"/>
          <w:lang w:eastAsia="en-AU"/>
        </w:rPr>
        <w:t xml:space="preserve">that </w:t>
      </w:r>
      <w:r w:rsidR="00CD2100">
        <w:rPr>
          <w:rFonts w:cs="Arial"/>
          <w:szCs w:val="20"/>
          <w:lang w:eastAsia="en-AU"/>
        </w:rPr>
        <w:t xml:space="preserve">the final product is consistently within the proposed specifications, with </w:t>
      </w:r>
      <w:r w:rsidR="001E0491">
        <w:rPr>
          <w:rFonts w:cs="Arial"/>
          <w:szCs w:val="20"/>
          <w:lang w:eastAsia="en-AU"/>
        </w:rPr>
        <w:t xml:space="preserve">impurities and/or contaminants </w:t>
      </w:r>
      <w:r w:rsidR="000721F7">
        <w:rPr>
          <w:rFonts w:cs="Arial"/>
          <w:szCs w:val="20"/>
          <w:lang w:eastAsia="en-AU"/>
        </w:rPr>
        <w:t xml:space="preserve">resulting </w:t>
      </w:r>
      <w:r w:rsidR="001E0491">
        <w:rPr>
          <w:rFonts w:cs="Arial"/>
          <w:szCs w:val="20"/>
          <w:lang w:eastAsia="en-AU"/>
        </w:rPr>
        <w:t xml:space="preserve">from the fermentation </w:t>
      </w:r>
      <w:r w:rsidR="00DD16BD">
        <w:rPr>
          <w:rFonts w:cs="Arial"/>
          <w:szCs w:val="20"/>
          <w:lang w:eastAsia="en-AU"/>
        </w:rPr>
        <w:t>process either minor or absent.</w:t>
      </w:r>
    </w:p>
    <w:p w14:paraId="6A28E9E8" w14:textId="77777777" w:rsidR="008773ED" w:rsidRDefault="008773ED" w:rsidP="008773ED"/>
    <w:p w14:paraId="0C5732D2" w14:textId="2EB65D01" w:rsidR="00B63FF7" w:rsidRDefault="00710C50" w:rsidP="00B63FF7">
      <w:pPr>
        <w:pStyle w:val="Heading1"/>
        <w:ind w:left="284" w:hanging="284"/>
      </w:pPr>
      <w:bookmarkStart w:id="115" w:name="_Toc515634596"/>
      <w:bookmarkStart w:id="116" w:name="_Toc517451210"/>
      <w:bookmarkStart w:id="117" w:name="_Toc518397315"/>
      <w:bookmarkStart w:id="118" w:name="_Toc518400841"/>
      <w:bookmarkStart w:id="119" w:name="_Toc518475273"/>
      <w:bookmarkStart w:id="120" w:name="_Toc518478870"/>
      <w:bookmarkStart w:id="121" w:name="_Toc518995921"/>
      <w:bookmarkStart w:id="122" w:name="_Toc519260324"/>
      <w:bookmarkStart w:id="123" w:name="_Toc519260650"/>
      <w:bookmarkStart w:id="124" w:name="_Toc519607931"/>
      <w:bookmarkStart w:id="125" w:name="_Toc521418046"/>
      <w:bookmarkStart w:id="126" w:name="_Toc529357581"/>
      <w:bookmarkStart w:id="127" w:name="_Toc70675683"/>
      <w:bookmarkStart w:id="128" w:name="_Toc70675776"/>
      <w:bookmarkStart w:id="129" w:name="_Toc72480615"/>
      <w:bookmarkStart w:id="130" w:name="_Toc86413190"/>
      <w:bookmarkStart w:id="131" w:name="_Toc86914420"/>
      <w:bookmarkStart w:id="132" w:name="_Toc89242936"/>
      <w:r>
        <w:t>3</w:t>
      </w:r>
      <w:r>
        <w:tab/>
      </w:r>
      <w:r w:rsidR="00B63FF7">
        <w:t>Safety assessment</w:t>
      </w:r>
      <w:bookmarkEnd w:id="115"/>
      <w:bookmarkEnd w:id="116"/>
      <w:bookmarkEnd w:id="117"/>
      <w:bookmarkEnd w:id="118"/>
      <w:bookmarkEnd w:id="119"/>
      <w:bookmarkEnd w:id="120"/>
      <w:bookmarkEnd w:id="121"/>
      <w:bookmarkEnd w:id="122"/>
      <w:bookmarkEnd w:id="123"/>
      <w:bookmarkEnd w:id="124"/>
      <w:bookmarkEnd w:id="125"/>
      <w:bookmarkEnd w:id="126"/>
      <w:r w:rsidR="00B63FF7" w:rsidRPr="005E1519">
        <w:t xml:space="preserve"> </w:t>
      </w:r>
      <w:r w:rsidR="00B63FF7">
        <w:t xml:space="preserve">of the genetically modified </w:t>
      </w:r>
      <w:r w:rsidR="00B63FF7" w:rsidRPr="005E1519">
        <w:t>production strain</w:t>
      </w:r>
      <w:bookmarkEnd w:id="127"/>
      <w:bookmarkEnd w:id="128"/>
      <w:bookmarkEnd w:id="129"/>
      <w:bookmarkEnd w:id="130"/>
      <w:bookmarkEnd w:id="131"/>
      <w:bookmarkEnd w:id="132"/>
    </w:p>
    <w:p w14:paraId="3D426680" w14:textId="77777777" w:rsidR="00B63FF7" w:rsidRPr="00F87D40" w:rsidRDefault="00B63FF7" w:rsidP="00B63FF7">
      <w:bookmarkStart w:id="133" w:name="_Toc499282440"/>
      <w:bookmarkStart w:id="134" w:name="_Toc501098767"/>
      <w:r w:rsidRPr="00F87D40">
        <w:rPr>
          <w:lang w:eastAsia="en-AU"/>
        </w:rPr>
        <w:t xml:space="preserve">The objectives of this </w:t>
      </w:r>
      <w:r>
        <w:rPr>
          <w:lang w:eastAsia="en-AU"/>
        </w:rPr>
        <w:t>safety</w:t>
      </w:r>
      <w:r w:rsidRPr="00F87D40">
        <w:rPr>
          <w:lang w:eastAsia="en-AU"/>
        </w:rPr>
        <w:t xml:space="preserve"> assessment </w:t>
      </w:r>
      <w:r>
        <w:rPr>
          <w:lang w:eastAsia="en-AU"/>
        </w:rPr>
        <w:t>are</w:t>
      </w:r>
      <w:r w:rsidRPr="00F87D40">
        <w:rPr>
          <w:lang w:eastAsia="en-AU"/>
        </w:rPr>
        <w:t xml:space="preserve"> to</w:t>
      </w:r>
      <w:r>
        <w:rPr>
          <w:lang w:eastAsia="en-AU"/>
        </w:rPr>
        <w:t xml:space="preserve"> identify and </w:t>
      </w:r>
      <w:r w:rsidRPr="00807348">
        <w:t>evaluate any potential safety concerns that</w:t>
      </w:r>
      <w:r>
        <w:t xml:space="preserve"> may arise from the use of a GM production system, generated for the large scale production of 2</w:t>
      </w:r>
      <w:r>
        <w:rPr>
          <w:rFonts w:cs="Arial"/>
        </w:rPr>
        <w:t>ʹ</w:t>
      </w:r>
      <w:r>
        <w:t>-FL by fermentation</w:t>
      </w:r>
      <w:r w:rsidRPr="00F87D40">
        <w:t>.</w:t>
      </w:r>
      <w:r>
        <w:t xml:space="preserve"> Specifically the safety assessment focuses on the:</w:t>
      </w:r>
    </w:p>
    <w:p w14:paraId="37630AE0" w14:textId="77777777" w:rsidR="00B63FF7" w:rsidRPr="000254AB" w:rsidRDefault="00B63FF7" w:rsidP="00B63FF7">
      <w:pPr>
        <w:pStyle w:val="FSBullet1"/>
        <w:spacing w:before="120" w:after="120"/>
        <w:ind w:left="499" w:hanging="357"/>
      </w:pPr>
      <w:r w:rsidRPr="000254AB">
        <w:t>history of use of the source organisms, and</w:t>
      </w:r>
    </w:p>
    <w:p w14:paraId="6DA50D10" w14:textId="77777777" w:rsidR="00B63FF7" w:rsidRPr="000254AB" w:rsidRDefault="00B63FF7" w:rsidP="00B63FF7">
      <w:pPr>
        <w:pStyle w:val="FSBullet1"/>
        <w:spacing w:before="120" w:after="120"/>
        <w:ind w:left="499" w:hanging="357"/>
      </w:pPr>
      <w:r w:rsidRPr="000254AB">
        <w:t>characterisation of the genetic modification(s).</w:t>
      </w:r>
    </w:p>
    <w:p w14:paraId="6FF308E9" w14:textId="750A1CE9" w:rsidR="00B63FF7" w:rsidRPr="006C2969" w:rsidRDefault="00B63FF7" w:rsidP="00BC1C5A">
      <w:pPr>
        <w:pStyle w:val="Heading2"/>
      </w:pPr>
      <w:bookmarkStart w:id="135" w:name="_Toc70675684"/>
      <w:bookmarkStart w:id="136" w:name="_Toc70675777"/>
      <w:bookmarkStart w:id="137" w:name="_Toc72480616"/>
      <w:bookmarkStart w:id="138" w:name="_Toc86413191"/>
      <w:bookmarkStart w:id="139" w:name="_Toc86914421"/>
      <w:bookmarkStart w:id="140" w:name="_Toc89242937"/>
      <w:r>
        <w:t>3.1</w:t>
      </w:r>
      <w:r w:rsidR="00B409E9">
        <w:tab/>
      </w:r>
      <w:r w:rsidRPr="006C2969">
        <w:t>History of use</w:t>
      </w:r>
      <w:bookmarkEnd w:id="133"/>
      <w:bookmarkEnd w:id="134"/>
      <w:bookmarkEnd w:id="135"/>
      <w:bookmarkEnd w:id="136"/>
      <w:bookmarkEnd w:id="137"/>
      <w:bookmarkEnd w:id="138"/>
      <w:bookmarkEnd w:id="139"/>
      <w:bookmarkEnd w:id="140"/>
    </w:p>
    <w:p w14:paraId="59A9B446" w14:textId="11042D6E" w:rsidR="00B63FF7" w:rsidRDefault="00B63FF7" w:rsidP="00B63FF7">
      <w:pPr>
        <w:pStyle w:val="Heading3"/>
      </w:pPr>
      <w:bookmarkStart w:id="141" w:name="_Toc498940968"/>
      <w:bookmarkStart w:id="142" w:name="_Toc499282441"/>
      <w:r>
        <w:t>3.1.1</w:t>
      </w:r>
      <w:r w:rsidR="00B409E9">
        <w:tab/>
      </w:r>
      <w:r>
        <w:t>Host organism</w:t>
      </w:r>
      <w:bookmarkEnd w:id="141"/>
      <w:bookmarkEnd w:id="142"/>
    </w:p>
    <w:p w14:paraId="2AB4C1F1" w14:textId="77777777" w:rsidR="008742E9" w:rsidRDefault="008742E9" w:rsidP="008742E9">
      <w:r w:rsidRPr="002E080C">
        <w:rPr>
          <w:i/>
        </w:rPr>
        <w:t>Escherichia</w:t>
      </w:r>
      <w:r>
        <w:rPr>
          <w:i/>
        </w:rPr>
        <w:t xml:space="preserve"> </w:t>
      </w:r>
      <w:r w:rsidRPr="00AC5CBD">
        <w:rPr>
          <w:i/>
        </w:rPr>
        <w:t>coli</w:t>
      </w:r>
      <w:r>
        <w:t xml:space="preserve"> K-12 is the most common bacterial laboratory strain in use globally. It was isolated from a human stool sample in 1922 </w:t>
      </w:r>
      <w:bookmarkStart w:id="143" w:name="_CTVP001c089f74f62c94eff98a8ea9be4203d88"/>
      <w:r>
        <w:t>(Bachmann 1996)</w:t>
      </w:r>
      <w:bookmarkEnd w:id="143"/>
      <w:r>
        <w:t>. Com</w:t>
      </w:r>
      <w:r>
        <w:lastRenderedPageBreak/>
        <w:t xml:space="preserve">parative genome sequencing and proteomic analysis of the K-12 strain and its derivatives, to well characterised pathogenic strains, have identified differences in the K-12 cell wall structure associated with reduced ability to colonise the human intestinal tract, and absence of adhesive proteins and virulence factors that meet requirements for pathogenicity </w:t>
      </w:r>
      <w:bookmarkStart w:id="144" w:name="_CTVP001d7fd9b0e66e5434f97318ab18ccfbe35"/>
      <w:r>
        <w:t>(Bachmann 1996; EPA 1997; Sahl et al. 2013)</w:t>
      </w:r>
      <w:bookmarkEnd w:id="144"/>
      <w:r>
        <w:t xml:space="preserve">. These studies have also shown reduced toxin production in K-12 strains and absence of plasmids encoding antibiotic resistance. </w:t>
      </w:r>
      <w:r w:rsidRPr="00540C04">
        <w:t xml:space="preserve">Under the U.S. National Institutes of Health (NIH) </w:t>
      </w:r>
      <w:r w:rsidRPr="00F424B0">
        <w:t>Research Involving Recombinant or Synthetic Nucleic Acid Molecules</w:t>
      </w:r>
      <w:r>
        <w:t xml:space="preserve"> (</w:t>
      </w:r>
      <w:r w:rsidRPr="002F75FB">
        <w:t>NIH Guidelines</w:t>
      </w:r>
      <w:r>
        <w:rPr>
          <w:rStyle w:val="FootnoteReference"/>
        </w:rPr>
        <w:footnoteReference w:id="3"/>
      </w:r>
      <w:r>
        <w:t>, 2016)</w:t>
      </w:r>
      <w:r w:rsidRPr="00540C04">
        <w:t xml:space="preserve">, </w:t>
      </w:r>
      <w:r w:rsidRPr="008428CE">
        <w:rPr>
          <w:i/>
        </w:rPr>
        <w:t>E. coli</w:t>
      </w:r>
      <w:r w:rsidRPr="00540C04">
        <w:t xml:space="preserve"> </w:t>
      </w:r>
      <w:r>
        <w:t xml:space="preserve">K-12 </w:t>
      </w:r>
      <w:r w:rsidRPr="00540C04">
        <w:t xml:space="preserve">is classified as a </w:t>
      </w:r>
      <w:r>
        <w:t xml:space="preserve">Risk Group </w:t>
      </w:r>
      <w:r w:rsidRPr="00540C04">
        <w:t>1 agent</w:t>
      </w:r>
      <w:r>
        <w:t xml:space="preserve"> which is reserved for</w:t>
      </w:r>
      <w:r w:rsidRPr="00540C04">
        <w:t xml:space="preserve"> organisms </w:t>
      </w:r>
      <w:r>
        <w:t>that are not</w:t>
      </w:r>
      <w:r w:rsidRPr="00540C04">
        <w:t xml:space="preserve"> human or animal pathogens.</w:t>
      </w:r>
    </w:p>
    <w:p w14:paraId="73810853" w14:textId="77777777" w:rsidR="008742E9" w:rsidRDefault="008742E9" w:rsidP="008742E9"/>
    <w:p w14:paraId="382946D2" w14:textId="0D94933B" w:rsidR="008742E9" w:rsidRDefault="008742E9" w:rsidP="008742E9">
      <w:r w:rsidRPr="009201FA">
        <w:rPr>
          <w:i/>
        </w:rPr>
        <w:t>E. coli</w:t>
      </w:r>
      <w:r>
        <w:t xml:space="preserve"> K-12 has a long history of use in the human biopharmaceutical industry, with ~30% of currently approved recombinant therapeutic proteins in the United States (US) being produced in </w:t>
      </w:r>
      <w:r w:rsidRPr="009201FA">
        <w:rPr>
          <w:i/>
        </w:rPr>
        <w:t>E. coli</w:t>
      </w:r>
      <w:r w:rsidRPr="00FF44B0">
        <w:t xml:space="preserve"> </w:t>
      </w:r>
      <w:r>
        <w:t xml:space="preserve">K-12 , starting with the US FDA approval of biosynthetic human insulin in 1983 </w:t>
      </w:r>
      <w:bookmarkStart w:id="145" w:name="_CTVP00141cad175cec74a979fd44f79af2f3d8a"/>
      <w:r>
        <w:t>(Huang et al. 2012; Jozala et al. 2016)</w:t>
      </w:r>
      <w:bookmarkEnd w:id="145"/>
      <w:r>
        <w:t xml:space="preserve">. The use of this bacterium as a source for the production of food enzymes began in the 1980s </w:t>
      </w:r>
      <w:bookmarkStart w:id="146" w:name="_CTVP0011a616bdd2d154ee3800e8be0228499bc"/>
      <w:r>
        <w:t>(JECFA 1991)</w:t>
      </w:r>
      <w:bookmarkEnd w:id="146"/>
      <w:r>
        <w:t xml:space="preserve">. </w:t>
      </w:r>
      <w:r w:rsidRPr="00ED0904">
        <w:rPr>
          <w:i/>
        </w:rPr>
        <w:t>E. coli</w:t>
      </w:r>
      <w:r>
        <w:t xml:space="preserve"> K-12 is permitted as a source microorganism for the production on chymosin in the Food Standards Code. </w:t>
      </w:r>
      <w:r w:rsidR="0045443D">
        <w:t xml:space="preserve">Schedule 26 permits the production of </w:t>
      </w:r>
      <w:r w:rsidR="0045443D" w:rsidRPr="0045443D">
        <w:t>2′-O-fucosyllactose</w:t>
      </w:r>
      <w:r w:rsidR="0045443D">
        <w:t xml:space="preserve"> by </w:t>
      </w:r>
      <w:r w:rsidR="0045443D" w:rsidRPr="0045443D">
        <w:rPr>
          <w:i/>
        </w:rPr>
        <w:t>Escherichia coli</w:t>
      </w:r>
      <w:r w:rsidR="0045443D" w:rsidRPr="0045443D">
        <w:t xml:space="preserve"> K-12 containing the gene for alpha-1,2-fucosyltransferase from </w:t>
      </w:r>
      <w:r w:rsidR="0045443D" w:rsidRPr="0045443D">
        <w:rPr>
          <w:i/>
        </w:rPr>
        <w:t>Helicobacter pylori</w:t>
      </w:r>
      <w:r w:rsidR="0045443D">
        <w:t xml:space="preserve">. </w:t>
      </w:r>
      <w:r w:rsidRPr="00B53F5C">
        <w:rPr>
          <w:i/>
        </w:rPr>
        <w:t xml:space="preserve">E. coli </w:t>
      </w:r>
      <w:r w:rsidRPr="00C50E43">
        <w:t>K-12</w:t>
      </w:r>
      <w:r>
        <w:t xml:space="preserve"> is considered a model organism and has been thoroughly characterised for use in research and industry, it is therefore considered a safe organism. </w:t>
      </w:r>
    </w:p>
    <w:p w14:paraId="228ECB12" w14:textId="77777777" w:rsidR="008742E9" w:rsidRDefault="008742E9" w:rsidP="008742E9"/>
    <w:p w14:paraId="5B1130C7" w14:textId="1FF2875F" w:rsidR="008742E9" w:rsidRDefault="008742E9" w:rsidP="008742E9">
      <w:r>
        <w:t>The host strain</w:t>
      </w:r>
      <w:r w:rsidR="001A54C3">
        <w:t>,</w:t>
      </w:r>
      <w:r>
        <w:t xml:space="preserve"> ATCC 55151 (GI 724 strain)</w:t>
      </w:r>
      <w:r w:rsidR="001A54C3">
        <w:t>,</w:t>
      </w:r>
      <w:r>
        <w:t xml:space="preserve"> has been optimised for large-scale production, through standard manipulation of metabolic pathways, to ensure sufficient pools of GDP-fucose and lactose, the two primary reactants for production of 2′-FL. The intermediate host strain has been identified as </w:t>
      </w:r>
      <w:r w:rsidRPr="002E0B41">
        <w:rPr>
          <w:i/>
        </w:rPr>
        <w:t>E. coli</w:t>
      </w:r>
      <w:r>
        <w:t xml:space="preserve"> E638 and the production strain as </w:t>
      </w:r>
      <w:r w:rsidRPr="002E0B41">
        <w:rPr>
          <w:i/>
        </w:rPr>
        <w:t>E. coli</w:t>
      </w:r>
      <w:r>
        <w:t xml:space="preserve"> E997. The </w:t>
      </w:r>
      <w:r w:rsidR="004B4381">
        <w:t>Applicant</w:t>
      </w:r>
      <w:r>
        <w:t xml:space="preserve"> has undertaken complete genome sequencing that confirms the host strain lacks virulence genes and is very closely related to the </w:t>
      </w:r>
      <w:r w:rsidRPr="002F75FB">
        <w:rPr>
          <w:i/>
        </w:rPr>
        <w:t>E. coli</w:t>
      </w:r>
      <w:r>
        <w:t xml:space="preserve"> K12 MG155 and W3110 linages.</w:t>
      </w:r>
    </w:p>
    <w:p w14:paraId="3D8927D2" w14:textId="77777777" w:rsidR="008742E9" w:rsidRDefault="008742E9" w:rsidP="008742E9"/>
    <w:p w14:paraId="37294BC1" w14:textId="3DFACB81" w:rsidR="002E0B41" w:rsidRDefault="008742E9" w:rsidP="00B63FF7">
      <w:r>
        <w:t xml:space="preserve">Two of the three </w:t>
      </w:r>
      <w:r w:rsidRPr="005345B6">
        <w:t xml:space="preserve">DNA segments in strain E638 </w:t>
      </w:r>
      <w:r>
        <w:t xml:space="preserve">that </w:t>
      </w:r>
      <w:r w:rsidRPr="005345B6">
        <w:t xml:space="preserve">are not formally derived from </w:t>
      </w:r>
      <w:r>
        <w:t xml:space="preserve">the </w:t>
      </w:r>
      <w:r w:rsidRPr="005345B6">
        <w:t xml:space="preserve">ancestral wild-type </w:t>
      </w:r>
      <w:r w:rsidRPr="005345B6">
        <w:rPr>
          <w:i/>
        </w:rPr>
        <w:t>E. coli</w:t>
      </w:r>
      <w:r w:rsidRPr="005345B6">
        <w:t xml:space="preserve"> K12</w:t>
      </w:r>
      <w:r>
        <w:t xml:space="preserve"> include a tetracycline resistance gene</w:t>
      </w:r>
      <w:r w:rsidRPr="005345B6">
        <w:t xml:space="preserve"> and the kanamycin resistance gene.</w:t>
      </w:r>
      <w:r>
        <w:t xml:space="preserve"> </w:t>
      </w:r>
      <w:r w:rsidRPr="005345B6">
        <w:t xml:space="preserve">E638 </w:t>
      </w:r>
      <w:r>
        <w:t>is transformed</w:t>
      </w:r>
      <w:r w:rsidRPr="005345B6">
        <w:t xml:space="preserve"> with plasmid pG217 to generate </w:t>
      </w:r>
      <w:r>
        <w:t>the production strain E997, and t</w:t>
      </w:r>
      <w:r w:rsidR="005A0E09">
        <w:t>he plasmid includes the TEM116 beta</w:t>
      </w:r>
      <w:r>
        <w:t xml:space="preserve">-lactamase gene that encodes ampicillin resistance. However, the risk from the presence of antimicrobial resistance in this organism is managed through the production process. Data provided by the </w:t>
      </w:r>
      <w:r w:rsidR="004B4381">
        <w:t>Applicant</w:t>
      </w:r>
      <w:r>
        <w:t xml:space="preserve"> demonstrate</w:t>
      </w:r>
      <w:r w:rsidR="004F35DD">
        <w:t>s</w:t>
      </w:r>
      <w:r>
        <w:t xml:space="preserve"> that the final product is highly purified </w:t>
      </w:r>
      <w:r w:rsidR="00CE5EB1">
        <w:t xml:space="preserve">protein (see section 4.2.3), </w:t>
      </w:r>
      <w:r w:rsidR="00D66F68">
        <w:t xml:space="preserve">with neither </w:t>
      </w:r>
      <w:r>
        <w:t xml:space="preserve">the </w:t>
      </w:r>
      <w:r w:rsidRPr="00D52C5E">
        <w:t xml:space="preserve">production </w:t>
      </w:r>
      <w:r>
        <w:t>strain</w:t>
      </w:r>
      <w:r w:rsidR="004F35DD">
        <w:t>,</w:t>
      </w:r>
      <w:r>
        <w:t xml:space="preserve"> nor it’s DNA</w:t>
      </w:r>
      <w:r w:rsidR="004F35DD">
        <w:t>,</w:t>
      </w:r>
      <w:r>
        <w:t xml:space="preserve"> </w:t>
      </w:r>
      <w:r w:rsidRPr="007B2628">
        <w:t>detectable in the final product.</w:t>
      </w:r>
      <w:r>
        <w:t xml:space="preserve"> The remaining biomass from the fermentation is also inactivated. Data provided also indicate </w:t>
      </w:r>
      <w:r>
        <w:rPr>
          <w:iCs/>
          <w:color w:val="000000" w:themeColor="text1"/>
        </w:rPr>
        <w:t xml:space="preserve">the manufacturing process involves appropriate controls to prevent microbial contamination, and the microbial quality of the final enzyme preparation meets the specifications required by </w:t>
      </w:r>
      <w:r w:rsidR="004F35DD">
        <w:rPr>
          <w:iCs/>
          <w:color w:val="000000" w:themeColor="text1"/>
        </w:rPr>
        <w:t xml:space="preserve">the </w:t>
      </w:r>
      <w:r w:rsidR="0045443D" w:rsidRPr="001A54C3">
        <w:rPr>
          <w:iCs/>
        </w:rPr>
        <w:t>E</w:t>
      </w:r>
      <w:r w:rsidR="001A54C3" w:rsidRPr="001A54C3">
        <w:rPr>
          <w:iCs/>
        </w:rPr>
        <w:t xml:space="preserve">uropean </w:t>
      </w:r>
      <w:r w:rsidR="0045443D" w:rsidRPr="001A54C3">
        <w:rPr>
          <w:iCs/>
        </w:rPr>
        <w:t>U</w:t>
      </w:r>
      <w:r w:rsidR="001A54C3" w:rsidRPr="001A54C3">
        <w:rPr>
          <w:iCs/>
        </w:rPr>
        <w:t>nion</w:t>
      </w:r>
      <w:r w:rsidR="001A54C3">
        <w:rPr>
          <w:rStyle w:val="FootnoteReference"/>
          <w:iCs/>
        </w:rPr>
        <w:footnoteReference w:id="4"/>
      </w:r>
      <w:r w:rsidR="0045443D">
        <w:rPr>
          <w:iCs/>
          <w:color w:val="000000" w:themeColor="text1"/>
        </w:rPr>
        <w:t>.</w:t>
      </w:r>
    </w:p>
    <w:p w14:paraId="3990435F" w14:textId="4A33502C" w:rsidR="00B63FF7" w:rsidRDefault="00B63FF7" w:rsidP="00B63FF7">
      <w:pPr>
        <w:pStyle w:val="Heading3"/>
      </w:pPr>
      <w:bookmarkStart w:id="147" w:name="_Toc498940969"/>
      <w:bookmarkStart w:id="148" w:name="_Toc499282442"/>
      <w:r>
        <w:t>3.1.2</w:t>
      </w:r>
      <w:r w:rsidR="00B409E9">
        <w:tab/>
      </w:r>
      <w:r w:rsidRPr="00534D8F">
        <w:t>Gene donor organism(s)</w:t>
      </w:r>
      <w:bookmarkEnd w:id="147"/>
      <w:bookmarkEnd w:id="148"/>
    </w:p>
    <w:p w14:paraId="75904162" w14:textId="3D282930" w:rsidR="00B63FF7" w:rsidRDefault="00B63FF7" w:rsidP="00B63FF7">
      <w:pPr>
        <w:rPr>
          <w:rFonts w:cs="Arial"/>
          <w:color w:val="000000" w:themeColor="text1"/>
        </w:rPr>
      </w:pPr>
      <w:r>
        <w:rPr>
          <w:lang w:eastAsia="en-AU"/>
        </w:rPr>
        <w:t>The</w:t>
      </w:r>
      <w:r>
        <w:rPr>
          <w:rFonts w:cs="Arial"/>
          <w:color w:val="000000" w:themeColor="text1"/>
        </w:rPr>
        <w:t xml:space="preserve"> </w:t>
      </w:r>
      <w:r w:rsidR="008742E9">
        <w:rPr>
          <w:rFonts w:cs="Arial"/>
          <w:color w:val="000000" w:themeColor="text1"/>
        </w:rPr>
        <w:t xml:space="preserve">synthetic </w:t>
      </w:r>
      <w:r w:rsidR="00292896">
        <w:rPr>
          <w:rFonts w:cs="Arial"/>
          <w:i/>
          <w:color w:val="000000" w:themeColor="text1"/>
        </w:rPr>
        <w:t>f</w:t>
      </w:r>
      <w:r w:rsidR="008742E9" w:rsidRPr="00292896">
        <w:rPr>
          <w:rFonts w:cs="Arial"/>
          <w:i/>
          <w:color w:val="000000" w:themeColor="text1"/>
        </w:rPr>
        <w:t>utN</w:t>
      </w:r>
      <w:r w:rsidR="008742E9">
        <w:rPr>
          <w:rFonts w:cs="Arial"/>
          <w:color w:val="000000" w:themeColor="text1"/>
        </w:rPr>
        <w:t xml:space="preserve"> gene encoding </w:t>
      </w:r>
      <w:r>
        <w:rPr>
          <w:rFonts w:cs="Arial"/>
          <w:lang w:eastAsia="en-AU"/>
        </w:rPr>
        <w:t>α</w:t>
      </w:r>
      <w:r>
        <w:rPr>
          <w:lang w:eastAsia="en-AU"/>
        </w:rPr>
        <w:t>-1,2-</w:t>
      </w:r>
      <w:r w:rsidR="008742E9">
        <w:rPr>
          <w:rFonts w:cs="Arial"/>
          <w:color w:val="000000" w:themeColor="text1"/>
        </w:rPr>
        <w:t xml:space="preserve">fucosyltransferase </w:t>
      </w:r>
      <w:r>
        <w:rPr>
          <w:rFonts w:cs="Arial"/>
          <w:color w:val="000000" w:themeColor="text1"/>
        </w:rPr>
        <w:t>was sourced from</w:t>
      </w:r>
      <w:r w:rsidR="007C030B">
        <w:rPr>
          <w:rFonts w:cs="Arial"/>
          <w:color w:val="000000" w:themeColor="text1"/>
        </w:rPr>
        <w:t xml:space="preserve"> </w:t>
      </w:r>
      <w:r w:rsidR="007C030B" w:rsidRPr="007C030B">
        <w:rPr>
          <w:rFonts w:cs="Arial"/>
          <w:i/>
          <w:color w:val="000000" w:themeColor="text1"/>
        </w:rPr>
        <w:t>Bacteroides vulgatus</w:t>
      </w:r>
      <w:r w:rsidR="007C030B">
        <w:rPr>
          <w:rFonts w:cs="Arial"/>
          <w:color w:val="000000" w:themeColor="text1"/>
        </w:rPr>
        <w:t>.</w:t>
      </w:r>
      <w:r w:rsidR="008742E9">
        <w:rPr>
          <w:rFonts w:cs="Arial"/>
          <w:color w:val="000000" w:themeColor="text1"/>
        </w:rPr>
        <w:t xml:space="preserve"> </w:t>
      </w:r>
      <w:r w:rsidR="008742E9" w:rsidRPr="007C030B">
        <w:rPr>
          <w:rFonts w:cs="Arial"/>
          <w:i/>
          <w:color w:val="000000" w:themeColor="text1"/>
        </w:rPr>
        <w:t>B</w:t>
      </w:r>
      <w:r w:rsidR="008742E9">
        <w:rPr>
          <w:rFonts w:cs="Arial"/>
          <w:i/>
          <w:color w:val="000000" w:themeColor="text1"/>
        </w:rPr>
        <w:t>.</w:t>
      </w:r>
      <w:r w:rsidR="008742E9" w:rsidRPr="007C030B">
        <w:rPr>
          <w:rFonts w:cs="Arial"/>
          <w:i/>
          <w:color w:val="000000" w:themeColor="text1"/>
        </w:rPr>
        <w:t xml:space="preserve"> vulgatus</w:t>
      </w:r>
      <w:r w:rsidR="008742E9">
        <w:rPr>
          <w:rFonts w:cs="Arial"/>
          <w:i/>
          <w:color w:val="000000" w:themeColor="text1"/>
        </w:rPr>
        <w:t xml:space="preserve"> </w:t>
      </w:r>
      <w:r w:rsidR="008742E9">
        <w:rPr>
          <w:rFonts w:cs="Arial"/>
          <w:color w:val="000000" w:themeColor="text1"/>
        </w:rPr>
        <w:t xml:space="preserve">ATCC </w:t>
      </w:r>
      <w:r w:rsidR="008742E9" w:rsidRPr="008742E9">
        <w:rPr>
          <w:rFonts w:cs="Arial"/>
          <w:color w:val="000000" w:themeColor="text1"/>
        </w:rPr>
        <w:t>8482 is a gut commensal organism</w:t>
      </w:r>
      <w:r w:rsidR="006667E4">
        <w:rPr>
          <w:rFonts w:cs="Arial"/>
          <w:color w:val="000000" w:themeColor="text1"/>
        </w:rPr>
        <w:t xml:space="preserve"> (Li et al. 2016)</w:t>
      </w:r>
      <w:r w:rsidR="008742E9" w:rsidRPr="008742E9">
        <w:rPr>
          <w:rFonts w:cs="Arial"/>
          <w:color w:val="000000" w:themeColor="text1"/>
        </w:rPr>
        <w:t xml:space="preserve"> </w:t>
      </w:r>
      <w:r w:rsidR="00A30418">
        <w:rPr>
          <w:rFonts w:cs="Arial"/>
          <w:color w:val="000000" w:themeColor="text1"/>
        </w:rPr>
        <w:t>and a Biosafety L</w:t>
      </w:r>
      <w:r w:rsidR="008742E9">
        <w:rPr>
          <w:rFonts w:cs="Arial"/>
          <w:color w:val="000000" w:themeColor="text1"/>
        </w:rPr>
        <w:t xml:space="preserve">evel 2 organism. As the gene is synthetically produced there are no safety concerns. </w:t>
      </w:r>
    </w:p>
    <w:p w14:paraId="15F57880" w14:textId="38664008" w:rsidR="00B63FF7" w:rsidRDefault="00B63FF7" w:rsidP="00B63FF7">
      <w:pPr>
        <w:pStyle w:val="Heading3"/>
      </w:pPr>
      <w:r>
        <w:lastRenderedPageBreak/>
        <w:t>3.1.3</w:t>
      </w:r>
      <w:r w:rsidR="00B409E9">
        <w:tab/>
      </w:r>
      <w:r>
        <w:t>Other genetic material donors</w:t>
      </w:r>
    </w:p>
    <w:p w14:paraId="5E749965" w14:textId="478A16C2" w:rsidR="001A54C3" w:rsidRPr="009D5112" w:rsidRDefault="007C030B" w:rsidP="009D5112">
      <w:pPr>
        <w:rPr>
          <w:rFonts w:cs="Arial"/>
          <w:color w:val="000000" w:themeColor="text1"/>
        </w:rPr>
      </w:pPr>
      <w:r>
        <w:rPr>
          <w:lang w:eastAsia="en-AU"/>
        </w:rPr>
        <w:t xml:space="preserve">Genetic material was also sourced from a range of other organisms, to mediate genetic modifications to support the production of 2′-FL. The </w:t>
      </w:r>
      <w:r w:rsidR="004B4381">
        <w:rPr>
          <w:lang w:eastAsia="en-AU"/>
        </w:rPr>
        <w:t>Applicant</w:t>
      </w:r>
      <w:r>
        <w:rPr>
          <w:lang w:eastAsia="en-AU"/>
        </w:rPr>
        <w:t xml:space="preserve"> provided a full </w:t>
      </w:r>
      <w:r>
        <w:rPr>
          <w:rFonts w:cs="Arial"/>
          <w:color w:val="000000" w:themeColor="text1"/>
        </w:rPr>
        <w:t>description of these organisms. No risks were identified in the assessment of th</w:t>
      </w:r>
      <w:r w:rsidR="00E63762">
        <w:rPr>
          <w:rFonts w:cs="Arial"/>
          <w:color w:val="000000" w:themeColor="text1"/>
        </w:rPr>
        <w:t>e gene donors.</w:t>
      </w:r>
      <w:bookmarkStart w:id="149" w:name="_CTVL00195818659b8264793a063cf68a3a66f33"/>
      <w:bookmarkEnd w:id="149"/>
    </w:p>
    <w:p w14:paraId="1519B4C5" w14:textId="04BA7DF3" w:rsidR="00B63FF7" w:rsidRDefault="00B63FF7" w:rsidP="00BC1C5A">
      <w:pPr>
        <w:pStyle w:val="Heading2"/>
      </w:pPr>
      <w:bookmarkStart w:id="150" w:name="_Toc499282443"/>
      <w:bookmarkStart w:id="151" w:name="_Toc501098768"/>
      <w:bookmarkStart w:id="152" w:name="_Toc70675685"/>
      <w:bookmarkStart w:id="153" w:name="_Toc70675778"/>
      <w:bookmarkStart w:id="154" w:name="_Toc72480617"/>
      <w:bookmarkStart w:id="155" w:name="_Toc86413192"/>
      <w:bookmarkStart w:id="156" w:name="_Toc86914422"/>
      <w:bookmarkStart w:id="157" w:name="_Toc89242938"/>
      <w:r>
        <w:t>3.2</w:t>
      </w:r>
      <w:r w:rsidR="00B409E9">
        <w:tab/>
      </w:r>
      <w:r>
        <w:t>Characterisation of the genetic modification(s)</w:t>
      </w:r>
      <w:bookmarkEnd w:id="150"/>
      <w:bookmarkEnd w:id="151"/>
      <w:bookmarkEnd w:id="152"/>
      <w:bookmarkEnd w:id="153"/>
      <w:bookmarkEnd w:id="154"/>
      <w:bookmarkEnd w:id="155"/>
      <w:bookmarkEnd w:id="156"/>
      <w:bookmarkEnd w:id="157"/>
    </w:p>
    <w:p w14:paraId="16389BEC" w14:textId="3419726E" w:rsidR="00B63FF7" w:rsidRPr="00C96284" w:rsidRDefault="00B63FF7" w:rsidP="00B63FF7">
      <w:pPr>
        <w:pStyle w:val="Heading3"/>
        <w:ind w:left="0" w:firstLine="0"/>
      </w:pPr>
      <w:bookmarkStart w:id="158" w:name="_Toc498940971"/>
      <w:bookmarkStart w:id="159" w:name="_Toc499282444"/>
      <w:bookmarkEnd w:id="158"/>
      <w:bookmarkEnd w:id="159"/>
      <w:r w:rsidRPr="00362706">
        <w:t>3.2.1</w:t>
      </w:r>
      <w:r w:rsidRPr="00362706">
        <w:tab/>
        <w:t xml:space="preserve">Preparation of the </w:t>
      </w:r>
      <w:r>
        <w:t>2′-</w:t>
      </w:r>
      <w:r w:rsidRPr="00362706">
        <w:t>FL production s</w:t>
      </w:r>
      <w:r w:rsidR="007C030B">
        <w:t>train</w:t>
      </w:r>
    </w:p>
    <w:p w14:paraId="3561AE87" w14:textId="2F753009" w:rsidR="00B63FF7" w:rsidRDefault="009A189C" w:rsidP="00B63FF7">
      <w:pPr>
        <w:rPr>
          <w:rFonts w:cs="Arial"/>
          <w:color w:val="000000" w:themeColor="text1"/>
        </w:rPr>
      </w:pPr>
      <w:r>
        <w:rPr>
          <w:rFonts w:cs="Arial"/>
          <w:color w:val="000000" w:themeColor="text1"/>
        </w:rPr>
        <w:t>The</w:t>
      </w:r>
      <w:r w:rsidR="00B63FF7">
        <w:rPr>
          <w:rFonts w:cs="Arial"/>
          <w:color w:val="000000" w:themeColor="text1"/>
        </w:rPr>
        <w:t xml:space="preserve"> </w:t>
      </w:r>
      <w:r w:rsidR="00AF3EA2" w:rsidRPr="009201FA">
        <w:rPr>
          <w:i/>
        </w:rPr>
        <w:t>E. coli</w:t>
      </w:r>
      <w:r w:rsidR="00AF3EA2">
        <w:t xml:space="preserve"> K-12 </w:t>
      </w:r>
      <w:r w:rsidR="00B63FF7">
        <w:rPr>
          <w:rFonts w:cs="Arial"/>
          <w:color w:val="000000" w:themeColor="text1"/>
        </w:rPr>
        <w:t>production</w:t>
      </w:r>
      <w:r w:rsidR="00AD0495">
        <w:rPr>
          <w:rFonts w:cs="Arial"/>
          <w:color w:val="000000" w:themeColor="text1"/>
        </w:rPr>
        <w:t xml:space="preserve"> </w:t>
      </w:r>
      <w:r>
        <w:rPr>
          <w:rFonts w:cs="Arial"/>
          <w:color w:val="000000" w:themeColor="text1"/>
        </w:rPr>
        <w:t>strain E997 was generat</w:t>
      </w:r>
      <w:r w:rsidR="004F35DD">
        <w:rPr>
          <w:rFonts w:cs="Arial"/>
          <w:color w:val="000000" w:themeColor="text1"/>
        </w:rPr>
        <w:t>ed</w:t>
      </w:r>
      <w:r>
        <w:rPr>
          <w:rFonts w:cs="Arial"/>
          <w:color w:val="000000" w:themeColor="text1"/>
        </w:rPr>
        <w:t xml:space="preserve"> by t</w:t>
      </w:r>
      <w:r w:rsidR="00916D55">
        <w:rPr>
          <w:rFonts w:cs="Arial"/>
          <w:color w:val="000000" w:themeColor="text1"/>
        </w:rPr>
        <w:t xml:space="preserve">ransformation of E638 with </w:t>
      </w:r>
      <w:r>
        <w:rPr>
          <w:rFonts w:cs="Arial"/>
          <w:color w:val="000000" w:themeColor="text1"/>
        </w:rPr>
        <w:t xml:space="preserve">an expression plasmid containing the </w:t>
      </w:r>
      <w:r>
        <w:rPr>
          <w:rFonts w:cs="Arial"/>
          <w:lang w:eastAsia="en-AU"/>
        </w:rPr>
        <w:t>α</w:t>
      </w:r>
      <w:r>
        <w:rPr>
          <w:lang w:eastAsia="en-AU"/>
        </w:rPr>
        <w:t>-1,2-</w:t>
      </w:r>
      <w:r>
        <w:rPr>
          <w:rFonts w:cs="Arial"/>
          <w:color w:val="000000" w:themeColor="text1"/>
        </w:rPr>
        <w:t>fucosyltransferase gene</w:t>
      </w:r>
      <w:r w:rsidR="00C62DFA">
        <w:rPr>
          <w:rFonts w:cs="Arial"/>
          <w:color w:val="000000" w:themeColor="text1"/>
        </w:rPr>
        <w:t xml:space="preserve">. </w:t>
      </w:r>
      <w:r w:rsidR="00D1485C">
        <w:rPr>
          <w:rFonts w:cs="Arial"/>
          <w:color w:val="000000" w:themeColor="text1"/>
        </w:rPr>
        <w:t>The f</w:t>
      </w:r>
      <w:r>
        <w:rPr>
          <w:rFonts w:cs="Arial"/>
          <w:color w:val="000000" w:themeColor="text1"/>
        </w:rPr>
        <w:t>ucosyltransferase</w:t>
      </w:r>
      <w:r w:rsidR="00BF7EB4">
        <w:rPr>
          <w:rFonts w:cs="Arial"/>
          <w:color w:val="000000" w:themeColor="text1"/>
        </w:rPr>
        <w:t xml:space="preserve"> mediates the transfer of a fucosyl group </w:t>
      </w:r>
      <w:r w:rsidR="00E14313">
        <w:rPr>
          <w:rFonts w:cs="Arial"/>
          <w:color w:val="000000" w:themeColor="text1"/>
        </w:rPr>
        <w:t xml:space="preserve">from GDP-fucose </w:t>
      </w:r>
      <w:r w:rsidR="00BF7EB4">
        <w:rPr>
          <w:rFonts w:cs="Arial"/>
          <w:color w:val="000000" w:themeColor="text1"/>
        </w:rPr>
        <w:t>to lactose</w:t>
      </w:r>
      <w:r w:rsidR="00C62DFA">
        <w:rPr>
          <w:rFonts w:cs="Arial"/>
          <w:color w:val="000000" w:themeColor="text1"/>
        </w:rPr>
        <w:t xml:space="preserve"> thus making 2’-fucosyllactose.</w:t>
      </w:r>
    </w:p>
    <w:p w14:paraId="3496A146" w14:textId="7236CC37" w:rsidR="00C62DFA" w:rsidRDefault="00C62DFA" w:rsidP="00B63FF7">
      <w:pPr>
        <w:rPr>
          <w:rFonts w:cs="Arial"/>
          <w:color w:val="000000" w:themeColor="text1"/>
        </w:rPr>
      </w:pPr>
    </w:p>
    <w:p w14:paraId="3B455790" w14:textId="7D1EDB11" w:rsidR="00C62DFA" w:rsidRDefault="00E14313" w:rsidP="00B63FF7">
      <w:pPr>
        <w:rPr>
          <w:rFonts w:cs="Arial"/>
          <w:color w:val="000000" w:themeColor="text1"/>
        </w:rPr>
      </w:pPr>
      <w:r>
        <w:rPr>
          <w:rFonts w:cs="Arial"/>
          <w:color w:val="000000" w:themeColor="text1"/>
        </w:rPr>
        <w:t>The fucosyltransferase</w:t>
      </w:r>
      <w:r w:rsidR="00C62DFA">
        <w:rPr>
          <w:rFonts w:cs="Arial"/>
          <w:color w:val="000000" w:themeColor="text1"/>
        </w:rPr>
        <w:t xml:space="preserve"> </w:t>
      </w:r>
      <w:r>
        <w:rPr>
          <w:rFonts w:cs="Arial"/>
          <w:color w:val="000000" w:themeColor="text1"/>
        </w:rPr>
        <w:t>gene</w:t>
      </w:r>
      <w:r w:rsidR="00C62DFA">
        <w:rPr>
          <w:rFonts w:cs="Arial"/>
          <w:color w:val="000000" w:themeColor="text1"/>
        </w:rPr>
        <w:t xml:space="preserve"> </w:t>
      </w:r>
      <w:r w:rsidR="00C62DFA" w:rsidRPr="00E14313">
        <w:rPr>
          <w:rFonts w:cs="Arial"/>
          <w:i/>
          <w:color w:val="000000" w:themeColor="text1"/>
        </w:rPr>
        <w:t>futN</w:t>
      </w:r>
      <w:r w:rsidR="00C62DFA">
        <w:rPr>
          <w:rFonts w:cs="Arial"/>
          <w:color w:val="000000" w:themeColor="text1"/>
        </w:rPr>
        <w:t xml:space="preserve"> </w:t>
      </w:r>
      <w:r w:rsidR="009A189C">
        <w:rPr>
          <w:rFonts w:cs="Arial"/>
          <w:color w:val="000000" w:themeColor="text1"/>
        </w:rPr>
        <w:t>was sourced from</w:t>
      </w:r>
      <w:r w:rsidR="00C62DFA">
        <w:rPr>
          <w:rFonts w:cs="Arial"/>
          <w:color w:val="000000" w:themeColor="text1"/>
        </w:rPr>
        <w:t xml:space="preserve"> </w:t>
      </w:r>
      <w:r w:rsidR="00C62DFA" w:rsidRPr="00E14313">
        <w:rPr>
          <w:rFonts w:cs="Arial"/>
          <w:i/>
          <w:color w:val="000000" w:themeColor="text1"/>
        </w:rPr>
        <w:t>B. vulgatus</w:t>
      </w:r>
      <w:r w:rsidR="00C62DFA">
        <w:rPr>
          <w:rFonts w:cs="Arial"/>
          <w:color w:val="000000" w:themeColor="text1"/>
        </w:rPr>
        <w:t xml:space="preserve">, </w:t>
      </w:r>
      <w:r w:rsidR="009A189C">
        <w:rPr>
          <w:rFonts w:cs="Arial"/>
          <w:color w:val="000000" w:themeColor="text1"/>
        </w:rPr>
        <w:t xml:space="preserve">and is </w:t>
      </w:r>
      <w:r w:rsidR="00C62DFA">
        <w:rPr>
          <w:rFonts w:cs="Arial"/>
          <w:color w:val="000000" w:themeColor="text1"/>
        </w:rPr>
        <w:t xml:space="preserve">flanked by the leftward promoter </w:t>
      </w:r>
      <w:r>
        <w:rPr>
          <w:rFonts w:cs="Arial"/>
          <w:color w:val="000000" w:themeColor="text1"/>
        </w:rPr>
        <w:t xml:space="preserve">from lambda phage and a terminator from a well characterised </w:t>
      </w:r>
      <w:r w:rsidRPr="00E14313">
        <w:rPr>
          <w:rFonts w:cs="Arial"/>
          <w:i/>
          <w:color w:val="000000" w:themeColor="text1"/>
        </w:rPr>
        <w:t xml:space="preserve">E. coli </w:t>
      </w:r>
      <w:r w:rsidRPr="00036D7F">
        <w:rPr>
          <w:rFonts w:cs="Arial"/>
          <w:color w:val="000000" w:themeColor="text1"/>
        </w:rPr>
        <w:t>K-12</w:t>
      </w:r>
      <w:r>
        <w:rPr>
          <w:rFonts w:cs="Arial"/>
          <w:color w:val="000000" w:themeColor="text1"/>
        </w:rPr>
        <w:t xml:space="preserve"> gene. Also included on the expression plasmid</w:t>
      </w:r>
      <w:r w:rsidR="004F35DD">
        <w:rPr>
          <w:rFonts w:cs="Arial"/>
          <w:color w:val="000000" w:themeColor="text1"/>
        </w:rPr>
        <w:t>,</w:t>
      </w:r>
      <w:r>
        <w:rPr>
          <w:rFonts w:cs="Arial"/>
          <w:color w:val="000000" w:themeColor="text1"/>
        </w:rPr>
        <w:t xml:space="preserve"> are t</w:t>
      </w:r>
      <w:r w:rsidR="00C62DFA">
        <w:rPr>
          <w:rFonts w:cs="Arial"/>
          <w:color w:val="000000" w:themeColor="text1"/>
        </w:rPr>
        <w:t xml:space="preserve">wo expression cassettes </w:t>
      </w:r>
      <w:r>
        <w:rPr>
          <w:rFonts w:cs="Arial"/>
          <w:color w:val="000000" w:themeColor="text1"/>
        </w:rPr>
        <w:t>for</w:t>
      </w:r>
      <w:r w:rsidR="00C62DFA">
        <w:rPr>
          <w:rFonts w:cs="Arial"/>
          <w:color w:val="000000" w:themeColor="text1"/>
        </w:rPr>
        <w:t xml:space="preserve"> selectable markers: an antibiotic resistance gene, used only during the plasmid developmental phase</w:t>
      </w:r>
      <w:r w:rsidR="00636B84">
        <w:rPr>
          <w:rFonts w:cs="Arial"/>
          <w:color w:val="000000" w:themeColor="text1"/>
        </w:rPr>
        <w:t xml:space="preserve"> and not during the production of </w:t>
      </w:r>
      <w:r w:rsidR="00E927DD">
        <w:rPr>
          <w:rFonts w:cs="Arial"/>
          <w:color w:val="000000" w:themeColor="text1"/>
        </w:rPr>
        <w:t>2′-FL</w:t>
      </w:r>
      <w:r w:rsidR="00C62DFA">
        <w:rPr>
          <w:rFonts w:cs="Arial"/>
          <w:color w:val="000000" w:themeColor="text1"/>
        </w:rPr>
        <w:t>; and a metabolic marker gene for maintaining presence of the plasmid in the production strain</w:t>
      </w:r>
      <w:r w:rsidR="00BD3B5A">
        <w:rPr>
          <w:rFonts w:cs="Arial"/>
          <w:color w:val="000000" w:themeColor="text1"/>
        </w:rPr>
        <w:t>, when grown in minimal media</w:t>
      </w:r>
      <w:r w:rsidR="00C62DFA">
        <w:rPr>
          <w:rFonts w:cs="Arial"/>
          <w:color w:val="000000" w:themeColor="text1"/>
        </w:rPr>
        <w:t xml:space="preserve">. </w:t>
      </w:r>
      <w:r>
        <w:rPr>
          <w:rFonts w:cs="Arial"/>
          <w:color w:val="000000" w:themeColor="text1"/>
        </w:rPr>
        <w:t>A fourth expression cassette contains a regulator to increase the intracellular pool of the fucosyl donor, GDP-fucose.</w:t>
      </w:r>
    </w:p>
    <w:p w14:paraId="31B33CFA" w14:textId="1D70A23A" w:rsidR="00B63FF7" w:rsidRDefault="00B63FF7" w:rsidP="00B63FF7">
      <w:pPr>
        <w:pStyle w:val="Heading3"/>
        <w:ind w:left="0" w:firstLine="0"/>
      </w:pPr>
      <w:r>
        <w:t>3.2.2</w:t>
      </w:r>
      <w:r w:rsidR="00B409E9">
        <w:tab/>
      </w:r>
      <w:r>
        <w:t>Characterisation of the genetically modified organisms</w:t>
      </w:r>
    </w:p>
    <w:p w14:paraId="4437213B" w14:textId="77777777" w:rsidR="00B63FF7" w:rsidRDefault="00B63FF7" w:rsidP="00B63FF7">
      <w:pPr>
        <w:pStyle w:val="Heading4"/>
      </w:pPr>
      <w:bookmarkStart w:id="160" w:name="_Characterisation_of_introduced"/>
      <w:bookmarkEnd w:id="160"/>
      <w:r>
        <w:t>Characterisation of introduced DNA</w:t>
      </w:r>
    </w:p>
    <w:p w14:paraId="40D32064" w14:textId="079725CE" w:rsidR="00BD3B5A" w:rsidRDefault="000C6A0A" w:rsidP="00B63FF7">
      <w:r>
        <w:t xml:space="preserve">Data was provided showing </w:t>
      </w:r>
      <w:r w:rsidR="00BD3B5A">
        <w:t xml:space="preserve">the production of </w:t>
      </w:r>
      <w:r w:rsidR="0033159D">
        <w:t>2′-FL</w:t>
      </w:r>
      <w:r>
        <w:t xml:space="preserve"> </w:t>
      </w:r>
      <w:r w:rsidR="00BD3B5A">
        <w:t xml:space="preserve">after five distinct fermentation runs and from growth studies performed in minimal media. These data confirmed the presence and functionality of the plasmid expression system in the production strain E997. </w:t>
      </w:r>
    </w:p>
    <w:p w14:paraId="66936795" w14:textId="77777777" w:rsidR="00BD3B5A" w:rsidRDefault="00BD3B5A" w:rsidP="00B63FF7"/>
    <w:p w14:paraId="1202A92E" w14:textId="6B598599" w:rsidR="00B63FF7" w:rsidRDefault="00BD3B5A" w:rsidP="00B63FF7">
      <w:r>
        <w:t xml:space="preserve">Data was also provided from whole genome sequence analysis. </w:t>
      </w:r>
      <w:r w:rsidR="006A53F8">
        <w:t>The sequence confirmed</w:t>
      </w:r>
      <w:r>
        <w:t xml:space="preserve"> the </w:t>
      </w:r>
      <w:r w:rsidR="006A53F8">
        <w:t xml:space="preserve">production strain contained the expression plasmid, whereas the expression plasmid was absent in the </w:t>
      </w:r>
      <w:r w:rsidR="006A53F8" w:rsidRPr="006A53F8">
        <w:rPr>
          <w:i/>
        </w:rPr>
        <w:t>E. coli</w:t>
      </w:r>
      <w:r w:rsidR="006A53F8">
        <w:t xml:space="preserve"> reference genome.</w:t>
      </w:r>
    </w:p>
    <w:p w14:paraId="0B210DE6" w14:textId="77777777" w:rsidR="00B63FF7" w:rsidRPr="008D7CF1" w:rsidRDefault="00B63FF7" w:rsidP="00B63FF7">
      <w:pPr>
        <w:pStyle w:val="Heading4"/>
      </w:pPr>
      <w:r w:rsidRPr="008D7CF1">
        <w:t xml:space="preserve">Genetic stability </w:t>
      </w:r>
      <w:r>
        <w:t xml:space="preserve">and inheritance </w:t>
      </w:r>
      <w:r w:rsidRPr="008D7CF1">
        <w:t>of the introduced DNA</w:t>
      </w:r>
    </w:p>
    <w:p w14:paraId="503C9F04" w14:textId="1B814530" w:rsidR="00B63FF7" w:rsidRDefault="00B63FF7" w:rsidP="00B63FF7">
      <w:pPr>
        <w:rPr>
          <w:rFonts w:cs="Arial"/>
        </w:rPr>
      </w:pPr>
      <w:r>
        <w:rPr>
          <w:rFonts w:cs="Arial"/>
        </w:rPr>
        <w:t>T</w:t>
      </w:r>
      <w:r w:rsidR="006A53F8">
        <w:rPr>
          <w:rFonts w:cs="Arial"/>
        </w:rPr>
        <w:t xml:space="preserve">he </w:t>
      </w:r>
      <w:r w:rsidR="004B4381">
        <w:rPr>
          <w:rFonts w:cs="Arial"/>
        </w:rPr>
        <w:t>Applicant</w:t>
      </w:r>
      <w:r w:rsidR="006A53F8">
        <w:rPr>
          <w:rFonts w:cs="Arial"/>
        </w:rPr>
        <w:t xml:space="preserve"> provided data from whole genome sequencing, comparing the production strain at generation 0 and generation 100. No changes in the DNA sequence were identified in the plasmid expression cassettes, indicating the plasmid was genetically stable and was inherited across generations.</w:t>
      </w:r>
    </w:p>
    <w:p w14:paraId="53AC5AFB" w14:textId="17E80163" w:rsidR="00B63FF7" w:rsidRDefault="00B63FF7" w:rsidP="00BC1C5A">
      <w:pPr>
        <w:pStyle w:val="Heading2"/>
      </w:pPr>
      <w:bookmarkStart w:id="161" w:name="_Toc72480618"/>
      <w:bookmarkStart w:id="162" w:name="_Toc86413193"/>
      <w:bookmarkStart w:id="163" w:name="_Toc86914423"/>
      <w:bookmarkStart w:id="164" w:name="_Toc89242939"/>
      <w:r>
        <w:t>3.3</w:t>
      </w:r>
      <w:r w:rsidR="00B409E9">
        <w:tab/>
      </w:r>
      <w:r>
        <w:t xml:space="preserve">Key findings of the </w:t>
      </w:r>
      <w:r w:rsidR="00D1485C">
        <w:t>m</w:t>
      </w:r>
      <w:r>
        <w:t xml:space="preserve">icrobiological and </w:t>
      </w:r>
      <w:r w:rsidR="00D1485C">
        <w:t>b</w:t>
      </w:r>
      <w:r>
        <w:t>iotechnology assessment</w:t>
      </w:r>
      <w:bookmarkEnd w:id="161"/>
      <w:bookmarkEnd w:id="162"/>
      <w:bookmarkEnd w:id="163"/>
      <w:bookmarkEnd w:id="164"/>
    </w:p>
    <w:p w14:paraId="491263EC" w14:textId="27668A57" w:rsidR="00D1485C" w:rsidRPr="00292896" w:rsidRDefault="00B63FF7" w:rsidP="00D1485C">
      <w:pPr>
        <w:rPr>
          <w:color w:val="000000" w:themeColor="text1"/>
        </w:rPr>
      </w:pPr>
      <w:r w:rsidRPr="00292896">
        <w:rPr>
          <w:i/>
          <w:color w:val="000000" w:themeColor="text1"/>
        </w:rPr>
        <w:t>E. coli</w:t>
      </w:r>
      <w:r w:rsidRPr="00292896">
        <w:rPr>
          <w:color w:val="000000" w:themeColor="text1"/>
        </w:rPr>
        <w:t xml:space="preserve"> </w:t>
      </w:r>
      <w:r w:rsidR="00A614E4" w:rsidRPr="00292896">
        <w:rPr>
          <w:color w:val="000000" w:themeColor="text1"/>
        </w:rPr>
        <w:t>K-12</w:t>
      </w:r>
      <w:r w:rsidRPr="00292896">
        <w:rPr>
          <w:color w:val="000000" w:themeColor="text1"/>
        </w:rPr>
        <w:t xml:space="preserve"> </w:t>
      </w:r>
      <w:r w:rsidR="00D1485C" w:rsidRPr="00292896">
        <w:rPr>
          <w:color w:val="000000" w:themeColor="text1"/>
        </w:rPr>
        <w:t>has a long history of use for the production of recombinant proteins and poses no risks to humans. Analyses of the gene donors also confirmed there were no safety concerns.</w:t>
      </w:r>
    </w:p>
    <w:p w14:paraId="37416799" w14:textId="77777777" w:rsidR="00D1485C" w:rsidRDefault="00D1485C" w:rsidP="00D1485C"/>
    <w:p w14:paraId="61902E46" w14:textId="2873A31B" w:rsidR="00D1485C" w:rsidRDefault="00D1485C" w:rsidP="00D1485C">
      <w:r>
        <w:t>C</w:t>
      </w:r>
      <w:r w:rsidRPr="00672E1E">
        <w:t xml:space="preserve">haracterisation of the </w:t>
      </w:r>
      <w:r>
        <w:t xml:space="preserve">production strain confirmed </w:t>
      </w:r>
      <w:r>
        <w:rPr>
          <w:rFonts w:cs="Arial"/>
          <w:color w:val="000000" w:themeColor="text1"/>
        </w:rPr>
        <w:t xml:space="preserve">the expression plasmid carrying </w:t>
      </w:r>
      <w:r>
        <w:rPr>
          <w:rFonts w:cs="Arial"/>
          <w:color w:val="000000" w:themeColor="text1"/>
        </w:rPr>
        <w:lastRenderedPageBreak/>
        <w:t xml:space="preserve">the </w:t>
      </w:r>
      <w:r>
        <w:rPr>
          <w:rFonts w:cs="Arial"/>
          <w:lang w:eastAsia="en-AU"/>
        </w:rPr>
        <w:t>α</w:t>
      </w:r>
      <w:r>
        <w:rPr>
          <w:lang w:eastAsia="en-AU"/>
        </w:rPr>
        <w:t>-1,2-</w:t>
      </w:r>
      <w:r>
        <w:rPr>
          <w:rFonts w:cs="Arial"/>
          <w:color w:val="000000" w:themeColor="text1"/>
        </w:rPr>
        <w:t>fucosyltransferase gene was both genetically stable and fully functional</w:t>
      </w:r>
      <w:r>
        <w:t>.</w:t>
      </w:r>
    </w:p>
    <w:p w14:paraId="0A41A616" w14:textId="77777777" w:rsidR="00D1485C" w:rsidRDefault="00D1485C" w:rsidP="00D1485C"/>
    <w:p w14:paraId="734C0F97" w14:textId="15E4A673" w:rsidR="00D1485C" w:rsidRDefault="00D1485C" w:rsidP="00D1485C">
      <w:r w:rsidRPr="001045F5">
        <w:t xml:space="preserve">On the basis of the data provided, no potential safety concerns were identified in the assessment of </w:t>
      </w:r>
      <w:r>
        <w:t>the 2′-FL production strain E997</w:t>
      </w:r>
      <w:r w:rsidRPr="001045F5">
        <w:t>.</w:t>
      </w:r>
    </w:p>
    <w:p w14:paraId="62F6F22C" w14:textId="3F2A7292" w:rsidR="00B63FF7" w:rsidRDefault="00B63FF7" w:rsidP="00B63FF7"/>
    <w:p w14:paraId="4FB39CDC" w14:textId="0F982730" w:rsidR="00B63FF7" w:rsidRDefault="00B63FF7" w:rsidP="00B63FF7">
      <w:pPr>
        <w:pStyle w:val="Heading1"/>
        <w:ind w:left="567" w:hanging="567"/>
      </w:pPr>
      <w:bookmarkStart w:id="165" w:name="_Toc70675687"/>
      <w:bookmarkStart w:id="166" w:name="_Toc70675780"/>
      <w:bookmarkStart w:id="167" w:name="_Toc72480619"/>
      <w:bookmarkStart w:id="168" w:name="_Toc86413194"/>
      <w:bookmarkStart w:id="169" w:name="_Toc86914424"/>
      <w:bookmarkStart w:id="170" w:name="_Toc89242940"/>
      <w:r>
        <w:t>4</w:t>
      </w:r>
      <w:bookmarkEnd w:id="165"/>
      <w:bookmarkEnd w:id="166"/>
      <w:bookmarkEnd w:id="167"/>
      <w:r w:rsidR="00B409E9">
        <w:tab/>
      </w:r>
      <w:r w:rsidR="00710C50">
        <w:t>Toxicology assessment</w:t>
      </w:r>
      <w:bookmarkEnd w:id="168"/>
      <w:bookmarkEnd w:id="169"/>
      <w:bookmarkEnd w:id="170"/>
    </w:p>
    <w:p w14:paraId="389592F7" w14:textId="35DE1AD1" w:rsidR="00B63FF7" w:rsidRDefault="00B63FF7" w:rsidP="00BC1C5A">
      <w:pPr>
        <w:pStyle w:val="Heading2"/>
        <w:rPr>
          <w:lang w:val="en-AU"/>
        </w:rPr>
      </w:pPr>
      <w:bookmarkStart w:id="171" w:name="_Toc70675688"/>
      <w:bookmarkStart w:id="172" w:name="_Toc70675781"/>
      <w:bookmarkStart w:id="173" w:name="_Toc72480620"/>
      <w:bookmarkStart w:id="174" w:name="_Toc86413195"/>
      <w:bookmarkStart w:id="175" w:name="_Toc86914425"/>
      <w:bookmarkStart w:id="176" w:name="_Toc89242941"/>
      <w:r>
        <w:rPr>
          <w:lang w:val="en-AU"/>
        </w:rPr>
        <w:t>4.1</w:t>
      </w:r>
      <w:r w:rsidR="00B409E9">
        <w:rPr>
          <w:lang w:val="en-AU"/>
        </w:rPr>
        <w:tab/>
      </w:r>
      <w:r>
        <w:rPr>
          <w:lang w:val="en-AU"/>
        </w:rPr>
        <w:t>Previous FSANZ safety assessments of 2′-FL</w:t>
      </w:r>
      <w:bookmarkEnd w:id="171"/>
      <w:bookmarkEnd w:id="172"/>
      <w:bookmarkEnd w:id="173"/>
      <w:bookmarkEnd w:id="174"/>
      <w:bookmarkEnd w:id="175"/>
      <w:bookmarkEnd w:id="176"/>
    </w:p>
    <w:p w14:paraId="5A7A1A29" w14:textId="762AED79" w:rsidR="00B63FF7" w:rsidRDefault="00B63FF7" w:rsidP="00B63FF7">
      <w:pPr>
        <w:rPr>
          <w:lang w:val="en-AU"/>
        </w:rPr>
      </w:pPr>
      <w:r>
        <w:rPr>
          <w:lang w:val="en-AU"/>
        </w:rPr>
        <w:t>FSANZ has previously assessed an extensive toxicological databa</w:t>
      </w:r>
      <w:r w:rsidR="002567EA">
        <w:rPr>
          <w:lang w:val="en-AU"/>
        </w:rPr>
        <w:t xml:space="preserve">se on </w:t>
      </w:r>
      <w:r w:rsidR="0033159D">
        <w:rPr>
          <w:lang w:val="en-AU"/>
        </w:rPr>
        <w:t>2′-FL</w:t>
      </w:r>
      <w:r w:rsidR="002567EA">
        <w:rPr>
          <w:lang w:val="en-AU"/>
        </w:rPr>
        <w:t xml:space="preserve"> as part of </w:t>
      </w:r>
      <w:r w:rsidR="004B4381">
        <w:rPr>
          <w:lang w:val="en-AU"/>
        </w:rPr>
        <w:t>Application</w:t>
      </w:r>
      <w:r w:rsidR="002567EA">
        <w:rPr>
          <w:lang w:val="en-AU"/>
        </w:rPr>
        <w:t>s A1155 and A1190</w:t>
      </w:r>
      <w:r w:rsidR="00BB6F00">
        <w:rPr>
          <w:lang w:val="en-AU"/>
        </w:rPr>
        <w:t xml:space="preserve"> </w:t>
      </w:r>
      <w:r w:rsidR="00BB6F00" w:rsidRPr="002567EA">
        <w:rPr>
          <w:lang w:val="en-AU"/>
        </w:rPr>
        <w:t>(</w:t>
      </w:r>
      <w:r w:rsidR="00BB6F00" w:rsidRPr="00BB6F00">
        <w:rPr>
          <w:lang w:val="en-AU"/>
        </w:rPr>
        <w:t>FSANZ 2019a; FSANZ 2020; FSANZ 2021</w:t>
      </w:r>
      <w:r w:rsidR="00BB6F00" w:rsidRPr="002567EA">
        <w:rPr>
          <w:lang w:val="en-AU"/>
        </w:rPr>
        <w:t>)</w:t>
      </w:r>
      <w:r w:rsidR="002567EA">
        <w:rPr>
          <w:lang w:val="en-AU"/>
        </w:rPr>
        <w:t xml:space="preserve">. </w:t>
      </w:r>
    </w:p>
    <w:p w14:paraId="2455A6FE" w14:textId="59D4D92D" w:rsidR="002567EA" w:rsidRDefault="002567EA" w:rsidP="00B63FF7">
      <w:pPr>
        <w:rPr>
          <w:lang w:val="en-AU"/>
        </w:rPr>
      </w:pPr>
    </w:p>
    <w:p w14:paraId="24D36538" w14:textId="4C2F975D" w:rsidR="002567EA" w:rsidRDefault="002567EA" w:rsidP="002567EA">
      <w:pPr>
        <w:rPr>
          <w:lang w:val="en-AU"/>
        </w:rPr>
      </w:pPr>
      <w:r>
        <w:rPr>
          <w:lang w:val="en-AU"/>
        </w:rPr>
        <w:t>D</w:t>
      </w:r>
      <w:r w:rsidRPr="002567EA">
        <w:rPr>
          <w:lang w:val="en-AU"/>
        </w:rPr>
        <w:t>ata derived using Glycom’s 2′-FL</w:t>
      </w:r>
      <w:r w:rsidRPr="002567EA">
        <w:rPr>
          <w:vertAlign w:val="subscript"/>
          <w:lang w:val="en-AU"/>
        </w:rPr>
        <w:t>micro</w:t>
      </w:r>
      <w:r w:rsidRPr="002567EA">
        <w:rPr>
          <w:lang w:val="en-AU"/>
        </w:rPr>
        <w:t>, Glycom’s 2′-FL</w:t>
      </w:r>
      <w:r w:rsidRPr="002567EA">
        <w:rPr>
          <w:vertAlign w:val="subscript"/>
          <w:lang w:val="en-AU"/>
        </w:rPr>
        <w:t>chem</w:t>
      </w:r>
      <w:r w:rsidRPr="002567EA">
        <w:rPr>
          <w:lang w:val="en-AU"/>
        </w:rPr>
        <w:t>, Chr. Hansen’s 2′-FL</w:t>
      </w:r>
      <w:r w:rsidRPr="002567EA">
        <w:rPr>
          <w:vertAlign w:val="subscript"/>
          <w:lang w:val="en-AU"/>
        </w:rPr>
        <w:t>micro</w:t>
      </w:r>
      <w:r w:rsidRPr="002567EA">
        <w:rPr>
          <w:lang w:val="en-AU"/>
        </w:rPr>
        <w:t xml:space="preserve"> and Friesland Campina’s 2′-FL</w:t>
      </w:r>
      <w:r w:rsidRPr="002567EA">
        <w:rPr>
          <w:vertAlign w:val="subscript"/>
          <w:lang w:val="en-AU"/>
        </w:rPr>
        <w:t>micro</w:t>
      </w:r>
      <w:r>
        <w:rPr>
          <w:lang w:val="en-AU"/>
        </w:rPr>
        <w:t xml:space="preserve"> were evaluated, as well as studies of </w:t>
      </w:r>
      <w:r w:rsidR="0033159D">
        <w:rPr>
          <w:lang w:val="en-AU"/>
        </w:rPr>
        <w:t>2′-FL</w:t>
      </w:r>
      <w:r w:rsidRPr="002567EA">
        <w:rPr>
          <w:vertAlign w:val="subscript"/>
          <w:lang w:val="en-AU"/>
        </w:rPr>
        <w:t>micro</w:t>
      </w:r>
      <w:r>
        <w:rPr>
          <w:lang w:val="en-AU"/>
        </w:rPr>
        <w:t xml:space="preserve"> in combination with other oligosaccharides found in human milk. </w:t>
      </w:r>
    </w:p>
    <w:p w14:paraId="289D3A4C" w14:textId="77777777" w:rsidR="002567EA" w:rsidRDefault="002567EA" w:rsidP="002567EA">
      <w:pPr>
        <w:rPr>
          <w:lang w:val="en-AU"/>
        </w:rPr>
      </w:pPr>
    </w:p>
    <w:p w14:paraId="2A957154" w14:textId="2861B819" w:rsidR="002567EA" w:rsidRPr="002567EA" w:rsidRDefault="002567EA" w:rsidP="002567EA">
      <w:pPr>
        <w:rPr>
          <w:lang w:val="en-AU"/>
        </w:rPr>
      </w:pPr>
      <w:r w:rsidRPr="002567EA">
        <w:rPr>
          <w:lang w:val="en-AU"/>
        </w:rPr>
        <w:t>As noted in Section 2</w:t>
      </w:r>
      <w:r w:rsidR="0018382B">
        <w:rPr>
          <w:lang w:val="en-AU"/>
        </w:rPr>
        <w:t>.1.2</w:t>
      </w:r>
      <w:r w:rsidRPr="002567EA">
        <w:rPr>
          <w:lang w:val="en-AU"/>
        </w:rPr>
        <w:t>, evidence has been provided demonstrating that 2′-FL</w:t>
      </w:r>
      <w:r w:rsidRPr="009C47A0">
        <w:rPr>
          <w:vertAlign w:val="subscript"/>
          <w:lang w:val="en-AU"/>
        </w:rPr>
        <w:t>micro</w:t>
      </w:r>
    </w:p>
    <w:p w14:paraId="42295BA3" w14:textId="3A3DC3EA" w:rsidR="002567EA" w:rsidRPr="002567EA" w:rsidRDefault="002567EA" w:rsidP="002567EA">
      <w:pPr>
        <w:rPr>
          <w:lang w:val="en-AU"/>
        </w:rPr>
      </w:pPr>
      <w:r w:rsidRPr="002567EA">
        <w:rPr>
          <w:lang w:val="en-AU"/>
        </w:rPr>
        <w:t xml:space="preserve">subject to this </w:t>
      </w:r>
      <w:r w:rsidR="004B4381">
        <w:rPr>
          <w:lang w:val="en-AU"/>
        </w:rPr>
        <w:t>Application</w:t>
      </w:r>
      <w:r w:rsidRPr="002567EA">
        <w:rPr>
          <w:lang w:val="en-AU"/>
        </w:rPr>
        <w:t xml:space="preserve"> is chemically and structurally identical to naturally occurring 2′-</w:t>
      </w:r>
    </w:p>
    <w:p w14:paraId="39FA04C6" w14:textId="7DA06612" w:rsidR="009A4F96" w:rsidRDefault="002567EA" w:rsidP="002567EA">
      <w:pPr>
        <w:rPr>
          <w:lang w:val="en-AU"/>
        </w:rPr>
      </w:pPr>
      <w:r w:rsidRPr="002567EA">
        <w:rPr>
          <w:lang w:val="en-AU"/>
        </w:rPr>
        <w:t>FL</w:t>
      </w:r>
      <w:r w:rsidRPr="009C47A0">
        <w:rPr>
          <w:vertAlign w:val="subscript"/>
          <w:lang w:val="en-AU"/>
        </w:rPr>
        <w:t>human</w:t>
      </w:r>
      <w:r w:rsidRPr="002567EA">
        <w:rPr>
          <w:lang w:val="en-AU"/>
        </w:rPr>
        <w:t>. Similarly, the assessment</w:t>
      </w:r>
      <w:r w:rsidR="009C47A0">
        <w:rPr>
          <w:lang w:val="en-AU"/>
        </w:rPr>
        <w:t>s</w:t>
      </w:r>
      <w:r w:rsidRPr="002567EA">
        <w:rPr>
          <w:lang w:val="en-AU"/>
        </w:rPr>
        <w:t xml:space="preserve"> of 2′-FL</w:t>
      </w:r>
      <w:r w:rsidRPr="009C47A0">
        <w:rPr>
          <w:vertAlign w:val="subscript"/>
          <w:lang w:val="en-AU"/>
        </w:rPr>
        <w:t>micro</w:t>
      </w:r>
      <w:r w:rsidRPr="002567EA">
        <w:rPr>
          <w:lang w:val="en-AU"/>
        </w:rPr>
        <w:t xml:space="preserve"> produced by Glycom </w:t>
      </w:r>
      <w:r w:rsidR="009C47A0">
        <w:rPr>
          <w:lang w:val="en-AU"/>
        </w:rPr>
        <w:t>and Chr. Hansen confirmed their</w:t>
      </w:r>
      <w:r w:rsidRPr="002567EA">
        <w:rPr>
          <w:lang w:val="en-AU"/>
        </w:rPr>
        <w:t xml:space="preserve"> chemical</w:t>
      </w:r>
      <w:r w:rsidR="009C47A0">
        <w:rPr>
          <w:lang w:val="en-AU"/>
        </w:rPr>
        <w:t xml:space="preserve"> </w:t>
      </w:r>
      <w:r w:rsidRPr="002567EA">
        <w:rPr>
          <w:lang w:val="en-AU"/>
        </w:rPr>
        <w:t>and structural identity to 2′-FL</w:t>
      </w:r>
      <w:r w:rsidRPr="009C47A0">
        <w:rPr>
          <w:vertAlign w:val="subscript"/>
          <w:lang w:val="en-AU"/>
        </w:rPr>
        <w:t>human</w:t>
      </w:r>
      <w:r w:rsidRPr="002567EA">
        <w:rPr>
          <w:lang w:val="en-AU"/>
        </w:rPr>
        <w:t xml:space="preserve">. </w:t>
      </w:r>
      <w:r w:rsidR="00E97796">
        <w:rPr>
          <w:lang w:val="en-AU"/>
        </w:rPr>
        <w:t>S</w:t>
      </w:r>
      <w:r w:rsidRPr="002567EA">
        <w:rPr>
          <w:lang w:val="en-AU"/>
        </w:rPr>
        <w:t>tudies with all these</w:t>
      </w:r>
      <w:r w:rsidR="009C47A0">
        <w:rPr>
          <w:lang w:val="en-AU"/>
        </w:rPr>
        <w:t xml:space="preserve"> </w:t>
      </w:r>
      <w:r w:rsidRPr="002567EA">
        <w:rPr>
          <w:lang w:val="en-AU"/>
        </w:rPr>
        <w:t>forms of 2′-FL are therefore considered to</w:t>
      </w:r>
      <w:r w:rsidR="009A4F96">
        <w:rPr>
          <w:lang w:val="en-AU"/>
        </w:rPr>
        <w:t xml:space="preserve"> be relevant </w:t>
      </w:r>
      <w:r w:rsidR="0018382B">
        <w:rPr>
          <w:lang w:val="en-AU"/>
        </w:rPr>
        <w:t xml:space="preserve">for assessing the safety of the </w:t>
      </w:r>
      <w:r w:rsidR="004B4381">
        <w:rPr>
          <w:lang w:val="en-AU"/>
        </w:rPr>
        <w:t>Applicant</w:t>
      </w:r>
      <w:r w:rsidR="0018382B">
        <w:rPr>
          <w:lang w:val="en-AU"/>
        </w:rPr>
        <w:t>’s 2</w:t>
      </w:r>
      <w:r w:rsidR="0018382B" w:rsidRPr="002567EA">
        <w:rPr>
          <w:lang w:val="en-AU"/>
        </w:rPr>
        <w:t>′-FL</w:t>
      </w:r>
      <w:r w:rsidR="0018382B" w:rsidRPr="009C47A0">
        <w:rPr>
          <w:vertAlign w:val="subscript"/>
          <w:lang w:val="en-AU"/>
        </w:rPr>
        <w:t>micro</w:t>
      </w:r>
      <w:r w:rsidR="009A4F96">
        <w:rPr>
          <w:lang w:val="en-AU"/>
        </w:rPr>
        <w:t>.</w:t>
      </w:r>
    </w:p>
    <w:p w14:paraId="5805589E" w14:textId="77777777" w:rsidR="009A4F96" w:rsidRDefault="009A4F96" w:rsidP="002567EA">
      <w:pPr>
        <w:rPr>
          <w:lang w:val="en-AU"/>
        </w:rPr>
      </w:pPr>
    </w:p>
    <w:p w14:paraId="20EC3A5B" w14:textId="7E7CC6B9" w:rsidR="002567EA" w:rsidRPr="002567EA" w:rsidRDefault="002567EA" w:rsidP="002567EA">
      <w:pPr>
        <w:rPr>
          <w:lang w:val="en-AU"/>
        </w:rPr>
      </w:pPr>
      <w:r w:rsidRPr="002567EA">
        <w:rPr>
          <w:lang w:val="en-AU"/>
        </w:rPr>
        <w:t>Studies</w:t>
      </w:r>
      <w:r w:rsidR="0018382B">
        <w:rPr>
          <w:lang w:val="en-AU"/>
        </w:rPr>
        <w:t xml:space="preserve"> previously</w:t>
      </w:r>
      <w:r w:rsidRPr="002567EA">
        <w:rPr>
          <w:lang w:val="en-AU"/>
        </w:rPr>
        <w:t xml:space="preserve"> evaluated included:</w:t>
      </w:r>
    </w:p>
    <w:p w14:paraId="63F89379" w14:textId="54D92D4A" w:rsidR="002567EA" w:rsidRPr="002567EA" w:rsidRDefault="002567EA" w:rsidP="009A4F96">
      <w:pPr>
        <w:pStyle w:val="FSBullet1"/>
        <w:rPr>
          <w:lang w:val="en-AU"/>
        </w:rPr>
      </w:pPr>
      <w:r w:rsidRPr="002567EA">
        <w:rPr>
          <w:lang w:val="en-AU"/>
        </w:rPr>
        <w:t>Information on the absorption, distribution, metabolism and excretion of</w:t>
      </w:r>
      <w:r w:rsidR="009A4F96">
        <w:rPr>
          <w:lang w:val="en-AU"/>
        </w:rPr>
        <w:t xml:space="preserve"> </w:t>
      </w:r>
      <w:r w:rsidRPr="002567EA">
        <w:rPr>
          <w:lang w:val="en-AU"/>
        </w:rPr>
        <w:t>oligosaccharides found in human milk, including 2′-FL</w:t>
      </w:r>
    </w:p>
    <w:p w14:paraId="523E71A2" w14:textId="7962404D" w:rsidR="002567EA" w:rsidRPr="002567EA" w:rsidRDefault="002567EA" w:rsidP="009A4F96">
      <w:pPr>
        <w:pStyle w:val="FSBullet1"/>
        <w:rPr>
          <w:lang w:val="en-AU"/>
        </w:rPr>
      </w:pPr>
      <w:r w:rsidRPr="009A4F96">
        <w:rPr>
          <w:i/>
          <w:lang w:val="en-AU"/>
        </w:rPr>
        <w:t>In vitro</w:t>
      </w:r>
      <w:r w:rsidRPr="002567EA">
        <w:rPr>
          <w:lang w:val="en-AU"/>
        </w:rPr>
        <w:t xml:space="preserve"> genotoxicity studies of 2′-FL plus an </w:t>
      </w:r>
      <w:r w:rsidRPr="009A4F96">
        <w:rPr>
          <w:i/>
          <w:lang w:val="en-AU"/>
        </w:rPr>
        <w:t>in vivo</w:t>
      </w:r>
      <w:r w:rsidRPr="002567EA">
        <w:rPr>
          <w:lang w:val="en-AU"/>
        </w:rPr>
        <w:t xml:space="preserve"> micronucleus assay</w:t>
      </w:r>
    </w:p>
    <w:p w14:paraId="746AA165" w14:textId="3EEDD2BB" w:rsidR="002567EA" w:rsidRPr="002567EA" w:rsidRDefault="009A4F96" w:rsidP="009A4F96">
      <w:pPr>
        <w:pStyle w:val="FSBullet1"/>
        <w:rPr>
          <w:lang w:val="en-AU"/>
        </w:rPr>
      </w:pPr>
      <w:r w:rsidRPr="009A4F96">
        <w:rPr>
          <w:i/>
          <w:lang w:val="en-AU"/>
        </w:rPr>
        <w:t>I</w:t>
      </w:r>
      <w:r w:rsidR="002567EA" w:rsidRPr="009A4F96">
        <w:rPr>
          <w:i/>
          <w:lang w:val="en-AU"/>
        </w:rPr>
        <w:t>n vitro</w:t>
      </w:r>
      <w:r w:rsidR="002567EA" w:rsidRPr="002567EA">
        <w:rPr>
          <w:lang w:val="en-AU"/>
        </w:rPr>
        <w:t xml:space="preserve"> genotoxicity studies of 2′-FL in combination with difucosyllactose (DFL)</w:t>
      </w:r>
      <w:r w:rsidR="002567EA">
        <w:rPr>
          <w:lang w:val="en-AU"/>
        </w:rPr>
        <w:t xml:space="preserve">, </w:t>
      </w:r>
      <w:r w:rsidR="002567EA">
        <w:t xml:space="preserve">lacto-N-fucopentaose I (LNFP-I) </w:t>
      </w:r>
      <w:r w:rsidR="002567EA" w:rsidRPr="002567EA">
        <w:rPr>
          <w:lang w:val="en-AU"/>
        </w:rPr>
        <w:t>or with</w:t>
      </w:r>
      <w:r w:rsidR="002567EA">
        <w:rPr>
          <w:lang w:val="en-AU"/>
        </w:rPr>
        <w:t xml:space="preserve"> </w:t>
      </w:r>
      <w:r w:rsidR="002567EA" w:rsidRPr="002567EA">
        <w:rPr>
          <w:lang w:val="en-AU"/>
        </w:rPr>
        <w:t>four other oligosaccharides found in human milk</w:t>
      </w:r>
    </w:p>
    <w:p w14:paraId="39BE91BC" w14:textId="18B70BC4" w:rsidR="002567EA" w:rsidRPr="002567EA" w:rsidRDefault="002567EA" w:rsidP="009A4F96">
      <w:pPr>
        <w:pStyle w:val="FSBullet1"/>
        <w:rPr>
          <w:lang w:val="en-AU"/>
        </w:rPr>
      </w:pPr>
      <w:r w:rsidRPr="002567EA">
        <w:rPr>
          <w:lang w:val="en-AU"/>
        </w:rPr>
        <w:t>Short-term toxicity studies of 2′-FL in rats, including studies with neonatal rats</w:t>
      </w:r>
    </w:p>
    <w:p w14:paraId="5EE99E74" w14:textId="2389B9D1" w:rsidR="002567EA" w:rsidRPr="002567EA" w:rsidRDefault="002567EA" w:rsidP="009A4F96">
      <w:pPr>
        <w:pStyle w:val="FSBullet1"/>
        <w:rPr>
          <w:lang w:val="en-AU"/>
        </w:rPr>
      </w:pPr>
      <w:r w:rsidRPr="002567EA">
        <w:rPr>
          <w:lang w:val="en-AU"/>
        </w:rPr>
        <w:t>A short-term toxicity study of 2′-FL in neonatal piglets</w:t>
      </w:r>
    </w:p>
    <w:p w14:paraId="4370BB15" w14:textId="67B015F1" w:rsidR="002567EA" w:rsidRPr="002567EA" w:rsidRDefault="002567EA" w:rsidP="009A4F96">
      <w:pPr>
        <w:pStyle w:val="FSBullet1"/>
        <w:rPr>
          <w:lang w:val="en-AU"/>
        </w:rPr>
      </w:pPr>
      <w:r>
        <w:rPr>
          <w:lang w:val="en-AU"/>
        </w:rPr>
        <w:t>Short-term toxicity studies</w:t>
      </w:r>
      <w:r w:rsidRPr="002567EA">
        <w:rPr>
          <w:lang w:val="en-AU"/>
        </w:rPr>
        <w:t xml:space="preserve"> of 2′-FL in combination with DFL</w:t>
      </w:r>
      <w:r>
        <w:rPr>
          <w:lang w:val="en-AU"/>
        </w:rPr>
        <w:t xml:space="preserve"> or LNFO-I</w:t>
      </w:r>
      <w:r w:rsidRPr="002567EA">
        <w:rPr>
          <w:lang w:val="en-AU"/>
        </w:rPr>
        <w:t xml:space="preserve"> in neonatal rats</w:t>
      </w:r>
    </w:p>
    <w:p w14:paraId="00439B53" w14:textId="30A68447" w:rsidR="002567EA" w:rsidRPr="00E97796" w:rsidRDefault="002567EA" w:rsidP="008C44D9">
      <w:pPr>
        <w:pStyle w:val="FSBullet1"/>
        <w:rPr>
          <w:lang w:val="en-AU"/>
        </w:rPr>
      </w:pPr>
      <w:r w:rsidRPr="00E97796">
        <w:rPr>
          <w:lang w:val="en-AU"/>
        </w:rPr>
        <w:t>A short-term toxicity study</w:t>
      </w:r>
      <w:r w:rsidR="009A4F96" w:rsidRPr="00E97796">
        <w:rPr>
          <w:lang w:val="en-AU"/>
        </w:rPr>
        <w:t xml:space="preserve"> in rats</w:t>
      </w:r>
      <w:r w:rsidRPr="00E97796">
        <w:rPr>
          <w:lang w:val="en-AU"/>
        </w:rPr>
        <w:t xml:space="preserve"> of 2′-FL in combination with four other</w:t>
      </w:r>
      <w:r w:rsidR="00E97796">
        <w:rPr>
          <w:lang w:val="en-AU"/>
        </w:rPr>
        <w:t xml:space="preserve"> </w:t>
      </w:r>
      <w:r w:rsidRPr="00E97796">
        <w:rPr>
          <w:lang w:val="en-AU"/>
        </w:rPr>
        <w:t>oligosaccharides found in human milk</w:t>
      </w:r>
    </w:p>
    <w:p w14:paraId="3CAA716E" w14:textId="38D186C0" w:rsidR="002567EA" w:rsidRPr="002567EA" w:rsidRDefault="002567EA" w:rsidP="009A4F96">
      <w:pPr>
        <w:pStyle w:val="FSBullet1"/>
        <w:rPr>
          <w:lang w:val="en-AU"/>
        </w:rPr>
      </w:pPr>
      <w:r w:rsidRPr="002567EA">
        <w:rPr>
          <w:lang w:val="en-AU"/>
        </w:rPr>
        <w:t>Human clinical studies in infants, children and adults.</w:t>
      </w:r>
    </w:p>
    <w:p w14:paraId="3923C62F" w14:textId="77777777" w:rsidR="009A4F96" w:rsidRDefault="009A4F96" w:rsidP="002567EA">
      <w:pPr>
        <w:rPr>
          <w:lang w:val="en-AU"/>
        </w:rPr>
      </w:pPr>
    </w:p>
    <w:p w14:paraId="0BDC3B5D" w14:textId="54ECCCD8" w:rsidR="00B63FF7" w:rsidRDefault="002567EA" w:rsidP="00B63FF7">
      <w:pPr>
        <w:rPr>
          <w:lang w:val="en-AU"/>
        </w:rPr>
      </w:pPr>
      <w:r w:rsidRPr="002567EA">
        <w:rPr>
          <w:lang w:val="en-AU"/>
        </w:rPr>
        <w:t>The assessment</w:t>
      </w:r>
      <w:r w:rsidR="00E97796">
        <w:rPr>
          <w:lang w:val="en-AU"/>
        </w:rPr>
        <w:t>s</w:t>
      </w:r>
      <w:r w:rsidR="00A910E7">
        <w:rPr>
          <w:lang w:val="en-AU"/>
        </w:rPr>
        <w:t xml:space="preserve"> for A1155 and A1190</w:t>
      </w:r>
      <w:r w:rsidRPr="002567EA">
        <w:rPr>
          <w:lang w:val="en-AU"/>
        </w:rPr>
        <w:t xml:space="preserve"> concluded that there are no safety concerns associated with the addition of</w:t>
      </w:r>
      <w:r w:rsidR="00E97796">
        <w:rPr>
          <w:lang w:val="en-AU"/>
        </w:rPr>
        <w:t xml:space="preserve"> </w:t>
      </w:r>
      <w:r w:rsidR="00A910E7">
        <w:rPr>
          <w:lang w:val="en-AU"/>
        </w:rPr>
        <w:t xml:space="preserve">2′-FL to IFP </w:t>
      </w:r>
      <w:r w:rsidR="00710C50">
        <w:rPr>
          <w:lang w:val="en-AU"/>
        </w:rPr>
        <w:t>at concentrations up to 2.4 g/L</w:t>
      </w:r>
      <w:r w:rsidR="00A910E7">
        <w:rPr>
          <w:lang w:val="en-AU"/>
        </w:rPr>
        <w:t xml:space="preserve">. </w:t>
      </w:r>
    </w:p>
    <w:p w14:paraId="53F76C2B" w14:textId="7935238E" w:rsidR="00B63FF7" w:rsidRDefault="00B63FF7" w:rsidP="00BC1C5A">
      <w:pPr>
        <w:pStyle w:val="Heading2"/>
        <w:rPr>
          <w:lang w:val="en-AU"/>
        </w:rPr>
      </w:pPr>
      <w:bookmarkStart w:id="177" w:name="_Toc70675689"/>
      <w:bookmarkStart w:id="178" w:name="_Toc70675782"/>
      <w:bookmarkStart w:id="179" w:name="_Toc72480621"/>
      <w:bookmarkStart w:id="180" w:name="_Toc86413196"/>
      <w:bookmarkStart w:id="181" w:name="_Toc86914426"/>
      <w:bookmarkStart w:id="182" w:name="_Toc89242942"/>
      <w:r>
        <w:rPr>
          <w:lang w:val="en-AU"/>
        </w:rPr>
        <w:t>4.2</w:t>
      </w:r>
      <w:r w:rsidR="00B409E9">
        <w:rPr>
          <w:lang w:val="en-AU"/>
        </w:rPr>
        <w:tab/>
      </w:r>
      <w:r>
        <w:rPr>
          <w:lang w:val="en-AU"/>
        </w:rPr>
        <w:t>Newly available data</w:t>
      </w:r>
      <w:bookmarkEnd w:id="177"/>
      <w:bookmarkEnd w:id="178"/>
      <w:bookmarkEnd w:id="179"/>
      <w:bookmarkEnd w:id="180"/>
      <w:bookmarkEnd w:id="181"/>
      <w:bookmarkEnd w:id="182"/>
    </w:p>
    <w:p w14:paraId="72399BBB" w14:textId="40D2ED1D" w:rsidR="00B63FF7" w:rsidRDefault="00B63FF7" w:rsidP="00B63FF7">
      <w:pPr>
        <w:rPr>
          <w:lang w:val="en-AU" w:eastAsia="en-AU" w:bidi="ar-SA"/>
        </w:rPr>
      </w:pPr>
      <w:r>
        <w:rPr>
          <w:lang w:val="en-AU" w:eastAsia="en-AU" w:bidi="ar-SA"/>
        </w:rPr>
        <w:t xml:space="preserve">The </w:t>
      </w:r>
      <w:r w:rsidR="004B4381">
        <w:rPr>
          <w:lang w:val="en-AU" w:eastAsia="en-AU" w:bidi="ar-SA"/>
        </w:rPr>
        <w:t>Applicant</w:t>
      </w:r>
      <w:r>
        <w:rPr>
          <w:lang w:val="en-AU" w:eastAsia="en-AU" w:bidi="ar-SA"/>
        </w:rPr>
        <w:t xml:space="preserve"> provided </w:t>
      </w:r>
      <w:r w:rsidR="00E97796">
        <w:rPr>
          <w:lang w:val="en-AU" w:eastAsia="en-AU" w:bidi="ar-SA"/>
        </w:rPr>
        <w:t xml:space="preserve">full </w:t>
      </w:r>
      <w:r w:rsidR="005958CB">
        <w:rPr>
          <w:lang w:val="en-AU" w:eastAsia="en-AU" w:bidi="ar-SA"/>
        </w:rPr>
        <w:t xml:space="preserve">reports of two </w:t>
      </w:r>
      <w:r w:rsidR="005958CB" w:rsidRPr="0022233C">
        <w:rPr>
          <w:i/>
          <w:lang w:val="en-AU" w:eastAsia="en-AU" w:bidi="ar-SA"/>
        </w:rPr>
        <w:t>in vitro</w:t>
      </w:r>
      <w:r w:rsidR="005958CB">
        <w:rPr>
          <w:lang w:val="en-AU" w:eastAsia="en-AU" w:bidi="ar-SA"/>
        </w:rPr>
        <w:t xml:space="preserve"> genotoxicity studies with </w:t>
      </w:r>
      <w:r w:rsidR="0033159D">
        <w:rPr>
          <w:lang w:val="en-AU" w:eastAsia="en-AU" w:bidi="ar-SA"/>
        </w:rPr>
        <w:t>2′-FL</w:t>
      </w:r>
      <w:r w:rsidR="000721F7" w:rsidRPr="000721F7">
        <w:rPr>
          <w:vertAlign w:val="subscript"/>
          <w:lang w:val="en-AU" w:eastAsia="en-AU" w:bidi="ar-SA"/>
        </w:rPr>
        <w:t>micro</w:t>
      </w:r>
      <w:r w:rsidR="005958CB">
        <w:rPr>
          <w:lang w:val="en-AU" w:eastAsia="en-AU" w:bidi="ar-SA"/>
        </w:rPr>
        <w:t xml:space="preserve">, a 14-day dose-range finding study in rats and a 90-day toxicity study in rats. Results of the genotoxicity study and 90-day toxicity study are summarised in van Berlo et al. </w:t>
      </w:r>
      <w:r w:rsidR="0022233C">
        <w:rPr>
          <w:lang w:val="en-AU" w:eastAsia="en-AU" w:bidi="ar-SA"/>
        </w:rPr>
        <w:t>(</w:t>
      </w:r>
      <w:r w:rsidR="005958CB">
        <w:rPr>
          <w:lang w:val="en-AU" w:eastAsia="en-AU" w:bidi="ar-SA"/>
        </w:rPr>
        <w:t>2018</w:t>
      </w:r>
      <w:r w:rsidR="0022233C">
        <w:rPr>
          <w:lang w:val="en-AU" w:eastAsia="en-AU" w:bidi="ar-SA"/>
        </w:rPr>
        <w:t>)</w:t>
      </w:r>
      <w:r w:rsidR="005958CB">
        <w:rPr>
          <w:lang w:val="en-AU" w:eastAsia="en-AU" w:bidi="ar-SA"/>
        </w:rPr>
        <w:t xml:space="preserve">, which FSANZ reviewed as part of the assessment of A1155. </w:t>
      </w:r>
    </w:p>
    <w:p w14:paraId="0994C39E" w14:textId="1E23C9CB" w:rsidR="0022233C" w:rsidRDefault="0022233C" w:rsidP="00B63FF7">
      <w:pPr>
        <w:rPr>
          <w:lang w:val="en-AU" w:eastAsia="en-AU" w:bidi="ar-SA"/>
        </w:rPr>
      </w:pPr>
    </w:p>
    <w:p w14:paraId="65698C66" w14:textId="1E9695E7" w:rsidR="0022233C" w:rsidRDefault="0022233C" w:rsidP="00B63FF7">
      <w:r>
        <w:t xml:space="preserve">An additional clinical study in children published since FSANZ’s last evaluation was </w:t>
      </w:r>
      <w:r>
        <w:lastRenderedPageBreak/>
        <w:t xml:space="preserve">identified in a literature search conducted in PubMed on </w:t>
      </w:r>
      <w:r w:rsidR="006664D4">
        <w:t>12</w:t>
      </w:r>
      <w:r w:rsidRPr="0022233C">
        <w:rPr>
          <w:vertAlign w:val="superscript"/>
        </w:rPr>
        <w:t>th</w:t>
      </w:r>
      <w:r>
        <w:t xml:space="preserve"> August 2021</w:t>
      </w:r>
      <w:r w:rsidR="006664D4">
        <w:t xml:space="preserve"> for papers published from 29</w:t>
      </w:r>
      <w:r w:rsidR="006664D4" w:rsidRPr="006664D4">
        <w:rPr>
          <w:vertAlign w:val="superscript"/>
        </w:rPr>
        <w:t>th</w:t>
      </w:r>
      <w:r w:rsidR="006664D4">
        <w:t xml:space="preserve"> April 2021 (the date of FSANZ’s last previous literature search) </w:t>
      </w:r>
      <w:r>
        <w:t>using the search term</w:t>
      </w:r>
      <w:r w:rsidR="006664D4">
        <w:t>s</w:t>
      </w:r>
      <w:r>
        <w:t xml:space="preserve"> ‘2′-fucosyllactose</w:t>
      </w:r>
      <w:r w:rsidR="006664D4">
        <w:t xml:space="preserve"> OR </w:t>
      </w:r>
      <w:r w:rsidR="006664D4">
        <w:rPr>
          <w:lang w:val="en-AU"/>
        </w:rPr>
        <w:t>2′-O-Fucosyllactose</w:t>
      </w:r>
      <w:r>
        <w:t xml:space="preserve">’. </w:t>
      </w:r>
    </w:p>
    <w:p w14:paraId="32871ECA" w14:textId="78963EE3" w:rsidR="0022233C" w:rsidRDefault="0022233C" w:rsidP="0022233C">
      <w:pPr>
        <w:pStyle w:val="Heading3"/>
      </w:pPr>
      <w:r>
        <w:t>4.2.1</w:t>
      </w:r>
      <w:r>
        <w:tab/>
        <w:t xml:space="preserve">Toxicological studies with </w:t>
      </w:r>
      <w:r w:rsidR="0033159D">
        <w:t>2′-FL</w:t>
      </w:r>
    </w:p>
    <w:p w14:paraId="5E0136BA" w14:textId="6F28EE8E" w:rsidR="0022233C" w:rsidRDefault="00B8127F" w:rsidP="00B8127F">
      <w:pPr>
        <w:pStyle w:val="Heading4"/>
      </w:pPr>
      <w:r>
        <w:t xml:space="preserve">Short-term toxicity studies conducted with the </w:t>
      </w:r>
      <w:r w:rsidR="004B4381">
        <w:t>Applicant</w:t>
      </w:r>
      <w:r>
        <w:t xml:space="preserve">’s </w:t>
      </w:r>
      <w:r w:rsidR="0033159D">
        <w:t>2′-FL</w:t>
      </w:r>
      <w:r w:rsidRPr="00B8127F">
        <w:rPr>
          <w:vertAlign w:val="subscript"/>
        </w:rPr>
        <w:t>micro</w:t>
      </w:r>
    </w:p>
    <w:p w14:paraId="40CBF128" w14:textId="5DA3FFCE" w:rsidR="00B8127F" w:rsidRDefault="00B8127F" w:rsidP="00B8127F">
      <w:pPr>
        <w:pStyle w:val="Heading5"/>
      </w:pPr>
      <w:r>
        <w:t>14-day dietary dose-range finding</w:t>
      </w:r>
      <w:r w:rsidR="00E92E8E">
        <w:t xml:space="preserve"> study</w:t>
      </w:r>
      <w:r>
        <w:t xml:space="preserve"> with </w:t>
      </w:r>
      <w:r w:rsidR="0033159D">
        <w:t>2′-FL</w:t>
      </w:r>
      <w:r w:rsidRPr="00B8127F">
        <w:rPr>
          <w:vertAlign w:val="subscript"/>
        </w:rPr>
        <w:t>micro</w:t>
      </w:r>
      <w:r>
        <w:t xml:space="preserve"> </w:t>
      </w:r>
      <w:r w:rsidR="00E92E8E">
        <w:t xml:space="preserve">in rats </w:t>
      </w:r>
      <w:r>
        <w:t>(</w:t>
      </w:r>
      <w:r w:rsidRPr="003455E8">
        <w:t>Triskelion 2016</w:t>
      </w:r>
      <w:r>
        <w:t xml:space="preserve">) Regulatory status: </w:t>
      </w:r>
      <w:r w:rsidR="00E92E8E">
        <w:t>Non-GLP; Non-guideline</w:t>
      </w:r>
    </w:p>
    <w:p w14:paraId="113C32A1" w14:textId="55C87AB2" w:rsidR="00B8127F" w:rsidRDefault="00B8127F" w:rsidP="00D44261">
      <w:r>
        <w:t xml:space="preserve">Groups of four male Wistar (Crl:WI(Han)) rats aged 6-7 weeks were fed diets containing 0, 3, 6 or 10% </w:t>
      </w:r>
      <w:r w:rsidR="0033159D">
        <w:t>2′-FL</w:t>
      </w:r>
      <w:r w:rsidR="00D44261">
        <w:t xml:space="preserve"> (purity 94%) for 14 days</w:t>
      </w:r>
      <w:r w:rsidR="006F5F3A">
        <w:t>, equal to 0, 2670, 5050 or 7990 mg/kg bw/day</w:t>
      </w:r>
      <w:r w:rsidR="00D44261">
        <w:t xml:space="preserve">. Clinical signs were monitored daily and body weights were recorded at the start of the study and twice weekly thereafter, with the last measurement made at study termination. Food consumption was measured over successive three- or four-day periods during the treatment period. After 14 days of dosing the animals were killed and examined for gross pathological changes. The kidneys, liver and caecum (full and empty) were weighed and organ weights relative to body weight were calculated. </w:t>
      </w:r>
    </w:p>
    <w:p w14:paraId="1F611C3D" w14:textId="0F4F8373" w:rsidR="006F5F3A" w:rsidRDefault="006F5F3A" w:rsidP="00D44261"/>
    <w:p w14:paraId="78728161" w14:textId="4BB984D5" w:rsidR="006F5F3A" w:rsidRDefault="006F5F3A" w:rsidP="00D44261">
      <w:r>
        <w:t xml:space="preserve">All rats survived to the end of the study and no clinical signs of toxicity were observed. There were no differences in body weight and food consumption between the groups. </w:t>
      </w:r>
      <w:r w:rsidR="004A4E7A">
        <w:t xml:space="preserve">Relative liver weights were significantly lower than controls in the mid and high dose groups, with the absolute liver weight also significantly lower in the high dose group compared with controls. These changes were not considered to be of toxicological significance. Absolute and relative weights of the filled and empty caecum were increased in the mid and high dose groups compared with controls. These changes were statistically significant with the exception of the absolute empty caecum weight in the mid dose group. </w:t>
      </w:r>
      <w:r w:rsidR="009A5B97">
        <w:t>The study authors considered tha</w:t>
      </w:r>
      <w:r w:rsidR="005E7094">
        <w:t>t the increased</w:t>
      </w:r>
      <w:r w:rsidR="009A5B97">
        <w:t xml:space="preserve"> caecum weight</w:t>
      </w:r>
      <w:r w:rsidR="005E7094">
        <w:t>s</w:t>
      </w:r>
      <w:r w:rsidR="009A5B97">
        <w:t xml:space="preserve"> were </w:t>
      </w:r>
      <w:r w:rsidR="005E7094">
        <w:t xml:space="preserve">a physiological adaptation to the administration of large amounts of the test substance, known to occur upon consumption of poorly digestible, fermentable sugars, rather than a toxic effect. </w:t>
      </w:r>
    </w:p>
    <w:p w14:paraId="2729B254" w14:textId="1CB4C3F2" w:rsidR="00E92E8E" w:rsidRDefault="00E92E8E" w:rsidP="00D44261"/>
    <w:p w14:paraId="5DCDE1A5" w14:textId="378C2D8A" w:rsidR="00E92E8E" w:rsidRDefault="00E92E8E" w:rsidP="00D44261">
      <w:r>
        <w:t xml:space="preserve">The authors concluded that the concentrations tested in the dose-range finding study were suitable for a 13-week oral toxicity study of </w:t>
      </w:r>
      <w:r w:rsidR="0033159D">
        <w:t>2′-FL</w:t>
      </w:r>
      <w:r>
        <w:t xml:space="preserve">. </w:t>
      </w:r>
    </w:p>
    <w:p w14:paraId="7045F84B" w14:textId="672AA0FC" w:rsidR="00E92E8E" w:rsidRDefault="00E92E8E" w:rsidP="00E92E8E">
      <w:pPr>
        <w:pStyle w:val="Heading5"/>
      </w:pPr>
      <w:r>
        <w:t xml:space="preserve">13-week oral toxicity study with </w:t>
      </w:r>
      <w:r w:rsidR="0033159D">
        <w:t>2′-FL</w:t>
      </w:r>
      <w:r w:rsidRPr="003500ED">
        <w:rPr>
          <w:vertAlign w:val="subscript"/>
        </w:rPr>
        <w:t>micro</w:t>
      </w:r>
      <w:r>
        <w:t xml:space="preserve"> in juvenile rats (</w:t>
      </w:r>
      <w:r w:rsidR="00687ED2">
        <w:t>van Berlo et al. 2018</w:t>
      </w:r>
      <w:r>
        <w:t>) Regulatory status: GLP; conducted in compliance with OECD Test Guideline (TG) 408 (1998)</w:t>
      </w:r>
    </w:p>
    <w:p w14:paraId="44CA20F2" w14:textId="15C76960" w:rsidR="00F66DED" w:rsidRDefault="00F66DED" w:rsidP="00F66DED">
      <w:pPr>
        <w:rPr>
          <w:lang w:val="en-AU"/>
        </w:rPr>
      </w:pPr>
      <w:r>
        <w:t xml:space="preserve">Juvenile </w:t>
      </w:r>
      <w:r>
        <w:rPr>
          <w:lang w:val="en-AU"/>
        </w:rPr>
        <w:t xml:space="preserve">Wistar Han IGS rats (Crl:WI(Han)) (10/sex/group; aged 25 days) were administered 2′-FL </w:t>
      </w:r>
      <w:r w:rsidR="0033159D">
        <w:rPr>
          <w:lang w:val="en-AU"/>
        </w:rPr>
        <w:t xml:space="preserve">(purity 94%) </w:t>
      </w:r>
      <w:r>
        <w:rPr>
          <w:lang w:val="en-AU"/>
        </w:rPr>
        <w:t xml:space="preserve">for 90 days at concentrations of 0, 3, 6 and 10% (w/w). </w:t>
      </w:r>
      <w:r w:rsidRPr="003018B3">
        <w:rPr>
          <w:lang w:val="en-AU"/>
        </w:rPr>
        <w:t xml:space="preserve">Mean intake of </w:t>
      </w:r>
      <w:r>
        <w:rPr>
          <w:lang w:val="en-AU"/>
        </w:rPr>
        <w:t>2′</w:t>
      </w:r>
      <w:r w:rsidRPr="003018B3">
        <w:rPr>
          <w:lang w:val="en-AU"/>
        </w:rPr>
        <w:t>-FL was calculated to be 2170, 4270 and 7250 mg/kg bw/day for males and 2450, 5220 and 7760 mg/kg bw/day for females in the low, mid and high dose groups, respectively.</w:t>
      </w:r>
      <w:r w:rsidR="0033159D">
        <w:rPr>
          <w:lang w:val="en-AU"/>
        </w:rPr>
        <w:t xml:space="preserve"> </w:t>
      </w:r>
      <w:r>
        <w:rPr>
          <w:lang w:val="en-AU"/>
        </w:rPr>
        <w:t xml:space="preserve">Animal condition and behaviour were monitored twice daily with more detailed clinical observations conducted weekly. A functional observation battery and motor activity assessment was performed in all animals 12 weeks after initiation of treatment. Ophthalmological examinations were conducted on the control and high dose animals in the last week of the exposure period. Body weight was recorded weekly and food consumption was measured twice weekly. Blood samples were collected at necropsy for haematology and clinical chemistry evaluations, and urine was collected from all animals in the final week of the study. Macroscopic examination was performed at necropsy and organ </w:t>
      </w:r>
      <w:r>
        <w:rPr>
          <w:lang w:val="en-AU"/>
        </w:rPr>
        <w:lastRenderedPageBreak/>
        <w:t xml:space="preserve">weights were determined. Histopathological examination was performed on organs and tissues from animals in the control and high dose group, and from animals that died during the study. </w:t>
      </w:r>
    </w:p>
    <w:p w14:paraId="195EC420" w14:textId="77777777" w:rsidR="00F66DED" w:rsidRDefault="00F66DED" w:rsidP="00F66DED">
      <w:pPr>
        <w:rPr>
          <w:lang w:val="en-AU"/>
        </w:rPr>
      </w:pPr>
    </w:p>
    <w:p w14:paraId="6396BBCA" w14:textId="645F2EE7" w:rsidR="00F66DED" w:rsidRDefault="0033159D" w:rsidP="0033159D">
      <w:pPr>
        <w:rPr>
          <w:lang w:val="en-AU"/>
        </w:rPr>
      </w:pPr>
      <w:r>
        <w:rPr>
          <w:lang w:val="en-AU"/>
        </w:rPr>
        <w:t xml:space="preserve">No treatment </w:t>
      </w:r>
      <w:r w:rsidR="00F66DED">
        <w:rPr>
          <w:lang w:val="en-AU"/>
        </w:rPr>
        <w:t xml:space="preserve">related mortality or clinical signs were observed. One female animal in the mid dose group died in the fourth week of the study. No cause of death could be established following histopathological examination of organs and tissues from this animal. As no further deaths occurred in any dose group the mortality was not considered to be due to 2′-FL exposure. Detailed clinical observations, the functional observational battery and the motor activity assessment did not reveal any neurotoxic potential of 2′-FL. No exposure-related changes were found </w:t>
      </w:r>
      <w:r w:rsidR="00D84CC9">
        <w:rPr>
          <w:lang w:val="en-AU"/>
        </w:rPr>
        <w:t>upon</w:t>
      </w:r>
      <w:r w:rsidR="00F66DED">
        <w:rPr>
          <w:lang w:val="en-AU"/>
        </w:rPr>
        <w:t xml:space="preserve"> ophthalmological evaluation. There were no significant differences in body weights between the control and test groups throughout the course of the study. Food consumption was significantly decreased in females in the high dose group, but the reduction was slight (&lt; 10%) and body weights were not affected. No treatment</w:t>
      </w:r>
      <w:r>
        <w:rPr>
          <w:lang w:val="en-AU"/>
        </w:rPr>
        <w:t xml:space="preserve"> </w:t>
      </w:r>
      <w:r w:rsidR="00F66DED">
        <w:rPr>
          <w:lang w:val="en-AU"/>
        </w:rPr>
        <w:t>related adverse effects on haematology, clinical chemistry and urinalysis parameters were observed.</w:t>
      </w:r>
      <w:r>
        <w:rPr>
          <w:lang w:val="en-AU"/>
        </w:rPr>
        <w:t xml:space="preserve"> A </w:t>
      </w:r>
      <w:r w:rsidRPr="0033159D">
        <w:rPr>
          <w:lang w:val="en-AU"/>
        </w:rPr>
        <w:t>few slight but significant differences in</w:t>
      </w:r>
      <w:r w:rsidR="004B4381">
        <w:rPr>
          <w:lang w:val="en-AU"/>
        </w:rPr>
        <w:t xml:space="preserve"> haematology,</w:t>
      </w:r>
      <w:r w:rsidRPr="0033159D">
        <w:rPr>
          <w:lang w:val="en-AU"/>
        </w:rPr>
        <w:t xml:space="preserve"> clinical </w:t>
      </w:r>
      <w:r w:rsidR="004B4381">
        <w:rPr>
          <w:lang w:val="en-AU"/>
        </w:rPr>
        <w:t xml:space="preserve">chemistry and urinalysis </w:t>
      </w:r>
      <w:r w:rsidRPr="0033159D">
        <w:rPr>
          <w:lang w:val="en-AU"/>
        </w:rPr>
        <w:t>parameters</w:t>
      </w:r>
      <w:r>
        <w:rPr>
          <w:lang w:val="en-AU"/>
        </w:rPr>
        <w:t xml:space="preserve"> </w:t>
      </w:r>
      <w:r w:rsidRPr="0033159D">
        <w:rPr>
          <w:lang w:val="en-AU"/>
        </w:rPr>
        <w:t xml:space="preserve">were </w:t>
      </w:r>
      <w:r>
        <w:rPr>
          <w:lang w:val="en-AU"/>
        </w:rPr>
        <w:t xml:space="preserve">not </w:t>
      </w:r>
      <w:r w:rsidRPr="0033159D">
        <w:rPr>
          <w:lang w:val="en-AU"/>
        </w:rPr>
        <w:t xml:space="preserve">considered </w:t>
      </w:r>
      <w:r>
        <w:rPr>
          <w:lang w:val="en-AU"/>
        </w:rPr>
        <w:t xml:space="preserve">to be treatment related </w:t>
      </w:r>
      <w:r w:rsidRPr="0033159D">
        <w:rPr>
          <w:lang w:val="en-AU"/>
        </w:rPr>
        <w:t>because they</w:t>
      </w:r>
      <w:r>
        <w:rPr>
          <w:lang w:val="en-AU"/>
        </w:rPr>
        <w:t xml:space="preserve"> </w:t>
      </w:r>
      <w:r w:rsidRPr="0033159D">
        <w:rPr>
          <w:lang w:val="en-AU"/>
        </w:rPr>
        <w:t xml:space="preserve">were observed in one sex only, the difference </w:t>
      </w:r>
      <w:r>
        <w:rPr>
          <w:lang w:val="en-AU"/>
        </w:rPr>
        <w:t>compared with</w:t>
      </w:r>
      <w:r w:rsidRPr="0033159D">
        <w:rPr>
          <w:lang w:val="en-AU"/>
        </w:rPr>
        <w:t xml:space="preserve"> controls was small, and no changes</w:t>
      </w:r>
      <w:r>
        <w:rPr>
          <w:lang w:val="en-AU"/>
        </w:rPr>
        <w:t xml:space="preserve"> </w:t>
      </w:r>
      <w:r w:rsidRPr="0033159D">
        <w:rPr>
          <w:lang w:val="en-AU"/>
        </w:rPr>
        <w:t>were observed in any of the associated parameters investigated.</w:t>
      </w:r>
      <w:r>
        <w:rPr>
          <w:lang w:val="en-AU"/>
        </w:rPr>
        <w:t xml:space="preserve"> </w:t>
      </w:r>
      <w:r w:rsidR="00F66DED">
        <w:rPr>
          <w:lang w:val="en-AU"/>
        </w:rPr>
        <w:t xml:space="preserve">Relative liver weights were significantly increased (+8%) in high dose males, but in the absence of accompanying histopathological changes or alterations in clinical chemistry this was not considered to be an adverse effect. </w:t>
      </w:r>
      <w:r>
        <w:rPr>
          <w:lang w:val="en-AU"/>
        </w:rPr>
        <w:t>A</w:t>
      </w:r>
      <w:r w:rsidRPr="0033159D">
        <w:rPr>
          <w:lang w:val="en-AU"/>
        </w:rPr>
        <w:t>bsolute and relative weights of the filled and empty caecum were significantly</w:t>
      </w:r>
      <w:r>
        <w:rPr>
          <w:lang w:val="en-AU"/>
        </w:rPr>
        <w:t xml:space="preserve"> increased in the mid</w:t>
      </w:r>
      <w:r w:rsidRPr="0033159D">
        <w:rPr>
          <w:lang w:val="en-AU"/>
        </w:rPr>
        <w:t xml:space="preserve"> and high</w:t>
      </w:r>
      <w:r>
        <w:rPr>
          <w:lang w:val="en-AU"/>
        </w:rPr>
        <w:t xml:space="preserve"> </w:t>
      </w:r>
      <w:r w:rsidRPr="0033159D">
        <w:rPr>
          <w:lang w:val="en-AU"/>
        </w:rPr>
        <w:t>dose group</w:t>
      </w:r>
      <w:r>
        <w:rPr>
          <w:lang w:val="en-AU"/>
        </w:rPr>
        <w:t xml:space="preserve">s in both sexes, as was the absolute </w:t>
      </w:r>
      <w:r w:rsidRPr="0033159D">
        <w:rPr>
          <w:lang w:val="en-AU"/>
        </w:rPr>
        <w:t xml:space="preserve">weight of the filled caecum </w:t>
      </w:r>
      <w:r>
        <w:rPr>
          <w:lang w:val="en-AU"/>
        </w:rPr>
        <w:t xml:space="preserve">in low dose group males. </w:t>
      </w:r>
      <w:r w:rsidR="00F66DED">
        <w:rPr>
          <w:lang w:val="en-AU"/>
        </w:rPr>
        <w:t xml:space="preserve">This finding was considered to be a physiological response to consumption of the test substance, which is a non-digestible carbohydrate. No exposure-related macroscopic or microscopic histopathological changes were reported. </w:t>
      </w:r>
    </w:p>
    <w:p w14:paraId="28AF2F1E" w14:textId="77777777" w:rsidR="00F66DED" w:rsidRDefault="00F66DED" w:rsidP="00F66DED">
      <w:pPr>
        <w:rPr>
          <w:lang w:val="en-AU"/>
        </w:rPr>
      </w:pPr>
    </w:p>
    <w:p w14:paraId="3D5F8AC2" w14:textId="63AF599A" w:rsidR="00E92E8E" w:rsidRDefault="00F66DED" w:rsidP="00F66DED">
      <w:r>
        <w:rPr>
          <w:lang w:val="en-AU"/>
        </w:rPr>
        <w:t>The NOAEL of 2′-FL in this study was the highest concentration tested, corresponding to 7250 mg/kg bw/day in males and 7760 mg/kg bw/day in females.</w:t>
      </w:r>
    </w:p>
    <w:p w14:paraId="0FE2443A" w14:textId="62FABA3B" w:rsidR="004A4E7A" w:rsidRDefault="0059682A" w:rsidP="0059682A">
      <w:pPr>
        <w:pStyle w:val="Heading4"/>
        <w:rPr>
          <w:lang w:val="en-AU"/>
        </w:rPr>
      </w:pPr>
      <w:r>
        <w:t xml:space="preserve">Genotoxicity studies conducted with the </w:t>
      </w:r>
      <w:r w:rsidR="004B4381">
        <w:t>Applicant</w:t>
      </w:r>
      <w:r>
        <w:t xml:space="preserve">’s </w:t>
      </w:r>
      <w:r>
        <w:rPr>
          <w:lang w:val="en-AU"/>
        </w:rPr>
        <w:t>2′-FL</w:t>
      </w:r>
      <w:r w:rsidRPr="0059682A">
        <w:rPr>
          <w:vertAlign w:val="subscript"/>
          <w:lang w:val="en-AU"/>
        </w:rPr>
        <w:t>micro</w:t>
      </w:r>
    </w:p>
    <w:p w14:paraId="6DEA3C45" w14:textId="20808237" w:rsidR="0059682A" w:rsidRPr="000B272F" w:rsidRDefault="0059682A" w:rsidP="000B272F">
      <w:pPr>
        <w:pStyle w:val="Heading5"/>
        <w:rPr>
          <w:lang w:val="en-AU"/>
        </w:rPr>
      </w:pPr>
      <w:r>
        <w:rPr>
          <w:lang w:val="en-AU"/>
        </w:rPr>
        <w:t>Bacterial reverse mutation test with 2′-FL (</w:t>
      </w:r>
      <w:r w:rsidR="00687ED2">
        <w:t>van Berlo et al. 2018</w:t>
      </w:r>
      <w:r>
        <w:rPr>
          <w:lang w:val="en-AU"/>
        </w:rPr>
        <w:t>) Regulatory status: GLP; conducted in compliance with OECD TG 471 (1997)</w:t>
      </w:r>
    </w:p>
    <w:p w14:paraId="49C5F3D4" w14:textId="6473589C" w:rsidR="000B272F" w:rsidRDefault="000B272F" w:rsidP="000B272F">
      <w:r w:rsidRPr="000B272F">
        <w:rPr>
          <w:lang w:val="en-AU" w:eastAsia="en-AU"/>
        </w:rPr>
        <w:t xml:space="preserve">The test article was </w:t>
      </w:r>
      <w:r w:rsidRPr="000B272F">
        <w:rPr>
          <w:lang w:val="en-AU"/>
        </w:rPr>
        <w:t xml:space="preserve">2′-FL, 94% purity. </w:t>
      </w:r>
      <w:r w:rsidRPr="000B272F">
        <w:rPr>
          <w:lang w:val="en-AU" w:eastAsia="en-AU"/>
        </w:rPr>
        <w:t>The solvent and negative control article was phosphate buffered saline (PBS).</w:t>
      </w:r>
      <w:r>
        <w:rPr>
          <w:lang w:val="en-AU" w:eastAsia="en-AU"/>
        </w:rPr>
        <w:t xml:space="preserve"> Test systems for this assay were </w:t>
      </w:r>
      <w:r w:rsidRPr="00811FCC">
        <w:rPr>
          <w:i/>
          <w:lang w:val="en-AU" w:eastAsia="en-AU"/>
        </w:rPr>
        <w:t>Salmonella typhimurium</w:t>
      </w:r>
      <w:r w:rsidRPr="00811FCC">
        <w:rPr>
          <w:lang w:val="en-AU" w:eastAsia="en-AU"/>
        </w:rPr>
        <w:t xml:space="preserve"> strains </w:t>
      </w:r>
      <w:r w:rsidRPr="000B272F">
        <w:rPr>
          <w:lang w:val="en-AU" w:eastAsia="en-AU"/>
        </w:rPr>
        <w:t>TA1535, TA100, TA1537</w:t>
      </w:r>
      <w:r>
        <w:rPr>
          <w:lang w:val="en-AU" w:eastAsia="en-AU"/>
        </w:rPr>
        <w:t xml:space="preserve"> and</w:t>
      </w:r>
      <w:r w:rsidRPr="000B272F">
        <w:rPr>
          <w:lang w:val="en-AU" w:eastAsia="en-AU"/>
        </w:rPr>
        <w:t xml:space="preserve"> TA98 and </w:t>
      </w:r>
      <w:r w:rsidRPr="000B272F">
        <w:rPr>
          <w:i/>
          <w:lang w:val="en-AU" w:eastAsia="en-AU"/>
        </w:rPr>
        <w:t>Escherichia coli</w:t>
      </w:r>
      <w:r w:rsidRPr="000B272F">
        <w:rPr>
          <w:lang w:val="en-AU" w:eastAsia="en-AU"/>
        </w:rPr>
        <w:t xml:space="preserve"> strain WP2 </w:t>
      </w:r>
      <w:r w:rsidRPr="000B272F">
        <w:rPr>
          <w:i/>
          <w:lang w:val="en-AU" w:eastAsia="en-AU"/>
        </w:rPr>
        <w:t>uvr</w:t>
      </w:r>
      <w:r w:rsidRPr="000B272F">
        <w:rPr>
          <w:lang w:val="en-AU" w:eastAsia="en-AU"/>
        </w:rPr>
        <w:t>A.</w:t>
      </w:r>
      <w:r>
        <w:rPr>
          <w:lang w:val="en-AU" w:eastAsia="en-AU"/>
        </w:rPr>
        <w:t xml:space="preserve"> Positive controls in the absence of </w:t>
      </w:r>
      <w:r w:rsidRPr="000B272F">
        <w:rPr>
          <w:lang w:val="en-AU" w:eastAsia="en-AU"/>
        </w:rPr>
        <w:t xml:space="preserve">S9 mix for metabolic activation, were sodium azide for TA 1535 and TA 100, 9-aminoacridine for TA 1537, 2-nitrofluorene for TA 98 and N-ethyl-N-nitrosourea for WP2 </w:t>
      </w:r>
      <w:r w:rsidRPr="000B272F">
        <w:rPr>
          <w:i/>
          <w:lang w:val="en-AU" w:eastAsia="en-AU"/>
        </w:rPr>
        <w:t>uvrA</w:t>
      </w:r>
      <w:r w:rsidRPr="000B272F">
        <w:rPr>
          <w:lang w:val="en-AU" w:eastAsia="en-AU"/>
        </w:rPr>
        <w:t>.</w:t>
      </w:r>
      <w:r>
        <w:rPr>
          <w:lang w:val="en-AU" w:eastAsia="en-AU"/>
        </w:rPr>
        <w:t xml:space="preserve"> Positive controls in the presence of metabolic activation were benzo(a)pyrene for TA 1537 and 2-aminoanthracene for TA 1535, TA 98, TA 100 and </w:t>
      </w:r>
      <w:r w:rsidRPr="000B272F">
        <w:rPr>
          <w:i/>
          <w:lang w:val="en-AU" w:eastAsia="en-AU"/>
        </w:rPr>
        <w:t>uvrA</w:t>
      </w:r>
      <w:r w:rsidRPr="000B272F">
        <w:rPr>
          <w:lang w:val="en-AU" w:eastAsia="en-AU"/>
        </w:rPr>
        <w:t>.</w:t>
      </w:r>
      <w:r>
        <w:rPr>
          <w:lang w:val="en-AU" w:eastAsia="en-AU"/>
        </w:rPr>
        <w:t xml:space="preserve"> </w:t>
      </w:r>
      <w:r>
        <w:t xml:space="preserve">Five concentrations of the test article were tested ranging from 62 – 5000 </w:t>
      </w:r>
      <w:r>
        <w:rPr>
          <w:rFonts w:cs="Arial"/>
        </w:rPr>
        <w:t>µ</w:t>
      </w:r>
      <w:r>
        <w:t xml:space="preserve">g/plate. </w:t>
      </w:r>
      <w:r w:rsidRPr="001C6A7F">
        <w:t>All assays</w:t>
      </w:r>
      <w:r>
        <w:t xml:space="preserve"> were conducted in </w:t>
      </w:r>
      <w:r w:rsidRPr="000B272F">
        <w:t xml:space="preserve">triplicate </w:t>
      </w:r>
      <w:r>
        <w:t xml:space="preserve">using the plate incorporation method. </w:t>
      </w:r>
      <w:r w:rsidR="00C06B2F">
        <w:t xml:space="preserve">The number of revertant colonies were counted following incubation of the plates at 37 </w:t>
      </w:r>
      <w:r w:rsidR="00C06B2F">
        <w:rPr>
          <w:rFonts w:cs="Arial"/>
        </w:rPr>
        <w:t>º</w:t>
      </w:r>
      <w:r w:rsidR="00C06B2F">
        <w:t xml:space="preserve">C for 48 – 72 hours. </w:t>
      </w:r>
    </w:p>
    <w:p w14:paraId="4A27EA33" w14:textId="77777777" w:rsidR="000B272F" w:rsidRDefault="000B272F" w:rsidP="000B272F"/>
    <w:p w14:paraId="62F7EB6E" w14:textId="1C65A0D5" w:rsidR="00C06B2F" w:rsidRPr="00C06B2F" w:rsidRDefault="000B272F" w:rsidP="000B272F">
      <w:pPr>
        <w:rPr>
          <w:rFonts w:cs="Arial"/>
          <w:lang w:eastAsia="en-AU"/>
        </w:rPr>
      </w:pPr>
      <w:r w:rsidRPr="00C06B2F">
        <w:rPr>
          <w:rFonts w:cs="Arial"/>
          <w:lang w:eastAsia="en-AU"/>
        </w:rPr>
        <w:t xml:space="preserve">The test article showed no evidence of toxicity, and there was no significant increase in </w:t>
      </w:r>
      <w:r w:rsidR="00C06B2F" w:rsidRPr="00C06B2F">
        <w:rPr>
          <w:rFonts w:cs="Arial"/>
          <w:lang w:eastAsia="en-AU"/>
        </w:rPr>
        <w:t xml:space="preserve">the number of </w:t>
      </w:r>
      <w:r w:rsidRPr="00C06B2F">
        <w:rPr>
          <w:rFonts w:cs="Arial"/>
          <w:lang w:eastAsia="en-AU"/>
        </w:rPr>
        <w:t>revertant colonies</w:t>
      </w:r>
      <w:r w:rsidR="00C06B2F" w:rsidRPr="00C06B2F">
        <w:rPr>
          <w:rFonts w:cs="Arial"/>
          <w:lang w:eastAsia="en-AU"/>
        </w:rPr>
        <w:t xml:space="preserve"> following treatment with the test item</w:t>
      </w:r>
      <w:r w:rsidR="00A46EC1" w:rsidRPr="00C06B2F">
        <w:rPr>
          <w:rFonts w:cs="Arial"/>
          <w:lang w:eastAsia="en-AU"/>
        </w:rPr>
        <w:t>, with or without S9 mix</w:t>
      </w:r>
      <w:r w:rsidRPr="00C06B2F">
        <w:rPr>
          <w:rFonts w:cs="Arial"/>
          <w:lang w:eastAsia="en-AU"/>
        </w:rPr>
        <w:t xml:space="preserve">. </w:t>
      </w:r>
      <w:r w:rsidR="00C06B2F" w:rsidRPr="00C06B2F">
        <w:rPr>
          <w:rFonts w:cs="Arial"/>
          <w:lang w:eastAsia="en-AU"/>
        </w:rPr>
        <w:t xml:space="preserve">Mean numbers of revertant colonies in the negative controls </w:t>
      </w:r>
      <w:r w:rsidR="00C06B2F" w:rsidRPr="00C06B2F">
        <w:rPr>
          <w:rFonts w:cs="Arial"/>
          <w:lang w:eastAsia="en-AU"/>
        </w:rPr>
        <w:lastRenderedPageBreak/>
        <w:t xml:space="preserve">were within the laboratory’s historical control ranges. Positive controls produced significant increases in the number of </w:t>
      </w:r>
      <w:r w:rsidRPr="00C06B2F">
        <w:rPr>
          <w:rFonts w:cs="Arial"/>
          <w:lang w:eastAsia="en-AU"/>
        </w:rPr>
        <w:t xml:space="preserve">revertant colonies </w:t>
      </w:r>
      <w:r w:rsidR="00C06B2F" w:rsidRPr="00C06B2F">
        <w:rPr>
          <w:rFonts w:cs="Arial"/>
          <w:lang w:eastAsia="en-AU"/>
        </w:rPr>
        <w:t>as expected</w:t>
      </w:r>
      <w:r w:rsidRPr="00C06B2F">
        <w:rPr>
          <w:rFonts w:cs="Arial"/>
          <w:lang w:eastAsia="en-AU"/>
        </w:rPr>
        <w:t xml:space="preserve">, confirming the validity of the assays. </w:t>
      </w:r>
    </w:p>
    <w:p w14:paraId="5AFD30DC" w14:textId="77777777" w:rsidR="00C06B2F" w:rsidRDefault="00C06B2F" w:rsidP="000B272F">
      <w:pPr>
        <w:rPr>
          <w:rFonts w:cs="Arial"/>
          <w:lang w:eastAsia="en-AU"/>
        </w:rPr>
      </w:pPr>
    </w:p>
    <w:p w14:paraId="6AA0B3B7" w14:textId="541F47B3" w:rsidR="000B272F" w:rsidRDefault="000B272F" w:rsidP="00B63FF7">
      <w:pPr>
        <w:rPr>
          <w:lang w:val="en-AU" w:eastAsia="en-AU" w:bidi="ar-SA"/>
        </w:rPr>
      </w:pPr>
      <w:r w:rsidRPr="00BF55BF">
        <w:rPr>
          <w:rFonts w:cs="Arial"/>
          <w:lang w:eastAsia="en-AU"/>
        </w:rPr>
        <w:t>It was concluded that</w:t>
      </w:r>
      <w:r w:rsidR="00A46EC1">
        <w:rPr>
          <w:rFonts w:cs="Arial"/>
          <w:lang w:eastAsia="en-AU"/>
        </w:rPr>
        <w:t xml:space="preserve"> </w:t>
      </w:r>
      <w:r w:rsidR="00A46EC1" w:rsidRPr="000B272F">
        <w:rPr>
          <w:lang w:val="en-AU"/>
        </w:rPr>
        <w:t>2′-</w:t>
      </w:r>
      <w:r w:rsidR="00A46EC1">
        <w:rPr>
          <w:lang w:val="en-AU"/>
        </w:rPr>
        <w:t>F</w:t>
      </w:r>
      <w:r w:rsidR="00A46EC1" w:rsidRPr="000B272F">
        <w:rPr>
          <w:lang w:val="en-AU"/>
        </w:rPr>
        <w:t>L</w:t>
      </w:r>
      <w:r w:rsidR="00A46EC1">
        <w:rPr>
          <w:lang w:val="en-AU"/>
        </w:rPr>
        <w:t xml:space="preserve"> was not mutagenic under the conditions of this study. </w:t>
      </w:r>
    </w:p>
    <w:p w14:paraId="0C426715" w14:textId="0AAF5084" w:rsidR="00C3304D" w:rsidRDefault="00C3304D" w:rsidP="00C3304D">
      <w:pPr>
        <w:pStyle w:val="Heading5"/>
        <w:rPr>
          <w:lang w:val="en-AU" w:eastAsia="en-AU"/>
        </w:rPr>
      </w:pPr>
      <w:r>
        <w:rPr>
          <w:lang w:val="en-AU" w:eastAsia="en-AU"/>
        </w:rPr>
        <w:t>In vitro micronucleus assay in cultured human lymphocytes (</w:t>
      </w:r>
      <w:r w:rsidR="00687ED2">
        <w:t>van Berlo et al. 2018</w:t>
      </w:r>
      <w:r>
        <w:rPr>
          <w:lang w:val="en-AU" w:eastAsia="en-AU"/>
        </w:rPr>
        <w:t>) Regulatory status: GLP; conducted in compliance with OECD TG 487 (2016)</w:t>
      </w:r>
    </w:p>
    <w:p w14:paraId="16E1AB5A" w14:textId="248E0A97" w:rsidR="00C3304D" w:rsidRDefault="001B56C7" w:rsidP="001B56C7">
      <w:pPr>
        <w:rPr>
          <w:lang w:val="en-AU" w:eastAsia="en-AU" w:bidi="ar-SA"/>
        </w:rPr>
      </w:pPr>
      <w:r>
        <w:rPr>
          <w:lang w:val="en-AU" w:eastAsia="en-AU" w:bidi="ar-SA"/>
        </w:rPr>
        <w:t xml:space="preserve">The test material for this assay was </w:t>
      </w:r>
      <w:r w:rsidRPr="000B272F">
        <w:rPr>
          <w:lang w:val="en-AU"/>
        </w:rPr>
        <w:t>2′-FL</w:t>
      </w:r>
      <w:r>
        <w:rPr>
          <w:lang w:val="en-AU"/>
        </w:rPr>
        <w:t xml:space="preserve">, </w:t>
      </w:r>
      <w:r>
        <w:rPr>
          <w:lang w:val="en-AU" w:eastAsia="en-AU" w:bidi="ar-SA"/>
        </w:rPr>
        <w:t xml:space="preserve">purity 94%. The solvent and negative control was RPMI 1640 medium. </w:t>
      </w:r>
      <w:r w:rsidRPr="001B56C7">
        <w:rPr>
          <w:lang w:val="en-AU" w:eastAsia="en-AU" w:bidi="ar-SA"/>
        </w:rPr>
        <w:t xml:space="preserve">The </w:t>
      </w:r>
      <w:r w:rsidR="00BD01CA">
        <w:rPr>
          <w:lang w:val="en-AU" w:eastAsia="en-AU" w:bidi="ar-SA"/>
        </w:rPr>
        <w:t>test system was</w:t>
      </w:r>
      <w:r w:rsidRPr="001B56C7">
        <w:rPr>
          <w:lang w:val="en-AU" w:eastAsia="en-AU" w:bidi="ar-SA"/>
        </w:rPr>
        <w:t xml:space="preserve"> cultured</w:t>
      </w:r>
      <w:r>
        <w:rPr>
          <w:lang w:val="en-AU" w:eastAsia="en-AU" w:bidi="ar-SA"/>
        </w:rPr>
        <w:t xml:space="preserve"> </w:t>
      </w:r>
      <w:r w:rsidR="00FA6805">
        <w:rPr>
          <w:lang w:val="en-AU" w:eastAsia="en-AU" w:bidi="ar-SA"/>
        </w:rPr>
        <w:t xml:space="preserve">phytohaemagglutinin (PHA)-stimulated </w:t>
      </w:r>
      <w:r>
        <w:rPr>
          <w:lang w:val="en-AU" w:eastAsia="en-AU" w:bidi="ar-SA"/>
        </w:rPr>
        <w:t xml:space="preserve">peripheral human </w:t>
      </w:r>
      <w:r w:rsidRPr="001B56C7">
        <w:rPr>
          <w:lang w:val="en-AU" w:eastAsia="en-AU" w:bidi="ar-SA"/>
        </w:rPr>
        <w:t xml:space="preserve">lymphocytes obtained from </w:t>
      </w:r>
      <w:r>
        <w:rPr>
          <w:lang w:val="en-AU" w:eastAsia="en-AU" w:bidi="ar-SA"/>
        </w:rPr>
        <w:t xml:space="preserve">two </w:t>
      </w:r>
      <w:r w:rsidRPr="001B56C7">
        <w:rPr>
          <w:lang w:val="en-AU" w:eastAsia="en-AU" w:bidi="ar-SA"/>
        </w:rPr>
        <w:t>healthy, non-smoking volunteers (one</w:t>
      </w:r>
      <w:r>
        <w:rPr>
          <w:lang w:val="en-AU" w:eastAsia="en-AU" w:bidi="ar-SA"/>
        </w:rPr>
        <w:t xml:space="preserve"> </w:t>
      </w:r>
      <w:r w:rsidRPr="001B56C7">
        <w:rPr>
          <w:lang w:val="en-AU" w:eastAsia="en-AU" w:bidi="ar-SA"/>
        </w:rPr>
        <w:t xml:space="preserve">volunteer per </w:t>
      </w:r>
      <w:r w:rsidR="00BD01CA">
        <w:rPr>
          <w:lang w:val="en-AU" w:eastAsia="en-AU" w:bidi="ar-SA"/>
        </w:rPr>
        <w:t>assay</w:t>
      </w:r>
      <w:r w:rsidRPr="001B56C7">
        <w:rPr>
          <w:lang w:val="en-AU" w:eastAsia="en-AU" w:bidi="ar-SA"/>
        </w:rPr>
        <w:t>).</w:t>
      </w:r>
      <w:r>
        <w:rPr>
          <w:lang w:val="en-AU" w:eastAsia="en-AU" w:bidi="ar-SA"/>
        </w:rPr>
        <w:t xml:space="preserve"> </w:t>
      </w:r>
      <w:r w:rsidR="00FA6805">
        <w:rPr>
          <w:lang w:val="en-AU" w:eastAsia="en-AU" w:bidi="ar-SA"/>
        </w:rPr>
        <w:t>Two assays were performed</w:t>
      </w:r>
      <w:r w:rsidR="00E43B92">
        <w:rPr>
          <w:lang w:val="en-AU" w:eastAsia="en-AU" w:bidi="ar-SA"/>
        </w:rPr>
        <w:t xml:space="preserve"> in duplicate</w:t>
      </w:r>
      <w:r w:rsidR="00FA6805">
        <w:rPr>
          <w:lang w:val="en-AU" w:eastAsia="en-AU" w:bidi="ar-SA"/>
        </w:rPr>
        <w:t>. In the first, lymphocytes were treated with the test item</w:t>
      </w:r>
      <w:r w:rsidR="00E43B92">
        <w:rPr>
          <w:lang w:val="en-AU" w:eastAsia="en-AU" w:bidi="ar-SA"/>
        </w:rPr>
        <w:t xml:space="preserve"> (3.9 – 2000 </w:t>
      </w:r>
      <w:r w:rsidR="00E43B92">
        <w:rPr>
          <w:rFonts w:cs="Arial"/>
          <w:lang w:val="en-AU" w:eastAsia="en-AU" w:bidi="ar-SA"/>
        </w:rPr>
        <w:t>µ</w:t>
      </w:r>
      <w:r w:rsidR="00E43B92">
        <w:rPr>
          <w:lang w:val="en-AU" w:eastAsia="en-AU" w:bidi="ar-SA"/>
        </w:rPr>
        <w:t>g/mL based on purity)</w:t>
      </w:r>
      <w:r w:rsidR="00FA6805">
        <w:rPr>
          <w:lang w:val="en-AU" w:eastAsia="en-AU" w:bidi="ar-SA"/>
        </w:rPr>
        <w:t xml:space="preserve"> for 4 hours in the presence or absence of metabolic activation (S9 mix), then cultured for a further 20 hours in fresh medium containing cytochalasin B to prevent cell division. In the second assay, lymphocytes were treated with the test substance</w:t>
      </w:r>
      <w:r w:rsidR="00E43B92">
        <w:rPr>
          <w:lang w:val="en-AU" w:eastAsia="en-AU" w:bidi="ar-SA"/>
        </w:rPr>
        <w:t xml:space="preserve"> (15.6 – 2000 </w:t>
      </w:r>
      <w:r w:rsidR="00E43B92">
        <w:rPr>
          <w:rFonts w:cs="Arial"/>
          <w:lang w:val="en-AU" w:eastAsia="en-AU" w:bidi="ar-SA"/>
        </w:rPr>
        <w:t>µ</w:t>
      </w:r>
      <w:r w:rsidR="00E43B92">
        <w:rPr>
          <w:lang w:val="en-AU" w:eastAsia="en-AU" w:bidi="ar-SA"/>
        </w:rPr>
        <w:t>g/mL)</w:t>
      </w:r>
      <w:r w:rsidR="00FA6805">
        <w:rPr>
          <w:lang w:val="en-AU" w:eastAsia="en-AU" w:bidi="ar-SA"/>
        </w:rPr>
        <w:t xml:space="preserve"> without metabolic activation for 24 hours in the presence of cytochalasin B. </w:t>
      </w:r>
      <w:r w:rsidR="00BD01CA">
        <w:rPr>
          <w:lang w:val="en-AU" w:eastAsia="en-AU" w:bidi="ar-SA"/>
        </w:rPr>
        <w:t>C</w:t>
      </w:r>
      <w:r w:rsidR="00FA6805">
        <w:rPr>
          <w:lang w:val="en-AU" w:eastAsia="en-AU" w:bidi="ar-SA"/>
        </w:rPr>
        <w:t xml:space="preserve">yclophosphamide was used </w:t>
      </w:r>
      <w:r w:rsidR="00BD01CA">
        <w:rPr>
          <w:lang w:val="en-AU" w:eastAsia="en-AU" w:bidi="ar-SA"/>
        </w:rPr>
        <w:t>as a</w:t>
      </w:r>
      <w:r w:rsidR="00FA6805">
        <w:rPr>
          <w:lang w:val="en-AU" w:eastAsia="en-AU" w:bidi="ar-SA"/>
        </w:rPr>
        <w:t xml:space="preserve"> clastogenic positive control in the first assay in the presence of S9 to demonstrate both the activity of the S9-mix and the response of the test system. In the second assay</w:t>
      </w:r>
      <w:r w:rsidR="00E43B92">
        <w:rPr>
          <w:lang w:val="en-AU" w:eastAsia="en-AU" w:bidi="ar-SA"/>
        </w:rPr>
        <w:t xml:space="preserve"> vinblastine sulphate was used as an aneugenic positive control. At the end of the total incubation period cells were harvested and analysed for cytotoxicity (1000 per treatment) and the number of binucleated cells containing micronuclei (2000 per treatment). </w:t>
      </w:r>
    </w:p>
    <w:p w14:paraId="3FE9245B" w14:textId="1C3E737A" w:rsidR="00624255" w:rsidRDefault="00624255" w:rsidP="001B56C7">
      <w:pPr>
        <w:rPr>
          <w:lang w:val="en-AU" w:eastAsia="en-AU" w:bidi="ar-SA"/>
        </w:rPr>
      </w:pPr>
    </w:p>
    <w:p w14:paraId="22E0E318" w14:textId="389EF21B" w:rsidR="00624255" w:rsidRDefault="00624255" w:rsidP="001B56C7">
      <w:r>
        <w:rPr>
          <w:lang w:val="en-AU" w:eastAsia="en-AU" w:bidi="ar-SA"/>
        </w:rPr>
        <w:t>No significant cytotoxicity was observed in any of the cultu</w:t>
      </w:r>
      <w:r w:rsidR="00831918">
        <w:rPr>
          <w:lang w:val="en-AU" w:eastAsia="en-AU" w:bidi="ar-SA"/>
        </w:rPr>
        <w:t xml:space="preserve">res treated with the test item. Based on this finding three dose levels (500, 1000 and 2000 </w:t>
      </w:r>
      <w:r w:rsidR="00831918">
        <w:rPr>
          <w:rFonts w:cs="Arial"/>
          <w:lang w:val="en-AU" w:eastAsia="en-AU" w:bidi="ar-SA"/>
        </w:rPr>
        <w:t>µ</w:t>
      </w:r>
      <w:r w:rsidR="00831918">
        <w:rPr>
          <w:lang w:val="en-AU" w:eastAsia="en-AU" w:bidi="ar-SA"/>
        </w:rPr>
        <w:t xml:space="preserve">g/mL) were scored for micronucleus induction in binucleated cells in each of the assays, together with the solvent and positive controls. The test item </w:t>
      </w:r>
      <w:r w:rsidR="00831918">
        <w:t xml:space="preserve">did not induce a significant increase in the number of binucleated cells with micronuclei compared with negative controls in the absence or presence of metabolic activation </w:t>
      </w:r>
      <w:r w:rsidR="00BD01CA">
        <w:t>under any treatment conditions</w:t>
      </w:r>
      <w:r w:rsidR="00831918">
        <w:t xml:space="preserve">. Negative control values and values following treatment with the test item were within the laboratory’s historical negative control data ranges. The positive controls induced significant increases in the number of cells with micronuclei consistent with the laboratory’s historical positive control data, demonstrating the validity of </w:t>
      </w:r>
      <w:r w:rsidR="00BD01CA">
        <w:t xml:space="preserve">the test system. </w:t>
      </w:r>
    </w:p>
    <w:p w14:paraId="2BA15C3E" w14:textId="03C891F0" w:rsidR="00BD01CA" w:rsidRDefault="00BD01CA" w:rsidP="001B56C7"/>
    <w:p w14:paraId="409346BB" w14:textId="2975F89F" w:rsidR="00BD01CA" w:rsidRDefault="00BD01CA" w:rsidP="001B56C7">
      <w:pPr>
        <w:rPr>
          <w:lang w:val="en-AU"/>
        </w:rPr>
      </w:pPr>
      <w:r>
        <w:t xml:space="preserve">It was concluded that </w:t>
      </w:r>
      <w:r w:rsidRPr="000B272F">
        <w:rPr>
          <w:lang w:val="en-AU"/>
        </w:rPr>
        <w:t>2′-</w:t>
      </w:r>
      <w:r>
        <w:rPr>
          <w:lang w:val="en-AU"/>
        </w:rPr>
        <w:t>F</w:t>
      </w:r>
      <w:r w:rsidRPr="000B272F">
        <w:rPr>
          <w:lang w:val="en-AU"/>
        </w:rPr>
        <w:t>L</w:t>
      </w:r>
      <w:r>
        <w:rPr>
          <w:lang w:val="en-AU"/>
        </w:rPr>
        <w:t xml:space="preserve"> was not clastogenic or aneugenic under the conditions of this study. </w:t>
      </w:r>
    </w:p>
    <w:p w14:paraId="2DCFAD7A" w14:textId="1FEE930F" w:rsidR="00C63744" w:rsidRDefault="00C63744" w:rsidP="00C63744">
      <w:pPr>
        <w:pStyle w:val="Heading3"/>
        <w:rPr>
          <w:lang w:val="en-AU"/>
        </w:rPr>
      </w:pPr>
      <w:r>
        <w:rPr>
          <w:lang w:val="en-AU"/>
        </w:rPr>
        <w:t>4.2.2</w:t>
      </w:r>
      <w:r>
        <w:rPr>
          <w:lang w:val="en-AU"/>
        </w:rPr>
        <w:tab/>
        <w:t xml:space="preserve">Human studies with </w:t>
      </w:r>
      <w:r w:rsidRPr="000B272F">
        <w:rPr>
          <w:lang w:val="en-AU"/>
        </w:rPr>
        <w:t>2′-</w:t>
      </w:r>
      <w:r>
        <w:rPr>
          <w:lang w:val="en-AU"/>
        </w:rPr>
        <w:t>F</w:t>
      </w:r>
      <w:r w:rsidRPr="000B272F">
        <w:rPr>
          <w:lang w:val="en-AU"/>
        </w:rPr>
        <w:t>L</w:t>
      </w:r>
    </w:p>
    <w:p w14:paraId="48EABA86" w14:textId="36BF6BF9" w:rsidR="00B63FF7" w:rsidRDefault="00B3283B" w:rsidP="00B3283B">
      <w:pPr>
        <w:pStyle w:val="Heading5"/>
        <w:rPr>
          <w:lang w:val="en-AU"/>
        </w:rPr>
      </w:pPr>
      <w:r>
        <w:rPr>
          <w:lang w:val="en-AU" w:eastAsia="en-AU"/>
        </w:rPr>
        <w:t xml:space="preserve">Child study with </w:t>
      </w:r>
      <w:r w:rsidRPr="000B272F">
        <w:rPr>
          <w:lang w:val="en-AU"/>
        </w:rPr>
        <w:t>2′-</w:t>
      </w:r>
      <w:r>
        <w:rPr>
          <w:lang w:val="en-AU"/>
        </w:rPr>
        <w:t>F</w:t>
      </w:r>
      <w:r w:rsidRPr="000B272F">
        <w:rPr>
          <w:lang w:val="en-AU"/>
        </w:rPr>
        <w:t>L</w:t>
      </w:r>
      <w:r>
        <w:rPr>
          <w:lang w:val="en-AU"/>
        </w:rPr>
        <w:t xml:space="preserve"> alone and in combination with Lacto-N-neotetraose (LNnT) </w:t>
      </w:r>
      <w:r w:rsidRPr="00053DA8">
        <w:rPr>
          <w:lang w:val="en-AU"/>
        </w:rPr>
        <w:t>(Fonvig et al. 2021)</w:t>
      </w:r>
    </w:p>
    <w:p w14:paraId="689DF630" w14:textId="6ACAA3F4" w:rsidR="00B3283B" w:rsidRDefault="007A2A4E" w:rsidP="007A2A4E">
      <w:pPr>
        <w:rPr>
          <w:lang w:val="en-AU"/>
        </w:rPr>
      </w:pPr>
      <w:r>
        <w:rPr>
          <w:lang w:val="en-AU" w:eastAsia="en-AU" w:bidi="ar-SA"/>
        </w:rPr>
        <w:t xml:space="preserve">This paper provides details of a randomised, double-blind, placebo-controlled trial of Glycom’s </w:t>
      </w:r>
      <w:r w:rsidRPr="000B272F">
        <w:rPr>
          <w:lang w:val="en-AU"/>
        </w:rPr>
        <w:t>2′-</w:t>
      </w:r>
      <w:r>
        <w:rPr>
          <w:lang w:val="en-AU"/>
        </w:rPr>
        <w:t>F</w:t>
      </w:r>
      <w:r w:rsidRPr="000B272F">
        <w:rPr>
          <w:lang w:val="en-AU"/>
        </w:rPr>
        <w:t>L</w:t>
      </w:r>
      <w:r w:rsidRPr="007A2A4E">
        <w:rPr>
          <w:vertAlign w:val="subscript"/>
          <w:lang w:val="en-AU"/>
        </w:rPr>
        <w:t>chem</w:t>
      </w:r>
      <w:r>
        <w:t xml:space="preserve"> and LNnT</w:t>
      </w:r>
      <w:r w:rsidRPr="007A2A4E">
        <w:rPr>
          <w:vertAlign w:val="subscript"/>
        </w:rPr>
        <w:t>chem</w:t>
      </w:r>
      <w:r>
        <w:t xml:space="preserve"> involving 75 children admitted to a hospital childhood obesity program. Unpublished interim results of this study were reviewed by FSANZ as part of A1155 (</w:t>
      </w:r>
      <w:r w:rsidRPr="00B31096">
        <w:t>FSANZ 2019</w:t>
      </w:r>
      <w:r w:rsidR="00B31096">
        <w:t>a</w:t>
      </w:r>
      <w:r>
        <w:t xml:space="preserve">). Children </w:t>
      </w:r>
      <w:r w:rsidR="004761BA">
        <w:t xml:space="preserve">that were </w:t>
      </w:r>
      <w:r>
        <w:t xml:space="preserve">overweight (including obesity) aged </w:t>
      </w:r>
      <w:r w:rsidR="00BF78CB">
        <w:rPr>
          <w:rFonts w:cs="Arial"/>
        </w:rPr>
        <w:t>≥</w:t>
      </w:r>
      <w:r w:rsidR="00BF78CB">
        <w:t xml:space="preserve"> 5 – &lt; 13 </w:t>
      </w:r>
      <w:r>
        <w:t>years were randomised to receive</w:t>
      </w:r>
      <w:r>
        <w:rPr>
          <w:lang w:val="en-AU"/>
        </w:rPr>
        <w:t xml:space="preserve"> </w:t>
      </w:r>
      <w:r w:rsidRPr="007A2A4E">
        <w:rPr>
          <w:lang w:val="en-AU"/>
        </w:rPr>
        <w:t>an oral bolus dose of 4.5 g placebo (glucose), 2′-FL or a 4:1</w:t>
      </w:r>
      <w:r>
        <w:rPr>
          <w:lang w:val="en-AU"/>
        </w:rPr>
        <w:t xml:space="preserve"> </w:t>
      </w:r>
      <w:r w:rsidRPr="007A2A4E">
        <w:rPr>
          <w:lang w:val="en-AU"/>
        </w:rPr>
        <w:t>mixture</w:t>
      </w:r>
      <w:r>
        <w:rPr>
          <w:lang w:val="en-AU"/>
        </w:rPr>
        <w:t xml:space="preserve"> </w:t>
      </w:r>
      <w:r w:rsidRPr="007A2A4E">
        <w:rPr>
          <w:lang w:val="en-AU"/>
        </w:rPr>
        <w:t xml:space="preserve">of 2′-FL and LNnT once daily for 8 </w:t>
      </w:r>
      <w:r w:rsidRPr="007A2A4E">
        <w:rPr>
          <w:lang w:val="en-AU"/>
        </w:rPr>
        <w:lastRenderedPageBreak/>
        <w:t>weeks</w:t>
      </w:r>
      <w:r>
        <w:rPr>
          <w:lang w:val="en-AU"/>
        </w:rPr>
        <w:t xml:space="preserve">. The primary endpoint was the change in faecal bifidobacteria in the intervention compared to placebo from baseline to the end of the intervention. In addition, safety was assessed by clinical evaluation of haematology and clinical chemistry parameters, </w:t>
      </w:r>
      <w:r w:rsidR="00094E5F">
        <w:rPr>
          <w:lang w:val="en-AU"/>
        </w:rPr>
        <w:t xml:space="preserve">exploratory blood </w:t>
      </w:r>
      <w:r w:rsidR="001908F5">
        <w:rPr>
          <w:lang w:val="en-AU"/>
        </w:rPr>
        <w:t xml:space="preserve">biomarkers of gut barrier function and inflammation as well as faecal calprotectin. The incidence of adverse events was also considered, as well as gastrointestinal symptoms and bowel habits. </w:t>
      </w:r>
    </w:p>
    <w:p w14:paraId="125C3772" w14:textId="60A024F8" w:rsidR="001908F5" w:rsidRDefault="001908F5" w:rsidP="007A2A4E">
      <w:pPr>
        <w:rPr>
          <w:lang w:val="en-AU"/>
        </w:rPr>
      </w:pPr>
    </w:p>
    <w:p w14:paraId="7AB73946" w14:textId="6F775416" w:rsidR="001908F5" w:rsidRDefault="00094E5F" w:rsidP="007A2A4E">
      <w:pPr>
        <w:rPr>
          <w:lang w:val="en-AU" w:eastAsia="en-AU" w:bidi="ar-SA"/>
        </w:rPr>
      </w:pPr>
      <w:r>
        <w:rPr>
          <w:lang w:val="en-AU" w:eastAsia="en-AU" w:bidi="ar-SA"/>
        </w:rPr>
        <w:t xml:space="preserve">Data newly available in the present report consisted of measures of faecal calprotectin at week 8 and biomarkers of gut barrier function and inflammation at baseline and the end of the intervention. No significant differences in these parameters were observed between groups at baseline and measures were generally unchanged at the end of the study. </w:t>
      </w:r>
    </w:p>
    <w:p w14:paraId="4FE1B9A4" w14:textId="65064B44" w:rsidR="00094E5F" w:rsidRDefault="00094E5F" w:rsidP="007A2A4E">
      <w:pPr>
        <w:rPr>
          <w:lang w:val="en-AU" w:eastAsia="en-AU" w:bidi="ar-SA"/>
        </w:rPr>
      </w:pPr>
    </w:p>
    <w:p w14:paraId="3D826484" w14:textId="5F95ACCB" w:rsidR="00094E5F" w:rsidRDefault="00094E5F" w:rsidP="00094E5F">
      <w:pPr>
        <w:rPr>
          <w:lang w:val="en-AU" w:eastAsia="en-AU" w:bidi="ar-SA"/>
        </w:rPr>
      </w:pPr>
      <w:r>
        <w:rPr>
          <w:lang w:val="en-AU" w:eastAsia="en-AU" w:bidi="ar-SA"/>
        </w:rPr>
        <w:t xml:space="preserve">The additional results presented in this paper do not indicate a need to revise FSANZ’s previous conclusion that </w:t>
      </w:r>
      <w:r w:rsidRPr="00094E5F">
        <w:rPr>
          <w:lang w:val="en-AU" w:eastAsia="en-AU" w:bidi="ar-SA"/>
        </w:rPr>
        <w:t>a daily dose of</w:t>
      </w:r>
      <w:r>
        <w:rPr>
          <w:lang w:val="en-AU" w:eastAsia="en-AU" w:bidi="ar-SA"/>
        </w:rPr>
        <w:t xml:space="preserve"> </w:t>
      </w:r>
      <w:r w:rsidRPr="00094E5F">
        <w:rPr>
          <w:lang w:val="en-AU" w:eastAsia="en-AU" w:bidi="ar-SA"/>
        </w:rPr>
        <w:t>4.5 g 2′-FL or a 4:1 mixture of 2′-FL and LNnT was well tolerated</w:t>
      </w:r>
      <w:r>
        <w:rPr>
          <w:lang w:val="en-AU" w:eastAsia="en-AU" w:bidi="ar-SA"/>
        </w:rPr>
        <w:t xml:space="preserve"> by overweight children</w:t>
      </w:r>
      <w:r w:rsidR="00BF78CB">
        <w:rPr>
          <w:lang w:val="en-AU" w:eastAsia="en-AU" w:bidi="ar-SA"/>
        </w:rPr>
        <w:t xml:space="preserve"> aged 5 – 12 years</w:t>
      </w:r>
      <w:r>
        <w:rPr>
          <w:lang w:val="en-AU" w:eastAsia="en-AU" w:bidi="ar-SA"/>
        </w:rPr>
        <w:t xml:space="preserve">. </w:t>
      </w:r>
    </w:p>
    <w:p w14:paraId="0C12D49F" w14:textId="065E24CA" w:rsidR="00A910E7" w:rsidRDefault="00A910E7" w:rsidP="00A910E7">
      <w:pPr>
        <w:pStyle w:val="Heading3"/>
        <w:rPr>
          <w:lang w:val="en-AU"/>
        </w:rPr>
      </w:pPr>
      <w:r>
        <w:rPr>
          <w:lang w:val="en-AU"/>
        </w:rPr>
        <w:t>4.2.3</w:t>
      </w:r>
      <w:r>
        <w:rPr>
          <w:lang w:val="en-AU"/>
        </w:rPr>
        <w:tab/>
        <w:t>Allergenicity and intolerance</w:t>
      </w:r>
    </w:p>
    <w:p w14:paraId="64B61E64" w14:textId="411447FA" w:rsidR="00A910E7" w:rsidRDefault="007F109C" w:rsidP="00094E5F">
      <w:r>
        <w:t xml:space="preserve">The specification for the </w:t>
      </w:r>
      <w:r w:rsidRPr="00094E5F">
        <w:rPr>
          <w:lang w:val="en-AU" w:eastAsia="en-AU" w:bidi="ar-SA"/>
        </w:rPr>
        <w:t>2′-FL</w:t>
      </w:r>
      <w:r>
        <w:rPr>
          <w:lang w:val="en-AU" w:eastAsia="en-AU" w:bidi="ar-SA"/>
        </w:rPr>
        <w:t xml:space="preserve"> ingredient indicates that residual proteins must be</w:t>
      </w:r>
      <w:r w:rsidR="00194A26">
        <w:rPr>
          <w:lang w:val="en-AU" w:eastAsia="en-AU" w:bidi="ar-SA"/>
        </w:rPr>
        <w:t xml:space="preserve"> below the limit of quantification of</w:t>
      </w:r>
      <w:r>
        <w:rPr>
          <w:lang w:val="en-AU" w:eastAsia="en-AU" w:bidi="ar-SA"/>
        </w:rPr>
        <w:t xml:space="preserve"> </w:t>
      </w:r>
      <w:r>
        <w:rPr>
          <w:rFonts w:cs="Arial"/>
          <w:lang w:val="en-AU" w:eastAsia="en-AU" w:bidi="ar-SA"/>
        </w:rPr>
        <w:t>≤</w:t>
      </w:r>
      <w:r>
        <w:rPr>
          <w:lang w:val="en-AU" w:eastAsia="en-AU" w:bidi="ar-SA"/>
        </w:rPr>
        <w:t xml:space="preserve"> 0.01% (</w:t>
      </w:r>
      <w:r w:rsidR="00FF560A" w:rsidRPr="00FF560A">
        <w:rPr>
          <w:lang w:val="en-AU" w:eastAsia="en-AU" w:bidi="ar-SA"/>
        </w:rPr>
        <w:t>Table 2</w:t>
      </w:r>
      <w:r w:rsidR="00A54291">
        <w:rPr>
          <w:lang w:val="en-AU" w:eastAsia="en-AU" w:bidi="ar-SA"/>
        </w:rPr>
        <w:t>.3</w:t>
      </w:r>
      <w:r w:rsidR="00FF560A">
        <w:rPr>
          <w:lang w:val="en-AU" w:eastAsia="en-AU" w:bidi="ar-SA"/>
        </w:rPr>
        <w:t>)</w:t>
      </w:r>
      <w:r>
        <w:rPr>
          <w:lang w:val="en-AU" w:eastAsia="en-AU" w:bidi="ar-SA"/>
        </w:rPr>
        <w:t xml:space="preserve">, and analysis of 5 non-consecutive lots confirmed that this specification is met. </w:t>
      </w:r>
      <w:r>
        <w:t>On this basis, 2′-FL is unlikely to pose an allergenicity concern. Consistent with this conclusion, a study by Nowak-Wegrzyn et al. (</w:t>
      </w:r>
      <w:r w:rsidRPr="0018382B">
        <w:t>2019</w:t>
      </w:r>
      <w:r>
        <w:t xml:space="preserve">), reviewed as part of the </w:t>
      </w:r>
      <w:hyperlink r:id="rId34" w:history="1">
        <w:r w:rsidRPr="007F109C">
          <w:rPr>
            <w:rStyle w:val="Hyperlink"/>
          </w:rPr>
          <w:t>A1155 Review</w:t>
        </w:r>
      </w:hyperlink>
      <w:r>
        <w:t>, found infant formula containing 1.0 g/L 2′-FL (source unspecified) was hypoallergenic in infants with cow’s milk protein allergy.</w:t>
      </w:r>
    </w:p>
    <w:p w14:paraId="0199DEDB" w14:textId="4D95594E" w:rsidR="007F109C" w:rsidRDefault="007F109C" w:rsidP="00094E5F"/>
    <w:p w14:paraId="758FF4FA" w14:textId="550AAC8E" w:rsidR="007F109C" w:rsidRDefault="007F109C" w:rsidP="00094E5F">
      <w:r>
        <w:t xml:space="preserve">The specification for the </w:t>
      </w:r>
      <w:r w:rsidR="004B4381">
        <w:t>Applicant</w:t>
      </w:r>
      <w:r w:rsidR="00FF560A">
        <w:t>’</w:t>
      </w:r>
      <w:r>
        <w:t>s 2′-FL</w:t>
      </w:r>
      <w:r w:rsidR="00A54291">
        <w:t xml:space="preserve"> ingredient</w:t>
      </w:r>
      <w:r>
        <w:t xml:space="preserve"> indicates it may contain residual lactose, at a concentration of up to 3%</w:t>
      </w:r>
      <w:r w:rsidR="005D3029">
        <w:t>, while the EU specification proposed for use specifies lactose at up to 10%</w:t>
      </w:r>
      <w:r>
        <w:t xml:space="preserve"> (</w:t>
      </w:r>
      <w:r w:rsidRPr="00FF560A">
        <w:t xml:space="preserve">Table </w:t>
      </w:r>
      <w:r w:rsidR="00FF560A" w:rsidRPr="00FF560A">
        <w:t>2</w:t>
      </w:r>
      <w:r w:rsidR="00A54291">
        <w:t>.3</w:t>
      </w:r>
      <w:r>
        <w:t>). Batch analysis found lactose was present at lower levels than this (0.5 – 1.1%). Lactose may also be produced from 2′-FL in the gastrointestinal tract, and is the main carbohydrate present in human and mammalian milk.</w:t>
      </w:r>
    </w:p>
    <w:p w14:paraId="7B8FB78C" w14:textId="73640285" w:rsidR="00FA1069" w:rsidRDefault="00FA1069" w:rsidP="00FA1069">
      <w:pPr>
        <w:pStyle w:val="Heading3"/>
      </w:pPr>
      <w:r>
        <w:t>4.2.4</w:t>
      </w:r>
      <w:r>
        <w:tab/>
        <w:t>Assessments by other regulatory agencies</w:t>
      </w:r>
    </w:p>
    <w:p w14:paraId="5EC1AF09" w14:textId="25924B18" w:rsidR="00FA1069" w:rsidRDefault="00FA1069" w:rsidP="00FA1069">
      <w:r>
        <w:t>As noted in the assessment</w:t>
      </w:r>
      <w:r w:rsidR="00C758F9">
        <w:t>s</w:t>
      </w:r>
      <w:r>
        <w:t xml:space="preserve"> of A1155 and A1190, the European Food Safety Authority (EFSA) assessed 2′-FL</w:t>
      </w:r>
      <w:r w:rsidRPr="00FA1069">
        <w:rPr>
          <w:vertAlign w:val="subscript"/>
        </w:rPr>
        <w:t>chem</w:t>
      </w:r>
      <w:r>
        <w:t xml:space="preserve"> produced by Glycom as a novel food ingredient in 2015, and concluded it was safe for use alone or in combination with LNnT when added to infant formula, follow-on formula and young-child formula at concentrations up to 1.2 g/L 2′-FL and 0.6 g/L LNnT at a ratio of 2:1 (EFSA 2015). </w:t>
      </w:r>
      <w:r w:rsidR="00AA2F27">
        <w:t>Subsequent to EFSA’s assessment, a substantial equivalence notification by Glycom for its 2′-FL</w:t>
      </w:r>
      <w:r w:rsidR="00AA2F27" w:rsidRPr="00AA2F27">
        <w:rPr>
          <w:vertAlign w:val="subscript"/>
        </w:rPr>
        <w:t>micro</w:t>
      </w:r>
      <w:r w:rsidR="00AA2F27">
        <w:t xml:space="preserve"> was supported by an assessment by the Food Safety Authority of Ireland (FSAI</w:t>
      </w:r>
      <w:r w:rsidR="00D83630">
        <w:t xml:space="preserve"> 20</w:t>
      </w:r>
      <w:r w:rsidR="00AA2F27">
        <w:t xml:space="preserve">16), and a </w:t>
      </w:r>
      <w:r w:rsidR="00E927DD">
        <w:t>2′-FL</w:t>
      </w:r>
      <w:r w:rsidR="00AA2F27" w:rsidRPr="00AA2F27">
        <w:rPr>
          <w:vertAlign w:val="subscript"/>
        </w:rPr>
        <w:t>micro</w:t>
      </w:r>
      <w:r w:rsidR="00AA2F27">
        <w:t xml:space="preserve"> preparation from Chr. Hansen was authorised in 2017 following an evaluation by </w:t>
      </w:r>
      <w:r w:rsidR="00D83630">
        <w:t>t</w:t>
      </w:r>
      <w:r w:rsidR="00D83630" w:rsidRPr="00D83630">
        <w:t xml:space="preserve">he Netherlands Committee on Safety </w:t>
      </w:r>
      <w:r w:rsidR="00D83630">
        <w:t>A</w:t>
      </w:r>
      <w:r w:rsidR="00D83630" w:rsidRPr="00D83630">
        <w:t>ssessment of Novel Foods</w:t>
      </w:r>
      <w:r w:rsidR="00D83630">
        <w:t xml:space="preserve"> (NFU 2016).</w:t>
      </w:r>
    </w:p>
    <w:p w14:paraId="380B1F6F" w14:textId="18E490D8" w:rsidR="00D83630" w:rsidRDefault="00D83630" w:rsidP="00FA1069"/>
    <w:p w14:paraId="139576C7" w14:textId="121A5900" w:rsidR="00D83630" w:rsidRDefault="00D83630" w:rsidP="00D83630">
      <w:r>
        <w:t>The Novel Foods Unit</w:t>
      </w:r>
      <w:r w:rsidR="00D02E6B">
        <w:t xml:space="preserve"> (NFU)</w:t>
      </w:r>
      <w:r>
        <w:t xml:space="preserve"> of the Netherlands completed an evaluation of 2′-FL</w:t>
      </w:r>
      <w:r w:rsidRPr="00D83630">
        <w:rPr>
          <w:vertAlign w:val="subscript"/>
        </w:rPr>
        <w:t>micro</w:t>
      </w:r>
      <w:r>
        <w:t xml:space="preserve"> produced by the </w:t>
      </w:r>
      <w:r w:rsidR="004B4381">
        <w:t>Applicant</w:t>
      </w:r>
      <w:r>
        <w:t xml:space="preserve"> in 2017. The NFU concluded that FrieslandCampina’s </w:t>
      </w:r>
      <w:r w:rsidR="00E927DD">
        <w:t>2′-FL</w:t>
      </w:r>
      <w:r w:rsidRPr="00D83630">
        <w:rPr>
          <w:vertAlign w:val="subscript"/>
        </w:rPr>
        <w:t>micro</w:t>
      </w:r>
      <w:r>
        <w:t xml:space="preserve"> is substantially equivalent to the </w:t>
      </w:r>
      <w:r w:rsidR="00E927DD">
        <w:t>2′-FL</w:t>
      </w:r>
      <w:r>
        <w:t xml:space="preserve"> products that had already been authorised for use in the EU. </w:t>
      </w:r>
    </w:p>
    <w:p w14:paraId="5FD0DFE7" w14:textId="330905F7" w:rsidR="00FE5B93" w:rsidRDefault="00FE5B93" w:rsidP="00D83630"/>
    <w:p w14:paraId="3243EE17" w14:textId="245AB9D1" w:rsidR="00FA1069" w:rsidRDefault="00FE5B93" w:rsidP="00FA1069">
      <w:pPr>
        <w:rPr>
          <w:lang w:val="en-AU" w:eastAsia="en-AU" w:bidi="ar-SA"/>
        </w:rPr>
      </w:pPr>
      <w:r>
        <w:t xml:space="preserve">The US Food and Drug Administration (FDA) has responded with ‘no questions’ to </w:t>
      </w:r>
      <w:r>
        <w:lastRenderedPageBreak/>
        <w:t xml:space="preserve">the </w:t>
      </w:r>
      <w:r w:rsidR="004B4381">
        <w:t>Applicant</w:t>
      </w:r>
      <w:r>
        <w:t>’s self-assessment that its 2′-FL</w:t>
      </w:r>
      <w:r w:rsidRPr="00FE5B93">
        <w:rPr>
          <w:vertAlign w:val="subscript"/>
        </w:rPr>
        <w:t>micro</w:t>
      </w:r>
      <w:r>
        <w:t xml:space="preserve"> is Generally Recognized as Safe (GRAS) for use in infant formula and toddler formula at a maximum level of 2.4 g/L as consumed</w:t>
      </w:r>
      <w:r>
        <w:rPr>
          <w:rStyle w:val="FootnoteReference"/>
        </w:rPr>
        <w:footnoteReference w:id="5"/>
      </w:r>
      <w:r>
        <w:t xml:space="preserve">. </w:t>
      </w:r>
    </w:p>
    <w:p w14:paraId="0489227D" w14:textId="77777777" w:rsidR="00B63FF7" w:rsidRDefault="00B63FF7" w:rsidP="00BC1C5A">
      <w:pPr>
        <w:pStyle w:val="Heading2"/>
      </w:pPr>
      <w:bookmarkStart w:id="183" w:name="_Toc70675690"/>
      <w:bookmarkStart w:id="184" w:name="_Toc70675783"/>
      <w:bookmarkStart w:id="185" w:name="_Toc72480622"/>
      <w:bookmarkStart w:id="186" w:name="_Toc86413197"/>
      <w:bookmarkStart w:id="187" w:name="_Toc86914427"/>
      <w:bookmarkStart w:id="188" w:name="_Toc89242943"/>
      <w:r>
        <w:t>4.3</w:t>
      </w:r>
      <w:r>
        <w:tab/>
        <w:t>Key findings of the toxicology assessment</w:t>
      </w:r>
      <w:bookmarkEnd w:id="183"/>
      <w:bookmarkEnd w:id="184"/>
      <w:bookmarkEnd w:id="185"/>
      <w:bookmarkEnd w:id="186"/>
      <w:bookmarkEnd w:id="187"/>
      <w:bookmarkEnd w:id="188"/>
    </w:p>
    <w:p w14:paraId="5BB3A2C2" w14:textId="232A1D4F" w:rsidR="00B63FF7" w:rsidRDefault="00C77181" w:rsidP="00C77181">
      <w:pPr>
        <w:rPr>
          <w:lang w:val="en-AU"/>
        </w:rPr>
      </w:pPr>
      <w:r w:rsidRPr="00C77181">
        <w:rPr>
          <w:lang w:val="en-AU"/>
        </w:rPr>
        <w:t xml:space="preserve">2′-FL has previously been assessed by </w:t>
      </w:r>
      <w:r>
        <w:rPr>
          <w:lang w:val="en-AU"/>
        </w:rPr>
        <w:t>FSANZ (FSANZ 2019</w:t>
      </w:r>
      <w:r w:rsidR="00782206">
        <w:rPr>
          <w:lang w:val="en-AU"/>
        </w:rPr>
        <w:t>a; FSANZ 2019b; FSANZ 2020;</w:t>
      </w:r>
      <w:r>
        <w:rPr>
          <w:lang w:val="en-AU"/>
        </w:rPr>
        <w:t xml:space="preserve"> FSANZ 2021</w:t>
      </w:r>
      <w:r w:rsidRPr="00C77181">
        <w:rPr>
          <w:lang w:val="en-AU"/>
        </w:rPr>
        <w:t xml:space="preserve">). Data on 2′-FL produced from a variety of sources, including the </w:t>
      </w:r>
      <w:r w:rsidR="004B4381">
        <w:rPr>
          <w:lang w:val="en-AU"/>
        </w:rPr>
        <w:t>Applicant</w:t>
      </w:r>
      <w:r w:rsidRPr="00C77181">
        <w:rPr>
          <w:lang w:val="en-AU"/>
        </w:rPr>
        <w:t>’s 2′-FL</w:t>
      </w:r>
      <w:r w:rsidRPr="00C77181">
        <w:rPr>
          <w:vertAlign w:val="subscript"/>
          <w:lang w:val="en-AU"/>
        </w:rPr>
        <w:t>micro</w:t>
      </w:r>
      <w:r w:rsidRPr="00C77181">
        <w:rPr>
          <w:lang w:val="en-AU"/>
        </w:rPr>
        <w:t>, were considered</w:t>
      </w:r>
      <w:r>
        <w:rPr>
          <w:lang w:val="en-AU"/>
        </w:rPr>
        <w:t xml:space="preserve"> </w:t>
      </w:r>
      <w:r w:rsidRPr="00C77181">
        <w:rPr>
          <w:lang w:val="en-AU"/>
        </w:rPr>
        <w:t>as part of the</w:t>
      </w:r>
      <w:r w:rsidR="00386EF0">
        <w:rPr>
          <w:lang w:val="en-AU"/>
        </w:rPr>
        <w:t>se</w:t>
      </w:r>
      <w:r w:rsidRPr="00C77181">
        <w:rPr>
          <w:lang w:val="en-AU"/>
        </w:rPr>
        <w:t xml:space="preserve"> evaluation</w:t>
      </w:r>
      <w:r w:rsidR="00386EF0">
        <w:rPr>
          <w:lang w:val="en-AU"/>
        </w:rPr>
        <w:t>s</w:t>
      </w:r>
      <w:r w:rsidRPr="00C77181">
        <w:rPr>
          <w:lang w:val="en-AU"/>
        </w:rPr>
        <w:t>. The</w:t>
      </w:r>
      <w:r>
        <w:rPr>
          <w:lang w:val="en-AU"/>
        </w:rPr>
        <w:t>se</w:t>
      </w:r>
      <w:r w:rsidRPr="00C77181">
        <w:rPr>
          <w:lang w:val="en-AU"/>
        </w:rPr>
        <w:t xml:space="preserve"> assessment</w:t>
      </w:r>
      <w:r>
        <w:rPr>
          <w:lang w:val="en-AU"/>
        </w:rPr>
        <w:t>s</w:t>
      </w:r>
      <w:r w:rsidRPr="00C77181">
        <w:rPr>
          <w:lang w:val="en-AU"/>
        </w:rPr>
        <w:t xml:space="preserve"> concluded that there </w:t>
      </w:r>
      <w:r>
        <w:rPr>
          <w:lang w:val="en-AU"/>
        </w:rPr>
        <w:t>are</w:t>
      </w:r>
      <w:r w:rsidRPr="00C77181">
        <w:rPr>
          <w:lang w:val="en-AU"/>
        </w:rPr>
        <w:t xml:space="preserve"> no safety concerns</w:t>
      </w:r>
      <w:r>
        <w:rPr>
          <w:lang w:val="en-AU"/>
        </w:rPr>
        <w:t xml:space="preserve"> </w:t>
      </w:r>
      <w:r w:rsidRPr="00C77181">
        <w:rPr>
          <w:lang w:val="en-AU"/>
        </w:rPr>
        <w:t>associated with the addition of 2′-FL to IFP at concentrations up to 2.4 g/L.</w:t>
      </w:r>
      <w:r>
        <w:rPr>
          <w:lang w:val="en-AU"/>
        </w:rPr>
        <w:t xml:space="preserve"> </w:t>
      </w:r>
    </w:p>
    <w:p w14:paraId="2C812208" w14:textId="4E93C364" w:rsidR="00386EF0" w:rsidRDefault="00386EF0" w:rsidP="00C77181">
      <w:pPr>
        <w:rPr>
          <w:lang w:val="en-AU"/>
        </w:rPr>
      </w:pPr>
    </w:p>
    <w:p w14:paraId="600C6403" w14:textId="6E711483" w:rsidR="00194A26" w:rsidRDefault="00386EF0" w:rsidP="00C77181">
      <w:pPr>
        <w:rPr>
          <w:lang w:val="en-AU"/>
        </w:rPr>
      </w:pPr>
      <w:r>
        <w:rPr>
          <w:lang w:val="en-AU"/>
        </w:rPr>
        <w:t xml:space="preserve">Information newly available to FSANZ since its previous assessments does not indicate a need to amend this conclusion. The full study reports of the </w:t>
      </w:r>
      <w:r w:rsidRPr="00386EF0">
        <w:rPr>
          <w:i/>
          <w:lang w:val="en-AU"/>
        </w:rPr>
        <w:t>in vitro</w:t>
      </w:r>
      <w:r>
        <w:rPr>
          <w:lang w:val="en-AU"/>
        </w:rPr>
        <w:t xml:space="preserve"> genotoxicity assays and 90-day oral toxicity study in juvenile rats confirm that the </w:t>
      </w:r>
      <w:r w:rsidR="004B4381">
        <w:rPr>
          <w:lang w:val="en-AU"/>
        </w:rPr>
        <w:t>Applicant</w:t>
      </w:r>
      <w:r>
        <w:rPr>
          <w:lang w:val="en-AU"/>
        </w:rPr>
        <w:t xml:space="preserve">’s </w:t>
      </w:r>
      <w:r w:rsidRPr="00C77181">
        <w:rPr>
          <w:lang w:val="en-AU"/>
        </w:rPr>
        <w:t>2′-FL</w:t>
      </w:r>
      <w:r w:rsidRPr="00386EF0">
        <w:rPr>
          <w:vertAlign w:val="subscript"/>
          <w:lang w:val="en-AU"/>
        </w:rPr>
        <w:t>micro</w:t>
      </w:r>
      <w:r>
        <w:rPr>
          <w:lang w:val="en-AU"/>
        </w:rPr>
        <w:t xml:space="preserve"> is not genotoxic and did not result in adverse effects following dietary exposure at doses up to 7250 mg/kg bw/day in males and 7760 mg/kg bw/day in females</w:t>
      </w:r>
      <w:r w:rsidR="00194A26">
        <w:rPr>
          <w:lang w:val="en-AU"/>
        </w:rPr>
        <w:t xml:space="preserve">. Additional information on a study in overweight children aged 5 – 12 years previously considered by FSANZ also confirmed that a daily oral dose of </w:t>
      </w:r>
      <w:r w:rsidR="00194A26" w:rsidRPr="00C77181">
        <w:rPr>
          <w:lang w:val="en-AU"/>
        </w:rPr>
        <w:t>2′-FL</w:t>
      </w:r>
      <w:r w:rsidR="00194A26">
        <w:rPr>
          <w:lang w:val="en-AU"/>
        </w:rPr>
        <w:t xml:space="preserve"> (4.5 g/day) was well tolerated. </w:t>
      </w:r>
    </w:p>
    <w:p w14:paraId="681BE87A" w14:textId="53174796" w:rsidR="00194A26" w:rsidRDefault="00194A26" w:rsidP="00C77181">
      <w:pPr>
        <w:rPr>
          <w:lang w:val="en-AU"/>
        </w:rPr>
      </w:pPr>
    </w:p>
    <w:p w14:paraId="3F223A9B" w14:textId="14D132D8" w:rsidR="00194A26" w:rsidRDefault="00194A26" w:rsidP="00C77181">
      <w:r>
        <w:t>2′-FL</w:t>
      </w:r>
      <w:r w:rsidRPr="00194A26">
        <w:rPr>
          <w:vertAlign w:val="subscript"/>
        </w:rPr>
        <w:t>micro</w:t>
      </w:r>
      <w:r>
        <w:t xml:space="preserve"> does not contain detectable proteins and is therefore unlikely to pose an allergenicity concern. A double blind, placebo controlled food challenge study previously reviewed by FSANZ demonstrated that infant formula containing 2′-FL was hypoallergenic in children with cow’s milk protein allergy, consistent with this conclusion.</w:t>
      </w:r>
    </w:p>
    <w:p w14:paraId="38984EFA" w14:textId="156B55F9" w:rsidR="00194A26" w:rsidRDefault="00194A26" w:rsidP="00C77181"/>
    <w:p w14:paraId="786D14B9" w14:textId="77777777" w:rsidR="00194A26" w:rsidRPr="00194A26" w:rsidRDefault="00194A26" w:rsidP="00194A26">
      <w:pPr>
        <w:rPr>
          <w:lang w:val="en-AU"/>
        </w:rPr>
      </w:pPr>
      <w:r w:rsidRPr="00194A26">
        <w:rPr>
          <w:lang w:val="en-AU"/>
        </w:rPr>
        <w:t>Based on the available toxicological and clinical evidence, and taking into account that the</w:t>
      </w:r>
    </w:p>
    <w:p w14:paraId="0BC0EE21" w14:textId="77777777" w:rsidR="00194A26" w:rsidRPr="00194A26" w:rsidRDefault="00194A26" w:rsidP="00194A26">
      <w:pPr>
        <w:rPr>
          <w:lang w:val="en-AU"/>
        </w:rPr>
      </w:pPr>
      <w:r w:rsidRPr="00194A26">
        <w:rPr>
          <w:lang w:val="en-AU"/>
        </w:rPr>
        <w:t>proposed maximum concentration of 2′-FL</w:t>
      </w:r>
      <w:r w:rsidRPr="00194A26">
        <w:rPr>
          <w:vertAlign w:val="subscript"/>
          <w:lang w:val="en-AU"/>
        </w:rPr>
        <w:t>micro</w:t>
      </w:r>
      <w:r w:rsidRPr="00194A26">
        <w:rPr>
          <w:lang w:val="en-AU"/>
        </w:rPr>
        <w:t xml:space="preserve"> (2.4 g/L) is within the range of naturally</w:t>
      </w:r>
    </w:p>
    <w:p w14:paraId="037C1147" w14:textId="77777777" w:rsidR="00194A26" w:rsidRPr="00194A26" w:rsidRDefault="00194A26" w:rsidP="00194A26">
      <w:pPr>
        <w:rPr>
          <w:lang w:val="en-AU"/>
        </w:rPr>
      </w:pPr>
      <w:r w:rsidRPr="00194A26">
        <w:rPr>
          <w:lang w:val="en-AU"/>
        </w:rPr>
        <w:t>occurring levels in human milk from the majority of women (0.6 – 7.8 g/L), there are no safety</w:t>
      </w:r>
    </w:p>
    <w:p w14:paraId="3FDD100A" w14:textId="4B598042" w:rsidR="00B63FF7" w:rsidRDefault="00194A26" w:rsidP="00B63FF7">
      <w:pPr>
        <w:rPr>
          <w:lang w:val="en-AU"/>
        </w:rPr>
      </w:pPr>
      <w:r w:rsidRPr="00194A26">
        <w:rPr>
          <w:lang w:val="en-AU"/>
        </w:rPr>
        <w:t>concerns associated with the addition of 2′-FL to IFP at concentrations up to 2.4g/L 2′-FL.</w:t>
      </w:r>
      <w:r>
        <w:rPr>
          <w:lang w:val="en-AU"/>
        </w:rPr>
        <w:t xml:space="preserve"> </w:t>
      </w:r>
    </w:p>
    <w:p w14:paraId="3CAABFE4" w14:textId="1BBEE8C3" w:rsidR="00B409E9" w:rsidRDefault="00B409E9" w:rsidP="00B63FF7">
      <w:pPr>
        <w:rPr>
          <w:lang w:val="en-AU"/>
        </w:rPr>
      </w:pPr>
    </w:p>
    <w:p w14:paraId="05F42FD3" w14:textId="0E6BBD8A" w:rsidR="00B409E9" w:rsidRDefault="00B409E9" w:rsidP="00B409E9">
      <w:pPr>
        <w:pStyle w:val="Heading1"/>
        <w:rPr>
          <w:lang w:val="en-AU"/>
        </w:rPr>
      </w:pPr>
      <w:bookmarkStart w:id="189" w:name="_Toc86413198"/>
      <w:bookmarkStart w:id="190" w:name="_Toc86914428"/>
      <w:bookmarkStart w:id="191" w:name="_Toc89242944"/>
      <w:r>
        <w:rPr>
          <w:lang w:val="en-AU"/>
        </w:rPr>
        <w:t>5</w:t>
      </w:r>
      <w:r>
        <w:rPr>
          <w:lang w:val="en-AU"/>
        </w:rPr>
        <w:tab/>
        <w:t>Nutrition assessment</w:t>
      </w:r>
      <w:bookmarkEnd w:id="189"/>
      <w:bookmarkEnd w:id="190"/>
      <w:bookmarkEnd w:id="191"/>
    </w:p>
    <w:p w14:paraId="06F3EFB8" w14:textId="582A2B44" w:rsidR="00B409E9" w:rsidRDefault="00B409E9" w:rsidP="00B409E9">
      <w:r>
        <w:t xml:space="preserve">FSANZ’s previous assessments of 2′-FL (FSANZ 2019a; 2019b; 2020; 2021) concluded that there is no evidence to indicate a nutritional concern at concentrations that are typically observed in human milk. Assessment of the proposed beneficial role of 2′-FL in the normal growth and development of infants or children concluded that there was evidence to support a bifidogenic effect and inhibition of infection by pathogenic strains of </w:t>
      </w:r>
      <w:r w:rsidRPr="001D7C14">
        <w:rPr>
          <w:i/>
        </w:rPr>
        <w:t>Campylobacter jejuni</w:t>
      </w:r>
      <w:r>
        <w:t xml:space="preserve">. No new information was provided that would indicate a need to change these conclusions. However, FSANZ notes that permissions for 2′-FL are </w:t>
      </w:r>
      <w:r w:rsidRPr="001D7C14">
        <w:t xml:space="preserve">subject to the outcome of </w:t>
      </w:r>
      <w:r>
        <w:t xml:space="preserve">a </w:t>
      </w:r>
      <w:r w:rsidRPr="001D7C14">
        <w:t>five year review</w:t>
      </w:r>
      <w:r w:rsidRPr="001D7C14">
        <w:rPr>
          <w:rStyle w:val="FootnoteReference"/>
          <w:lang w:bidi="ar-SA"/>
        </w:rPr>
        <w:footnoteReference w:id="6"/>
      </w:r>
      <w:r w:rsidRPr="001D7C14">
        <w:t xml:space="preserve"> (to be completed by March 2026) which will reassess evidence of a substantiated beneficial role of 2′-FL in the normal growth and development of infants.</w:t>
      </w:r>
    </w:p>
    <w:p w14:paraId="4AE51469" w14:textId="77777777" w:rsidR="00B409E9" w:rsidRDefault="00B409E9" w:rsidP="00B63FF7">
      <w:pPr>
        <w:rPr>
          <w:lang w:val="en-AU"/>
        </w:rPr>
      </w:pPr>
    </w:p>
    <w:p w14:paraId="4AB7B464" w14:textId="33E38C96" w:rsidR="00B63FF7" w:rsidRDefault="00D65599" w:rsidP="00B63FF7">
      <w:pPr>
        <w:pStyle w:val="Heading1"/>
        <w:ind w:left="567" w:hanging="567"/>
      </w:pPr>
      <w:bookmarkStart w:id="192" w:name="_Toc86413199"/>
      <w:bookmarkStart w:id="193" w:name="_Toc86914429"/>
      <w:bookmarkStart w:id="194" w:name="_Toc89242945"/>
      <w:r>
        <w:lastRenderedPageBreak/>
        <w:t>6</w:t>
      </w:r>
      <w:r w:rsidR="00B409E9">
        <w:tab/>
      </w:r>
      <w:r w:rsidR="00B63FF7" w:rsidRPr="003868A5">
        <w:t>Summary a</w:t>
      </w:r>
      <w:r w:rsidR="00B62822">
        <w:t>nd C</w:t>
      </w:r>
      <w:r w:rsidR="00B63FF7">
        <w:t>onclusions</w:t>
      </w:r>
      <w:bookmarkEnd w:id="192"/>
      <w:bookmarkEnd w:id="193"/>
      <w:bookmarkEnd w:id="194"/>
    </w:p>
    <w:p w14:paraId="7DD1690E" w14:textId="43CEA12E" w:rsidR="003B60A1" w:rsidRDefault="000721F7" w:rsidP="003B60A1">
      <w:pPr>
        <w:rPr>
          <w:bCs/>
        </w:rPr>
      </w:pPr>
      <w:r>
        <w:rPr>
          <w:bCs/>
        </w:rPr>
        <w:t xml:space="preserve">The Code already permits </w:t>
      </w:r>
      <w:r w:rsidR="003B60A1">
        <w:rPr>
          <w:bCs/>
        </w:rPr>
        <w:t>2</w:t>
      </w:r>
      <w:r w:rsidR="003B60A1" w:rsidRPr="00990C8B">
        <w:rPr>
          <w:lang w:val="en-AU"/>
        </w:rPr>
        <w:t>′</w:t>
      </w:r>
      <w:r w:rsidR="003B60A1">
        <w:rPr>
          <w:bCs/>
        </w:rPr>
        <w:t>-FL</w:t>
      </w:r>
      <w:r w:rsidR="003B60A1" w:rsidRPr="003B60A1">
        <w:rPr>
          <w:bCs/>
        </w:rPr>
        <w:t xml:space="preserve"> </w:t>
      </w:r>
      <w:r w:rsidR="003B60A1">
        <w:rPr>
          <w:bCs/>
        </w:rPr>
        <w:t xml:space="preserve">from a different source organism for addition to infant formula products. </w:t>
      </w:r>
      <w:r w:rsidR="003B60A1">
        <w:t xml:space="preserve">The maximum permitted level is 96 mg/100 kJ, </w:t>
      </w:r>
      <w:r>
        <w:t>equivalent</w:t>
      </w:r>
      <w:r w:rsidR="003B60A1">
        <w:t xml:space="preserve"> to 2.4 g/L.</w:t>
      </w:r>
      <w:r w:rsidR="003B60A1">
        <w:rPr>
          <w:bCs/>
        </w:rPr>
        <w:t xml:space="preserve"> The purpose of the present assessment is therefore </w:t>
      </w:r>
      <w:r w:rsidR="003B60A1">
        <w:rPr>
          <w:lang w:eastAsia="en-AU"/>
        </w:rPr>
        <w:t>to</w:t>
      </w:r>
      <w:r w:rsidR="003B60A1">
        <w:rPr>
          <w:bCs/>
        </w:rPr>
        <w:t xml:space="preserve"> assess the safety of 2′-FL produced by the new production strain.</w:t>
      </w:r>
    </w:p>
    <w:p w14:paraId="1FBF76E1" w14:textId="48E17E81" w:rsidR="00DD312D" w:rsidRDefault="00DD312D" w:rsidP="003B60A1">
      <w:pPr>
        <w:rPr>
          <w:bCs/>
        </w:rPr>
      </w:pPr>
    </w:p>
    <w:p w14:paraId="1F501B37" w14:textId="6E073970" w:rsidR="00365A0E" w:rsidRDefault="00365A0E" w:rsidP="00365A0E">
      <w:pPr>
        <w:rPr>
          <w:lang w:eastAsia="en-AU"/>
        </w:rPr>
      </w:pPr>
      <w:r>
        <w:t xml:space="preserve">The </w:t>
      </w:r>
      <w:r w:rsidR="004B4381">
        <w:t>Applicant</w:t>
      </w:r>
      <w:r w:rsidR="000721F7">
        <w:t>’s</w:t>
      </w:r>
      <w:r>
        <w:t xml:space="preserve"> </w:t>
      </w:r>
      <w:r w:rsidR="00E927DD">
        <w:t>2′-FL</w:t>
      </w:r>
      <w:r w:rsidRPr="00CD2100">
        <w:rPr>
          <w:vertAlign w:val="subscript"/>
        </w:rPr>
        <w:t>micro</w:t>
      </w:r>
      <w:r>
        <w:t xml:space="preserve"> is chemically and structurally identical to the naturally occurring substance isolated from human milk (</w:t>
      </w:r>
      <w:r w:rsidR="00E927DD">
        <w:t>2′-FL</w:t>
      </w:r>
      <w:r w:rsidRPr="00CD2100">
        <w:rPr>
          <w:vertAlign w:val="subscript"/>
        </w:rPr>
        <w:t>human</w:t>
      </w:r>
      <w:r>
        <w:t>) and chemically synthesized substances (</w:t>
      </w:r>
      <w:r w:rsidR="00E927DD">
        <w:t>2′-FL</w:t>
      </w:r>
      <w:r w:rsidRPr="00CD2100">
        <w:rPr>
          <w:vertAlign w:val="subscript"/>
        </w:rPr>
        <w:t>chem</w:t>
      </w:r>
      <w:r>
        <w:t xml:space="preserve">). The Code currently permits </w:t>
      </w:r>
      <w:r w:rsidR="00E927DD">
        <w:t>2′-FL</w:t>
      </w:r>
      <w:r>
        <w:t xml:space="preserve"> to be used as a nutritive substance in IFP, which generally </w:t>
      </w:r>
      <w:r w:rsidR="00E05F39">
        <w:t xml:space="preserve">has </w:t>
      </w:r>
      <w:r>
        <w:t xml:space="preserve">a shelf life of two years. The final product is stable for up to 36 months at shelf-storage conditions, supporting the position that the </w:t>
      </w:r>
      <w:r w:rsidR="004B4381">
        <w:t>Applicant</w:t>
      </w:r>
      <w:r>
        <w:t xml:space="preserve">’s </w:t>
      </w:r>
      <w:r w:rsidR="00E927DD">
        <w:t>2′-FL</w:t>
      </w:r>
      <w:r w:rsidRPr="00CD2100">
        <w:rPr>
          <w:vertAlign w:val="subscript"/>
        </w:rPr>
        <w:t>micro</w:t>
      </w:r>
      <w:r>
        <w:t xml:space="preserve"> preparation is suited for intended food uses. </w:t>
      </w:r>
      <w:r w:rsidR="00E927DD">
        <w:t>The Applicant has requested that the specification established in the EU in 2019 be applied to their 2</w:t>
      </w:r>
      <w:r w:rsidR="00E927DD">
        <w:rPr>
          <w:rFonts w:cs="Arial"/>
        </w:rPr>
        <w:t>ʹ-FL</w:t>
      </w:r>
      <w:r w:rsidR="00E927DD" w:rsidRPr="00A54291">
        <w:rPr>
          <w:rFonts w:cs="Arial"/>
          <w:vertAlign w:val="subscript"/>
        </w:rPr>
        <w:t>micro</w:t>
      </w:r>
      <w:r w:rsidR="00E927DD">
        <w:rPr>
          <w:rFonts w:cs="Arial"/>
        </w:rPr>
        <w:t xml:space="preserve"> preparation</w:t>
      </w:r>
      <w:r w:rsidR="00E927DD">
        <w:t xml:space="preserve">. </w:t>
      </w:r>
      <w:r w:rsidR="000721F7">
        <w:t>M</w:t>
      </w:r>
      <w:r>
        <w:t>ulti-batch analyses showed</w:t>
      </w:r>
      <w:r w:rsidDel="001E0491">
        <w:rPr>
          <w:rFonts w:cs="Arial"/>
          <w:szCs w:val="20"/>
          <w:lang w:eastAsia="en-AU"/>
        </w:rPr>
        <w:t xml:space="preserve"> </w:t>
      </w:r>
      <w:r>
        <w:rPr>
          <w:rFonts w:cs="Arial"/>
          <w:szCs w:val="20"/>
          <w:lang w:eastAsia="en-AU"/>
        </w:rPr>
        <w:t xml:space="preserve">that the final product is consistently within the proposed specifications, with impurities and/or contaminants </w:t>
      </w:r>
      <w:r w:rsidR="000721F7">
        <w:rPr>
          <w:rFonts w:cs="Arial"/>
          <w:szCs w:val="20"/>
          <w:lang w:eastAsia="en-AU"/>
        </w:rPr>
        <w:t xml:space="preserve">resulting </w:t>
      </w:r>
      <w:r>
        <w:rPr>
          <w:rFonts w:cs="Arial"/>
          <w:szCs w:val="20"/>
          <w:lang w:eastAsia="en-AU"/>
        </w:rPr>
        <w:t>from the fermentation process either minor or absent.</w:t>
      </w:r>
    </w:p>
    <w:p w14:paraId="487FC142" w14:textId="18280459" w:rsidR="00EC7769" w:rsidRDefault="00365A0E" w:rsidP="00B63FF7">
      <w:r w:rsidDel="00365A0E">
        <w:t xml:space="preserve"> </w:t>
      </w:r>
    </w:p>
    <w:p w14:paraId="6D9C73AB" w14:textId="0A860FF6" w:rsidR="00A30418" w:rsidRDefault="00EC7769" w:rsidP="00B63FF7">
      <w:r w:rsidRPr="00292896">
        <w:rPr>
          <w:color w:val="000000" w:themeColor="text1"/>
        </w:rPr>
        <w:t xml:space="preserve">The </w:t>
      </w:r>
      <w:r w:rsidRPr="00292896">
        <w:rPr>
          <w:i/>
          <w:color w:val="000000" w:themeColor="text1"/>
        </w:rPr>
        <w:t>E. coli</w:t>
      </w:r>
      <w:r w:rsidRPr="00292896">
        <w:rPr>
          <w:color w:val="000000" w:themeColor="text1"/>
        </w:rPr>
        <w:t xml:space="preserve"> K-12 host organism has a long history of use for the production of recombinant proteins and </w:t>
      </w:r>
      <w:r w:rsidR="0018382B">
        <w:rPr>
          <w:color w:val="000000" w:themeColor="text1"/>
        </w:rPr>
        <w:t xml:space="preserve">does not </w:t>
      </w:r>
      <w:r w:rsidRPr="00292896">
        <w:rPr>
          <w:color w:val="000000" w:themeColor="text1"/>
        </w:rPr>
        <w:t xml:space="preserve">pose </w:t>
      </w:r>
      <w:r w:rsidR="0018382B">
        <w:rPr>
          <w:color w:val="000000" w:themeColor="text1"/>
        </w:rPr>
        <w:t>a</w:t>
      </w:r>
      <w:r w:rsidR="0018382B" w:rsidRPr="00292896">
        <w:rPr>
          <w:color w:val="000000" w:themeColor="text1"/>
        </w:rPr>
        <w:t xml:space="preserve"> </w:t>
      </w:r>
      <w:r w:rsidRPr="00292896">
        <w:rPr>
          <w:color w:val="000000" w:themeColor="text1"/>
        </w:rPr>
        <w:t>risk to humans. Analyses of the gene donors also confirmed there were no safety concerns.</w:t>
      </w:r>
      <w:r>
        <w:rPr>
          <w:color w:val="000000" w:themeColor="text1"/>
        </w:rPr>
        <w:t xml:space="preserve"> </w:t>
      </w:r>
      <w:r>
        <w:t>C</w:t>
      </w:r>
      <w:r w:rsidRPr="00672E1E">
        <w:t xml:space="preserve">haracterisation of the </w:t>
      </w:r>
      <w:r>
        <w:t xml:space="preserve">production strain confirmed </w:t>
      </w:r>
      <w:r>
        <w:rPr>
          <w:rFonts w:cs="Arial"/>
          <w:color w:val="000000" w:themeColor="text1"/>
        </w:rPr>
        <w:t xml:space="preserve">the expression plasmid carrying the </w:t>
      </w:r>
      <w:r>
        <w:rPr>
          <w:rFonts w:cs="Arial"/>
          <w:lang w:eastAsia="en-AU"/>
        </w:rPr>
        <w:t>α</w:t>
      </w:r>
      <w:r>
        <w:rPr>
          <w:lang w:eastAsia="en-AU"/>
        </w:rPr>
        <w:t>-1,2-</w:t>
      </w:r>
      <w:r>
        <w:rPr>
          <w:rFonts w:cs="Arial"/>
          <w:color w:val="000000" w:themeColor="text1"/>
        </w:rPr>
        <w:t>fucosyltransferase gene was both genetically stable and fully functional</w:t>
      </w:r>
      <w:r>
        <w:t>.</w:t>
      </w:r>
    </w:p>
    <w:p w14:paraId="5DE2BB35" w14:textId="6E095302" w:rsidR="0018382B" w:rsidRDefault="0018382B" w:rsidP="00B63FF7"/>
    <w:p w14:paraId="1D63D18B" w14:textId="2E0FB24A" w:rsidR="0018382B" w:rsidRDefault="0018382B" w:rsidP="0018382B">
      <w:r>
        <w:t>FSANZ has previously determined that there are no safety concerns associated with the addition of 2′-FL to IFP at concentrations up to 2.4 g/L</w:t>
      </w:r>
      <w:r w:rsidR="00FF560A">
        <w:t>, which is within the range of naturally occurring levels in human milk from the majority of women (0.6 – 7.8 g/L)</w:t>
      </w:r>
      <w:r>
        <w:t>. Newly available information relating to</w:t>
      </w:r>
      <w:r w:rsidR="00782206">
        <w:t xml:space="preserve"> previously assessed</w:t>
      </w:r>
      <w:r>
        <w:t xml:space="preserve"> studies</w:t>
      </w:r>
      <w:r w:rsidR="00782206">
        <w:t xml:space="preserve"> of 2′-FL produced by the </w:t>
      </w:r>
      <w:r w:rsidR="004B4381">
        <w:t>Applicant</w:t>
      </w:r>
      <w:r w:rsidR="00782206">
        <w:t xml:space="preserve"> and another manufacturer </w:t>
      </w:r>
      <w:r>
        <w:t xml:space="preserve">did not indicate a reason to change this conclusion. </w:t>
      </w:r>
    </w:p>
    <w:p w14:paraId="196A70A1" w14:textId="77777777" w:rsidR="0018382B" w:rsidRDefault="0018382B" w:rsidP="0018382B"/>
    <w:p w14:paraId="236F8DA2" w14:textId="77777777" w:rsidR="0018382B" w:rsidRDefault="0018382B" w:rsidP="0018382B">
      <w:r>
        <w:t xml:space="preserve">2′-FL was not genotoxic </w:t>
      </w:r>
      <w:r w:rsidRPr="00053DA8">
        <w:rPr>
          <w:i/>
        </w:rPr>
        <w:t>in vitro</w:t>
      </w:r>
      <w:r>
        <w:t xml:space="preserve"> or </w:t>
      </w:r>
      <w:r w:rsidRPr="00053DA8">
        <w:rPr>
          <w:i/>
        </w:rPr>
        <w:t>in vivo</w:t>
      </w:r>
      <w:r>
        <w:t>. No adverse effects were observed in multiple subchronic oral toxicity studies in neonatal rats at doses up to 5000 mg/kg bw/day, or in juvenile and adult rats at doses &gt; 7000 mg/kg bw/day. Three-week studies with neonatal piglets administered formula containing 2′-FL at concentrations up to 4 g/L also found no adverse effects. In human studies, infant formula supplemented with 2′-FL was well tolerated with no significant increases in adverse events. 2′-FL was also well tolerated in studies with children and adults.</w:t>
      </w:r>
    </w:p>
    <w:p w14:paraId="09993BB9" w14:textId="77777777" w:rsidR="0018382B" w:rsidRDefault="0018382B" w:rsidP="0018382B"/>
    <w:p w14:paraId="76C2750D" w14:textId="6E61C802" w:rsidR="0018382B" w:rsidRDefault="00C865DA" w:rsidP="00B63FF7">
      <w:r w:rsidRPr="000E7C54">
        <w:t xml:space="preserve">The proposed specification does not raise any safety concerns. </w:t>
      </w:r>
      <w:r w:rsidR="0018382B" w:rsidRPr="000E7C54">
        <w:t>2′-FL is unlikely to pose an</w:t>
      </w:r>
      <w:r w:rsidR="0018382B">
        <w:t xml:space="preserve"> allergenicity concern</w:t>
      </w:r>
      <w:r w:rsidR="000721F7">
        <w:t xml:space="preserve"> because the protein content of the 2′-FL product is below the limit of quantitation</w:t>
      </w:r>
      <w:r w:rsidR="0018382B">
        <w:t xml:space="preserve">. </w:t>
      </w:r>
    </w:p>
    <w:p w14:paraId="7CB37FE8" w14:textId="2C1C5E50" w:rsidR="001D7C14" w:rsidRDefault="001D7C14" w:rsidP="00B63FF7"/>
    <w:p w14:paraId="575AF39C" w14:textId="077F1DDF" w:rsidR="001D7C14" w:rsidRPr="0018382B" w:rsidRDefault="001D7C14" w:rsidP="00B63FF7">
      <w:r>
        <w:t xml:space="preserve">FSANZ’s previous assessments of 2′-FL </w:t>
      </w:r>
      <w:r w:rsidR="00B409E9">
        <w:t>found</w:t>
      </w:r>
      <w:r>
        <w:t xml:space="preserve"> no evidence </w:t>
      </w:r>
      <w:r w:rsidR="00B409E9">
        <w:t>of</w:t>
      </w:r>
      <w:r>
        <w:t xml:space="preserve"> a nutritional concern at concentrations typically observed in human milk. No new information was provided that would indicate a need to change these conclusions. </w:t>
      </w:r>
      <w:r w:rsidR="00B409E9">
        <w:t>The evidence for a beneficial role of 2′-FL in the normal growth and development of infants will be reassessed in a review to be completed by March 2026.</w:t>
      </w:r>
    </w:p>
    <w:p w14:paraId="57179556" w14:textId="0727D1D2" w:rsidR="00B63FF7" w:rsidRDefault="00D65599" w:rsidP="00B63FF7">
      <w:pPr>
        <w:pStyle w:val="Heading1"/>
        <w:ind w:left="567" w:hanging="567"/>
      </w:pPr>
      <w:bookmarkStart w:id="195" w:name="_Toc86413200"/>
      <w:bookmarkStart w:id="196" w:name="_Toc86914430"/>
      <w:bookmarkStart w:id="197" w:name="_Toc89242946"/>
      <w:r>
        <w:t>7</w:t>
      </w:r>
      <w:r w:rsidR="00DD05DB">
        <w:tab/>
      </w:r>
      <w:r w:rsidR="00B63FF7">
        <w:t>References</w:t>
      </w:r>
      <w:bookmarkEnd w:id="195"/>
      <w:bookmarkEnd w:id="196"/>
      <w:bookmarkEnd w:id="197"/>
    </w:p>
    <w:p w14:paraId="0C8AB0DE" w14:textId="298BEC7D" w:rsidR="0022233C" w:rsidRDefault="00FF560A" w:rsidP="00B63FF7">
      <w:r>
        <w:t xml:space="preserve">Asakuma S, Urashima T, Akahori M, Obayashi H, Nakamura T, Kimura K, </w:t>
      </w:r>
      <w:r>
        <w:lastRenderedPageBreak/>
        <w:t xml:space="preserve">Watanabe Y, Arai I, Sanai Y (2008) Variation of major neutral oligosaccharides levels in human colostrum. </w:t>
      </w:r>
      <w:r w:rsidR="00E7380F" w:rsidRPr="00E7380F">
        <w:t xml:space="preserve">European Journal of Clinical Nutrition </w:t>
      </w:r>
      <w:r w:rsidR="00E7380F">
        <w:t>62</w:t>
      </w:r>
      <w:r>
        <w:t>:488-494</w:t>
      </w:r>
      <w:r w:rsidR="00E7380F">
        <w:t xml:space="preserve">. doi: </w:t>
      </w:r>
      <w:hyperlink r:id="rId35" w:history="1">
        <w:r w:rsidR="00E7380F" w:rsidRPr="00335449">
          <w:rPr>
            <w:rStyle w:val="Hyperlink"/>
          </w:rPr>
          <w:t>https://doi.org/10.1038/sj.ejcn.1602738</w:t>
        </w:r>
      </w:hyperlink>
    </w:p>
    <w:p w14:paraId="08FCB108" w14:textId="7948B971" w:rsidR="00FF560A" w:rsidRDefault="00FF560A" w:rsidP="00B63FF7"/>
    <w:p w14:paraId="53337061" w14:textId="77777777" w:rsidR="009D5112" w:rsidRDefault="009D5112" w:rsidP="009D5112">
      <w:pPr>
        <w:pStyle w:val="CitaviBibliographyEntry"/>
        <w:ind w:left="0" w:firstLine="0"/>
      </w:pPr>
      <w:bookmarkStart w:id="198" w:name="_CTVL00193e18ac0709c449982da473b5e2c213b"/>
      <w:r>
        <w:t xml:space="preserve">Bachmann BJ (1996) Derivations and genotypes of some mutant derivatives of </w:t>
      </w:r>
      <w:bookmarkEnd w:id="198"/>
      <w:r w:rsidRPr="00085475">
        <w:rPr>
          <w:i/>
        </w:rPr>
        <w:t>Escherichia coli</w:t>
      </w:r>
      <w:r w:rsidRPr="00085475">
        <w:t xml:space="preserve"> K-12. In: Neidhardt FC (ed) </w:t>
      </w:r>
      <w:r w:rsidRPr="00E7380F">
        <w:rPr>
          <w:i/>
        </w:rPr>
        <w:t>Escherichia coli</w:t>
      </w:r>
      <w:r w:rsidRPr="00085475">
        <w:t xml:space="preserve"> and </w:t>
      </w:r>
      <w:r w:rsidRPr="00E7380F">
        <w:rPr>
          <w:i/>
        </w:rPr>
        <w:t>Salmonella</w:t>
      </w:r>
      <w:r w:rsidRPr="00085475">
        <w:t>: Cellular and Molecular Biology, 2nd. ASM Press, Washington DC, pp 2460–2488</w:t>
      </w:r>
    </w:p>
    <w:p w14:paraId="776B1446" w14:textId="77777777" w:rsidR="009D5112" w:rsidRDefault="009D5112" w:rsidP="009D5112">
      <w:pPr>
        <w:pStyle w:val="CitaviBibliographyEntry"/>
        <w:ind w:left="0" w:firstLine="0"/>
      </w:pPr>
    </w:p>
    <w:p w14:paraId="4453B7C4" w14:textId="38FB047C" w:rsidR="00B31096" w:rsidRDefault="00B31096" w:rsidP="00B63FF7">
      <w:r>
        <w:t xml:space="preserve">EFSA (2015) Safety of 2′-O-fucosyllactose as a novel food ingredient pursuant to Regulation (EC) No 258/97. EFSA Journal 13:4184. doi: </w:t>
      </w:r>
      <w:hyperlink r:id="rId36" w:history="1">
        <w:r w:rsidR="007A2220" w:rsidRPr="00335449">
          <w:rPr>
            <w:rStyle w:val="Hyperlink"/>
          </w:rPr>
          <w:t>https://doi.org/10.2903/j.efsa.2015.4184</w:t>
        </w:r>
      </w:hyperlink>
      <w:r w:rsidR="007A2220">
        <w:t xml:space="preserve"> </w:t>
      </w:r>
    </w:p>
    <w:p w14:paraId="1EE447F6" w14:textId="2E1BFB53" w:rsidR="009D5112" w:rsidRDefault="009D5112" w:rsidP="00B63FF7"/>
    <w:p w14:paraId="02856391" w14:textId="1CAD1FAB" w:rsidR="009D5112" w:rsidRDefault="009D5112" w:rsidP="009D5112">
      <w:pPr>
        <w:pStyle w:val="CitaviBibliographyEntry"/>
        <w:ind w:left="0" w:firstLine="0"/>
        <w:rPr>
          <w:rStyle w:val="Hyperlink"/>
        </w:rPr>
      </w:pPr>
      <w:bookmarkStart w:id="199" w:name="_CTVL001486ab9c0f31f430ea725eb2a136cd5b2"/>
      <w:r>
        <w:t xml:space="preserve">EPA (1997) Final risk assessment of </w:t>
      </w:r>
      <w:bookmarkEnd w:id="199"/>
      <w:r w:rsidRPr="00085475">
        <w:rPr>
          <w:i/>
        </w:rPr>
        <w:t xml:space="preserve">Escherichia coli </w:t>
      </w:r>
      <w:r w:rsidRPr="00085475">
        <w:t>K-12 derivatives. Environmental Protection Agency Washington DC</w:t>
      </w:r>
      <w:r w:rsidR="00E7380F">
        <w:t xml:space="preserve">. </w:t>
      </w:r>
      <w:hyperlink r:id="rId37" w:history="1">
        <w:r w:rsidR="00E7380F" w:rsidRPr="00335449">
          <w:rPr>
            <w:rStyle w:val="Hyperlink"/>
          </w:rPr>
          <w:t>https://www.epa.gov/sites/default/files/2015-09/documents/fra004.pdf</w:t>
        </w:r>
      </w:hyperlink>
    </w:p>
    <w:p w14:paraId="16A09CD0" w14:textId="1ED8B1C4" w:rsidR="00DA7D75" w:rsidRDefault="00DA7D75" w:rsidP="009D5112">
      <w:pPr>
        <w:pStyle w:val="CitaviBibliographyEntry"/>
        <w:ind w:left="0" w:firstLine="0"/>
      </w:pPr>
    </w:p>
    <w:p w14:paraId="6F898EB6" w14:textId="1343E02F" w:rsidR="00DA7D75" w:rsidRDefault="00DA7D75" w:rsidP="00222320">
      <w:pPr>
        <w:pStyle w:val="CitaviBibliographyEntry"/>
        <w:tabs>
          <w:tab w:val="clear" w:pos="397"/>
          <w:tab w:val="left" w:pos="0"/>
        </w:tabs>
        <w:ind w:left="0" w:firstLine="0"/>
      </w:pPr>
      <w:r>
        <w:t>European Union (2019) Commission Implementing Regulation (EU) 2019/388 of 11 March 2019 authorising the change of the specifications of the novel food 2′-fucosyllactose produced with Escherichia coli K-12 under Regulation (EU) 2015/2283 of the European Parliament and of the Council and amending Commission Implementing Regulation (EU) 2017/2470</w:t>
      </w:r>
    </w:p>
    <w:p w14:paraId="2DFC2359" w14:textId="1AE25205" w:rsidR="00DA7D75" w:rsidRDefault="00866F97" w:rsidP="00222320">
      <w:pPr>
        <w:pStyle w:val="CitaviBibliographyEntry"/>
        <w:tabs>
          <w:tab w:val="clear" w:pos="397"/>
          <w:tab w:val="left" w:pos="0"/>
        </w:tabs>
        <w:ind w:left="0" w:firstLine="0"/>
      </w:pPr>
      <w:hyperlink r:id="rId38" w:history="1">
        <w:r w:rsidR="00DA7D75" w:rsidRPr="007651EE">
          <w:rPr>
            <w:rStyle w:val="Hyperlink"/>
          </w:rPr>
          <w:t>https://eur-lex.europa.eu/legal-content/EN/TXT/HTML/?uri=CELEX:32019R0388&amp;from=EN</w:t>
        </w:r>
      </w:hyperlink>
    </w:p>
    <w:p w14:paraId="2328FE38" w14:textId="1C69B886" w:rsidR="00B31096" w:rsidRDefault="00B31096" w:rsidP="00E7380F">
      <w:pPr>
        <w:pStyle w:val="CitaviBibliographyEntry"/>
        <w:ind w:left="0" w:firstLine="0"/>
      </w:pPr>
    </w:p>
    <w:p w14:paraId="33FF1EC6" w14:textId="4059E43E" w:rsidR="00053DA8" w:rsidRDefault="00053DA8" w:rsidP="00B63FF7">
      <w:r w:rsidRPr="00053DA8">
        <w:t>Fonvig CE, Amundsen ID, Vigsnæs LK, Sørensen N, Frithioff-Bøjsøe C, Christiansen M, Hedley PL</w:t>
      </w:r>
      <w:r>
        <w:t xml:space="preserve">, Holm LA, McConnell B, Holm JC (2021) </w:t>
      </w:r>
      <w:r w:rsidRPr="00053DA8">
        <w:t>Human Milk Oligosaccharides Modulate Fecal Microbiota and are Safe for Use in Children with overweight: An RCT</w:t>
      </w:r>
      <w:r>
        <w:t>. Journal of Pediatric Gastroenterology and Nutrition</w:t>
      </w:r>
      <w:r w:rsidR="00E7380F">
        <w:t xml:space="preserve"> 73:</w:t>
      </w:r>
      <w:r w:rsidR="00E7380F" w:rsidRPr="00E7380F">
        <w:t xml:space="preserve"> 408-414.</w:t>
      </w:r>
      <w:r w:rsidRPr="00E7380F">
        <w:t>do</w:t>
      </w:r>
      <w:r w:rsidR="00E7380F" w:rsidRPr="00E7380F">
        <w:t xml:space="preserve">i: </w:t>
      </w:r>
      <w:hyperlink r:id="rId39" w:history="1">
        <w:r w:rsidR="007A2220" w:rsidRPr="00335449">
          <w:rPr>
            <w:rStyle w:val="Hyperlink"/>
          </w:rPr>
          <w:t>https://di.org/10.1097/MPG.0000000000003205</w:t>
        </w:r>
      </w:hyperlink>
      <w:r w:rsidR="007A2220">
        <w:t xml:space="preserve"> </w:t>
      </w:r>
    </w:p>
    <w:p w14:paraId="425199DF" w14:textId="77777777" w:rsidR="00053DA8" w:rsidRDefault="00053DA8" w:rsidP="00B63FF7"/>
    <w:p w14:paraId="71AC411E" w14:textId="6F216C88" w:rsidR="00D83630" w:rsidRDefault="00D83630" w:rsidP="00B63FF7">
      <w:r>
        <w:t xml:space="preserve">FSAI (2016) Substantial equivalence Opinion: 2’-O-fucosyllactose. Food Safety Authority of Ireland, Dublin, Ireland.  </w:t>
      </w:r>
    </w:p>
    <w:p w14:paraId="7A767E8C" w14:textId="65EDB709" w:rsidR="00D83630" w:rsidRDefault="00D83630" w:rsidP="00B63FF7">
      <w:r>
        <w:t xml:space="preserve">  </w:t>
      </w:r>
    </w:p>
    <w:p w14:paraId="6B93BC1E" w14:textId="2A49ACEC" w:rsidR="00B31096" w:rsidRDefault="00B31096" w:rsidP="00B63FF7">
      <w:r w:rsidRPr="00DD312D">
        <w:t>FSANZ (2019a)</w:t>
      </w:r>
      <w:r>
        <w:t xml:space="preserve"> A1155: 2′-FL and LNnT in infant formula and other products. Supporting Document 1 at Second Call for Submissions. Safety, technical and health effects assessment. Food Standards Australia New Zealand, Canberra, Australia. </w:t>
      </w:r>
    </w:p>
    <w:p w14:paraId="3CB53FCE" w14:textId="6DD8F4A9" w:rsidR="00B31096" w:rsidRDefault="00866F97" w:rsidP="00B63FF7">
      <w:hyperlink r:id="rId40" w:history="1">
        <w:r w:rsidR="00B31096" w:rsidRPr="00A223BD">
          <w:rPr>
            <w:rStyle w:val="Hyperlink"/>
          </w:rPr>
          <w:t>https://www.foodstandards.gov.au/code/applications/Documents/A1155_SD1_Risk%20assessment%20-%202nd%20CFS.pdf</w:t>
        </w:r>
      </w:hyperlink>
      <w:r w:rsidR="00B31096">
        <w:t xml:space="preserve"> </w:t>
      </w:r>
    </w:p>
    <w:p w14:paraId="1A1711CF" w14:textId="77777777" w:rsidR="00D83630" w:rsidRDefault="00D83630" w:rsidP="00B63FF7"/>
    <w:p w14:paraId="093C9745" w14:textId="6C3822D4" w:rsidR="00006CDB" w:rsidRDefault="00006CDB" w:rsidP="00006CDB">
      <w:r>
        <w:t>FSANZ (</w:t>
      </w:r>
      <w:r w:rsidRPr="00DD312D">
        <w:t>2019</w:t>
      </w:r>
      <w:r w:rsidR="00B31096" w:rsidRPr="00DD312D">
        <w:t>b</w:t>
      </w:r>
      <w:r w:rsidRPr="00DD312D">
        <w:t>)</w:t>
      </w:r>
      <w:r>
        <w:t xml:space="preserve"> Application A1155: 2′-FL and LNnT in infant formula and other products</w:t>
      </w:r>
      <w:r w:rsidR="00687ED2">
        <w:t>.</w:t>
      </w:r>
      <w:r>
        <w:t xml:space="preserve"> Supporting Document 1 at Approval. Food Standards Australia New Zealand, Canberra, Australia</w:t>
      </w:r>
    </w:p>
    <w:p w14:paraId="4BCD96DB" w14:textId="2724B896" w:rsidR="00006CDB" w:rsidRDefault="00866F97" w:rsidP="00006CDB">
      <w:pPr>
        <w:rPr>
          <w:rStyle w:val="Hyperlink"/>
        </w:rPr>
      </w:pPr>
      <w:hyperlink r:id="rId41" w:history="1">
        <w:r w:rsidR="00006CDB" w:rsidRPr="003D169B">
          <w:rPr>
            <w:rStyle w:val="Hyperlink"/>
          </w:rPr>
          <w:t>www.foodstandards.gov.au/code/applications/Documents/A1155%20SD1%20at%20approval.pdf</w:t>
        </w:r>
      </w:hyperlink>
    </w:p>
    <w:p w14:paraId="5D5DABB1" w14:textId="5148334D" w:rsidR="00B31096" w:rsidRDefault="00B31096" w:rsidP="00006CDB"/>
    <w:p w14:paraId="59E4E4D1" w14:textId="6B86DA93" w:rsidR="00B31096" w:rsidRDefault="00B31096" w:rsidP="00006CDB">
      <w:r>
        <w:t xml:space="preserve">FSANZ (2020) Review of </w:t>
      </w:r>
      <w:r w:rsidR="00791FBE">
        <w:t xml:space="preserve">Application </w:t>
      </w:r>
      <w:r>
        <w:t xml:space="preserve">A1155 – 2′-FL and LNnT in infant formula and other products. Supporting Document 1. Review of new toxicology, clinical safety, growth and development studies. Food Standards Australia New Zealand, Canberra, Australia. </w:t>
      </w:r>
      <w:hyperlink r:id="rId42" w:history="1">
        <w:r w:rsidR="00687ED2" w:rsidRPr="00A223BD">
          <w:rPr>
            <w:rStyle w:val="Hyperlink"/>
          </w:rPr>
          <w:t>https://www.foodstandards.gov.au/code/applications/Documents/A1155%20Review%20SD1%20Safety%20and%20growth%20.pdf</w:t>
        </w:r>
      </w:hyperlink>
    </w:p>
    <w:p w14:paraId="0C3962BE" w14:textId="6D7856FF" w:rsidR="00B63FF7" w:rsidRDefault="00B63FF7" w:rsidP="00B63FF7"/>
    <w:p w14:paraId="3CAE58D1" w14:textId="26049E1C" w:rsidR="00687ED2" w:rsidRDefault="00687ED2" w:rsidP="00B63FF7">
      <w:r>
        <w:t>FSANZ (2021) Application A1190: 2′-FL and LNnT in infant formula and other prod</w:t>
      </w:r>
      <w:r>
        <w:lastRenderedPageBreak/>
        <w:t xml:space="preserve">ucts. Supporting Document 1 at First Call for Submissions. Risk and safety assessment. Food Standards Australia New Zealand, Canberra, Australia. </w:t>
      </w:r>
      <w:hyperlink r:id="rId43" w:history="1">
        <w:r w:rsidRPr="00A223BD">
          <w:rPr>
            <w:rStyle w:val="Hyperlink"/>
          </w:rPr>
          <w:t>https://www.foodstandards.gov.au/code/applications/Documents/A1190_SD1.pdf</w:t>
        </w:r>
      </w:hyperlink>
      <w:r>
        <w:t xml:space="preserve"> </w:t>
      </w:r>
    </w:p>
    <w:p w14:paraId="2622209A" w14:textId="4B3BE40E" w:rsidR="00F66DD7" w:rsidRDefault="00F66DD7" w:rsidP="00B63FF7"/>
    <w:p w14:paraId="3D588B8F" w14:textId="0599BA6D" w:rsidR="003D0C97" w:rsidRDefault="00F66DD7" w:rsidP="00F66DD7">
      <w:r w:rsidRPr="00F66DD7">
        <w:t>Grabarics</w:t>
      </w:r>
      <w:r w:rsidR="00844F4C">
        <w:t xml:space="preserve"> M, Csernák O, Balogh R, Béni S (2017)</w:t>
      </w:r>
      <w:r w:rsidRPr="00F66DD7">
        <w:t xml:space="preserve"> Analytical characterization of human milk oligosaccharides - potential applications in pharmaceutical analysis. </w:t>
      </w:r>
      <w:r w:rsidR="00E7380F" w:rsidRPr="00E7380F">
        <w:t xml:space="preserve">Journal of Pharmaceutical and Biomedical Analysis </w:t>
      </w:r>
      <w:r w:rsidRPr="00F66DD7">
        <w:t>146:168-178. d</w:t>
      </w:r>
      <w:r>
        <w:t xml:space="preserve">oi: </w:t>
      </w:r>
      <w:hyperlink r:id="rId44" w:history="1">
        <w:r w:rsidRPr="00561499">
          <w:rPr>
            <w:rStyle w:val="Hyperlink"/>
          </w:rPr>
          <w:t>https://doi.org/10.1016/j.jpba.2017.08.039</w:t>
        </w:r>
      </w:hyperlink>
    </w:p>
    <w:p w14:paraId="471430E0" w14:textId="77777777" w:rsidR="00F66DD7" w:rsidRDefault="00F66DD7" w:rsidP="00F66DD7"/>
    <w:p w14:paraId="479502E0" w14:textId="4C39EDFB" w:rsidR="009D5112" w:rsidRDefault="009D5112" w:rsidP="009D5112">
      <w:pPr>
        <w:pStyle w:val="CitaviBibliographyEntry"/>
        <w:ind w:left="0" w:firstLine="0"/>
      </w:pPr>
      <w:r>
        <w:t xml:space="preserve">Huang C-J, Lin H, Yang X (2012) Industrial production of recombinant therapeutics in Escherichia coli and its recent advancements. </w:t>
      </w:r>
      <w:r w:rsidR="00E7380F" w:rsidRPr="00E7380F">
        <w:t xml:space="preserve">The Journal of Industrial Microbiology and Biotechnology </w:t>
      </w:r>
      <w:r>
        <w:t xml:space="preserve">39:383–399. doi: </w:t>
      </w:r>
      <w:hyperlink r:id="rId45" w:history="1">
        <w:r w:rsidR="007A2220" w:rsidRPr="00335449">
          <w:rPr>
            <w:rStyle w:val="Hyperlink"/>
          </w:rPr>
          <w:t>https://doi.org/10.1007/s10295-011-1082-9</w:t>
        </w:r>
      </w:hyperlink>
      <w:r w:rsidR="007A2220">
        <w:t xml:space="preserve"> </w:t>
      </w:r>
    </w:p>
    <w:p w14:paraId="6165A289" w14:textId="6E7A0750" w:rsidR="009D5112" w:rsidRDefault="009D5112" w:rsidP="009D5112">
      <w:pPr>
        <w:pStyle w:val="CitaviBibliographyEntry"/>
        <w:ind w:left="0" w:firstLine="0"/>
      </w:pPr>
    </w:p>
    <w:p w14:paraId="1604DB30" w14:textId="77777777" w:rsidR="009D5112" w:rsidRDefault="009D5112" w:rsidP="009D5112">
      <w:pPr>
        <w:pStyle w:val="CitaviBibliographyEntry"/>
        <w:ind w:left="0" w:firstLine="0"/>
      </w:pPr>
      <w:r>
        <w:t>JECFA (1991) Evaluation of certain food additives and contaminants. Thirty-seventh report of the Joint FAO/WHO Expert Committee on Food Additives. World Health Organization Technical Report No. 806</w:t>
      </w:r>
    </w:p>
    <w:p w14:paraId="535975B6" w14:textId="77777777" w:rsidR="009D5112" w:rsidRDefault="009D5112" w:rsidP="009D5112">
      <w:pPr>
        <w:pStyle w:val="CitaviBibliographyEntry"/>
        <w:ind w:left="0" w:firstLine="0"/>
      </w:pPr>
    </w:p>
    <w:p w14:paraId="2A05A694" w14:textId="1FD43E13" w:rsidR="009D5112" w:rsidRDefault="009D5112" w:rsidP="009D5112">
      <w:pPr>
        <w:pStyle w:val="CitaviBibliographyEntry"/>
        <w:ind w:left="0" w:firstLine="0"/>
      </w:pPr>
      <w:bookmarkStart w:id="200" w:name="_CTVL001e1d804b440ed4a7b9c22eff4377166b5"/>
      <w:r>
        <w:t>Jozala AF, Geraldes DC, Tundisi LL, Feitosa VdA, Breyer CA, Cardoso SL, Mazzola PG, Oliveira-Nascimento Ld, Rangel-Yagui CdO, Magalhães PdO, Oliveira MAd, Pessoa A (2016) Biopharmaceuticals from microorganisms: From production to purification.</w:t>
      </w:r>
      <w:r w:rsidR="00E7380F">
        <w:t xml:space="preserve"> </w:t>
      </w:r>
      <w:r w:rsidR="00E7380F" w:rsidRPr="00E7380F">
        <w:t>Brazilian Journal of Microbiology</w:t>
      </w:r>
      <w:r>
        <w:t xml:space="preserve"> 47 Suppl 1:51–63. doi: </w:t>
      </w:r>
      <w:hyperlink r:id="rId46" w:history="1">
        <w:r w:rsidR="007A2220" w:rsidRPr="00335449">
          <w:rPr>
            <w:rStyle w:val="Hyperlink"/>
          </w:rPr>
          <w:t>https://doi.org/10.1016/j.bjm.2016.10.007</w:t>
        </w:r>
      </w:hyperlink>
      <w:r w:rsidR="007A2220">
        <w:t xml:space="preserve">  </w:t>
      </w:r>
    </w:p>
    <w:bookmarkEnd w:id="200"/>
    <w:p w14:paraId="35D43EFA" w14:textId="46919CB8" w:rsidR="009D5112" w:rsidRDefault="009D5112" w:rsidP="00F66DD7">
      <w:pPr>
        <w:pStyle w:val="CitaviBibliographyEntry"/>
        <w:ind w:left="0" w:firstLine="0"/>
      </w:pPr>
    </w:p>
    <w:p w14:paraId="49D096F2" w14:textId="5DBFE580" w:rsidR="00E7380F" w:rsidRDefault="00E7380F" w:rsidP="009D5112">
      <w:pPr>
        <w:pStyle w:val="CitaviBibliographyEntry"/>
        <w:ind w:left="0" w:firstLine="0"/>
      </w:pPr>
      <w:r>
        <w:t>Li J, Mandal G, and Rosen BP</w:t>
      </w:r>
      <w:r w:rsidR="009D5112" w:rsidRPr="001A54C3">
        <w:t xml:space="preserve">, 2016. Expression of arsenic resistance genes in the obligate anaerobe </w:t>
      </w:r>
      <w:r w:rsidR="009D5112" w:rsidRPr="006667E4">
        <w:rPr>
          <w:i/>
        </w:rPr>
        <w:t>Bacteroides vulgatus</w:t>
      </w:r>
      <w:r w:rsidR="009D5112" w:rsidRPr="001A54C3">
        <w:t xml:space="preserve"> ATCC 8482, a gut microbiome bacterium. </w:t>
      </w:r>
      <w:r w:rsidRPr="00E7380F">
        <w:t>Anaerobe</w:t>
      </w:r>
      <w:r w:rsidR="00844F4C" w:rsidRPr="00E7380F">
        <w:t xml:space="preserve"> 39:</w:t>
      </w:r>
      <w:r w:rsidR="009D5112" w:rsidRPr="00E7380F">
        <w:t>117-123.</w:t>
      </w:r>
      <w:r>
        <w:t xml:space="preserve"> doi</w:t>
      </w:r>
      <w:r w:rsidRPr="00E7380F">
        <w:t xml:space="preserve">: </w:t>
      </w:r>
      <w:hyperlink r:id="rId47" w:history="1">
        <w:r w:rsidRPr="00335449">
          <w:rPr>
            <w:rStyle w:val="Hyperlink"/>
          </w:rPr>
          <w:t>http://doi.org/10.1016/j.anaerobe.2016.03.012</w:t>
        </w:r>
      </w:hyperlink>
      <w:r>
        <w:t xml:space="preserve"> </w:t>
      </w:r>
    </w:p>
    <w:p w14:paraId="4CAE17E8" w14:textId="43868ECE" w:rsidR="00687ED2" w:rsidRDefault="00E7380F" w:rsidP="00E7380F">
      <w:pPr>
        <w:pStyle w:val="CitaviBibliographyEntry"/>
        <w:ind w:left="0" w:firstLine="0"/>
      </w:pPr>
      <w:r>
        <w:t xml:space="preserve">  </w:t>
      </w:r>
    </w:p>
    <w:p w14:paraId="4D57B65E" w14:textId="25743CE7" w:rsidR="00D83630" w:rsidRDefault="00D83630" w:rsidP="00B63FF7">
      <w:r>
        <w:t>NFU (2016) 2’-Fucosyllactose. Assessment of safety for the consumer, in accordance with European Regulation 258/97 concerning novel foods and novel food ingredients. Novel Foods Unit, Medicine Evaluation Board Agency, Netherlands.</w:t>
      </w:r>
    </w:p>
    <w:p w14:paraId="6E9E71AC" w14:textId="77777777" w:rsidR="00D83630" w:rsidRDefault="00D83630" w:rsidP="00B63FF7"/>
    <w:p w14:paraId="4D8656CB" w14:textId="4224B4C8" w:rsidR="00FA1069" w:rsidRDefault="00FA1069" w:rsidP="00B63FF7">
      <w:r>
        <w:t xml:space="preserve">Nowak-Wegrzyn A, Czerkies L, Reyes K, Collins B and Heine RG (2019) Confirmed Hypoallergenicity of a Novel Whey-Based Extensively Hydrolyzed Infant Formula Containing Two Human Milk Oligosaccharides. </w:t>
      </w:r>
      <w:r w:rsidR="00E7380F" w:rsidRPr="00E7380F">
        <w:t>Nutrients</w:t>
      </w:r>
      <w:r w:rsidR="00844F4C" w:rsidRPr="00E7380F">
        <w:t xml:space="preserve"> 11:</w:t>
      </w:r>
      <w:r w:rsidRPr="00E7380F">
        <w:t>1</w:t>
      </w:r>
      <w:r w:rsidR="00E7380F" w:rsidRPr="00E7380F">
        <w:t>447.</w:t>
      </w:r>
      <w:r w:rsidRPr="00E7380F">
        <w:t xml:space="preserve"> doi:</w:t>
      </w:r>
      <w:r w:rsidR="007A2220">
        <w:t xml:space="preserve"> </w:t>
      </w:r>
      <w:hyperlink r:id="rId48" w:history="1">
        <w:r w:rsidR="007A2220" w:rsidRPr="00335449">
          <w:rPr>
            <w:rStyle w:val="Hyperlink"/>
          </w:rPr>
          <w:t>http://doi.org/10.3390/nu11071447</w:t>
        </w:r>
      </w:hyperlink>
      <w:r w:rsidR="007A2220">
        <w:t xml:space="preserve"> </w:t>
      </w:r>
      <w:r>
        <w:t xml:space="preserve"> </w:t>
      </w:r>
    </w:p>
    <w:p w14:paraId="20E7B911" w14:textId="27541279" w:rsidR="009D5112" w:rsidRDefault="009D5112" w:rsidP="00B63FF7"/>
    <w:p w14:paraId="2609C80F" w14:textId="73DA7F60" w:rsidR="00F66DD7" w:rsidRDefault="00F66DD7" w:rsidP="00F66DD7">
      <w:r w:rsidRPr="00F66DD7">
        <w:t>Ruhaak</w:t>
      </w:r>
      <w:r>
        <w:t xml:space="preserve"> L. Renee</w:t>
      </w:r>
      <w:r w:rsidRPr="00F66DD7">
        <w:t>, Lebrilla</w:t>
      </w:r>
      <w:r>
        <w:t xml:space="preserve"> </w:t>
      </w:r>
      <w:r w:rsidRPr="00F66DD7">
        <w:t xml:space="preserve">Carlito B., Advances in Analysis of Human Milk Oligosaccharides, Advances in Nutrition, Volume 3, Issue 3, May 2012, Pages 406S–414S, </w:t>
      </w:r>
      <w:hyperlink r:id="rId49" w:history="1">
        <w:r w:rsidRPr="00561499">
          <w:rPr>
            <w:rStyle w:val="Hyperlink"/>
          </w:rPr>
          <w:t>https://doi.org/10.3945/an.112.001883</w:t>
        </w:r>
      </w:hyperlink>
    </w:p>
    <w:p w14:paraId="5F55759C" w14:textId="77777777" w:rsidR="00F66DD7" w:rsidRDefault="00F66DD7" w:rsidP="00B63FF7"/>
    <w:p w14:paraId="05F6E328" w14:textId="4A2021CE" w:rsidR="009D5112" w:rsidRDefault="009D5112" w:rsidP="009D5112">
      <w:pPr>
        <w:pStyle w:val="CitaviBibliographyEntry"/>
        <w:ind w:left="0" w:firstLine="0"/>
      </w:pPr>
      <w:r>
        <w:t xml:space="preserve">Sahl JW, Morris CR, Rasko DA (2013) Comparative genomics of pathogenic </w:t>
      </w:r>
      <w:r w:rsidRPr="00085475">
        <w:rPr>
          <w:i/>
        </w:rPr>
        <w:t>Escherichia coli</w:t>
      </w:r>
      <w:r w:rsidRPr="00085475">
        <w:t xml:space="preserve">. In: Donnenberg MS (ed) </w:t>
      </w:r>
      <w:r w:rsidRPr="00085475">
        <w:rPr>
          <w:i/>
        </w:rPr>
        <w:t>Escherichia coli</w:t>
      </w:r>
      <w:r w:rsidRPr="00085475">
        <w:t>:</w:t>
      </w:r>
      <w:r w:rsidRPr="00085475">
        <w:rPr>
          <w:i/>
        </w:rPr>
        <w:t xml:space="preserve"> </w:t>
      </w:r>
      <w:r w:rsidRPr="00085475">
        <w:t>Pathotypes and principles of pathogenesis, 2nd edition. Academic Press, Amsterdam, pp 21–43</w:t>
      </w:r>
    </w:p>
    <w:p w14:paraId="4DBDC88E" w14:textId="0BC0931B" w:rsidR="00FF560A" w:rsidRDefault="00FF560A" w:rsidP="009D5112">
      <w:pPr>
        <w:pStyle w:val="CitaviBibliographyEntry"/>
        <w:ind w:left="0" w:firstLine="0"/>
      </w:pPr>
    </w:p>
    <w:p w14:paraId="3C9BC862" w14:textId="24EB3571" w:rsidR="003455E8" w:rsidRDefault="00FF560A" w:rsidP="00FF560A">
      <w:pPr>
        <w:pStyle w:val="CitaviBibliographyEntry"/>
        <w:ind w:left="0" w:firstLine="0"/>
      </w:pPr>
      <w:r>
        <w:t xml:space="preserve">Thurl S, Müller-Werner B, Sawatzki G (1996) Quantification of individual oligosaccharide compounds from human milk </w:t>
      </w:r>
      <w:r w:rsidRPr="00E7380F">
        <w:t>using high-pH anion-exchange chromatography</w:t>
      </w:r>
      <w:r w:rsidR="00844F4C" w:rsidRPr="00E7380F">
        <w:t xml:space="preserve">. </w:t>
      </w:r>
      <w:r w:rsidR="00E7380F" w:rsidRPr="00E7380F">
        <w:t xml:space="preserve">Analytical Biochemistry </w:t>
      </w:r>
      <w:r w:rsidR="00844F4C" w:rsidRPr="00E7380F">
        <w:t>235</w:t>
      </w:r>
      <w:r w:rsidRPr="00E7380F">
        <w:t>:202-206</w:t>
      </w:r>
      <w:r w:rsidR="00E7380F" w:rsidRPr="00E7380F">
        <w:t xml:space="preserve">. </w:t>
      </w:r>
      <w:r w:rsidR="00E7380F">
        <w:t xml:space="preserve">doi: </w:t>
      </w:r>
      <w:hyperlink r:id="rId50" w:tgtFrame="_blank" w:tooltip="Persistent link using digital object identifier" w:history="1">
        <w:r w:rsidR="00E7380F">
          <w:rPr>
            <w:rStyle w:val="Hyperlink"/>
            <w:color w:val="E9711C"/>
            <w:sz w:val="21"/>
            <w:szCs w:val="21"/>
          </w:rPr>
          <w:t>https://doi.org/10.1006/abio.1996.0113</w:t>
        </w:r>
      </w:hyperlink>
    </w:p>
    <w:p w14:paraId="089D6347" w14:textId="77777777" w:rsidR="00FF560A" w:rsidRDefault="00FF560A" w:rsidP="00FF560A">
      <w:pPr>
        <w:pStyle w:val="CitaviBibliographyEntry"/>
        <w:ind w:left="0" w:firstLine="0"/>
      </w:pPr>
    </w:p>
    <w:p w14:paraId="62A6EB02" w14:textId="079835A0" w:rsidR="003455E8" w:rsidRDefault="003455E8" w:rsidP="00B63FF7">
      <w:r>
        <w:t>Triskelion (2016) 14-day oral (diet) dose-range finding study in male rats with 2′-fucosyllactose. Study report V20880/1. Triskelion B.V., Zeist, The Netherlands. Unpublished</w:t>
      </w:r>
      <w:r w:rsidR="00306B51">
        <w:t>.</w:t>
      </w:r>
    </w:p>
    <w:p w14:paraId="6B100B34" w14:textId="6D63A446" w:rsidR="00B31096" w:rsidRDefault="00B31096" w:rsidP="00B63FF7"/>
    <w:p w14:paraId="6552FC75" w14:textId="77777777" w:rsidR="00B31096" w:rsidRDefault="00B31096" w:rsidP="00B31096">
      <w:r>
        <w:t>van Berlo D, Wallinga A, van Acker F, Delsing D (2018) Safety assessment of</w:t>
      </w:r>
    </w:p>
    <w:p w14:paraId="3BAC09B1" w14:textId="77777777" w:rsidR="00B31096" w:rsidRDefault="00B31096" w:rsidP="00B31096">
      <w:r>
        <w:t>biotechnologically produced 2′-Fucosyllactose, a novel food additive. Food and Chemical</w:t>
      </w:r>
    </w:p>
    <w:p w14:paraId="3B4AA089" w14:textId="0DEE1E83" w:rsidR="009D5112" w:rsidRPr="00E203C2" w:rsidRDefault="00B31096" w:rsidP="00B31096">
      <w:r>
        <w:t xml:space="preserve">Toxicology </w:t>
      </w:r>
      <w:r w:rsidRPr="0022233C">
        <w:t>118:84-93.</w:t>
      </w:r>
      <w:r>
        <w:t xml:space="preserve"> doi: </w:t>
      </w:r>
      <w:hyperlink r:id="rId51" w:history="1">
        <w:r w:rsidR="007A2220" w:rsidRPr="00335449">
          <w:rPr>
            <w:rStyle w:val="Hyperlink"/>
          </w:rPr>
          <w:t>https://doi.org/10.1016/j.fct.2018.04.049</w:t>
        </w:r>
      </w:hyperlink>
      <w:r w:rsidR="007A2220">
        <w:t xml:space="preserve"> </w:t>
      </w:r>
    </w:p>
    <w:sectPr w:rsidR="009D5112" w:rsidRPr="00E203C2"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4A294" w14:textId="77777777" w:rsidR="00265D78" w:rsidRDefault="00265D78">
      <w:r>
        <w:separator/>
      </w:r>
    </w:p>
  </w:endnote>
  <w:endnote w:type="continuationSeparator" w:id="0">
    <w:p w14:paraId="6C07A2C6" w14:textId="77777777" w:rsidR="00265D78" w:rsidRDefault="00265D78">
      <w:r>
        <w:continuationSeparator/>
      </w:r>
    </w:p>
  </w:endnote>
  <w:endnote w:type="continuationNotice" w:id="1">
    <w:p w14:paraId="1E17E1B0" w14:textId="77777777" w:rsidR="00265D78" w:rsidRDefault="00265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MSDDRU+Calibr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4EC74F35" w:rsidR="00265D78" w:rsidRDefault="00265D78" w:rsidP="00410B2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265D78" w:rsidRDefault="00265D78" w:rsidP="00866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5107" w14:textId="4DA5759B" w:rsidR="00265D78" w:rsidRDefault="00265D7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6F97">
      <w:rPr>
        <w:rStyle w:val="PageNumber"/>
        <w:noProof/>
      </w:rPr>
      <w:t>i</w:t>
    </w:r>
    <w:r>
      <w:rPr>
        <w:rStyle w:val="PageNumber"/>
      </w:rPr>
      <w:fldChar w:fldCharType="end"/>
    </w:r>
  </w:p>
  <w:p w14:paraId="7C4636D5" w14:textId="77777777" w:rsidR="00265D78" w:rsidRDefault="00265D78" w:rsidP="00866F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2E94E" w14:textId="77777777" w:rsidR="00265D78" w:rsidRDefault="00265D78">
      <w:r>
        <w:separator/>
      </w:r>
    </w:p>
  </w:footnote>
  <w:footnote w:type="continuationSeparator" w:id="0">
    <w:p w14:paraId="5B023A4C" w14:textId="77777777" w:rsidR="00265D78" w:rsidRDefault="00265D78">
      <w:r>
        <w:continuationSeparator/>
      </w:r>
    </w:p>
  </w:footnote>
  <w:footnote w:type="continuationNotice" w:id="1">
    <w:p w14:paraId="6D68EAFB" w14:textId="77777777" w:rsidR="00265D78" w:rsidRDefault="00265D78"/>
  </w:footnote>
  <w:footnote w:id="2">
    <w:p w14:paraId="44695FBB" w14:textId="2024ECBD" w:rsidR="00265D78" w:rsidRPr="005B70AD" w:rsidRDefault="00265D78">
      <w:pPr>
        <w:pStyle w:val="FootnoteText"/>
        <w:rPr>
          <w:lang w:val="en-AU"/>
        </w:rPr>
      </w:pPr>
      <w:r w:rsidRPr="005B70AD">
        <w:rPr>
          <w:rStyle w:val="FootnoteReference"/>
          <w:sz w:val="18"/>
        </w:rPr>
        <w:footnoteRef/>
      </w:r>
      <w:r w:rsidRPr="005B70AD">
        <w:rPr>
          <w:sz w:val="18"/>
        </w:rPr>
        <w:t xml:space="preserve"> International Organization for Standardization</w:t>
      </w:r>
    </w:p>
  </w:footnote>
  <w:footnote w:id="3">
    <w:p w14:paraId="18633EDF" w14:textId="26E19AAC" w:rsidR="00265D78" w:rsidRPr="00844F4C" w:rsidRDefault="00265D78" w:rsidP="008742E9">
      <w:pPr>
        <w:pStyle w:val="FootnoteText"/>
      </w:pPr>
      <w:r>
        <w:rPr>
          <w:rStyle w:val="FootnoteReference"/>
        </w:rPr>
        <w:footnoteRef/>
      </w:r>
      <w:r>
        <w:t xml:space="preserve"> </w:t>
      </w:r>
      <w:hyperlink r:id="rId1" w:history="1">
        <w:r>
          <w:rPr>
            <w:rStyle w:val="Hyperlink"/>
          </w:rPr>
          <w:t>NIH Guidelines for Research Involving Recombinant or Synthetic Nucleic Acid Molecules (NIH Guidelines) - April 2019</w:t>
        </w:r>
      </w:hyperlink>
    </w:p>
  </w:footnote>
  <w:footnote w:id="4">
    <w:p w14:paraId="5A88F7BF" w14:textId="4C5223F5" w:rsidR="00265D78" w:rsidRPr="001A54C3" w:rsidRDefault="00265D78">
      <w:pPr>
        <w:pStyle w:val="FootnoteText"/>
        <w:rPr>
          <w:lang w:val="en-AU"/>
        </w:rPr>
      </w:pPr>
      <w:r>
        <w:rPr>
          <w:rStyle w:val="FootnoteReference"/>
        </w:rPr>
        <w:footnoteRef/>
      </w:r>
      <w:r>
        <w:t xml:space="preserve"> </w:t>
      </w:r>
      <w:hyperlink r:id="rId2" w:history="1">
        <w:r w:rsidRPr="0045443D">
          <w:rPr>
            <w:rStyle w:val="Hyperlink"/>
            <w:iCs/>
          </w:rPr>
          <w:t>E</w:t>
        </w:r>
        <w:r>
          <w:rPr>
            <w:rStyle w:val="Hyperlink"/>
            <w:iCs/>
          </w:rPr>
          <w:t xml:space="preserve">uropean </w:t>
        </w:r>
        <w:r w:rsidRPr="0045443D">
          <w:rPr>
            <w:rStyle w:val="Hyperlink"/>
            <w:iCs/>
          </w:rPr>
          <w:t>U</w:t>
        </w:r>
        <w:r>
          <w:rPr>
            <w:rStyle w:val="Hyperlink"/>
            <w:iCs/>
          </w:rPr>
          <w:t>nion</w:t>
        </w:r>
        <w:r w:rsidRPr="0045443D">
          <w:rPr>
            <w:rStyle w:val="Hyperlink"/>
            <w:iCs/>
          </w:rPr>
          <w:t xml:space="preserve"> (2019)</w:t>
        </w:r>
      </w:hyperlink>
      <w:r>
        <w:rPr>
          <w:rStyle w:val="Hyperlink"/>
          <w:iCs/>
        </w:rPr>
        <w:t xml:space="preserve"> </w:t>
      </w:r>
    </w:p>
  </w:footnote>
  <w:footnote w:id="5">
    <w:p w14:paraId="52A49758" w14:textId="1429A199" w:rsidR="00265D78" w:rsidRPr="00FE5B93" w:rsidRDefault="00265D78">
      <w:pPr>
        <w:pStyle w:val="FootnoteText"/>
        <w:rPr>
          <w:lang w:val="en-AU"/>
        </w:rPr>
      </w:pPr>
      <w:r>
        <w:rPr>
          <w:rStyle w:val="FootnoteReference"/>
        </w:rPr>
        <w:footnoteRef/>
      </w:r>
      <w:r>
        <w:t xml:space="preserve"> </w:t>
      </w:r>
      <w:r>
        <w:rPr>
          <w:lang w:val="en-AU"/>
        </w:rPr>
        <w:t xml:space="preserve">GRAS Notice (GRN) 735; details available at the US FDA’s </w:t>
      </w:r>
      <w:hyperlink r:id="rId3" w:history="1">
        <w:r w:rsidRPr="00FE5B93">
          <w:rPr>
            <w:rStyle w:val="Hyperlink"/>
            <w:lang w:val="en-AU"/>
          </w:rPr>
          <w:t>GRAS Notice Inventory</w:t>
        </w:r>
      </w:hyperlink>
    </w:p>
  </w:footnote>
  <w:footnote w:id="6">
    <w:p w14:paraId="57400949" w14:textId="77777777" w:rsidR="00265D78" w:rsidRPr="001C7F96" w:rsidRDefault="00265D78" w:rsidP="00B409E9">
      <w:pPr>
        <w:pStyle w:val="FootnoteText"/>
        <w:rPr>
          <w:lang w:val="en-AU"/>
        </w:rPr>
      </w:pPr>
      <w:r>
        <w:rPr>
          <w:rStyle w:val="FootnoteReference"/>
        </w:rPr>
        <w:footnoteRef/>
      </w:r>
      <w:r>
        <w:t xml:space="preserve"> </w:t>
      </w:r>
      <w:hyperlink r:id="rId4" w:history="1">
        <w:r w:rsidRPr="00C76FEE">
          <w:rPr>
            <w:rStyle w:val="Hyperlink"/>
            <w:sz w:val="16"/>
          </w:rPr>
          <w:t>https://foodregulation.gov.au/internet/fr/publishing.nsf/Content/forum-communique-2020-November27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1FB8C988" w:rsidR="00265D78" w:rsidRDefault="00265D7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51561C7"/>
    <w:multiLevelType w:val="hybridMultilevel"/>
    <w:tmpl w:val="C5E68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7F3A194B"/>
    <w:multiLevelType w:val="multilevel"/>
    <w:tmpl w:val="0CE644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0"/>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76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06CDB"/>
    <w:rsid w:val="00027AEA"/>
    <w:rsid w:val="00034942"/>
    <w:rsid w:val="00035FF3"/>
    <w:rsid w:val="00036D7F"/>
    <w:rsid w:val="00041D8E"/>
    <w:rsid w:val="00051021"/>
    <w:rsid w:val="00051ED9"/>
    <w:rsid w:val="00053DA8"/>
    <w:rsid w:val="00057181"/>
    <w:rsid w:val="0006473A"/>
    <w:rsid w:val="00064B2D"/>
    <w:rsid w:val="00065F1F"/>
    <w:rsid w:val="000721F7"/>
    <w:rsid w:val="00073F3C"/>
    <w:rsid w:val="00076D33"/>
    <w:rsid w:val="0008264B"/>
    <w:rsid w:val="000928E2"/>
    <w:rsid w:val="00092CDA"/>
    <w:rsid w:val="00094E5F"/>
    <w:rsid w:val="00095540"/>
    <w:rsid w:val="000A27E9"/>
    <w:rsid w:val="000A3D8B"/>
    <w:rsid w:val="000A5DF8"/>
    <w:rsid w:val="000B272F"/>
    <w:rsid w:val="000B3427"/>
    <w:rsid w:val="000B4664"/>
    <w:rsid w:val="000B6AF2"/>
    <w:rsid w:val="000C6A0A"/>
    <w:rsid w:val="000C77D7"/>
    <w:rsid w:val="000D483B"/>
    <w:rsid w:val="000D6FD4"/>
    <w:rsid w:val="000E0144"/>
    <w:rsid w:val="000E0AE4"/>
    <w:rsid w:val="000E3DBC"/>
    <w:rsid w:val="000E7C54"/>
    <w:rsid w:val="000F0C40"/>
    <w:rsid w:val="000F20D7"/>
    <w:rsid w:val="000F3EA8"/>
    <w:rsid w:val="00113CE3"/>
    <w:rsid w:val="00117522"/>
    <w:rsid w:val="001457D4"/>
    <w:rsid w:val="00152CF3"/>
    <w:rsid w:val="001542D8"/>
    <w:rsid w:val="00160FD7"/>
    <w:rsid w:val="0016111C"/>
    <w:rsid w:val="00175A07"/>
    <w:rsid w:val="00177AB0"/>
    <w:rsid w:val="00180C41"/>
    <w:rsid w:val="00182C4C"/>
    <w:rsid w:val="0018382B"/>
    <w:rsid w:val="00184748"/>
    <w:rsid w:val="001908F5"/>
    <w:rsid w:val="00194A26"/>
    <w:rsid w:val="0019603E"/>
    <w:rsid w:val="00196E19"/>
    <w:rsid w:val="00197D8D"/>
    <w:rsid w:val="001A1A75"/>
    <w:rsid w:val="001A54C3"/>
    <w:rsid w:val="001A7E9A"/>
    <w:rsid w:val="001B247A"/>
    <w:rsid w:val="001B56C7"/>
    <w:rsid w:val="001C2697"/>
    <w:rsid w:val="001C27A3"/>
    <w:rsid w:val="001C45B5"/>
    <w:rsid w:val="001C5295"/>
    <w:rsid w:val="001D1D34"/>
    <w:rsid w:val="001D7C14"/>
    <w:rsid w:val="001E0491"/>
    <w:rsid w:val="001E09FA"/>
    <w:rsid w:val="001E1F13"/>
    <w:rsid w:val="001F072C"/>
    <w:rsid w:val="00203540"/>
    <w:rsid w:val="00207054"/>
    <w:rsid w:val="0021612B"/>
    <w:rsid w:val="0022083A"/>
    <w:rsid w:val="00221D07"/>
    <w:rsid w:val="00222320"/>
    <w:rsid w:val="0022233C"/>
    <w:rsid w:val="002239D1"/>
    <w:rsid w:val="0022438C"/>
    <w:rsid w:val="002272CB"/>
    <w:rsid w:val="00227E4A"/>
    <w:rsid w:val="00231B72"/>
    <w:rsid w:val="0024582E"/>
    <w:rsid w:val="00245C56"/>
    <w:rsid w:val="00253B5A"/>
    <w:rsid w:val="00254462"/>
    <w:rsid w:val="002547EF"/>
    <w:rsid w:val="002567EA"/>
    <w:rsid w:val="00256D65"/>
    <w:rsid w:val="00260062"/>
    <w:rsid w:val="00265D78"/>
    <w:rsid w:val="00266D3D"/>
    <w:rsid w:val="00271F00"/>
    <w:rsid w:val="00273A80"/>
    <w:rsid w:val="00281E51"/>
    <w:rsid w:val="00284C05"/>
    <w:rsid w:val="00291D81"/>
    <w:rsid w:val="0029204E"/>
    <w:rsid w:val="0029283D"/>
    <w:rsid w:val="00292896"/>
    <w:rsid w:val="0029631C"/>
    <w:rsid w:val="002A0194"/>
    <w:rsid w:val="002A3314"/>
    <w:rsid w:val="002A5F8B"/>
    <w:rsid w:val="002A7F6C"/>
    <w:rsid w:val="002B16AA"/>
    <w:rsid w:val="002C1DD2"/>
    <w:rsid w:val="002C51A3"/>
    <w:rsid w:val="002C63EF"/>
    <w:rsid w:val="002D26E2"/>
    <w:rsid w:val="002D3812"/>
    <w:rsid w:val="002D4463"/>
    <w:rsid w:val="002D5C3A"/>
    <w:rsid w:val="002D6809"/>
    <w:rsid w:val="002E0B41"/>
    <w:rsid w:val="002E6045"/>
    <w:rsid w:val="002F226C"/>
    <w:rsid w:val="002F6488"/>
    <w:rsid w:val="00300A80"/>
    <w:rsid w:val="00306B51"/>
    <w:rsid w:val="00320839"/>
    <w:rsid w:val="003213F9"/>
    <w:rsid w:val="00323DBF"/>
    <w:rsid w:val="00326D85"/>
    <w:rsid w:val="003309A8"/>
    <w:rsid w:val="0033159D"/>
    <w:rsid w:val="00332B12"/>
    <w:rsid w:val="003455E8"/>
    <w:rsid w:val="003500ED"/>
    <w:rsid w:val="00351B07"/>
    <w:rsid w:val="00352CF2"/>
    <w:rsid w:val="0035313F"/>
    <w:rsid w:val="00355E0F"/>
    <w:rsid w:val="003610B6"/>
    <w:rsid w:val="00364841"/>
    <w:rsid w:val="00365A0E"/>
    <w:rsid w:val="00371B29"/>
    <w:rsid w:val="00373743"/>
    <w:rsid w:val="0037413F"/>
    <w:rsid w:val="0037656B"/>
    <w:rsid w:val="003850D1"/>
    <w:rsid w:val="0038620D"/>
    <w:rsid w:val="00386EF0"/>
    <w:rsid w:val="00391769"/>
    <w:rsid w:val="003953E1"/>
    <w:rsid w:val="003956B3"/>
    <w:rsid w:val="003A028F"/>
    <w:rsid w:val="003A68BE"/>
    <w:rsid w:val="003B1805"/>
    <w:rsid w:val="003B3C9D"/>
    <w:rsid w:val="003B60A1"/>
    <w:rsid w:val="003B78E0"/>
    <w:rsid w:val="003C4969"/>
    <w:rsid w:val="003D0C97"/>
    <w:rsid w:val="003D2F97"/>
    <w:rsid w:val="003D5CD8"/>
    <w:rsid w:val="003E41D5"/>
    <w:rsid w:val="003E46BA"/>
    <w:rsid w:val="003E55AA"/>
    <w:rsid w:val="003E7D22"/>
    <w:rsid w:val="003F18B9"/>
    <w:rsid w:val="003F3BDB"/>
    <w:rsid w:val="003F74C1"/>
    <w:rsid w:val="004022D6"/>
    <w:rsid w:val="00405B1A"/>
    <w:rsid w:val="00410B27"/>
    <w:rsid w:val="00410C76"/>
    <w:rsid w:val="00411907"/>
    <w:rsid w:val="00411912"/>
    <w:rsid w:val="00411B79"/>
    <w:rsid w:val="004128B8"/>
    <w:rsid w:val="00413CA8"/>
    <w:rsid w:val="00417EE3"/>
    <w:rsid w:val="004207EB"/>
    <w:rsid w:val="00437276"/>
    <w:rsid w:val="00444114"/>
    <w:rsid w:val="004500AE"/>
    <w:rsid w:val="00452035"/>
    <w:rsid w:val="0045443D"/>
    <w:rsid w:val="00456B54"/>
    <w:rsid w:val="00464643"/>
    <w:rsid w:val="00471A3C"/>
    <w:rsid w:val="004761BA"/>
    <w:rsid w:val="004770C4"/>
    <w:rsid w:val="004855F1"/>
    <w:rsid w:val="00486793"/>
    <w:rsid w:val="00493288"/>
    <w:rsid w:val="00494FD0"/>
    <w:rsid w:val="004A2037"/>
    <w:rsid w:val="004A4E7A"/>
    <w:rsid w:val="004B4381"/>
    <w:rsid w:val="004C00C8"/>
    <w:rsid w:val="004C2CE7"/>
    <w:rsid w:val="004D6986"/>
    <w:rsid w:val="004E315E"/>
    <w:rsid w:val="004E6BA0"/>
    <w:rsid w:val="004F2DE5"/>
    <w:rsid w:val="004F35DD"/>
    <w:rsid w:val="004F4F98"/>
    <w:rsid w:val="004F69F6"/>
    <w:rsid w:val="004F79AC"/>
    <w:rsid w:val="005017CF"/>
    <w:rsid w:val="00502052"/>
    <w:rsid w:val="00505922"/>
    <w:rsid w:val="005106FA"/>
    <w:rsid w:val="005207D8"/>
    <w:rsid w:val="00521733"/>
    <w:rsid w:val="00522131"/>
    <w:rsid w:val="00524211"/>
    <w:rsid w:val="00526CC7"/>
    <w:rsid w:val="00531EF2"/>
    <w:rsid w:val="0053464E"/>
    <w:rsid w:val="0053535A"/>
    <w:rsid w:val="0054272D"/>
    <w:rsid w:val="00556F22"/>
    <w:rsid w:val="00562917"/>
    <w:rsid w:val="005755B3"/>
    <w:rsid w:val="0057615C"/>
    <w:rsid w:val="00586228"/>
    <w:rsid w:val="005940C3"/>
    <w:rsid w:val="005958CB"/>
    <w:rsid w:val="0059682A"/>
    <w:rsid w:val="005A0E09"/>
    <w:rsid w:val="005A1014"/>
    <w:rsid w:val="005A1D97"/>
    <w:rsid w:val="005A26AD"/>
    <w:rsid w:val="005A424E"/>
    <w:rsid w:val="005A58F3"/>
    <w:rsid w:val="005A6C0F"/>
    <w:rsid w:val="005B0BC9"/>
    <w:rsid w:val="005B45A8"/>
    <w:rsid w:val="005B6AF4"/>
    <w:rsid w:val="005B70AD"/>
    <w:rsid w:val="005B7A73"/>
    <w:rsid w:val="005C04CB"/>
    <w:rsid w:val="005C2D0B"/>
    <w:rsid w:val="005D16AD"/>
    <w:rsid w:val="005D3029"/>
    <w:rsid w:val="005D4D9D"/>
    <w:rsid w:val="005D72E1"/>
    <w:rsid w:val="005E6E16"/>
    <w:rsid w:val="005E7094"/>
    <w:rsid w:val="005F35F7"/>
    <w:rsid w:val="005F3A2D"/>
    <w:rsid w:val="005F400E"/>
    <w:rsid w:val="005F7342"/>
    <w:rsid w:val="00603A08"/>
    <w:rsid w:val="00610A3C"/>
    <w:rsid w:val="00624255"/>
    <w:rsid w:val="00627F48"/>
    <w:rsid w:val="00630C23"/>
    <w:rsid w:val="00636B84"/>
    <w:rsid w:val="00640177"/>
    <w:rsid w:val="0064078E"/>
    <w:rsid w:val="006460AB"/>
    <w:rsid w:val="00651E91"/>
    <w:rsid w:val="006630CC"/>
    <w:rsid w:val="00663FCF"/>
    <w:rsid w:val="006652A2"/>
    <w:rsid w:val="006664D4"/>
    <w:rsid w:val="006667E4"/>
    <w:rsid w:val="006671D8"/>
    <w:rsid w:val="0067586A"/>
    <w:rsid w:val="00680274"/>
    <w:rsid w:val="00680621"/>
    <w:rsid w:val="00687ED2"/>
    <w:rsid w:val="00690206"/>
    <w:rsid w:val="00691A43"/>
    <w:rsid w:val="006937FF"/>
    <w:rsid w:val="006A48A7"/>
    <w:rsid w:val="006A53F8"/>
    <w:rsid w:val="006A5B2B"/>
    <w:rsid w:val="006A657D"/>
    <w:rsid w:val="006B4BA1"/>
    <w:rsid w:val="006B5EBE"/>
    <w:rsid w:val="006C5CF5"/>
    <w:rsid w:val="006D5CCA"/>
    <w:rsid w:val="006F4A82"/>
    <w:rsid w:val="006F5F3A"/>
    <w:rsid w:val="0070373B"/>
    <w:rsid w:val="00710C50"/>
    <w:rsid w:val="00724FA4"/>
    <w:rsid w:val="00725CA3"/>
    <w:rsid w:val="00727728"/>
    <w:rsid w:val="00730800"/>
    <w:rsid w:val="007334D5"/>
    <w:rsid w:val="007602AA"/>
    <w:rsid w:val="007627C1"/>
    <w:rsid w:val="007652EF"/>
    <w:rsid w:val="00770795"/>
    <w:rsid w:val="00772BDC"/>
    <w:rsid w:val="007760FA"/>
    <w:rsid w:val="00780792"/>
    <w:rsid w:val="0078199B"/>
    <w:rsid w:val="00781A88"/>
    <w:rsid w:val="00782206"/>
    <w:rsid w:val="00782BB7"/>
    <w:rsid w:val="007856B7"/>
    <w:rsid w:val="00791FBE"/>
    <w:rsid w:val="00796562"/>
    <w:rsid w:val="007A2220"/>
    <w:rsid w:val="007A2A4E"/>
    <w:rsid w:val="007A44B4"/>
    <w:rsid w:val="007A69C9"/>
    <w:rsid w:val="007A7D3D"/>
    <w:rsid w:val="007B20E1"/>
    <w:rsid w:val="007B225D"/>
    <w:rsid w:val="007B494E"/>
    <w:rsid w:val="007C030B"/>
    <w:rsid w:val="007C174F"/>
    <w:rsid w:val="007C1C64"/>
    <w:rsid w:val="007C318E"/>
    <w:rsid w:val="007D03EA"/>
    <w:rsid w:val="007E1234"/>
    <w:rsid w:val="007E2B65"/>
    <w:rsid w:val="007E48BC"/>
    <w:rsid w:val="007E79F7"/>
    <w:rsid w:val="007F109C"/>
    <w:rsid w:val="007F23AA"/>
    <w:rsid w:val="007F3630"/>
    <w:rsid w:val="007F438D"/>
    <w:rsid w:val="008070FB"/>
    <w:rsid w:val="00807559"/>
    <w:rsid w:val="00816011"/>
    <w:rsid w:val="008231AA"/>
    <w:rsid w:val="00823DDD"/>
    <w:rsid w:val="00831918"/>
    <w:rsid w:val="008328EA"/>
    <w:rsid w:val="008362C3"/>
    <w:rsid w:val="0083672F"/>
    <w:rsid w:val="00844F4C"/>
    <w:rsid w:val="008450BC"/>
    <w:rsid w:val="00852DCD"/>
    <w:rsid w:val="0085334B"/>
    <w:rsid w:val="00856DC2"/>
    <w:rsid w:val="0085748A"/>
    <w:rsid w:val="00866F97"/>
    <w:rsid w:val="00870214"/>
    <w:rsid w:val="008723DE"/>
    <w:rsid w:val="008742E9"/>
    <w:rsid w:val="008773ED"/>
    <w:rsid w:val="00877548"/>
    <w:rsid w:val="00885C51"/>
    <w:rsid w:val="00885EB0"/>
    <w:rsid w:val="00891F4B"/>
    <w:rsid w:val="0089264A"/>
    <w:rsid w:val="00896B85"/>
    <w:rsid w:val="008A22BE"/>
    <w:rsid w:val="008C1B36"/>
    <w:rsid w:val="008C284C"/>
    <w:rsid w:val="008C4486"/>
    <w:rsid w:val="008C44D9"/>
    <w:rsid w:val="008D06C6"/>
    <w:rsid w:val="008E6250"/>
    <w:rsid w:val="008F2BF4"/>
    <w:rsid w:val="008F70E9"/>
    <w:rsid w:val="00902AF6"/>
    <w:rsid w:val="0090568B"/>
    <w:rsid w:val="00916D55"/>
    <w:rsid w:val="00920249"/>
    <w:rsid w:val="00924C80"/>
    <w:rsid w:val="00932F14"/>
    <w:rsid w:val="0094247F"/>
    <w:rsid w:val="00942AE8"/>
    <w:rsid w:val="00942D60"/>
    <w:rsid w:val="00952B23"/>
    <w:rsid w:val="0096373F"/>
    <w:rsid w:val="0096523B"/>
    <w:rsid w:val="00966EE3"/>
    <w:rsid w:val="00972D06"/>
    <w:rsid w:val="009744DB"/>
    <w:rsid w:val="00983EE7"/>
    <w:rsid w:val="009A189C"/>
    <w:rsid w:val="009A29EC"/>
    <w:rsid w:val="009A391C"/>
    <w:rsid w:val="009A4F96"/>
    <w:rsid w:val="009A50F2"/>
    <w:rsid w:val="009A5735"/>
    <w:rsid w:val="009A5B97"/>
    <w:rsid w:val="009C47A0"/>
    <w:rsid w:val="009D2DD2"/>
    <w:rsid w:val="009D33B3"/>
    <w:rsid w:val="009D5112"/>
    <w:rsid w:val="009D6A64"/>
    <w:rsid w:val="009D6F03"/>
    <w:rsid w:val="009E065C"/>
    <w:rsid w:val="009E0A61"/>
    <w:rsid w:val="009E3010"/>
    <w:rsid w:val="009F007E"/>
    <w:rsid w:val="009F3C6E"/>
    <w:rsid w:val="009F7065"/>
    <w:rsid w:val="00A01927"/>
    <w:rsid w:val="00A04C5B"/>
    <w:rsid w:val="00A22986"/>
    <w:rsid w:val="00A30418"/>
    <w:rsid w:val="00A4175D"/>
    <w:rsid w:val="00A42171"/>
    <w:rsid w:val="00A46EC1"/>
    <w:rsid w:val="00A54291"/>
    <w:rsid w:val="00A56BA4"/>
    <w:rsid w:val="00A56DC7"/>
    <w:rsid w:val="00A614E4"/>
    <w:rsid w:val="00A6671F"/>
    <w:rsid w:val="00A74FD1"/>
    <w:rsid w:val="00A765CA"/>
    <w:rsid w:val="00A77BFA"/>
    <w:rsid w:val="00A84A58"/>
    <w:rsid w:val="00A910E7"/>
    <w:rsid w:val="00AA2F27"/>
    <w:rsid w:val="00AC199C"/>
    <w:rsid w:val="00AD0495"/>
    <w:rsid w:val="00AD3945"/>
    <w:rsid w:val="00AE7261"/>
    <w:rsid w:val="00AF06FC"/>
    <w:rsid w:val="00AF3391"/>
    <w:rsid w:val="00AF387F"/>
    <w:rsid w:val="00AF3EA2"/>
    <w:rsid w:val="00B00E7F"/>
    <w:rsid w:val="00B12F1E"/>
    <w:rsid w:val="00B173DA"/>
    <w:rsid w:val="00B21DCC"/>
    <w:rsid w:val="00B25F37"/>
    <w:rsid w:val="00B30219"/>
    <w:rsid w:val="00B30A01"/>
    <w:rsid w:val="00B31096"/>
    <w:rsid w:val="00B3283B"/>
    <w:rsid w:val="00B35085"/>
    <w:rsid w:val="00B37BF0"/>
    <w:rsid w:val="00B409E9"/>
    <w:rsid w:val="00B44422"/>
    <w:rsid w:val="00B45F98"/>
    <w:rsid w:val="00B46EA0"/>
    <w:rsid w:val="00B4712E"/>
    <w:rsid w:val="00B47A17"/>
    <w:rsid w:val="00B51E0A"/>
    <w:rsid w:val="00B53D79"/>
    <w:rsid w:val="00B62822"/>
    <w:rsid w:val="00B63FF7"/>
    <w:rsid w:val="00B64F92"/>
    <w:rsid w:val="00B7157C"/>
    <w:rsid w:val="00B731D3"/>
    <w:rsid w:val="00B773E5"/>
    <w:rsid w:val="00B8127F"/>
    <w:rsid w:val="00B8263B"/>
    <w:rsid w:val="00B839A3"/>
    <w:rsid w:val="00B85ED4"/>
    <w:rsid w:val="00B902BD"/>
    <w:rsid w:val="00B96F65"/>
    <w:rsid w:val="00BA24E2"/>
    <w:rsid w:val="00BA3EFE"/>
    <w:rsid w:val="00BB6F00"/>
    <w:rsid w:val="00BC1C5A"/>
    <w:rsid w:val="00BD01CA"/>
    <w:rsid w:val="00BD2A39"/>
    <w:rsid w:val="00BD2E80"/>
    <w:rsid w:val="00BD3B5A"/>
    <w:rsid w:val="00BD4C0A"/>
    <w:rsid w:val="00BE11B8"/>
    <w:rsid w:val="00BF78CB"/>
    <w:rsid w:val="00BF7EB4"/>
    <w:rsid w:val="00BF7FF0"/>
    <w:rsid w:val="00C057F4"/>
    <w:rsid w:val="00C065CC"/>
    <w:rsid w:val="00C06B2F"/>
    <w:rsid w:val="00C11151"/>
    <w:rsid w:val="00C12502"/>
    <w:rsid w:val="00C21942"/>
    <w:rsid w:val="00C3304D"/>
    <w:rsid w:val="00C33BEF"/>
    <w:rsid w:val="00C36578"/>
    <w:rsid w:val="00C40AA5"/>
    <w:rsid w:val="00C46F70"/>
    <w:rsid w:val="00C476D0"/>
    <w:rsid w:val="00C51645"/>
    <w:rsid w:val="00C5346A"/>
    <w:rsid w:val="00C606A6"/>
    <w:rsid w:val="00C61AC1"/>
    <w:rsid w:val="00C62B38"/>
    <w:rsid w:val="00C62D89"/>
    <w:rsid w:val="00C62DFA"/>
    <w:rsid w:val="00C63744"/>
    <w:rsid w:val="00C74C9F"/>
    <w:rsid w:val="00C758F9"/>
    <w:rsid w:val="00C77181"/>
    <w:rsid w:val="00C77197"/>
    <w:rsid w:val="00C836E3"/>
    <w:rsid w:val="00C86577"/>
    <w:rsid w:val="00C865DA"/>
    <w:rsid w:val="00C92E07"/>
    <w:rsid w:val="00C9439D"/>
    <w:rsid w:val="00C96868"/>
    <w:rsid w:val="00CA0416"/>
    <w:rsid w:val="00CA641D"/>
    <w:rsid w:val="00CB3729"/>
    <w:rsid w:val="00CB4341"/>
    <w:rsid w:val="00CC560B"/>
    <w:rsid w:val="00CC5D5A"/>
    <w:rsid w:val="00CC75E2"/>
    <w:rsid w:val="00CD2100"/>
    <w:rsid w:val="00CD46EB"/>
    <w:rsid w:val="00CD7EBF"/>
    <w:rsid w:val="00CE5EB1"/>
    <w:rsid w:val="00CE7173"/>
    <w:rsid w:val="00CF430F"/>
    <w:rsid w:val="00D02E6B"/>
    <w:rsid w:val="00D056F1"/>
    <w:rsid w:val="00D11171"/>
    <w:rsid w:val="00D1380B"/>
    <w:rsid w:val="00D1485C"/>
    <w:rsid w:val="00D15CBB"/>
    <w:rsid w:val="00D22F3C"/>
    <w:rsid w:val="00D23DB6"/>
    <w:rsid w:val="00D43FE6"/>
    <w:rsid w:val="00D44261"/>
    <w:rsid w:val="00D462C4"/>
    <w:rsid w:val="00D51A95"/>
    <w:rsid w:val="00D60568"/>
    <w:rsid w:val="00D65599"/>
    <w:rsid w:val="00D66F68"/>
    <w:rsid w:val="00D70C7A"/>
    <w:rsid w:val="00D81D38"/>
    <w:rsid w:val="00D83630"/>
    <w:rsid w:val="00D84CC9"/>
    <w:rsid w:val="00D855FF"/>
    <w:rsid w:val="00D87210"/>
    <w:rsid w:val="00D9620E"/>
    <w:rsid w:val="00D97CDF"/>
    <w:rsid w:val="00DA10A8"/>
    <w:rsid w:val="00DA7D75"/>
    <w:rsid w:val="00DB1E08"/>
    <w:rsid w:val="00DB2973"/>
    <w:rsid w:val="00DB702F"/>
    <w:rsid w:val="00DC1B56"/>
    <w:rsid w:val="00DC2129"/>
    <w:rsid w:val="00DC6570"/>
    <w:rsid w:val="00DD05DB"/>
    <w:rsid w:val="00DD16BD"/>
    <w:rsid w:val="00DD312D"/>
    <w:rsid w:val="00DD3AD0"/>
    <w:rsid w:val="00DD3C5E"/>
    <w:rsid w:val="00DE2C66"/>
    <w:rsid w:val="00DF25C3"/>
    <w:rsid w:val="00DF51E2"/>
    <w:rsid w:val="00E04062"/>
    <w:rsid w:val="00E05F39"/>
    <w:rsid w:val="00E063C6"/>
    <w:rsid w:val="00E066BA"/>
    <w:rsid w:val="00E14313"/>
    <w:rsid w:val="00E2003B"/>
    <w:rsid w:val="00E203C2"/>
    <w:rsid w:val="00E279D8"/>
    <w:rsid w:val="00E319B1"/>
    <w:rsid w:val="00E43B92"/>
    <w:rsid w:val="00E44E0D"/>
    <w:rsid w:val="00E46486"/>
    <w:rsid w:val="00E5492F"/>
    <w:rsid w:val="00E61C90"/>
    <w:rsid w:val="00E62DEF"/>
    <w:rsid w:val="00E63762"/>
    <w:rsid w:val="00E65442"/>
    <w:rsid w:val="00E70A86"/>
    <w:rsid w:val="00E7380F"/>
    <w:rsid w:val="00E777EC"/>
    <w:rsid w:val="00E80FCD"/>
    <w:rsid w:val="00E927DD"/>
    <w:rsid w:val="00E92E8E"/>
    <w:rsid w:val="00E944DA"/>
    <w:rsid w:val="00E97796"/>
    <w:rsid w:val="00EA50F8"/>
    <w:rsid w:val="00EA7F2F"/>
    <w:rsid w:val="00EB5237"/>
    <w:rsid w:val="00EC00DE"/>
    <w:rsid w:val="00EC1A6C"/>
    <w:rsid w:val="00EC30E1"/>
    <w:rsid w:val="00EC67C9"/>
    <w:rsid w:val="00EC7769"/>
    <w:rsid w:val="00ED172A"/>
    <w:rsid w:val="00F04C1E"/>
    <w:rsid w:val="00F05F2A"/>
    <w:rsid w:val="00F0729C"/>
    <w:rsid w:val="00F11F6C"/>
    <w:rsid w:val="00F14BEC"/>
    <w:rsid w:val="00F225C5"/>
    <w:rsid w:val="00F2587A"/>
    <w:rsid w:val="00F26376"/>
    <w:rsid w:val="00F32B5D"/>
    <w:rsid w:val="00F3354F"/>
    <w:rsid w:val="00F3715D"/>
    <w:rsid w:val="00F420C8"/>
    <w:rsid w:val="00F42A4C"/>
    <w:rsid w:val="00F55B6C"/>
    <w:rsid w:val="00F56144"/>
    <w:rsid w:val="00F604DE"/>
    <w:rsid w:val="00F61F6C"/>
    <w:rsid w:val="00F66DD7"/>
    <w:rsid w:val="00F66DED"/>
    <w:rsid w:val="00F6754A"/>
    <w:rsid w:val="00F722B7"/>
    <w:rsid w:val="00F83B3B"/>
    <w:rsid w:val="00F963A9"/>
    <w:rsid w:val="00FA01B2"/>
    <w:rsid w:val="00FA1069"/>
    <w:rsid w:val="00FA6805"/>
    <w:rsid w:val="00FB7512"/>
    <w:rsid w:val="00FC574E"/>
    <w:rsid w:val="00FC61A6"/>
    <w:rsid w:val="00FD52AF"/>
    <w:rsid w:val="00FD7547"/>
    <w:rsid w:val="00FD761D"/>
    <w:rsid w:val="00FE554A"/>
    <w:rsid w:val="00FE5B93"/>
    <w:rsid w:val="00FF560A"/>
    <w:rsid w:val="00FF5F5C"/>
    <w:rsid w:val="00FF6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452E9F72"/>
  <w15:docId w15:val="{7A86A529-47B0-4D1B-9E46-B67203CA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99"/>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BC1C5A"/>
    <w:pPr>
      <w:keepNext/>
      <w:spacing w:before="240" w:after="240"/>
      <w:ind w:left="476" w:hanging="476"/>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BC1C5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uiPriority w:val="39"/>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Footnote Snez"/>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table" w:customStyle="1" w:styleId="Table">
    <w:name w:val="Table"/>
    <w:basedOn w:val="TableNormal"/>
    <w:uiPriority w:val="99"/>
    <w:rsid w:val="00B63FF7"/>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character" w:customStyle="1" w:styleId="FootnoteTextChar">
    <w:name w:val="Footnote Text Char"/>
    <w:aliases w:val="Footnotes Text Char,FSFootnotes Text Char,FSFootnote Text Char,Footnote Snez Char"/>
    <w:basedOn w:val="DefaultParagraphFont"/>
    <w:link w:val="FootnoteText"/>
    <w:rsid w:val="007C030B"/>
    <w:rPr>
      <w:rFonts w:ascii="Arial" w:hAnsi="Arial"/>
      <w:lang w:eastAsia="en-US" w:bidi="en-US"/>
    </w:rPr>
  </w:style>
  <w:style w:type="paragraph" w:styleId="CommentSubject">
    <w:name w:val="annotation subject"/>
    <w:basedOn w:val="CommentText"/>
    <w:next w:val="CommentText"/>
    <w:link w:val="CommentSubjectChar"/>
    <w:semiHidden/>
    <w:unhideWhenUsed/>
    <w:rsid w:val="009C47A0"/>
    <w:rPr>
      <w:b/>
      <w:bCs/>
    </w:rPr>
  </w:style>
  <w:style w:type="character" w:customStyle="1" w:styleId="CommentSubjectChar">
    <w:name w:val="Comment Subject Char"/>
    <w:basedOn w:val="CommentTextChar"/>
    <w:link w:val="CommentSubject"/>
    <w:semiHidden/>
    <w:rsid w:val="009C47A0"/>
    <w:rPr>
      <w:rFonts w:ascii="Arial" w:hAnsi="Arial"/>
      <w:b/>
      <w:bCs/>
      <w:lang w:eastAsia="en-US" w:bidi="en-US"/>
    </w:rPr>
  </w:style>
  <w:style w:type="table" w:styleId="ListTable1Light">
    <w:name w:val="List Table 1 Light"/>
    <w:basedOn w:val="TableNormal"/>
    <w:uiPriority w:val="46"/>
    <w:rsid w:val="00DE2C66"/>
    <w:rPr>
      <w:rFonts w:ascii="Arial" w:eastAsiaTheme="minorHAnsi" w:hAnsi="Arial" w:cs="Arial"/>
      <w:sz w:val="22"/>
      <w:szCs w:val="22"/>
      <w:lang w:val="en-AU"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8070FB"/>
    <w:pPr>
      <w:ind w:left="720"/>
      <w:contextualSpacing/>
    </w:pPr>
  </w:style>
  <w:style w:type="paragraph" w:customStyle="1" w:styleId="CitaviBibliographyEntry">
    <w:name w:val="Citavi Bibliography Entry"/>
    <w:basedOn w:val="Normal"/>
    <w:link w:val="CitaviBibliographyEntryChar"/>
    <w:rsid w:val="001A54C3"/>
    <w:pPr>
      <w:tabs>
        <w:tab w:val="left" w:pos="397"/>
      </w:tabs>
      <w:ind w:left="397" w:hanging="397"/>
    </w:pPr>
  </w:style>
  <w:style w:type="character" w:customStyle="1" w:styleId="CitaviBibliographyEntryChar">
    <w:name w:val="Citavi Bibliography Entry Char"/>
    <w:basedOn w:val="DefaultParagraphFont"/>
    <w:link w:val="CitaviBibliographyEntry"/>
    <w:rsid w:val="001A54C3"/>
    <w:rPr>
      <w:rFonts w:ascii="Arial" w:hAnsi="Arial"/>
      <w:sz w:val="22"/>
      <w:szCs w:val="24"/>
      <w:lang w:eastAsia="en-US" w:bidi="en-US"/>
    </w:rPr>
  </w:style>
  <w:style w:type="paragraph" w:customStyle="1" w:styleId="Default">
    <w:name w:val="Default"/>
    <w:rsid w:val="00C9439D"/>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494FD0"/>
    <w:rPr>
      <w:color w:val="808080"/>
    </w:rPr>
  </w:style>
  <w:style w:type="paragraph" w:styleId="NormalWeb">
    <w:name w:val="Normal (Web)"/>
    <w:basedOn w:val="Normal"/>
    <w:uiPriority w:val="99"/>
    <w:unhideWhenUsed/>
    <w:rsid w:val="007A69C9"/>
    <w:pPr>
      <w:widowControl/>
      <w:spacing w:before="100" w:beforeAutospacing="1" w:after="100" w:afterAutospacing="1"/>
    </w:pPr>
    <w:rPr>
      <w:rFonts w:ascii="Times New Roman" w:hAnsi="Times New Roman"/>
      <w:sz w:val="24"/>
      <w:lang w:eastAsia="en-GB" w:bidi="ar-SA"/>
    </w:rPr>
  </w:style>
  <w:style w:type="character" w:styleId="Emphasis">
    <w:name w:val="Emphasis"/>
    <w:basedOn w:val="DefaultParagraphFont"/>
    <w:uiPriority w:val="20"/>
    <w:qFormat/>
    <w:rsid w:val="007A69C9"/>
    <w:rPr>
      <w:i/>
      <w:iCs/>
    </w:rPr>
  </w:style>
  <w:style w:type="paragraph" w:styleId="Revision">
    <w:name w:val="Revision"/>
    <w:hidden/>
    <w:uiPriority w:val="99"/>
    <w:semiHidden/>
    <w:rsid w:val="009D6A64"/>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2489">
      <w:bodyDiv w:val="1"/>
      <w:marLeft w:val="0"/>
      <w:marRight w:val="0"/>
      <w:marTop w:val="0"/>
      <w:marBottom w:val="0"/>
      <w:divBdr>
        <w:top w:val="none" w:sz="0" w:space="0" w:color="auto"/>
        <w:left w:val="none" w:sz="0" w:space="0" w:color="auto"/>
        <w:bottom w:val="none" w:sz="0" w:space="0" w:color="auto"/>
        <w:right w:val="none" w:sz="0" w:space="0" w:color="auto"/>
      </w:divBdr>
    </w:div>
    <w:div w:id="369915544">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842862452">
      <w:bodyDiv w:val="1"/>
      <w:marLeft w:val="0"/>
      <w:marRight w:val="0"/>
      <w:marTop w:val="0"/>
      <w:marBottom w:val="0"/>
      <w:divBdr>
        <w:top w:val="none" w:sz="0" w:space="0" w:color="auto"/>
        <w:left w:val="none" w:sz="0" w:space="0" w:color="auto"/>
        <w:bottom w:val="none" w:sz="0" w:space="0" w:color="auto"/>
        <w:right w:val="none" w:sz="0" w:space="0" w:color="auto"/>
      </w:divBdr>
    </w:div>
    <w:div w:id="971132119">
      <w:bodyDiv w:val="1"/>
      <w:marLeft w:val="0"/>
      <w:marRight w:val="0"/>
      <w:marTop w:val="0"/>
      <w:marBottom w:val="0"/>
      <w:divBdr>
        <w:top w:val="none" w:sz="0" w:space="0" w:color="auto"/>
        <w:left w:val="none" w:sz="0" w:space="0" w:color="auto"/>
        <w:bottom w:val="none" w:sz="0" w:space="0" w:color="auto"/>
        <w:right w:val="none" w:sz="0" w:space="0" w:color="auto"/>
      </w:divBdr>
    </w:div>
    <w:div w:id="1229222724">
      <w:bodyDiv w:val="1"/>
      <w:marLeft w:val="0"/>
      <w:marRight w:val="0"/>
      <w:marTop w:val="0"/>
      <w:marBottom w:val="0"/>
      <w:divBdr>
        <w:top w:val="none" w:sz="0" w:space="0" w:color="auto"/>
        <w:left w:val="none" w:sz="0" w:space="0" w:color="auto"/>
        <w:bottom w:val="none" w:sz="0" w:space="0" w:color="auto"/>
        <w:right w:val="none" w:sz="0" w:space="0" w:color="auto"/>
      </w:divBdr>
    </w:div>
    <w:div w:id="1495494543">
      <w:bodyDiv w:val="1"/>
      <w:marLeft w:val="0"/>
      <w:marRight w:val="0"/>
      <w:marTop w:val="0"/>
      <w:marBottom w:val="0"/>
      <w:divBdr>
        <w:top w:val="none" w:sz="0" w:space="0" w:color="auto"/>
        <w:left w:val="none" w:sz="0" w:space="0" w:color="auto"/>
        <w:bottom w:val="none" w:sz="0" w:space="0" w:color="auto"/>
        <w:right w:val="none" w:sz="0" w:space="0" w:color="auto"/>
      </w:divBdr>
    </w:div>
    <w:div w:id="1539925391">
      <w:bodyDiv w:val="1"/>
      <w:marLeft w:val="0"/>
      <w:marRight w:val="0"/>
      <w:marTop w:val="0"/>
      <w:marBottom w:val="0"/>
      <w:divBdr>
        <w:top w:val="none" w:sz="0" w:space="0" w:color="auto"/>
        <w:left w:val="none" w:sz="0" w:space="0" w:color="auto"/>
        <w:bottom w:val="none" w:sz="0" w:space="0" w:color="auto"/>
        <w:right w:val="none" w:sz="0" w:space="0" w:color="auto"/>
      </w:divBdr>
    </w:div>
    <w:div w:id="1564566246">
      <w:bodyDiv w:val="1"/>
      <w:marLeft w:val="0"/>
      <w:marRight w:val="0"/>
      <w:marTop w:val="0"/>
      <w:marBottom w:val="0"/>
      <w:divBdr>
        <w:top w:val="none" w:sz="0" w:space="0" w:color="auto"/>
        <w:left w:val="none" w:sz="0" w:space="0" w:color="auto"/>
        <w:bottom w:val="none" w:sz="0" w:space="0" w:color="auto"/>
        <w:right w:val="none" w:sz="0" w:space="0" w:color="auto"/>
      </w:divBdr>
      <w:divsChild>
        <w:div w:id="1700617762">
          <w:marLeft w:val="0"/>
          <w:marRight w:val="0"/>
          <w:marTop w:val="0"/>
          <w:marBottom w:val="0"/>
          <w:divBdr>
            <w:top w:val="single" w:sz="6" w:space="0" w:color="666666"/>
            <w:left w:val="single" w:sz="6" w:space="0" w:color="666666"/>
            <w:bottom w:val="single" w:sz="6" w:space="0" w:color="666666"/>
            <w:right w:val="single" w:sz="6" w:space="0" w:color="666666"/>
          </w:divBdr>
          <w:divsChild>
            <w:div w:id="1153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1534">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763455871">
      <w:bodyDiv w:val="1"/>
      <w:marLeft w:val="0"/>
      <w:marRight w:val="0"/>
      <w:marTop w:val="0"/>
      <w:marBottom w:val="0"/>
      <w:divBdr>
        <w:top w:val="none" w:sz="0" w:space="0" w:color="auto"/>
        <w:left w:val="none" w:sz="0" w:space="0" w:color="auto"/>
        <w:bottom w:val="none" w:sz="0" w:space="0" w:color="auto"/>
        <w:right w:val="none" w:sz="0" w:space="0" w:color="auto"/>
      </w:divBdr>
      <w:divsChild>
        <w:div w:id="1142430237">
          <w:marLeft w:val="0"/>
          <w:marRight w:val="0"/>
          <w:marTop w:val="0"/>
          <w:marBottom w:val="0"/>
          <w:divBdr>
            <w:top w:val="none" w:sz="0" w:space="0" w:color="auto"/>
            <w:left w:val="none" w:sz="0" w:space="0" w:color="auto"/>
            <w:bottom w:val="none" w:sz="0" w:space="0" w:color="auto"/>
            <w:right w:val="none" w:sz="0" w:space="0" w:color="auto"/>
          </w:divBdr>
        </w:div>
      </w:divsChild>
    </w:div>
    <w:div w:id="1887256312">
      <w:bodyDiv w:val="1"/>
      <w:marLeft w:val="0"/>
      <w:marRight w:val="0"/>
      <w:marTop w:val="0"/>
      <w:marBottom w:val="0"/>
      <w:divBdr>
        <w:top w:val="none" w:sz="0" w:space="0" w:color="auto"/>
        <w:left w:val="none" w:sz="0" w:space="0" w:color="auto"/>
        <w:bottom w:val="none" w:sz="0" w:space="0" w:color="auto"/>
        <w:right w:val="none" w:sz="0" w:space="0" w:color="auto"/>
      </w:divBdr>
    </w:div>
    <w:div w:id="1958678272">
      <w:bodyDiv w:val="1"/>
      <w:marLeft w:val="0"/>
      <w:marRight w:val="0"/>
      <w:marTop w:val="0"/>
      <w:marBottom w:val="0"/>
      <w:divBdr>
        <w:top w:val="none" w:sz="0" w:space="0" w:color="auto"/>
        <w:left w:val="none" w:sz="0" w:space="0" w:color="auto"/>
        <w:bottom w:val="none" w:sz="0" w:space="0" w:color="auto"/>
        <w:right w:val="none" w:sz="0" w:space="0" w:color="auto"/>
      </w:divBdr>
    </w:div>
    <w:div w:id="2020741730">
      <w:bodyDiv w:val="1"/>
      <w:marLeft w:val="0"/>
      <w:marRight w:val="0"/>
      <w:marTop w:val="0"/>
      <w:marBottom w:val="0"/>
      <w:divBdr>
        <w:top w:val="none" w:sz="0" w:space="0" w:color="auto"/>
        <w:left w:val="none" w:sz="0" w:space="0" w:color="auto"/>
        <w:bottom w:val="none" w:sz="0" w:space="0" w:color="auto"/>
        <w:right w:val="none" w:sz="0" w:space="0" w:color="auto"/>
      </w:divBdr>
    </w:div>
    <w:div w:id="207153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foodstandards.gov.au/code/applications/Documents/A1155_SD1_Risk%20assessment%20-%202nd%20CFS.pdf" TargetMode="External"/><Relationship Id="rId26" Type="http://schemas.openxmlformats.org/officeDocument/2006/relationships/image" Target="media/image3.png"/><Relationship Id="rId39" Type="http://schemas.openxmlformats.org/officeDocument/2006/relationships/hyperlink" Target="https://di.org/10.1097/MPG.0000000000003205" TargetMode="External"/><Relationship Id="rId21" Type="http://schemas.openxmlformats.org/officeDocument/2006/relationships/hyperlink" Target="http://fsanzapps/applications/A1233/Shared%20Documents/Working%20folder/01_Assessment/Tables%20and%20Figures/Table%202.2.docx" TargetMode="External"/><Relationship Id="rId34" Type="http://schemas.openxmlformats.org/officeDocument/2006/relationships/hyperlink" Target="https://www.foodstandards.gov.au/code/applications/Documents/A1155%20Review%20SD1%20Safety%20and%20growth%20.pdf" TargetMode="External"/><Relationship Id="rId42" Type="http://schemas.openxmlformats.org/officeDocument/2006/relationships/hyperlink" Target="https://www.foodstandards.gov.au/code/applications/Documents/A1155%20Review%20SD1%20Safety%20and%20growth%20.pdf" TargetMode="External"/><Relationship Id="rId47" Type="http://schemas.openxmlformats.org/officeDocument/2006/relationships/hyperlink" Target="http://doi.org/10.1016/j.anaerobe.2016.03.012" TargetMode="External"/><Relationship Id="rId50" Type="http://schemas.openxmlformats.org/officeDocument/2006/relationships/hyperlink" Target="https://doi.org/10.1006/abio.1996.0113"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foodstandards.gov.au/code/applications/Documents/A1190_SD1.pdf" TargetMode="External"/><Relationship Id="rId11" Type="http://schemas.openxmlformats.org/officeDocument/2006/relationships/webSettings" Target="webSettings.xml"/><Relationship Id="rId24" Type="http://schemas.openxmlformats.org/officeDocument/2006/relationships/hyperlink" Target="https://www.foodstandards.gov.au/code/applications/Documents/A1190_SD1.pdf" TargetMode="External"/><Relationship Id="rId32" Type="http://schemas.openxmlformats.org/officeDocument/2006/relationships/hyperlink" Target="https://www.foodstandards.gov.au/code/changes/gazette/Documents/Gazette%20No.%20198.docx?csf=1&amp;e=cmDnhT" TargetMode="External"/><Relationship Id="rId37" Type="http://schemas.openxmlformats.org/officeDocument/2006/relationships/hyperlink" Target="https://www.epa.gov/sites/default/files/2015-09/documents/fra004.pdf" TargetMode="External"/><Relationship Id="rId40" Type="http://schemas.openxmlformats.org/officeDocument/2006/relationships/hyperlink" Target="https://www.foodstandards.gov.au/code/applications/Documents/A1155_SD1_Risk%20assessment%20-%202nd%20CFS.pdf" TargetMode="External"/><Relationship Id="rId45" Type="http://schemas.openxmlformats.org/officeDocument/2006/relationships/hyperlink" Target="https://doi.org/10.1007/s10295-011-1082-9"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fsanzapps/applications/A1233/Shared%20Documents/Working%20folder/01_Assessment/Tables%20and%20Figures/Figure%202.1.png" TargetMode="External"/><Relationship Id="rId28" Type="http://schemas.openxmlformats.org/officeDocument/2006/relationships/hyperlink" Target="https://www.foodstandards.gov.au/code/applications/Documents/A1155_SD1_Risk%20assessment%20-%202nd%20CFS.pdf" TargetMode="External"/><Relationship Id="rId36" Type="http://schemas.openxmlformats.org/officeDocument/2006/relationships/hyperlink" Target="https://doi.org/10.2903/j.efsa.2015.4184" TargetMode="External"/><Relationship Id="rId49" Type="http://schemas.openxmlformats.org/officeDocument/2006/relationships/hyperlink" Target="https://doi.org/10.3945/an.112.001883" TargetMode="External"/><Relationship Id="rId10" Type="http://schemas.openxmlformats.org/officeDocument/2006/relationships/settings" Target="settings.xml"/><Relationship Id="rId19" Type="http://schemas.openxmlformats.org/officeDocument/2006/relationships/hyperlink" Target="https://www.foodstandards.gov.au/code/applications/Documents/A1190_SD1.pdf" TargetMode="External"/><Relationship Id="rId31" Type="http://schemas.openxmlformats.org/officeDocument/2006/relationships/hyperlink" Target="https://www.foodstandards.gov.au/code/applications/Documents/A1190_SD1.pdf" TargetMode="External"/><Relationship Id="rId44" Type="http://schemas.openxmlformats.org/officeDocument/2006/relationships/hyperlink" Target="https://doi.org/10.1016/j.jpba.2017.08.039"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2.png"/><Relationship Id="rId27" Type="http://schemas.openxmlformats.org/officeDocument/2006/relationships/hyperlink" Target="http://fsanzapps/applications/A1233/Shared%20Documents/Working%20folder/01_Assessment/Tables%20and%20Figures/Figure%202.2.docx" TargetMode="External"/><Relationship Id="rId30" Type="http://schemas.openxmlformats.org/officeDocument/2006/relationships/hyperlink" Target="https://www.foodstandards.gov.au/code/applications/Documents/A1155_SD1_Risk%20assessment%20-%202nd%20CFS.pdf" TargetMode="External"/><Relationship Id="rId35" Type="http://schemas.openxmlformats.org/officeDocument/2006/relationships/hyperlink" Target="https://doi.org/10.1038/sj.ejcn.1602738" TargetMode="External"/><Relationship Id="rId43" Type="http://schemas.openxmlformats.org/officeDocument/2006/relationships/hyperlink" Target="https://www.foodstandards.gov.au/code/applications/Documents/A1190_SD1.pdf" TargetMode="External"/><Relationship Id="rId48" Type="http://schemas.openxmlformats.org/officeDocument/2006/relationships/hyperlink" Target="http://doi.org/10.3390/nu11071447" TargetMode="External"/><Relationship Id="rId8" Type="http://schemas.openxmlformats.org/officeDocument/2006/relationships/numbering" Target="numbering.xml"/><Relationship Id="rId51" Type="http://schemas.openxmlformats.org/officeDocument/2006/relationships/hyperlink" Target="https://doi.org/10.1016/j.fct.2018.04.049"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www.foodstandards.gov.au/code/applications/Documents/A1155_SD1_Risk%20assessment%20-%202nd%20CFS.pdf" TargetMode="External"/><Relationship Id="rId33" Type="http://schemas.openxmlformats.org/officeDocument/2006/relationships/hyperlink" Target="http://fsanzapps/applications/A1233/Shared%20Documents/Working%20folder/01_Assessment/Tables%20and%20Figures/Table%202.3.docx" TargetMode="External"/><Relationship Id="rId38" Type="http://schemas.openxmlformats.org/officeDocument/2006/relationships/hyperlink" Target="https://eur-lex.europa.eu/legal-content/EN/TXT/HTML/?uri=CELEX:32019R0388&amp;from=EN" TargetMode="External"/><Relationship Id="rId46" Type="http://schemas.openxmlformats.org/officeDocument/2006/relationships/hyperlink" Target="https://doi.org/10.1016/j.bjm.2016.10.007" TargetMode="External"/><Relationship Id="rId20" Type="http://schemas.openxmlformats.org/officeDocument/2006/relationships/hyperlink" Target="http://fsanzapps/applications/A1233/Shared%20Documents/Working%20folder/01_Assessment/Tables%20and%20Figures/Table%202.1.docx" TargetMode="External"/><Relationship Id="rId41" Type="http://schemas.openxmlformats.org/officeDocument/2006/relationships/hyperlink" Target="http://www.foodstandards.gov.au/code/applications/Documents/A1155%20SD1%20at%20approva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da.gov/food/generally-recognized-safe-gras/gras-notice-inventory" TargetMode="External"/><Relationship Id="rId2" Type="http://schemas.openxmlformats.org/officeDocument/2006/relationships/hyperlink" Target="https://eur-lex.europa.eu/legal-content/EN/TXT/HTML/?uri=CELEX:32019R0388&amp;from=EN" TargetMode="External"/><Relationship Id="rId1" Type="http://schemas.openxmlformats.org/officeDocument/2006/relationships/hyperlink" Target="https://osp.od.nih.gov/wp-content/uploads/NIH_Guidelines.pdf" TargetMode="External"/><Relationship Id="rId4" Type="http://schemas.openxmlformats.org/officeDocument/2006/relationships/hyperlink" Target="https://foodregulation.gov.au/internet/fr/publishing.nsf/Content/forum-communique-2020-November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BB0A59031F90A3429E107155B166D756" ma:contentTypeVersion="23" ma:contentTypeDescription="Files created by FSANZ including letters, draft documents and ideas for FSANZ business." ma:contentTypeScope="" ma:versionID="6bd1a75e6eeab94a2a6f59293aa396a6">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EDDBD-D52A-4B9D-8191-2865963C4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54085-F218-404D-94D0-07D4868CE2F2}"/>
</file>

<file path=customXml/itemProps3.xml><?xml version="1.0" encoding="utf-8"?>
<ds:datastoreItem xmlns:ds="http://schemas.openxmlformats.org/officeDocument/2006/customXml" ds:itemID="{67AAB92F-55B2-4FDE-AAF3-5D953550BCBE}"/>
</file>

<file path=customXml/itemProps4.xml><?xml version="1.0" encoding="utf-8"?>
<ds:datastoreItem xmlns:ds="http://schemas.openxmlformats.org/officeDocument/2006/customXml" ds:itemID="{87150431-0A68-4469-B6E7-3BADCC183E43}"/>
</file>

<file path=customXml/itemProps5.xml><?xml version="1.0" encoding="utf-8"?>
<ds:datastoreItem xmlns:ds="http://schemas.openxmlformats.org/officeDocument/2006/customXml" ds:itemID="{8836E3E9-B139-4C61-A05A-A91EE248A473}"/>
</file>

<file path=customXml/itemProps6.xml><?xml version="1.0" encoding="utf-8"?>
<ds:datastoreItem xmlns:ds="http://schemas.openxmlformats.org/officeDocument/2006/customXml" ds:itemID="{87150431-0A68-4469-B6E7-3BADCC183E43}">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0AE75F03-9252-4807-86EE-E0D89B749411}"/>
</file>

<file path=docProps/app.xml><?xml version="1.0" encoding="utf-8"?>
<Properties xmlns="http://schemas.openxmlformats.org/officeDocument/2006/extended-properties" xmlns:vt="http://schemas.openxmlformats.org/officeDocument/2006/docPropsVTypes">
  <Template>Normal</Template>
  <TotalTime>0</TotalTime>
  <Pages>23</Pages>
  <Words>9239</Words>
  <Characters>52664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61780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seymok</dc:creator>
  <cp:lastModifiedBy>Tailee Vecchi</cp:lastModifiedBy>
  <cp:revision>2</cp:revision>
  <cp:lastPrinted>2021-11-04T22:42:00Z</cp:lastPrinted>
  <dcterms:created xsi:type="dcterms:W3CDTF">2021-12-02T23:32:00Z</dcterms:created>
  <dcterms:modified xsi:type="dcterms:W3CDTF">2021-12-02T23:32:00Z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e72b10ed-44b6-4e40-9b9c-d3e743b22ae6</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7;#Evaluation|43bd8487-b9f6-4055-946c-a118d364275d</vt:lpwstr>
  </property>
  <property fmtid="{D5CDD505-2E9C-101B-9397-08002B2CF9AE}" pid="7" name="_dlc_DocIdItemGuid">
    <vt:lpwstr>9098805c-2f7b-4d83-bb94-2ea73b743226</vt:lpwstr>
  </property>
  <property fmtid="{D5CDD505-2E9C-101B-9397-08002B2CF9AE}" pid="8" name="RecordPoint_WorkflowType">
    <vt:lpwstr>ActiveSubmitStub</vt:lpwstr>
  </property>
  <property fmtid="{D5CDD505-2E9C-101B-9397-08002B2CF9AE}" pid="9" name="RecordPoint_ActiveItemUniqueId">
    <vt:lpwstr>{9098805c-2f7b-4d83-bb94-2ea73b743226}</vt:lpwstr>
  </property>
  <property fmtid="{D5CDD505-2E9C-101B-9397-08002B2CF9AE}" pid="10" name="RecordPoint_SubmissionCompleted">
    <vt:lpwstr>2021-11-30T14:55:07.8821617+11:00</vt:lpwstr>
  </property>
  <property fmtid="{D5CDD505-2E9C-101B-9397-08002B2CF9AE}" pid="11" name="RecordPoint_ActiveItemWebId">
    <vt:lpwstr>{b61b298a-7a58-4306-8a32-af842fa4d360}</vt:lpwstr>
  </property>
  <property fmtid="{D5CDD505-2E9C-101B-9397-08002B2CF9AE}" pid="12" name="RecordPoint_ActiveItemSiteId">
    <vt:lpwstr>{dd95a578-5c6a-4f11-92f7-f95884d628d6}</vt:lpwstr>
  </property>
  <property fmtid="{D5CDD505-2E9C-101B-9397-08002B2CF9AE}" pid="13" name="RecordPoint_ActiveItemListId">
    <vt:lpwstr>{23869180-e37b-4e20-8b88-82f01cde39fd}</vt:lpwstr>
  </property>
  <property fmtid="{D5CDD505-2E9C-101B-9397-08002B2CF9AE}" pid="14" name="RecordPoint_RecordNumberSubmitted">
    <vt:lpwstr>R0000190227</vt:lpwstr>
  </property>
  <property fmtid="{D5CDD505-2E9C-101B-9397-08002B2CF9AE}" pid="1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6" name="bjDocumentLabelXML-0">
    <vt:lpwstr>ames.com/2008/01/sie/internal/label"&gt;&lt;element uid="66ddac19-06c4-4e63-b4dd-d8240d87a23f" value="" /&gt;&lt;/sisl&gt;</vt:lpwstr>
  </property>
  <property fmtid="{D5CDD505-2E9C-101B-9397-08002B2CF9AE}" pid="17" name="bjDocumentSecurityLabel">
    <vt:lpwstr>NO SECURITY CLASSIFICATION REQUIRED</vt:lpwstr>
  </property>
</Properties>
</file>