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F91" w:rsidRDefault="00F83F91" w:rsidP="00F83F91">
      <w:r>
        <w:rPr>
          <w:noProof/>
          <w:lang w:eastAsia="en-GB" w:bidi="ar-SA"/>
        </w:rPr>
        <w:drawing>
          <wp:inline distT="0" distB="0" distL="0" distR="0" wp14:anchorId="51B018AB" wp14:editId="6BAF3435">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F83F91" w:rsidRPr="00015D4C" w:rsidRDefault="00F83F91" w:rsidP="00F83F91">
      <w:pPr>
        <w:rPr>
          <w:rFonts w:cs="Arial"/>
        </w:rPr>
      </w:pPr>
    </w:p>
    <w:p w:rsidR="00F83F91" w:rsidRPr="00015D4C" w:rsidRDefault="00F83F91" w:rsidP="00F83F91">
      <w:pPr>
        <w:pStyle w:val="FSTitle"/>
        <w:rPr>
          <w:rFonts w:ascii="Arial" w:hAnsi="Arial" w:cs="Arial"/>
          <w:sz w:val="32"/>
          <w:szCs w:val="32"/>
        </w:rPr>
      </w:pPr>
      <w:r w:rsidRPr="00015D4C">
        <w:rPr>
          <w:rFonts w:ascii="Arial" w:hAnsi="Arial" w:cs="Arial"/>
          <w:sz w:val="32"/>
          <w:szCs w:val="32"/>
        </w:rPr>
        <w:t>Supporting document 1</w:t>
      </w:r>
    </w:p>
    <w:p w:rsidR="00F83F91" w:rsidRPr="00C831D5" w:rsidRDefault="00F83F91" w:rsidP="00F83F91">
      <w:pPr>
        <w:pStyle w:val="FSTitle"/>
        <w:rPr>
          <w:rFonts w:ascii="Arial" w:hAnsi="Arial" w:cs="Arial"/>
          <w:sz w:val="22"/>
        </w:rPr>
      </w:pPr>
    </w:p>
    <w:p w:rsidR="00F83F91" w:rsidRDefault="00F83F91" w:rsidP="00F83F91">
      <w:pPr>
        <w:pStyle w:val="FSTitle"/>
        <w:rPr>
          <w:rFonts w:ascii="Arial" w:hAnsi="Arial" w:cs="Arial"/>
          <w:b w:val="0"/>
          <w:sz w:val="32"/>
          <w:szCs w:val="32"/>
        </w:rPr>
      </w:pPr>
      <w:r w:rsidRPr="00015D4C">
        <w:rPr>
          <w:rFonts w:ascii="Arial" w:hAnsi="Arial" w:cs="Arial"/>
          <w:b w:val="0"/>
          <w:sz w:val="32"/>
          <w:szCs w:val="32"/>
        </w:rPr>
        <w:t>R</w:t>
      </w:r>
      <w:r w:rsidR="00015D4C" w:rsidRPr="00015D4C">
        <w:rPr>
          <w:rFonts w:ascii="Arial" w:hAnsi="Arial" w:cs="Arial"/>
          <w:b w:val="0"/>
          <w:sz w:val="32"/>
          <w:szCs w:val="32"/>
        </w:rPr>
        <w:t xml:space="preserve">isk and technical assessment report </w:t>
      </w:r>
      <w:r w:rsidR="00B86DF8">
        <w:rPr>
          <w:rFonts w:ascii="Arial" w:hAnsi="Arial" w:cs="Arial"/>
          <w:b w:val="0"/>
          <w:sz w:val="32"/>
          <w:szCs w:val="32"/>
        </w:rPr>
        <w:t xml:space="preserve">(at Approval) </w:t>
      </w:r>
      <w:r w:rsidR="00015D4C">
        <w:rPr>
          <w:rFonts w:ascii="Arial" w:hAnsi="Arial" w:cs="Arial"/>
          <w:b w:val="0"/>
          <w:sz w:val="32"/>
          <w:szCs w:val="32"/>
        </w:rPr>
        <w:t>– Application A1075</w:t>
      </w:r>
    </w:p>
    <w:p w:rsidR="00F83F91" w:rsidRPr="00C831D5" w:rsidRDefault="00F83F91" w:rsidP="00F83F91">
      <w:pPr>
        <w:pStyle w:val="FSTitle"/>
        <w:rPr>
          <w:rFonts w:ascii="Arial" w:hAnsi="Arial" w:cs="Arial"/>
          <w:b w:val="0"/>
          <w:sz w:val="22"/>
          <w:szCs w:val="32"/>
        </w:rPr>
      </w:pPr>
    </w:p>
    <w:p w:rsidR="00F83F91" w:rsidRPr="00F83F91" w:rsidRDefault="00797541" w:rsidP="00F83F91">
      <w:pPr>
        <w:pStyle w:val="FSTitle"/>
        <w:rPr>
          <w:rFonts w:ascii="Arial" w:hAnsi="Arial" w:cs="Arial"/>
          <w:b w:val="0"/>
          <w:sz w:val="32"/>
          <w:szCs w:val="32"/>
        </w:rPr>
      </w:pPr>
      <w:r w:rsidRPr="009969EC">
        <w:rPr>
          <w:rFonts w:ascii="Arial" w:hAnsi="Arial" w:cs="Arial"/>
          <w:b w:val="0"/>
          <w:sz w:val="32"/>
          <w:szCs w:val="32"/>
        </w:rPr>
        <w:t>Quilla</w:t>
      </w:r>
      <w:r w:rsidR="003F1918">
        <w:rPr>
          <w:rFonts w:ascii="Arial" w:hAnsi="Arial" w:cs="Arial"/>
          <w:b w:val="0"/>
          <w:sz w:val="32"/>
          <w:szCs w:val="32"/>
        </w:rPr>
        <w:t>ia</w:t>
      </w:r>
      <w:r w:rsidR="003F1918">
        <w:rPr>
          <w:rStyle w:val="FootnoteReference"/>
          <w:rFonts w:ascii="Arial" w:hAnsi="Arial" w:cs="Arial"/>
          <w:b w:val="0"/>
          <w:sz w:val="32"/>
          <w:szCs w:val="32"/>
        </w:rPr>
        <w:footnoteReference w:id="2"/>
      </w:r>
      <w:r w:rsidRPr="009969EC">
        <w:rPr>
          <w:rFonts w:ascii="Arial" w:hAnsi="Arial" w:cs="Arial"/>
          <w:b w:val="0"/>
          <w:sz w:val="32"/>
          <w:szCs w:val="32"/>
        </w:rPr>
        <w:t xml:space="preserve"> </w:t>
      </w:r>
      <w:r w:rsidR="009969EC" w:rsidRPr="009969EC">
        <w:rPr>
          <w:rFonts w:ascii="Arial" w:hAnsi="Arial" w:cs="Arial"/>
          <w:b w:val="0"/>
          <w:sz w:val="32"/>
          <w:szCs w:val="32"/>
        </w:rPr>
        <w:t xml:space="preserve">Extract </w:t>
      </w:r>
      <w:r w:rsidR="002660F3" w:rsidRPr="002660F3">
        <w:rPr>
          <w:rFonts w:ascii="Arial" w:hAnsi="Arial" w:cs="Arial"/>
          <w:b w:val="0"/>
          <w:sz w:val="32"/>
          <w:szCs w:val="32"/>
        </w:rPr>
        <w:t xml:space="preserve">(Quillaja </w:t>
      </w:r>
      <w:r w:rsidR="00015D4C">
        <w:rPr>
          <w:rFonts w:ascii="Arial" w:hAnsi="Arial" w:cs="Arial"/>
          <w:b w:val="0"/>
          <w:sz w:val="32"/>
          <w:szCs w:val="32"/>
        </w:rPr>
        <w:t>E</w:t>
      </w:r>
      <w:r w:rsidR="002660F3" w:rsidRPr="002660F3">
        <w:rPr>
          <w:rFonts w:ascii="Arial" w:hAnsi="Arial" w:cs="Arial"/>
          <w:b w:val="0"/>
          <w:sz w:val="32"/>
          <w:szCs w:val="32"/>
        </w:rPr>
        <w:t xml:space="preserve">xtract) </w:t>
      </w:r>
      <w:r w:rsidR="009969EC" w:rsidRPr="009969EC">
        <w:rPr>
          <w:rFonts w:ascii="Arial" w:hAnsi="Arial" w:cs="Arial"/>
          <w:b w:val="0"/>
          <w:sz w:val="32"/>
          <w:szCs w:val="32"/>
        </w:rPr>
        <w:t>as a Food Additive (Emulsifier)</w:t>
      </w:r>
    </w:p>
    <w:p w:rsidR="00F83F91" w:rsidRPr="00B37BF0" w:rsidRDefault="00F83F91" w:rsidP="00F83F91">
      <w:pPr>
        <w:pBdr>
          <w:bottom w:val="single" w:sz="12" w:space="1" w:color="auto"/>
        </w:pBdr>
        <w:spacing w:line="280" w:lineRule="exact"/>
        <w:rPr>
          <w:rFonts w:cs="Arial"/>
          <w:bCs/>
        </w:rPr>
      </w:pPr>
    </w:p>
    <w:p w:rsidR="00093C9E" w:rsidRPr="00E0709F" w:rsidRDefault="00093C9E" w:rsidP="00093C9E">
      <w:pPr>
        <w:jc w:val="right"/>
        <w:rPr>
          <w:b/>
          <w:bCs/>
        </w:rPr>
      </w:pPr>
    </w:p>
    <w:p w:rsidR="00FB480B" w:rsidRPr="00435E22" w:rsidRDefault="004462F0" w:rsidP="00435E22">
      <w:pPr>
        <w:pStyle w:val="Heading1"/>
        <w:spacing w:after="240"/>
        <w:rPr>
          <w:rFonts w:ascii="Arial" w:hAnsi="Arial" w:cs="Times New Roman"/>
          <w:kern w:val="0"/>
          <w:sz w:val="36"/>
          <w:szCs w:val="28"/>
          <w:u w:val="none"/>
          <w:lang w:bidi="ar-SA"/>
        </w:rPr>
      </w:pPr>
      <w:bookmarkStart w:id="0" w:name="_Toc315447920"/>
      <w:bookmarkStart w:id="1" w:name="_Toc315878183"/>
      <w:bookmarkStart w:id="2" w:name="_Toc315953172"/>
      <w:bookmarkStart w:id="3" w:name="_Toc317174554"/>
      <w:bookmarkStart w:id="4" w:name="_Toc318384377"/>
      <w:bookmarkStart w:id="5" w:name="_Toc318467042"/>
      <w:bookmarkStart w:id="6" w:name="_Toc320700350"/>
      <w:bookmarkStart w:id="7" w:name="_Toc320701161"/>
      <w:bookmarkStart w:id="8" w:name="_Toc320701436"/>
      <w:bookmarkStart w:id="9" w:name="_Toc360028588"/>
      <w:bookmarkStart w:id="10" w:name="_Toc11735627"/>
      <w:r w:rsidRPr="00435E22">
        <w:rPr>
          <w:rFonts w:ascii="Arial" w:hAnsi="Arial" w:cs="Times New Roman"/>
          <w:kern w:val="0"/>
          <w:sz w:val="36"/>
          <w:szCs w:val="28"/>
          <w:u w:val="none"/>
          <w:lang w:bidi="ar-SA"/>
        </w:rPr>
        <w:t>Executive</w:t>
      </w:r>
      <w:r w:rsidR="00FB480B" w:rsidRPr="00435E22">
        <w:rPr>
          <w:rFonts w:ascii="Arial" w:hAnsi="Arial" w:cs="Times New Roman"/>
          <w:kern w:val="0"/>
          <w:sz w:val="36"/>
          <w:szCs w:val="28"/>
          <w:u w:val="none"/>
          <w:lang w:bidi="ar-SA"/>
        </w:rPr>
        <w:t xml:space="preserve"> Summary</w:t>
      </w:r>
      <w:bookmarkEnd w:id="0"/>
      <w:bookmarkEnd w:id="1"/>
      <w:bookmarkEnd w:id="2"/>
      <w:bookmarkEnd w:id="3"/>
      <w:bookmarkEnd w:id="4"/>
      <w:bookmarkEnd w:id="5"/>
      <w:bookmarkEnd w:id="6"/>
      <w:bookmarkEnd w:id="7"/>
      <w:bookmarkEnd w:id="8"/>
      <w:bookmarkEnd w:id="9"/>
    </w:p>
    <w:p w:rsidR="00DC02E9" w:rsidRPr="00DC02E9" w:rsidRDefault="00DC02E9" w:rsidP="00DC02E9">
      <w:r w:rsidRPr="00DC02E9">
        <w:t xml:space="preserve">FSANZ received an Application from National Starch Pty Ltd seeking </w:t>
      </w:r>
      <w:r w:rsidR="00122506">
        <w:t xml:space="preserve">to </w:t>
      </w:r>
      <w:r w:rsidRPr="00DC02E9">
        <w:t xml:space="preserve">amend Standard 1.3.1 – Food Additives of the </w:t>
      </w:r>
      <w:r w:rsidRPr="00DC02E9">
        <w:rPr>
          <w:i/>
        </w:rPr>
        <w:t>Australia New Zealand Food Standards Code</w:t>
      </w:r>
      <w:r w:rsidRPr="00DC02E9">
        <w:t xml:space="preserve"> (the Code) to permit the addition of </w:t>
      </w:r>
      <w:r w:rsidR="00E3403B">
        <w:t>quillaia</w:t>
      </w:r>
      <w:r w:rsidRPr="00DC02E9">
        <w:t xml:space="preserve"> extract as an emulsifier </w:t>
      </w:r>
      <w:r>
        <w:t>in several beverage categories</w:t>
      </w:r>
      <w:r w:rsidRPr="00DC02E9">
        <w:t>.</w:t>
      </w:r>
    </w:p>
    <w:p w:rsidR="00DC02E9" w:rsidRDefault="00DC02E9" w:rsidP="00643228"/>
    <w:p w:rsidR="00430973" w:rsidRDefault="00E3403B" w:rsidP="00B13F64">
      <w:r>
        <w:t>Quillaia</w:t>
      </w:r>
      <w:r w:rsidR="00767BC2" w:rsidRPr="00767BC2">
        <w:t xml:space="preserve"> extract is obtained by aqueous extraction of the bark, stems and branches of the </w:t>
      </w:r>
      <w:r>
        <w:rPr>
          <w:i/>
        </w:rPr>
        <w:t>Quillaia</w:t>
      </w:r>
      <w:r w:rsidR="00767BC2" w:rsidRPr="00B13F64">
        <w:rPr>
          <w:i/>
        </w:rPr>
        <w:t xml:space="preserve"> saponaria</w:t>
      </w:r>
      <w:r w:rsidR="00767BC2">
        <w:t xml:space="preserve"> tree </w:t>
      </w:r>
      <w:r w:rsidR="00207D96">
        <w:t xml:space="preserve">(soap bark tree) </w:t>
      </w:r>
      <w:r w:rsidR="00767BC2">
        <w:t xml:space="preserve">which </w:t>
      </w:r>
      <w:r w:rsidR="00767BC2" w:rsidRPr="00767BC2">
        <w:t>is native to China and South America. The extract</w:t>
      </w:r>
      <w:r w:rsidR="00767BC2">
        <w:t xml:space="preserve"> contains</w:t>
      </w:r>
      <w:r w:rsidR="00767BC2" w:rsidRPr="00767BC2">
        <w:t xml:space="preserve"> a mixture of over 100 tri-terpenoid saponins. The saponins consist mainly of quillaic acid as the hydrophobic moiety with various attached oligosaccharides</w:t>
      </w:r>
      <w:r w:rsidR="00767BC2">
        <w:t>.</w:t>
      </w:r>
      <w:r w:rsidR="00430973">
        <w:t xml:space="preserve"> </w:t>
      </w:r>
      <w:r>
        <w:t>Quillaia</w:t>
      </w:r>
      <w:r w:rsidR="00DC02E9">
        <w:t xml:space="preserve"> extract functions as an emulsifier due to the </w:t>
      </w:r>
      <w:r w:rsidR="00C43064">
        <w:t xml:space="preserve">amphipathic </w:t>
      </w:r>
      <w:r w:rsidR="00767BC2">
        <w:t xml:space="preserve">nature of the </w:t>
      </w:r>
      <w:r w:rsidR="00DC02E9">
        <w:t>saponin</w:t>
      </w:r>
      <w:r w:rsidR="00C43064">
        <w:t xml:space="preserve">s. </w:t>
      </w:r>
      <w:r w:rsidR="00861464" w:rsidRPr="00315D9F">
        <w:rPr>
          <w:rFonts w:cs="Arial"/>
          <w:lang w:val="en-AU"/>
        </w:rPr>
        <w:t>The combination of a hydrophobic</w:t>
      </w:r>
      <w:r w:rsidR="00861464">
        <w:rPr>
          <w:rFonts w:cs="Arial"/>
          <w:lang w:val="en-AU"/>
        </w:rPr>
        <w:t xml:space="preserve"> component</w:t>
      </w:r>
      <w:r w:rsidR="00861464" w:rsidRPr="00315D9F">
        <w:rPr>
          <w:rFonts w:cs="Arial"/>
          <w:lang w:val="en-AU"/>
        </w:rPr>
        <w:t xml:space="preserve"> such as quillaic acid and hydrophilic oligosaccharides makes saponins amphipathic substances.</w:t>
      </w:r>
    </w:p>
    <w:p w:rsidR="00C43064" w:rsidRDefault="00C43064" w:rsidP="00576869">
      <w:pPr>
        <w:rPr>
          <w:lang w:val="en-AU"/>
        </w:rPr>
      </w:pPr>
      <w:bookmarkStart w:id="11" w:name="_Toc314749335"/>
      <w:bookmarkStart w:id="12" w:name="_Toc314754872"/>
      <w:bookmarkStart w:id="13" w:name="_Toc315447925"/>
      <w:bookmarkStart w:id="14" w:name="_Toc315878188"/>
      <w:bookmarkStart w:id="15" w:name="_Toc315953177"/>
      <w:bookmarkStart w:id="16" w:name="_Toc317174564"/>
      <w:bookmarkStart w:id="17" w:name="_Toc318384387"/>
      <w:bookmarkStart w:id="18" w:name="_Toc318467052"/>
    </w:p>
    <w:p w:rsidR="001E2DD3" w:rsidRDefault="00E3403B" w:rsidP="00B13F64">
      <w:r>
        <w:rPr>
          <w:lang w:val="en-AU"/>
        </w:rPr>
        <w:t>Quillaia</w:t>
      </w:r>
      <w:r w:rsidR="00576869" w:rsidRPr="00576869">
        <w:rPr>
          <w:lang w:val="en-AU"/>
        </w:rPr>
        <w:t xml:space="preserve"> extract has a history of safe use as a food additive in a number of countries.</w:t>
      </w:r>
      <w:r w:rsidR="00993652" w:rsidRPr="00993652">
        <w:t xml:space="preserve"> The Joint FAO/WHO Expert Committee on Food Additives (JECFA)</w:t>
      </w:r>
      <w:r w:rsidR="001E2DD3" w:rsidRPr="001B7DE7">
        <w:t xml:space="preserve"> has evaluated the toxicological hazard of </w:t>
      </w:r>
      <w:r>
        <w:t>quillaia</w:t>
      </w:r>
      <w:r w:rsidR="00993652">
        <w:t xml:space="preserve"> extract</w:t>
      </w:r>
      <w:r w:rsidR="001E2DD3" w:rsidRPr="001B7DE7">
        <w:t xml:space="preserve"> on several occasions, most recently in 2005, when a</w:t>
      </w:r>
      <w:r w:rsidR="00D62924">
        <w:t xml:space="preserve"> group </w:t>
      </w:r>
      <w:r w:rsidR="00C72A0E">
        <w:t>accept</w:t>
      </w:r>
      <w:r w:rsidR="00B94CDA">
        <w:t xml:space="preserve">able </w:t>
      </w:r>
      <w:r w:rsidR="00C72A0E">
        <w:t>daily intake (ADI)</w:t>
      </w:r>
      <w:r w:rsidR="001E2DD3" w:rsidRPr="001B7DE7">
        <w:t xml:space="preserve"> </w:t>
      </w:r>
      <w:r w:rsidR="00B94CDA">
        <w:t xml:space="preserve">was established </w:t>
      </w:r>
      <w:r w:rsidR="00A37409">
        <w:t xml:space="preserve">at </w:t>
      </w:r>
      <w:r w:rsidR="00A37409" w:rsidRPr="001B7DE7">
        <w:t>0</w:t>
      </w:r>
      <w:r w:rsidR="00B0129D">
        <w:t>–</w:t>
      </w:r>
      <w:r w:rsidR="001E2DD3" w:rsidRPr="001B7DE7">
        <w:t xml:space="preserve">1 mg </w:t>
      </w:r>
      <w:r>
        <w:t>quillaia</w:t>
      </w:r>
      <w:r w:rsidR="00993652">
        <w:t xml:space="preserve"> saponins/kg bodyweight</w:t>
      </w:r>
      <w:r w:rsidR="001E2DD3" w:rsidRPr="001B7DE7">
        <w:t xml:space="preserve"> </w:t>
      </w:r>
      <w:r w:rsidR="00492226">
        <w:t xml:space="preserve">(bw). </w:t>
      </w:r>
      <w:r w:rsidR="00C812D0">
        <w:t xml:space="preserve">This group ADI specified </w:t>
      </w:r>
      <w:r w:rsidR="007C7EC4">
        <w:t>an</w:t>
      </w:r>
      <w:r w:rsidR="00C812D0">
        <w:t xml:space="preserve"> amount of </w:t>
      </w:r>
      <w:r w:rsidR="007C7EC4">
        <w:t xml:space="preserve">pure </w:t>
      </w:r>
      <w:r>
        <w:t>quillaia</w:t>
      </w:r>
      <w:r w:rsidR="00C812D0" w:rsidRPr="00C812D0">
        <w:t xml:space="preserve"> saponins </w:t>
      </w:r>
      <w:r w:rsidR="007C7EC4">
        <w:t xml:space="preserve">to </w:t>
      </w:r>
      <w:r w:rsidR="00C812D0">
        <w:t>enabl</w:t>
      </w:r>
      <w:r w:rsidR="007C7EC4">
        <w:t>e</w:t>
      </w:r>
      <w:r w:rsidR="00C812D0">
        <w:t xml:space="preserve"> the use of either </w:t>
      </w:r>
      <w:r w:rsidR="00B0666D">
        <w:t>t</w:t>
      </w:r>
      <w:r w:rsidR="00C812D0" w:rsidRPr="00C812D0">
        <w:t xml:space="preserve">ype </w:t>
      </w:r>
      <w:r w:rsidR="00271AA5">
        <w:t>1</w:t>
      </w:r>
      <w:r w:rsidR="00C812D0" w:rsidRPr="00C812D0">
        <w:t xml:space="preserve"> (unpurified) </w:t>
      </w:r>
      <w:r w:rsidR="007C7EC4">
        <w:t>or</w:t>
      </w:r>
      <w:r w:rsidR="00B0666D">
        <w:t xml:space="preserve"> t</w:t>
      </w:r>
      <w:r w:rsidR="00C812D0" w:rsidRPr="00C812D0">
        <w:t xml:space="preserve">ype </w:t>
      </w:r>
      <w:r w:rsidR="00271AA5">
        <w:t>2</w:t>
      </w:r>
      <w:r w:rsidR="00C812D0" w:rsidRPr="00C812D0">
        <w:t xml:space="preserve"> (saponin enriched) extract</w:t>
      </w:r>
      <w:r w:rsidR="0072770F">
        <w:t>.</w:t>
      </w:r>
      <w:r w:rsidR="00C812D0">
        <w:t xml:space="preserve"> </w:t>
      </w:r>
      <w:r w:rsidR="00492226">
        <w:t xml:space="preserve">The </w:t>
      </w:r>
      <w:r w:rsidR="002D65E8">
        <w:t xml:space="preserve">toxicological </w:t>
      </w:r>
      <w:r w:rsidR="00492226">
        <w:t xml:space="preserve">studies </w:t>
      </w:r>
      <w:r w:rsidR="00776186">
        <w:t xml:space="preserve">that had been </w:t>
      </w:r>
      <w:r w:rsidR="00492226">
        <w:t>considered by JECFA</w:t>
      </w:r>
      <w:r w:rsidR="00430973">
        <w:t>,</w:t>
      </w:r>
      <w:r w:rsidR="00492226">
        <w:t xml:space="preserve"> and </w:t>
      </w:r>
      <w:r w:rsidR="00776186">
        <w:t xml:space="preserve">more recently published </w:t>
      </w:r>
      <w:r w:rsidR="00492226">
        <w:t>studies</w:t>
      </w:r>
      <w:r w:rsidR="00430973">
        <w:t>,</w:t>
      </w:r>
      <w:r w:rsidR="00492226">
        <w:t xml:space="preserve"> were evaluated</w:t>
      </w:r>
      <w:r w:rsidR="007C7EC4">
        <w:t xml:space="preserve"> in this hazard assessment</w:t>
      </w:r>
      <w:r w:rsidR="00776186">
        <w:t>.</w:t>
      </w:r>
      <w:r w:rsidR="0030298B">
        <w:t xml:space="preserve"> </w:t>
      </w:r>
      <w:r w:rsidR="00776186">
        <w:t>A</w:t>
      </w:r>
      <w:r w:rsidR="00B762D5">
        <w:t xml:space="preserve"> </w:t>
      </w:r>
      <w:r w:rsidR="002D65E8">
        <w:t>group</w:t>
      </w:r>
      <w:r w:rsidR="00492226">
        <w:t xml:space="preserve"> ADI</w:t>
      </w:r>
      <w:r w:rsidR="0030298B">
        <w:t xml:space="preserve"> of</w:t>
      </w:r>
      <w:r w:rsidR="00492226">
        <w:t xml:space="preserve"> </w:t>
      </w:r>
      <w:r w:rsidR="00492226" w:rsidRPr="00492226">
        <w:t>0</w:t>
      </w:r>
      <w:r w:rsidR="00B0129D">
        <w:t>–</w:t>
      </w:r>
      <w:r w:rsidR="00492226" w:rsidRPr="00492226">
        <w:t>1 mg</w:t>
      </w:r>
      <w:r w:rsidR="00492226">
        <w:t xml:space="preserve"> </w:t>
      </w:r>
      <w:r>
        <w:t>quillaia</w:t>
      </w:r>
      <w:r w:rsidR="00492226">
        <w:t xml:space="preserve"> saponins/kg b</w:t>
      </w:r>
      <w:r w:rsidR="0030298B">
        <w:t>w</w:t>
      </w:r>
      <w:r w:rsidR="00776186">
        <w:t xml:space="preserve"> has been established</w:t>
      </w:r>
      <w:r w:rsidR="00492226">
        <w:t>.</w:t>
      </w:r>
    </w:p>
    <w:p w:rsidR="00271AA5" w:rsidRDefault="00271AA5" w:rsidP="00B13F64"/>
    <w:p w:rsidR="00271AA5" w:rsidRPr="00861464" w:rsidRDefault="00271AA5" w:rsidP="00271AA5">
      <w:r w:rsidRPr="00861464">
        <w:t>The Application requested maximum permitted levels (MPLs) of 50 mg quillaia saponins/kg for various types of beverages. In order to ensure that the ADI was not exceeded for any population group these MPLs were subsequently set at a lower MPL with a range between 30</w:t>
      </w:r>
      <w:r w:rsidR="00B0129D">
        <w:t>–</w:t>
      </w:r>
      <w:r w:rsidRPr="00861464">
        <w:t xml:space="preserve">40 mg quillaia saponins/kg. The </w:t>
      </w:r>
      <w:r w:rsidR="006C012A" w:rsidRPr="00861464">
        <w:t xml:space="preserve">range </w:t>
      </w:r>
      <w:r w:rsidRPr="00861464">
        <w:t xml:space="preserve">of beverages permitted to contain quillaia extract </w:t>
      </w:r>
      <w:r w:rsidR="006C012A" w:rsidRPr="00861464">
        <w:t xml:space="preserve">was </w:t>
      </w:r>
      <w:r w:rsidRPr="00861464">
        <w:t>also reduced.</w:t>
      </w:r>
    </w:p>
    <w:p w:rsidR="00271AA5" w:rsidRDefault="00271AA5" w:rsidP="00271AA5"/>
    <w:p w:rsidR="00B86DF8" w:rsidRDefault="00B86DF8" w:rsidP="00B0129D">
      <w:pPr>
        <w:rPr>
          <w:lang w:val="en-AU"/>
        </w:rPr>
      </w:pPr>
      <w:r>
        <w:rPr>
          <w:lang w:val="en-AU"/>
        </w:rPr>
        <w:br w:type="page"/>
      </w:r>
    </w:p>
    <w:p w:rsidR="00271AA5" w:rsidRDefault="00E50721" w:rsidP="00B0129D">
      <w:r>
        <w:rPr>
          <w:lang w:val="en-AU"/>
        </w:rPr>
        <w:lastRenderedPageBreak/>
        <w:t>Predictions</w:t>
      </w:r>
      <w:r w:rsidR="00767BC2">
        <w:rPr>
          <w:lang w:val="en-AU"/>
        </w:rPr>
        <w:t xml:space="preserve"> of dietary exposure to </w:t>
      </w:r>
      <w:r w:rsidR="00E3403B">
        <w:rPr>
          <w:lang w:val="en-AU"/>
        </w:rPr>
        <w:t>quillaia</w:t>
      </w:r>
      <w:r w:rsidR="00767BC2" w:rsidRPr="00767BC2">
        <w:rPr>
          <w:lang w:val="en-AU"/>
        </w:rPr>
        <w:t xml:space="preserve"> saponins </w:t>
      </w:r>
      <w:r w:rsidR="00150D50">
        <w:rPr>
          <w:lang w:val="en-AU"/>
        </w:rPr>
        <w:t xml:space="preserve">resulting from the use of </w:t>
      </w:r>
      <w:r w:rsidR="00E3403B">
        <w:rPr>
          <w:lang w:val="en-AU"/>
        </w:rPr>
        <w:t>quillaia</w:t>
      </w:r>
      <w:r w:rsidR="00150D50">
        <w:rPr>
          <w:lang w:val="en-AU"/>
        </w:rPr>
        <w:t xml:space="preserve"> extract as an emulsifier in beverages indicate no exceedances of the ADI for all population groups assessed, including children.</w:t>
      </w:r>
      <w:r w:rsidR="00150D50" w:rsidRPr="00150D50">
        <w:t xml:space="preserve"> </w:t>
      </w:r>
      <w:bookmarkStart w:id="19" w:name="_GoBack"/>
      <w:bookmarkEnd w:id="19"/>
      <w:r w:rsidR="00150D50">
        <w:t xml:space="preserve">Thus, </w:t>
      </w:r>
      <w:r w:rsidR="00150D50">
        <w:rPr>
          <w:lang w:val="en-AU"/>
        </w:rPr>
        <w:t>t</w:t>
      </w:r>
      <w:r w:rsidR="00150D50" w:rsidRPr="00150D50">
        <w:rPr>
          <w:lang w:val="en-AU"/>
        </w:rPr>
        <w:t xml:space="preserve">here are no public health and safety </w:t>
      </w:r>
      <w:r w:rsidR="00A90C00">
        <w:rPr>
          <w:lang w:val="en-AU"/>
        </w:rPr>
        <w:t>concerns</w:t>
      </w:r>
      <w:r w:rsidR="00150D50" w:rsidRPr="00150D50">
        <w:rPr>
          <w:lang w:val="en-AU"/>
        </w:rPr>
        <w:t xml:space="preserve"> associated with the proposed addition of </w:t>
      </w:r>
      <w:r w:rsidR="00E3403B">
        <w:rPr>
          <w:lang w:val="en-AU"/>
        </w:rPr>
        <w:t>quillaia</w:t>
      </w:r>
      <w:r w:rsidR="00150D50" w:rsidRPr="00150D50">
        <w:rPr>
          <w:lang w:val="en-AU"/>
        </w:rPr>
        <w:t xml:space="preserve"> extract to the food categories requested.</w:t>
      </w:r>
      <w:r w:rsidR="00271AA5" w:rsidRPr="00271AA5">
        <w:t xml:space="preserve"> </w:t>
      </w:r>
    </w:p>
    <w:p w:rsidR="00271AA5" w:rsidRDefault="00271AA5" w:rsidP="00271AA5"/>
    <w:p w:rsidR="00271AA5" w:rsidRDefault="00271AA5" w:rsidP="00271AA5">
      <w:pPr>
        <w:rPr>
          <w:lang w:val="en-AU"/>
        </w:rPr>
      </w:pPr>
      <w:r>
        <w:t xml:space="preserve">The food technology assessment concluded that </w:t>
      </w:r>
      <w:r>
        <w:rPr>
          <w:lang w:val="en-AU" w:eastAsia="en-AU"/>
        </w:rPr>
        <w:t>quillaia</w:t>
      </w:r>
      <w:r w:rsidRPr="00197925">
        <w:rPr>
          <w:lang w:val="en-AU" w:eastAsia="en-AU"/>
        </w:rPr>
        <w:t xml:space="preserve"> extract fulfils the stated technological function </w:t>
      </w:r>
      <w:r>
        <w:rPr>
          <w:lang w:val="en-AU" w:eastAsia="en-AU"/>
        </w:rPr>
        <w:t xml:space="preserve">as an emulsifier </w:t>
      </w:r>
      <w:r w:rsidRPr="00197925">
        <w:rPr>
          <w:lang w:val="en-AU" w:eastAsia="en-AU"/>
        </w:rPr>
        <w:t>at the proposed level</w:t>
      </w:r>
      <w:r>
        <w:rPr>
          <w:lang w:val="en-AU" w:eastAsia="en-AU"/>
        </w:rPr>
        <w:t>s</w:t>
      </w:r>
      <w:r w:rsidRPr="00197925">
        <w:rPr>
          <w:lang w:val="en-AU" w:eastAsia="en-AU"/>
        </w:rPr>
        <w:t xml:space="preserve"> of use. </w:t>
      </w:r>
    </w:p>
    <w:p w:rsidR="00AB418F" w:rsidRPr="00E3403B" w:rsidRDefault="00AB418F" w:rsidP="00205171">
      <w:pPr>
        <w:rPr>
          <w:lang w:val="en-AU"/>
        </w:rPr>
      </w:pPr>
    </w:p>
    <w:p w:rsidR="003340EC" w:rsidRPr="002744C7" w:rsidRDefault="00FE02C7" w:rsidP="009969EC">
      <w:pPr>
        <w:pStyle w:val="Heading1"/>
        <w:keepNext w:val="0"/>
        <w:rPr>
          <w:rFonts w:ascii="Arial" w:hAnsi="Arial" w:cs="Arial"/>
          <w:sz w:val="36"/>
          <w:szCs w:val="36"/>
          <w:u w:val="none"/>
        </w:rPr>
      </w:pPr>
      <w:bookmarkStart w:id="20" w:name="_Toc320700360"/>
      <w:bookmarkStart w:id="21" w:name="_Toc320701171"/>
      <w:bookmarkStart w:id="22" w:name="_Toc320701446"/>
      <w:r>
        <w:br w:type="page"/>
      </w:r>
      <w:bookmarkStart w:id="23" w:name="_Toc360028589"/>
      <w:r w:rsidR="003340EC" w:rsidRPr="002744C7">
        <w:rPr>
          <w:rFonts w:ascii="Arial" w:hAnsi="Arial" w:cs="Arial"/>
          <w:sz w:val="36"/>
          <w:szCs w:val="36"/>
          <w:u w:val="none"/>
        </w:rPr>
        <w:lastRenderedPageBreak/>
        <w:t>Abbreviations</w:t>
      </w:r>
      <w:bookmarkEnd w:id="11"/>
      <w:bookmarkEnd w:id="12"/>
      <w:bookmarkEnd w:id="13"/>
      <w:bookmarkEnd w:id="14"/>
      <w:bookmarkEnd w:id="15"/>
      <w:bookmarkEnd w:id="16"/>
      <w:bookmarkEnd w:id="17"/>
      <w:bookmarkEnd w:id="18"/>
      <w:bookmarkEnd w:id="20"/>
      <w:bookmarkEnd w:id="21"/>
      <w:bookmarkEnd w:id="22"/>
      <w:bookmarkEnd w:id="23"/>
    </w:p>
    <w:p w:rsidR="006F42A4" w:rsidRPr="004A15A9" w:rsidRDefault="006F42A4" w:rsidP="006F42A4">
      <w:pPr>
        <w:rPr>
          <w:rFonts w:cs="Arial"/>
          <w:sz w:val="24"/>
        </w:rPr>
      </w:pPr>
    </w:p>
    <w:tbl>
      <w:tblPr>
        <w:tblStyle w:val="TableGrid"/>
        <w:tblW w:w="0" w:type="auto"/>
        <w:tblInd w:w="108" w:type="dxa"/>
        <w:tblLook w:val="04A0" w:firstRow="1" w:lastRow="0" w:firstColumn="1" w:lastColumn="0" w:noHBand="0" w:noVBand="1"/>
      </w:tblPr>
      <w:tblGrid>
        <w:gridCol w:w="2202"/>
        <w:gridCol w:w="2310"/>
        <w:gridCol w:w="2311"/>
        <w:gridCol w:w="2311"/>
      </w:tblGrid>
      <w:tr w:rsidR="006F42A4" w:rsidTr="00277C6F">
        <w:tc>
          <w:tcPr>
            <w:tcW w:w="4512" w:type="dxa"/>
            <w:gridSpan w:val="2"/>
          </w:tcPr>
          <w:p w:rsidR="006F42A4" w:rsidRPr="002150EE" w:rsidRDefault="006F42A4" w:rsidP="00277C6F">
            <w:pPr>
              <w:rPr>
                <w:rFonts w:cs="Arial"/>
                <w:sz w:val="20"/>
                <w:szCs w:val="20"/>
              </w:rPr>
            </w:pPr>
            <w:r w:rsidRPr="002150EE">
              <w:rPr>
                <w:rFonts w:cs="Arial"/>
                <w:b/>
                <w:sz w:val="20"/>
                <w:szCs w:val="20"/>
                <w:u w:val="single"/>
              </w:rPr>
              <w:t>Time</w:t>
            </w:r>
          </w:p>
        </w:tc>
        <w:tc>
          <w:tcPr>
            <w:tcW w:w="4622" w:type="dxa"/>
            <w:gridSpan w:val="2"/>
          </w:tcPr>
          <w:p w:rsidR="006F42A4" w:rsidRPr="002150EE" w:rsidRDefault="006F42A4" w:rsidP="00277C6F">
            <w:pPr>
              <w:rPr>
                <w:rFonts w:cs="Arial"/>
                <w:sz w:val="20"/>
                <w:szCs w:val="20"/>
              </w:rPr>
            </w:pPr>
            <w:r w:rsidRPr="002150EE">
              <w:rPr>
                <w:rFonts w:cs="Arial"/>
                <w:b/>
                <w:sz w:val="20"/>
                <w:szCs w:val="20"/>
                <w:u w:val="single"/>
              </w:rPr>
              <w:t>Weight</w:t>
            </w:r>
          </w:p>
        </w:tc>
      </w:tr>
      <w:tr w:rsidR="006F42A4" w:rsidTr="00277C6F">
        <w:tc>
          <w:tcPr>
            <w:tcW w:w="2202" w:type="dxa"/>
          </w:tcPr>
          <w:p w:rsidR="006F42A4" w:rsidRPr="002150EE" w:rsidRDefault="006F42A4" w:rsidP="00277C6F">
            <w:pPr>
              <w:rPr>
                <w:rFonts w:cs="Arial"/>
                <w:sz w:val="20"/>
                <w:szCs w:val="20"/>
              </w:rPr>
            </w:pPr>
            <w:r>
              <w:rPr>
                <w:rFonts w:cs="Arial"/>
                <w:sz w:val="20"/>
                <w:szCs w:val="20"/>
              </w:rPr>
              <w:t>sec</w:t>
            </w:r>
          </w:p>
        </w:tc>
        <w:tc>
          <w:tcPr>
            <w:tcW w:w="2310" w:type="dxa"/>
          </w:tcPr>
          <w:p w:rsidR="006F42A4" w:rsidRPr="002150EE" w:rsidRDefault="006F42A4" w:rsidP="00277C6F">
            <w:pPr>
              <w:rPr>
                <w:rFonts w:cs="Arial"/>
                <w:sz w:val="20"/>
                <w:szCs w:val="20"/>
              </w:rPr>
            </w:pPr>
            <w:r>
              <w:rPr>
                <w:rFonts w:cs="Arial"/>
                <w:sz w:val="20"/>
                <w:szCs w:val="20"/>
              </w:rPr>
              <w:t>Second</w:t>
            </w:r>
          </w:p>
        </w:tc>
        <w:tc>
          <w:tcPr>
            <w:tcW w:w="2311" w:type="dxa"/>
          </w:tcPr>
          <w:p w:rsidR="006F42A4" w:rsidRPr="002150EE" w:rsidRDefault="006F42A4" w:rsidP="00277C6F">
            <w:pPr>
              <w:rPr>
                <w:rFonts w:cs="Arial"/>
                <w:sz w:val="20"/>
                <w:szCs w:val="20"/>
              </w:rPr>
            </w:pPr>
            <w:r>
              <w:rPr>
                <w:rFonts w:cs="Arial"/>
                <w:sz w:val="20"/>
                <w:szCs w:val="20"/>
              </w:rPr>
              <w:t>bw</w:t>
            </w:r>
          </w:p>
        </w:tc>
        <w:tc>
          <w:tcPr>
            <w:tcW w:w="2311" w:type="dxa"/>
          </w:tcPr>
          <w:p w:rsidR="006F42A4" w:rsidRPr="002150EE" w:rsidRDefault="006F42A4" w:rsidP="00277C6F">
            <w:pPr>
              <w:rPr>
                <w:rFonts w:cs="Arial"/>
                <w:sz w:val="20"/>
                <w:szCs w:val="20"/>
              </w:rPr>
            </w:pPr>
            <w:r>
              <w:rPr>
                <w:rFonts w:cs="Arial"/>
                <w:sz w:val="20"/>
                <w:szCs w:val="20"/>
              </w:rPr>
              <w:t>Bodyweight</w:t>
            </w:r>
          </w:p>
        </w:tc>
      </w:tr>
      <w:tr w:rsidR="006F42A4" w:rsidTr="00277C6F">
        <w:tc>
          <w:tcPr>
            <w:tcW w:w="2202" w:type="dxa"/>
          </w:tcPr>
          <w:p w:rsidR="006F42A4" w:rsidRPr="002150EE" w:rsidRDefault="006F42A4" w:rsidP="00277C6F">
            <w:pPr>
              <w:rPr>
                <w:rFonts w:cs="Arial"/>
                <w:sz w:val="20"/>
                <w:szCs w:val="20"/>
              </w:rPr>
            </w:pPr>
            <w:r>
              <w:rPr>
                <w:rFonts w:cs="Arial"/>
                <w:sz w:val="20"/>
                <w:szCs w:val="20"/>
              </w:rPr>
              <w:t>min</w:t>
            </w:r>
          </w:p>
        </w:tc>
        <w:tc>
          <w:tcPr>
            <w:tcW w:w="2310" w:type="dxa"/>
          </w:tcPr>
          <w:p w:rsidR="006F42A4" w:rsidRPr="002150EE" w:rsidRDefault="006F42A4" w:rsidP="00277C6F">
            <w:pPr>
              <w:rPr>
                <w:rFonts w:cs="Arial"/>
                <w:sz w:val="20"/>
                <w:szCs w:val="20"/>
              </w:rPr>
            </w:pPr>
            <w:r>
              <w:rPr>
                <w:rFonts w:cs="Arial"/>
                <w:sz w:val="20"/>
                <w:szCs w:val="20"/>
              </w:rPr>
              <w:t>Minute</w:t>
            </w:r>
          </w:p>
        </w:tc>
        <w:tc>
          <w:tcPr>
            <w:tcW w:w="2311" w:type="dxa"/>
          </w:tcPr>
          <w:p w:rsidR="006F42A4" w:rsidRPr="002150EE" w:rsidRDefault="006F42A4" w:rsidP="00277C6F">
            <w:pPr>
              <w:rPr>
                <w:rFonts w:cs="Arial"/>
                <w:sz w:val="20"/>
                <w:szCs w:val="20"/>
              </w:rPr>
            </w:pPr>
            <w:r>
              <w:rPr>
                <w:rFonts w:cs="Arial"/>
                <w:sz w:val="20"/>
                <w:szCs w:val="20"/>
              </w:rPr>
              <w:t>wt</w:t>
            </w:r>
          </w:p>
        </w:tc>
        <w:tc>
          <w:tcPr>
            <w:tcW w:w="2311" w:type="dxa"/>
          </w:tcPr>
          <w:p w:rsidR="006F42A4" w:rsidRPr="002150EE" w:rsidRDefault="006F42A4" w:rsidP="00277C6F">
            <w:pPr>
              <w:rPr>
                <w:rFonts w:cs="Arial"/>
                <w:sz w:val="20"/>
                <w:szCs w:val="20"/>
              </w:rPr>
            </w:pPr>
            <w:r>
              <w:rPr>
                <w:rFonts w:cs="Arial"/>
                <w:sz w:val="20"/>
                <w:szCs w:val="20"/>
              </w:rPr>
              <w:t>Weight</w:t>
            </w:r>
          </w:p>
        </w:tc>
      </w:tr>
      <w:tr w:rsidR="006F42A4" w:rsidTr="00277C6F">
        <w:tc>
          <w:tcPr>
            <w:tcW w:w="2202" w:type="dxa"/>
          </w:tcPr>
          <w:p w:rsidR="006F42A4" w:rsidRPr="002150EE" w:rsidRDefault="006F42A4" w:rsidP="00277C6F">
            <w:pPr>
              <w:rPr>
                <w:rFonts w:cs="Arial"/>
                <w:sz w:val="20"/>
                <w:szCs w:val="20"/>
              </w:rPr>
            </w:pPr>
            <w:r>
              <w:rPr>
                <w:rFonts w:cs="Arial"/>
                <w:sz w:val="20"/>
                <w:szCs w:val="20"/>
              </w:rPr>
              <w:t>d</w:t>
            </w:r>
          </w:p>
        </w:tc>
        <w:tc>
          <w:tcPr>
            <w:tcW w:w="2310" w:type="dxa"/>
          </w:tcPr>
          <w:p w:rsidR="006F42A4" w:rsidRPr="002150EE" w:rsidRDefault="006F42A4" w:rsidP="00277C6F">
            <w:pPr>
              <w:rPr>
                <w:rFonts w:cs="Arial"/>
                <w:sz w:val="20"/>
                <w:szCs w:val="20"/>
              </w:rPr>
            </w:pPr>
            <w:r>
              <w:rPr>
                <w:rFonts w:cs="Arial"/>
                <w:sz w:val="20"/>
                <w:szCs w:val="20"/>
              </w:rPr>
              <w:t>Day</w:t>
            </w:r>
          </w:p>
        </w:tc>
        <w:tc>
          <w:tcPr>
            <w:tcW w:w="2311" w:type="dxa"/>
          </w:tcPr>
          <w:p w:rsidR="006F42A4" w:rsidRDefault="006F42A4" w:rsidP="00277C6F">
            <w:pPr>
              <w:rPr>
                <w:rFonts w:cs="Arial"/>
                <w:sz w:val="20"/>
                <w:szCs w:val="20"/>
              </w:rPr>
            </w:pPr>
            <w:r>
              <w:rPr>
                <w:rFonts w:cs="Arial"/>
                <w:sz w:val="20"/>
                <w:szCs w:val="20"/>
              </w:rPr>
              <w:t>ng</w:t>
            </w:r>
          </w:p>
        </w:tc>
        <w:tc>
          <w:tcPr>
            <w:tcW w:w="2311" w:type="dxa"/>
          </w:tcPr>
          <w:p w:rsidR="006F42A4" w:rsidRDefault="006F42A4" w:rsidP="00277C6F">
            <w:pPr>
              <w:rPr>
                <w:rFonts w:cs="Arial"/>
                <w:sz w:val="20"/>
                <w:szCs w:val="20"/>
              </w:rPr>
            </w:pPr>
            <w:r>
              <w:rPr>
                <w:rFonts w:cs="Arial"/>
                <w:sz w:val="20"/>
                <w:szCs w:val="20"/>
              </w:rPr>
              <w:t>Nanogram</w:t>
            </w:r>
          </w:p>
        </w:tc>
      </w:tr>
      <w:tr w:rsidR="006F42A4" w:rsidTr="00277C6F">
        <w:tc>
          <w:tcPr>
            <w:tcW w:w="2202" w:type="dxa"/>
          </w:tcPr>
          <w:p w:rsidR="006F42A4" w:rsidRPr="002150EE" w:rsidRDefault="006F42A4" w:rsidP="00277C6F">
            <w:pPr>
              <w:rPr>
                <w:rFonts w:cs="Arial"/>
                <w:sz w:val="20"/>
                <w:szCs w:val="20"/>
              </w:rPr>
            </w:pPr>
            <w:proofErr w:type="spellStart"/>
            <w:r>
              <w:rPr>
                <w:rFonts w:cs="Arial"/>
                <w:sz w:val="20"/>
                <w:szCs w:val="20"/>
              </w:rPr>
              <w:t>wk</w:t>
            </w:r>
            <w:proofErr w:type="spellEnd"/>
          </w:p>
        </w:tc>
        <w:tc>
          <w:tcPr>
            <w:tcW w:w="2310" w:type="dxa"/>
          </w:tcPr>
          <w:p w:rsidR="006F42A4" w:rsidRPr="002150EE" w:rsidRDefault="006F42A4" w:rsidP="00277C6F">
            <w:pPr>
              <w:rPr>
                <w:rFonts w:cs="Arial"/>
                <w:sz w:val="20"/>
                <w:szCs w:val="20"/>
              </w:rPr>
            </w:pPr>
            <w:r>
              <w:rPr>
                <w:rFonts w:cs="Arial"/>
                <w:sz w:val="20"/>
                <w:szCs w:val="20"/>
              </w:rPr>
              <w:t>Week</w:t>
            </w:r>
          </w:p>
        </w:tc>
        <w:tc>
          <w:tcPr>
            <w:tcW w:w="2311" w:type="dxa"/>
          </w:tcPr>
          <w:p w:rsidR="006F42A4" w:rsidRPr="002150EE" w:rsidRDefault="006F42A4" w:rsidP="00277C6F">
            <w:pPr>
              <w:rPr>
                <w:rFonts w:cs="Arial"/>
                <w:sz w:val="20"/>
                <w:szCs w:val="20"/>
              </w:rPr>
            </w:pPr>
            <w:r>
              <w:rPr>
                <w:rFonts w:cs="Arial"/>
                <w:sz w:val="20"/>
                <w:szCs w:val="20"/>
              </w:rPr>
              <w:t>µg</w:t>
            </w:r>
          </w:p>
        </w:tc>
        <w:tc>
          <w:tcPr>
            <w:tcW w:w="2311" w:type="dxa"/>
          </w:tcPr>
          <w:p w:rsidR="006F42A4" w:rsidRPr="002150EE" w:rsidRDefault="006F42A4" w:rsidP="00277C6F">
            <w:pPr>
              <w:rPr>
                <w:rFonts w:cs="Arial"/>
                <w:sz w:val="20"/>
                <w:szCs w:val="20"/>
              </w:rPr>
            </w:pPr>
            <w:r>
              <w:rPr>
                <w:rFonts w:cs="Arial"/>
                <w:sz w:val="20"/>
                <w:szCs w:val="20"/>
              </w:rPr>
              <w:t>Microgram</w:t>
            </w:r>
          </w:p>
        </w:tc>
      </w:tr>
      <w:tr w:rsidR="006F42A4" w:rsidTr="00277C6F">
        <w:tc>
          <w:tcPr>
            <w:tcW w:w="2202" w:type="dxa"/>
          </w:tcPr>
          <w:p w:rsidR="006F42A4" w:rsidRDefault="006F42A4" w:rsidP="00277C6F">
            <w:pPr>
              <w:rPr>
                <w:rFonts w:cs="Arial"/>
                <w:sz w:val="20"/>
                <w:szCs w:val="20"/>
              </w:rPr>
            </w:pPr>
            <w:r>
              <w:rPr>
                <w:rFonts w:cs="Arial"/>
                <w:sz w:val="20"/>
                <w:szCs w:val="20"/>
              </w:rPr>
              <w:t>mo</w:t>
            </w:r>
          </w:p>
        </w:tc>
        <w:tc>
          <w:tcPr>
            <w:tcW w:w="2310" w:type="dxa"/>
          </w:tcPr>
          <w:p w:rsidR="006F42A4" w:rsidRDefault="006F42A4" w:rsidP="00277C6F">
            <w:pPr>
              <w:rPr>
                <w:rFonts w:cs="Arial"/>
                <w:sz w:val="20"/>
                <w:szCs w:val="20"/>
              </w:rPr>
            </w:pPr>
            <w:r>
              <w:rPr>
                <w:rFonts w:cs="Arial"/>
                <w:sz w:val="20"/>
                <w:szCs w:val="20"/>
              </w:rPr>
              <w:t>Month</w:t>
            </w:r>
          </w:p>
        </w:tc>
        <w:tc>
          <w:tcPr>
            <w:tcW w:w="2311" w:type="dxa"/>
          </w:tcPr>
          <w:p w:rsidR="006F42A4" w:rsidRPr="002150EE" w:rsidRDefault="006F42A4" w:rsidP="00277C6F">
            <w:pPr>
              <w:rPr>
                <w:rFonts w:cs="Arial"/>
                <w:sz w:val="20"/>
                <w:szCs w:val="20"/>
              </w:rPr>
            </w:pPr>
            <w:r>
              <w:rPr>
                <w:rFonts w:cs="Arial"/>
                <w:sz w:val="20"/>
                <w:szCs w:val="20"/>
              </w:rPr>
              <w:t>mg</w:t>
            </w:r>
          </w:p>
        </w:tc>
        <w:tc>
          <w:tcPr>
            <w:tcW w:w="2311" w:type="dxa"/>
          </w:tcPr>
          <w:p w:rsidR="006F42A4" w:rsidRPr="002150EE" w:rsidRDefault="006F42A4" w:rsidP="00277C6F">
            <w:pPr>
              <w:rPr>
                <w:rFonts w:cs="Arial"/>
                <w:sz w:val="20"/>
                <w:szCs w:val="20"/>
              </w:rPr>
            </w:pPr>
            <w:r>
              <w:rPr>
                <w:rFonts w:cs="Arial"/>
                <w:sz w:val="20"/>
                <w:szCs w:val="20"/>
              </w:rPr>
              <w:t>Milligram</w:t>
            </w:r>
          </w:p>
        </w:tc>
      </w:tr>
      <w:tr w:rsidR="006F42A4" w:rsidTr="00277C6F">
        <w:tc>
          <w:tcPr>
            <w:tcW w:w="2202" w:type="dxa"/>
          </w:tcPr>
          <w:p w:rsidR="006F42A4" w:rsidRDefault="006F42A4" w:rsidP="00277C6F">
            <w:pPr>
              <w:rPr>
                <w:rFonts w:cs="Arial"/>
                <w:sz w:val="20"/>
                <w:szCs w:val="20"/>
              </w:rPr>
            </w:pPr>
            <w:proofErr w:type="spellStart"/>
            <w:r>
              <w:rPr>
                <w:rFonts w:cs="Arial"/>
                <w:sz w:val="20"/>
                <w:szCs w:val="20"/>
              </w:rPr>
              <w:t>yr</w:t>
            </w:r>
            <w:proofErr w:type="spellEnd"/>
          </w:p>
        </w:tc>
        <w:tc>
          <w:tcPr>
            <w:tcW w:w="2310" w:type="dxa"/>
          </w:tcPr>
          <w:p w:rsidR="006F42A4" w:rsidRDefault="006F42A4" w:rsidP="00277C6F">
            <w:pPr>
              <w:rPr>
                <w:rFonts w:cs="Arial"/>
                <w:sz w:val="20"/>
                <w:szCs w:val="20"/>
              </w:rPr>
            </w:pPr>
            <w:r>
              <w:rPr>
                <w:rFonts w:cs="Arial"/>
                <w:sz w:val="20"/>
                <w:szCs w:val="20"/>
              </w:rPr>
              <w:t>Year</w:t>
            </w:r>
          </w:p>
        </w:tc>
        <w:tc>
          <w:tcPr>
            <w:tcW w:w="2311" w:type="dxa"/>
          </w:tcPr>
          <w:p w:rsidR="006F42A4" w:rsidRPr="002150EE" w:rsidRDefault="006F42A4" w:rsidP="00277C6F">
            <w:pPr>
              <w:rPr>
                <w:rFonts w:cs="Arial"/>
                <w:sz w:val="20"/>
                <w:szCs w:val="20"/>
              </w:rPr>
            </w:pPr>
            <w:r>
              <w:rPr>
                <w:rFonts w:cs="Arial"/>
                <w:sz w:val="20"/>
                <w:szCs w:val="20"/>
              </w:rPr>
              <w:t>kg</w:t>
            </w:r>
          </w:p>
        </w:tc>
        <w:tc>
          <w:tcPr>
            <w:tcW w:w="2311" w:type="dxa"/>
          </w:tcPr>
          <w:p w:rsidR="006F42A4" w:rsidRPr="002150EE" w:rsidRDefault="006F42A4" w:rsidP="00277C6F">
            <w:pPr>
              <w:rPr>
                <w:rFonts w:cs="Arial"/>
                <w:sz w:val="20"/>
                <w:szCs w:val="20"/>
              </w:rPr>
            </w:pPr>
            <w:r>
              <w:rPr>
                <w:rFonts w:cs="Arial"/>
                <w:sz w:val="20"/>
                <w:szCs w:val="20"/>
              </w:rPr>
              <w:t>Kilogram</w:t>
            </w:r>
          </w:p>
        </w:tc>
      </w:tr>
      <w:tr w:rsidR="006F42A4" w:rsidTr="00277C6F">
        <w:tc>
          <w:tcPr>
            <w:tcW w:w="2202" w:type="dxa"/>
          </w:tcPr>
          <w:p w:rsidR="006F42A4" w:rsidRDefault="006F42A4" w:rsidP="00277C6F">
            <w:pPr>
              <w:rPr>
                <w:rFonts w:cs="Arial"/>
                <w:sz w:val="20"/>
                <w:szCs w:val="20"/>
              </w:rPr>
            </w:pPr>
          </w:p>
        </w:tc>
        <w:tc>
          <w:tcPr>
            <w:tcW w:w="2310" w:type="dxa"/>
          </w:tcPr>
          <w:p w:rsidR="006F42A4"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4512" w:type="dxa"/>
            <w:gridSpan w:val="2"/>
          </w:tcPr>
          <w:p w:rsidR="006F42A4" w:rsidRPr="002150EE" w:rsidRDefault="006F42A4" w:rsidP="00277C6F">
            <w:pPr>
              <w:rPr>
                <w:rFonts w:cs="Arial"/>
                <w:sz w:val="20"/>
                <w:szCs w:val="20"/>
              </w:rPr>
            </w:pPr>
            <w:r w:rsidRPr="002150EE">
              <w:rPr>
                <w:rFonts w:cs="Arial"/>
                <w:b/>
                <w:sz w:val="20"/>
                <w:szCs w:val="20"/>
                <w:u w:val="single"/>
              </w:rPr>
              <w:t>Length</w:t>
            </w:r>
          </w:p>
        </w:tc>
        <w:tc>
          <w:tcPr>
            <w:tcW w:w="4622" w:type="dxa"/>
            <w:gridSpan w:val="2"/>
          </w:tcPr>
          <w:p w:rsidR="006F42A4" w:rsidRPr="002150EE" w:rsidRDefault="006F42A4" w:rsidP="00277C6F">
            <w:pPr>
              <w:rPr>
                <w:rFonts w:cs="Arial"/>
                <w:sz w:val="20"/>
                <w:szCs w:val="20"/>
              </w:rPr>
            </w:pPr>
            <w:r w:rsidRPr="002150EE">
              <w:rPr>
                <w:rFonts w:cs="Arial"/>
                <w:b/>
                <w:sz w:val="20"/>
                <w:szCs w:val="20"/>
                <w:u w:val="single"/>
              </w:rPr>
              <w:t>Dosing</w:t>
            </w:r>
          </w:p>
        </w:tc>
      </w:tr>
      <w:tr w:rsidR="006F42A4" w:rsidTr="00277C6F">
        <w:tc>
          <w:tcPr>
            <w:tcW w:w="2202" w:type="dxa"/>
          </w:tcPr>
          <w:p w:rsidR="006F42A4" w:rsidRPr="002150EE" w:rsidRDefault="006F42A4" w:rsidP="00277C6F">
            <w:pPr>
              <w:rPr>
                <w:rFonts w:cs="Arial"/>
                <w:sz w:val="20"/>
                <w:szCs w:val="20"/>
              </w:rPr>
            </w:pPr>
            <w:r>
              <w:rPr>
                <w:rFonts w:cs="Arial"/>
                <w:sz w:val="20"/>
                <w:szCs w:val="20"/>
              </w:rPr>
              <w:t>nm</w:t>
            </w:r>
          </w:p>
        </w:tc>
        <w:tc>
          <w:tcPr>
            <w:tcW w:w="2310" w:type="dxa"/>
          </w:tcPr>
          <w:p w:rsidR="006F42A4" w:rsidRPr="002150EE" w:rsidRDefault="006F42A4" w:rsidP="00277C6F">
            <w:pPr>
              <w:rPr>
                <w:rFonts w:cs="Arial"/>
                <w:sz w:val="20"/>
                <w:szCs w:val="20"/>
              </w:rPr>
            </w:pPr>
            <w:r>
              <w:rPr>
                <w:rFonts w:cs="Arial"/>
                <w:sz w:val="20"/>
                <w:szCs w:val="20"/>
              </w:rPr>
              <w:t>Nanometre</w:t>
            </w:r>
          </w:p>
        </w:tc>
        <w:tc>
          <w:tcPr>
            <w:tcW w:w="2311" w:type="dxa"/>
          </w:tcPr>
          <w:p w:rsidR="006F42A4" w:rsidRPr="002150EE" w:rsidRDefault="006F42A4" w:rsidP="00277C6F">
            <w:pPr>
              <w:rPr>
                <w:rFonts w:cs="Arial"/>
                <w:sz w:val="20"/>
                <w:szCs w:val="20"/>
              </w:rPr>
            </w:pPr>
            <w:r>
              <w:rPr>
                <w:rFonts w:cs="Arial"/>
                <w:sz w:val="20"/>
                <w:szCs w:val="20"/>
              </w:rPr>
              <w:t>iv</w:t>
            </w:r>
          </w:p>
        </w:tc>
        <w:tc>
          <w:tcPr>
            <w:tcW w:w="2311" w:type="dxa"/>
          </w:tcPr>
          <w:p w:rsidR="006F42A4" w:rsidRPr="002150EE" w:rsidRDefault="006F42A4" w:rsidP="00277C6F">
            <w:pPr>
              <w:rPr>
                <w:rFonts w:cs="Arial"/>
                <w:sz w:val="20"/>
                <w:szCs w:val="20"/>
              </w:rPr>
            </w:pPr>
            <w:r>
              <w:rPr>
                <w:rFonts w:cs="Arial"/>
                <w:sz w:val="20"/>
                <w:szCs w:val="20"/>
              </w:rPr>
              <w:t>Intravenous</w:t>
            </w:r>
          </w:p>
        </w:tc>
      </w:tr>
      <w:tr w:rsidR="006F42A4" w:rsidTr="00277C6F">
        <w:tc>
          <w:tcPr>
            <w:tcW w:w="2202" w:type="dxa"/>
          </w:tcPr>
          <w:p w:rsidR="006F42A4" w:rsidRPr="002150EE" w:rsidRDefault="006F42A4" w:rsidP="00277C6F">
            <w:pPr>
              <w:rPr>
                <w:rFonts w:cs="Arial"/>
                <w:sz w:val="20"/>
                <w:szCs w:val="20"/>
              </w:rPr>
            </w:pPr>
            <w:r>
              <w:rPr>
                <w:rFonts w:cs="Arial"/>
                <w:sz w:val="20"/>
                <w:szCs w:val="20"/>
              </w:rPr>
              <w:t>µm</w:t>
            </w:r>
          </w:p>
        </w:tc>
        <w:tc>
          <w:tcPr>
            <w:tcW w:w="2310" w:type="dxa"/>
          </w:tcPr>
          <w:p w:rsidR="006F42A4" w:rsidRPr="002150EE" w:rsidRDefault="006F42A4" w:rsidP="00277C6F">
            <w:pPr>
              <w:rPr>
                <w:rFonts w:cs="Arial"/>
                <w:sz w:val="20"/>
                <w:szCs w:val="20"/>
              </w:rPr>
            </w:pPr>
            <w:r>
              <w:rPr>
                <w:rFonts w:cs="Arial"/>
                <w:sz w:val="20"/>
                <w:szCs w:val="20"/>
              </w:rPr>
              <w:t>Micrometre</w:t>
            </w:r>
          </w:p>
        </w:tc>
        <w:tc>
          <w:tcPr>
            <w:tcW w:w="2311" w:type="dxa"/>
          </w:tcPr>
          <w:p w:rsidR="006F42A4" w:rsidRPr="002150EE" w:rsidRDefault="006F42A4" w:rsidP="00277C6F">
            <w:pPr>
              <w:rPr>
                <w:rFonts w:cs="Arial"/>
                <w:sz w:val="20"/>
                <w:szCs w:val="20"/>
              </w:rPr>
            </w:pPr>
            <w:proofErr w:type="spellStart"/>
            <w:r>
              <w:rPr>
                <w:rFonts w:cs="Arial"/>
                <w:sz w:val="20"/>
                <w:szCs w:val="20"/>
              </w:rPr>
              <w:t>po</w:t>
            </w:r>
            <w:proofErr w:type="spellEnd"/>
          </w:p>
        </w:tc>
        <w:tc>
          <w:tcPr>
            <w:tcW w:w="2311" w:type="dxa"/>
          </w:tcPr>
          <w:p w:rsidR="006F42A4" w:rsidRPr="002150EE" w:rsidRDefault="006F42A4" w:rsidP="00277C6F">
            <w:pPr>
              <w:rPr>
                <w:rFonts w:cs="Arial"/>
                <w:sz w:val="20"/>
                <w:szCs w:val="20"/>
              </w:rPr>
            </w:pPr>
            <w:r>
              <w:rPr>
                <w:rFonts w:cs="Arial"/>
                <w:sz w:val="20"/>
                <w:szCs w:val="20"/>
              </w:rPr>
              <w:t>Oral</w:t>
            </w:r>
          </w:p>
        </w:tc>
      </w:tr>
      <w:tr w:rsidR="006F42A4" w:rsidTr="00277C6F">
        <w:tc>
          <w:tcPr>
            <w:tcW w:w="2202" w:type="dxa"/>
          </w:tcPr>
          <w:p w:rsidR="006F42A4" w:rsidRPr="002150EE" w:rsidRDefault="006F42A4" w:rsidP="00277C6F">
            <w:pPr>
              <w:rPr>
                <w:rFonts w:cs="Arial"/>
                <w:sz w:val="20"/>
                <w:szCs w:val="20"/>
              </w:rPr>
            </w:pPr>
            <w:r>
              <w:rPr>
                <w:rFonts w:cs="Arial"/>
                <w:sz w:val="20"/>
                <w:szCs w:val="20"/>
              </w:rPr>
              <w:t>mm</w:t>
            </w:r>
          </w:p>
        </w:tc>
        <w:tc>
          <w:tcPr>
            <w:tcW w:w="2310" w:type="dxa"/>
          </w:tcPr>
          <w:p w:rsidR="006F42A4" w:rsidRPr="002150EE" w:rsidRDefault="006F42A4" w:rsidP="00277C6F">
            <w:pPr>
              <w:rPr>
                <w:rFonts w:cs="Arial"/>
                <w:sz w:val="20"/>
                <w:szCs w:val="20"/>
              </w:rPr>
            </w:pPr>
            <w:r>
              <w:rPr>
                <w:rFonts w:cs="Arial"/>
                <w:sz w:val="20"/>
                <w:szCs w:val="20"/>
              </w:rPr>
              <w:t>Millimetre</w:t>
            </w:r>
          </w:p>
        </w:tc>
        <w:tc>
          <w:tcPr>
            <w:tcW w:w="2311" w:type="dxa"/>
          </w:tcPr>
          <w:p w:rsidR="006F42A4" w:rsidRPr="002150EE" w:rsidRDefault="006F42A4" w:rsidP="00277C6F">
            <w:pPr>
              <w:rPr>
                <w:rFonts w:cs="Arial"/>
                <w:sz w:val="20"/>
                <w:szCs w:val="20"/>
              </w:rPr>
            </w:pPr>
            <w:r>
              <w:rPr>
                <w:rFonts w:cs="Arial"/>
                <w:sz w:val="20"/>
                <w:szCs w:val="20"/>
              </w:rPr>
              <w:t>mg/kg bw/day</w:t>
            </w:r>
          </w:p>
        </w:tc>
        <w:tc>
          <w:tcPr>
            <w:tcW w:w="2311" w:type="dxa"/>
          </w:tcPr>
          <w:p w:rsidR="006F42A4" w:rsidRPr="002150EE" w:rsidRDefault="006F42A4" w:rsidP="00277C6F">
            <w:pPr>
              <w:rPr>
                <w:rFonts w:cs="Arial"/>
                <w:sz w:val="20"/>
                <w:szCs w:val="20"/>
              </w:rPr>
            </w:pPr>
            <w:r>
              <w:rPr>
                <w:rFonts w:cs="Arial"/>
                <w:sz w:val="20"/>
                <w:szCs w:val="20"/>
              </w:rPr>
              <w:t>mg/kg bodyweight/day</w:t>
            </w:r>
          </w:p>
        </w:tc>
      </w:tr>
      <w:tr w:rsidR="006F42A4" w:rsidTr="00277C6F">
        <w:tc>
          <w:tcPr>
            <w:tcW w:w="2202" w:type="dxa"/>
          </w:tcPr>
          <w:p w:rsidR="006F42A4" w:rsidRPr="002150EE" w:rsidRDefault="006F42A4" w:rsidP="00277C6F">
            <w:pPr>
              <w:rPr>
                <w:rFonts w:cs="Arial"/>
                <w:sz w:val="20"/>
                <w:szCs w:val="20"/>
              </w:rPr>
            </w:pPr>
            <w:r>
              <w:rPr>
                <w:rFonts w:cs="Arial"/>
                <w:sz w:val="20"/>
                <w:szCs w:val="20"/>
              </w:rPr>
              <w:t>cm</w:t>
            </w:r>
          </w:p>
        </w:tc>
        <w:tc>
          <w:tcPr>
            <w:tcW w:w="2310" w:type="dxa"/>
          </w:tcPr>
          <w:p w:rsidR="006F42A4" w:rsidRPr="002150EE" w:rsidRDefault="006F42A4" w:rsidP="00277C6F">
            <w:pPr>
              <w:rPr>
                <w:rFonts w:cs="Arial"/>
                <w:sz w:val="20"/>
                <w:szCs w:val="20"/>
              </w:rPr>
            </w:pPr>
            <w:r>
              <w:rPr>
                <w:rFonts w:cs="Arial"/>
                <w:sz w:val="20"/>
                <w:szCs w:val="20"/>
              </w:rPr>
              <w:t>Centimetre</w:t>
            </w: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2202" w:type="dxa"/>
          </w:tcPr>
          <w:p w:rsidR="006F42A4" w:rsidRPr="002150EE" w:rsidRDefault="006F42A4" w:rsidP="00277C6F">
            <w:pPr>
              <w:rPr>
                <w:rFonts w:cs="Arial"/>
                <w:sz w:val="20"/>
                <w:szCs w:val="20"/>
              </w:rPr>
            </w:pPr>
            <w:r>
              <w:rPr>
                <w:rFonts w:cs="Arial"/>
                <w:sz w:val="20"/>
                <w:szCs w:val="20"/>
              </w:rPr>
              <w:t>m</w:t>
            </w:r>
          </w:p>
        </w:tc>
        <w:tc>
          <w:tcPr>
            <w:tcW w:w="2310" w:type="dxa"/>
          </w:tcPr>
          <w:p w:rsidR="006F42A4" w:rsidRPr="002150EE" w:rsidRDefault="006F42A4" w:rsidP="00277C6F">
            <w:pPr>
              <w:rPr>
                <w:rFonts w:cs="Arial"/>
                <w:sz w:val="20"/>
                <w:szCs w:val="20"/>
              </w:rPr>
            </w:pPr>
            <w:r>
              <w:rPr>
                <w:rFonts w:cs="Arial"/>
                <w:sz w:val="20"/>
                <w:szCs w:val="20"/>
              </w:rPr>
              <w:t>Metre</w:t>
            </w: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2202" w:type="dxa"/>
          </w:tcPr>
          <w:p w:rsidR="006F42A4" w:rsidRPr="002150EE" w:rsidRDefault="006F42A4" w:rsidP="00277C6F">
            <w:pPr>
              <w:rPr>
                <w:rFonts w:cs="Arial"/>
                <w:sz w:val="20"/>
                <w:szCs w:val="20"/>
              </w:rPr>
            </w:pPr>
          </w:p>
        </w:tc>
        <w:tc>
          <w:tcPr>
            <w:tcW w:w="2310"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4512" w:type="dxa"/>
            <w:gridSpan w:val="2"/>
          </w:tcPr>
          <w:p w:rsidR="006F42A4" w:rsidRPr="002150EE" w:rsidRDefault="006F42A4" w:rsidP="00277C6F">
            <w:pPr>
              <w:rPr>
                <w:rFonts w:cs="Arial"/>
                <w:sz w:val="20"/>
                <w:szCs w:val="20"/>
              </w:rPr>
            </w:pPr>
            <w:r w:rsidRPr="002150EE">
              <w:rPr>
                <w:rFonts w:cs="Arial"/>
                <w:b/>
                <w:sz w:val="20"/>
                <w:szCs w:val="20"/>
                <w:u w:val="single"/>
              </w:rPr>
              <w:t>Volume</w:t>
            </w:r>
          </w:p>
        </w:tc>
        <w:tc>
          <w:tcPr>
            <w:tcW w:w="4622" w:type="dxa"/>
            <w:gridSpan w:val="2"/>
          </w:tcPr>
          <w:p w:rsidR="006F42A4" w:rsidRPr="002150EE" w:rsidRDefault="006F42A4" w:rsidP="00277C6F">
            <w:pPr>
              <w:rPr>
                <w:rFonts w:cs="Arial"/>
                <w:sz w:val="20"/>
                <w:szCs w:val="20"/>
              </w:rPr>
            </w:pPr>
            <w:r w:rsidRPr="002150EE">
              <w:rPr>
                <w:rFonts w:cs="Arial"/>
                <w:b/>
                <w:sz w:val="20"/>
                <w:szCs w:val="20"/>
                <w:u w:val="single"/>
              </w:rPr>
              <w:t>Concentration</w:t>
            </w:r>
          </w:p>
        </w:tc>
      </w:tr>
      <w:tr w:rsidR="006F42A4" w:rsidTr="00277C6F">
        <w:tc>
          <w:tcPr>
            <w:tcW w:w="2202" w:type="dxa"/>
          </w:tcPr>
          <w:p w:rsidR="006F42A4" w:rsidRPr="002150EE" w:rsidRDefault="006F42A4" w:rsidP="00277C6F">
            <w:pPr>
              <w:rPr>
                <w:rFonts w:cs="Arial"/>
                <w:sz w:val="20"/>
                <w:szCs w:val="20"/>
              </w:rPr>
            </w:pPr>
            <w:r>
              <w:rPr>
                <w:rFonts w:cs="Arial"/>
                <w:sz w:val="20"/>
                <w:szCs w:val="20"/>
              </w:rPr>
              <w:t>µL</w:t>
            </w:r>
          </w:p>
        </w:tc>
        <w:tc>
          <w:tcPr>
            <w:tcW w:w="2310" w:type="dxa"/>
          </w:tcPr>
          <w:p w:rsidR="006F42A4" w:rsidRPr="002150EE" w:rsidRDefault="006F42A4" w:rsidP="00277C6F">
            <w:pPr>
              <w:rPr>
                <w:rFonts w:cs="Arial"/>
                <w:sz w:val="20"/>
                <w:szCs w:val="20"/>
              </w:rPr>
            </w:pPr>
            <w:r>
              <w:rPr>
                <w:rFonts w:cs="Arial"/>
                <w:sz w:val="20"/>
                <w:szCs w:val="20"/>
              </w:rPr>
              <w:t>Microlitre</w:t>
            </w:r>
          </w:p>
        </w:tc>
        <w:tc>
          <w:tcPr>
            <w:tcW w:w="2311" w:type="dxa"/>
          </w:tcPr>
          <w:p w:rsidR="006F42A4" w:rsidRPr="002150EE" w:rsidRDefault="006F42A4" w:rsidP="00277C6F">
            <w:pPr>
              <w:rPr>
                <w:rFonts w:cs="Arial"/>
                <w:sz w:val="20"/>
                <w:szCs w:val="20"/>
              </w:rPr>
            </w:pPr>
            <w:r>
              <w:rPr>
                <w:rFonts w:cs="Arial"/>
                <w:sz w:val="20"/>
                <w:szCs w:val="20"/>
              </w:rPr>
              <w:t>M</w:t>
            </w:r>
          </w:p>
        </w:tc>
        <w:tc>
          <w:tcPr>
            <w:tcW w:w="2311" w:type="dxa"/>
          </w:tcPr>
          <w:p w:rsidR="006F42A4" w:rsidRPr="002150EE" w:rsidRDefault="006F42A4" w:rsidP="00277C6F">
            <w:pPr>
              <w:rPr>
                <w:rFonts w:cs="Arial"/>
                <w:sz w:val="20"/>
                <w:szCs w:val="20"/>
              </w:rPr>
            </w:pPr>
            <w:r>
              <w:rPr>
                <w:rFonts w:cs="Arial"/>
                <w:sz w:val="20"/>
                <w:szCs w:val="20"/>
              </w:rPr>
              <w:t>Molar</w:t>
            </w:r>
          </w:p>
        </w:tc>
      </w:tr>
      <w:tr w:rsidR="006F42A4" w:rsidTr="00277C6F">
        <w:tc>
          <w:tcPr>
            <w:tcW w:w="2202" w:type="dxa"/>
          </w:tcPr>
          <w:p w:rsidR="006F42A4" w:rsidRPr="002150EE" w:rsidRDefault="006F42A4" w:rsidP="00277C6F">
            <w:pPr>
              <w:rPr>
                <w:rFonts w:cs="Arial"/>
                <w:sz w:val="20"/>
                <w:szCs w:val="20"/>
              </w:rPr>
            </w:pPr>
            <w:r>
              <w:rPr>
                <w:rFonts w:cs="Arial"/>
                <w:sz w:val="20"/>
                <w:szCs w:val="20"/>
              </w:rPr>
              <w:t>mL</w:t>
            </w:r>
          </w:p>
        </w:tc>
        <w:tc>
          <w:tcPr>
            <w:tcW w:w="2310" w:type="dxa"/>
          </w:tcPr>
          <w:p w:rsidR="006F42A4" w:rsidRPr="002150EE" w:rsidRDefault="006F42A4" w:rsidP="00277C6F">
            <w:pPr>
              <w:rPr>
                <w:rFonts w:cs="Arial"/>
                <w:sz w:val="20"/>
                <w:szCs w:val="20"/>
              </w:rPr>
            </w:pPr>
            <w:r>
              <w:rPr>
                <w:rFonts w:cs="Arial"/>
                <w:sz w:val="20"/>
                <w:szCs w:val="20"/>
              </w:rPr>
              <w:t>Millilitre</w:t>
            </w:r>
          </w:p>
        </w:tc>
        <w:tc>
          <w:tcPr>
            <w:tcW w:w="2311" w:type="dxa"/>
          </w:tcPr>
          <w:p w:rsidR="006F42A4" w:rsidRPr="002150EE" w:rsidRDefault="006F42A4" w:rsidP="00277C6F">
            <w:pPr>
              <w:rPr>
                <w:rFonts w:cs="Arial"/>
                <w:sz w:val="20"/>
                <w:szCs w:val="20"/>
              </w:rPr>
            </w:pPr>
            <w:r>
              <w:rPr>
                <w:rFonts w:cs="Arial"/>
                <w:sz w:val="20"/>
                <w:szCs w:val="20"/>
              </w:rPr>
              <w:t>ppb</w:t>
            </w:r>
          </w:p>
        </w:tc>
        <w:tc>
          <w:tcPr>
            <w:tcW w:w="2311" w:type="dxa"/>
          </w:tcPr>
          <w:p w:rsidR="006F42A4" w:rsidRPr="002150EE" w:rsidRDefault="006F42A4" w:rsidP="00277C6F">
            <w:pPr>
              <w:rPr>
                <w:rFonts w:cs="Arial"/>
                <w:sz w:val="20"/>
                <w:szCs w:val="20"/>
              </w:rPr>
            </w:pPr>
            <w:r>
              <w:rPr>
                <w:rFonts w:cs="Arial"/>
                <w:sz w:val="20"/>
                <w:szCs w:val="20"/>
              </w:rPr>
              <w:t>Parts per billion</w:t>
            </w:r>
          </w:p>
        </w:tc>
      </w:tr>
      <w:tr w:rsidR="006F42A4" w:rsidTr="00277C6F">
        <w:tc>
          <w:tcPr>
            <w:tcW w:w="2202" w:type="dxa"/>
          </w:tcPr>
          <w:p w:rsidR="006F42A4" w:rsidRPr="002150EE" w:rsidRDefault="006F42A4" w:rsidP="00277C6F">
            <w:pPr>
              <w:rPr>
                <w:rFonts w:cs="Arial"/>
                <w:sz w:val="20"/>
                <w:szCs w:val="20"/>
              </w:rPr>
            </w:pPr>
            <w:r>
              <w:rPr>
                <w:rFonts w:cs="Arial"/>
                <w:sz w:val="20"/>
                <w:szCs w:val="20"/>
              </w:rPr>
              <w:t>L</w:t>
            </w:r>
          </w:p>
        </w:tc>
        <w:tc>
          <w:tcPr>
            <w:tcW w:w="2310" w:type="dxa"/>
          </w:tcPr>
          <w:p w:rsidR="006F42A4" w:rsidRPr="002150EE" w:rsidRDefault="006F42A4" w:rsidP="00277C6F">
            <w:pPr>
              <w:rPr>
                <w:rFonts w:cs="Arial"/>
                <w:sz w:val="20"/>
                <w:szCs w:val="20"/>
              </w:rPr>
            </w:pPr>
            <w:r>
              <w:rPr>
                <w:rFonts w:cs="Arial"/>
                <w:sz w:val="20"/>
                <w:szCs w:val="20"/>
              </w:rPr>
              <w:t>Litre</w:t>
            </w:r>
          </w:p>
        </w:tc>
        <w:tc>
          <w:tcPr>
            <w:tcW w:w="2311" w:type="dxa"/>
          </w:tcPr>
          <w:p w:rsidR="006F42A4" w:rsidRPr="002150EE" w:rsidRDefault="006F42A4" w:rsidP="00277C6F">
            <w:pPr>
              <w:rPr>
                <w:rFonts w:cs="Arial"/>
                <w:sz w:val="20"/>
                <w:szCs w:val="20"/>
              </w:rPr>
            </w:pPr>
            <w:r>
              <w:rPr>
                <w:rFonts w:cs="Arial"/>
                <w:sz w:val="20"/>
                <w:szCs w:val="20"/>
              </w:rPr>
              <w:t>ppm</w:t>
            </w:r>
          </w:p>
        </w:tc>
        <w:tc>
          <w:tcPr>
            <w:tcW w:w="2311" w:type="dxa"/>
          </w:tcPr>
          <w:p w:rsidR="006F42A4" w:rsidRPr="002150EE" w:rsidRDefault="006F42A4" w:rsidP="00277C6F">
            <w:pPr>
              <w:rPr>
                <w:rFonts w:cs="Arial"/>
                <w:sz w:val="20"/>
                <w:szCs w:val="20"/>
              </w:rPr>
            </w:pPr>
            <w:r>
              <w:rPr>
                <w:rFonts w:cs="Arial"/>
                <w:sz w:val="20"/>
                <w:szCs w:val="20"/>
              </w:rPr>
              <w:t>Parts per million</w:t>
            </w:r>
          </w:p>
        </w:tc>
      </w:tr>
      <w:tr w:rsidR="006F42A4" w:rsidTr="00277C6F">
        <w:tc>
          <w:tcPr>
            <w:tcW w:w="2202" w:type="dxa"/>
          </w:tcPr>
          <w:p w:rsidR="006F42A4" w:rsidRDefault="006F42A4" w:rsidP="00277C6F">
            <w:pPr>
              <w:rPr>
                <w:rFonts w:cs="Arial"/>
                <w:sz w:val="20"/>
                <w:szCs w:val="20"/>
              </w:rPr>
            </w:pPr>
          </w:p>
        </w:tc>
        <w:tc>
          <w:tcPr>
            <w:tcW w:w="2310" w:type="dxa"/>
          </w:tcPr>
          <w:p w:rsidR="006F42A4" w:rsidRDefault="006F42A4" w:rsidP="00277C6F">
            <w:pPr>
              <w:rPr>
                <w:rFonts w:cs="Arial"/>
                <w:sz w:val="20"/>
                <w:szCs w:val="20"/>
              </w:rPr>
            </w:pPr>
          </w:p>
        </w:tc>
        <w:tc>
          <w:tcPr>
            <w:tcW w:w="2311" w:type="dxa"/>
          </w:tcPr>
          <w:p w:rsidR="006F42A4" w:rsidRDefault="006F42A4" w:rsidP="00277C6F">
            <w:pPr>
              <w:rPr>
                <w:rFonts w:cs="Arial"/>
                <w:sz w:val="20"/>
                <w:szCs w:val="20"/>
              </w:rPr>
            </w:pPr>
            <w:r>
              <w:rPr>
                <w:rFonts w:cs="Arial"/>
                <w:sz w:val="20"/>
                <w:szCs w:val="20"/>
              </w:rPr>
              <w:t>w/v</w:t>
            </w:r>
          </w:p>
        </w:tc>
        <w:tc>
          <w:tcPr>
            <w:tcW w:w="2311" w:type="dxa"/>
          </w:tcPr>
          <w:p w:rsidR="006F42A4" w:rsidRDefault="006F42A4" w:rsidP="00277C6F">
            <w:pPr>
              <w:rPr>
                <w:rFonts w:cs="Arial"/>
                <w:sz w:val="20"/>
                <w:szCs w:val="20"/>
              </w:rPr>
            </w:pPr>
            <w:r>
              <w:rPr>
                <w:rFonts w:cs="Arial"/>
                <w:sz w:val="20"/>
                <w:szCs w:val="20"/>
              </w:rPr>
              <w:t>Weight per volume</w:t>
            </w:r>
          </w:p>
        </w:tc>
      </w:tr>
      <w:tr w:rsidR="006F42A4" w:rsidTr="00277C6F">
        <w:tc>
          <w:tcPr>
            <w:tcW w:w="2202" w:type="dxa"/>
          </w:tcPr>
          <w:p w:rsidR="006F42A4" w:rsidRDefault="006F42A4" w:rsidP="00277C6F">
            <w:pPr>
              <w:rPr>
                <w:rFonts w:cs="Arial"/>
                <w:sz w:val="20"/>
                <w:szCs w:val="20"/>
              </w:rPr>
            </w:pPr>
          </w:p>
        </w:tc>
        <w:tc>
          <w:tcPr>
            <w:tcW w:w="2310" w:type="dxa"/>
          </w:tcPr>
          <w:p w:rsidR="006F42A4" w:rsidRDefault="006F42A4" w:rsidP="00277C6F">
            <w:pPr>
              <w:rPr>
                <w:rFonts w:cs="Arial"/>
                <w:sz w:val="20"/>
                <w:szCs w:val="20"/>
              </w:rPr>
            </w:pPr>
          </w:p>
        </w:tc>
        <w:tc>
          <w:tcPr>
            <w:tcW w:w="2311" w:type="dxa"/>
          </w:tcPr>
          <w:p w:rsidR="006F42A4" w:rsidRDefault="00A85EEE" w:rsidP="00277C6F">
            <w:pPr>
              <w:rPr>
                <w:rFonts w:cs="Arial"/>
                <w:sz w:val="20"/>
                <w:szCs w:val="20"/>
              </w:rPr>
            </w:pPr>
            <w:r>
              <w:rPr>
                <w:rFonts w:cs="Arial"/>
                <w:sz w:val="20"/>
                <w:szCs w:val="20"/>
              </w:rPr>
              <w:t>w</w:t>
            </w:r>
            <w:r w:rsidR="006F42A4">
              <w:rPr>
                <w:rFonts w:cs="Arial"/>
                <w:sz w:val="20"/>
                <w:szCs w:val="20"/>
              </w:rPr>
              <w:t>/</w:t>
            </w:r>
            <w:r>
              <w:rPr>
                <w:rFonts w:cs="Arial"/>
                <w:sz w:val="20"/>
                <w:szCs w:val="20"/>
              </w:rPr>
              <w:t>w</w:t>
            </w:r>
          </w:p>
        </w:tc>
        <w:tc>
          <w:tcPr>
            <w:tcW w:w="2311" w:type="dxa"/>
          </w:tcPr>
          <w:p w:rsidR="006F42A4" w:rsidRDefault="006F42A4" w:rsidP="00277C6F">
            <w:pPr>
              <w:rPr>
                <w:rFonts w:cs="Arial"/>
                <w:sz w:val="20"/>
                <w:szCs w:val="20"/>
              </w:rPr>
            </w:pPr>
            <w:r>
              <w:rPr>
                <w:rFonts w:cs="Arial"/>
                <w:sz w:val="20"/>
                <w:szCs w:val="20"/>
              </w:rPr>
              <w:t>Weight per weight</w:t>
            </w:r>
          </w:p>
        </w:tc>
      </w:tr>
    </w:tbl>
    <w:p w:rsidR="006F42A4" w:rsidRDefault="006F42A4" w:rsidP="006F42A4">
      <w:pPr>
        <w:rPr>
          <w:rFonts w:cs="Arial"/>
          <w:sz w:val="24"/>
        </w:rPr>
      </w:pPr>
    </w:p>
    <w:tbl>
      <w:tblPr>
        <w:tblStyle w:val="TableGrid"/>
        <w:tblW w:w="0" w:type="auto"/>
        <w:tblInd w:w="108" w:type="dxa"/>
        <w:tblLook w:val="04A0" w:firstRow="1" w:lastRow="0" w:firstColumn="1" w:lastColumn="0" w:noHBand="0" w:noVBand="1"/>
      </w:tblPr>
      <w:tblGrid>
        <w:gridCol w:w="2694"/>
        <w:gridCol w:w="6440"/>
      </w:tblGrid>
      <w:tr w:rsidR="00E54B41" w:rsidRPr="002150EE" w:rsidTr="00E54B41">
        <w:tc>
          <w:tcPr>
            <w:tcW w:w="9134" w:type="dxa"/>
            <w:gridSpan w:val="2"/>
          </w:tcPr>
          <w:p w:rsidR="00E54B41" w:rsidRPr="00A107B1" w:rsidRDefault="00E54B41" w:rsidP="008B7075">
            <w:pPr>
              <w:widowControl/>
              <w:rPr>
                <w:rFonts w:cs="Arial"/>
                <w:sz w:val="20"/>
                <w:szCs w:val="20"/>
              </w:rPr>
            </w:pPr>
            <w:r w:rsidRPr="00F61178">
              <w:rPr>
                <w:rFonts w:cs="Arial"/>
                <w:b/>
                <w:sz w:val="20"/>
                <w:szCs w:val="20"/>
                <w:u w:val="single"/>
              </w:rPr>
              <w:t>Clinical chemistry &amp; haematology</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ALT</w:t>
            </w:r>
          </w:p>
        </w:tc>
        <w:tc>
          <w:tcPr>
            <w:tcW w:w="6440" w:type="dxa"/>
          </w:tcPr>
          <w:p w:rsidR="00337ADA" w:rsidRPr="00A107B1" w:rsidRDefault="00F61178" w:rsidP="008B7075">
            <w:pPr>
              <w:widowControl/>
              <w:rPr>
                <w:rFonts w:cs="Arial"/>
                <w:sz w:val="20"/>
                <w:szCs w:val="20"/>
              </w:rPr>
            </w:pPr>
            <w:r>
              <w:rPr>
                <w:rFonts w:cs="Arial"/>
                <w:sz w:val="20"/>
                <w:szCs w:val="20"/>
              </w:rPr>
              <w:t>Alanine aminotransferase</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AST</w:t>
            </w:r>
          </w:p>
        </w:tc>
        <w:tc>
          <w:tcPr>
            <w:tcW w:w="6440" w:type="dxa"/>
          </w:tcPr>
          <w:p w:rsidR="00337ADA" w:rsidRPr="00A107B1" w:rsidRDefault="00F61178" w:rsidP="008B7075">
            <w:pPr>
              <w:widowControl/>
              <w:rPr>
                <w:rFonts w:cs="Arial"/>
                <w:sz w:val="20"/>
                <w:szCs w:val="20"/>
              </w:rPr>
            </w:pPr>
            <w:r>
              <w:rPr>
                <w:rFonts w:cs="Arial"/>
                <w:sz w:val="20"/>
                <w:szCs w:val="20"/>
              </w:rPr>
              <w:t>Aspartate aminotransferase</w:t>
            </w:r>
          </w:p>
        </w:tc>
      </w:tr>
      <w:tr w:rsidR="00932AAB" w:rsidRPr="002150EE" w:rsidTr="00277C6F">
        <w:tc>
          <w:tcPr>
            <w:tcW w:w="2694" w:type="dxa"/>
          </w:tcPr>
          <w:p w:rsidR="00932AAB" w:rsidRDefault="00932AAB" w:rsidP="008B7075">
            <w:pPr>
              <w:rPr>
                <w:rFonts w:cs="Arial"/>
                <w:sz w:val="20"/>
                <w:szCs w:val="20"/>
              </w:rPr>
            </w:pPr>
            <w:r>
              <w:rPr>
                <w:rFonts w:cs="Arial"/>
                <w:sz w:val="20"/>
                <w:szCs w:val="20"/>
              </w:rPr>
              <w:t>CRP</w:t>
            </w:r>
          </w:p>
        </w:tc>
        <w:tc>
          <w:tcPr>
            <w:tcW w:w="6440" w:type="dxa"/>
          </w:tcPr>
          <w:p w:rsidR="00932AAB" w:rsidRDefault="00932AAB" w:rsidP="008B7075">
            <w:pPr>
              <w:widowControl/>
              <w:rPr>
                <w:rFonts w:cs="Arial"/>
                <w:sz w:val="20"/>
                <w:szCs w:val="20"/>
              </w:rPr>
            </w:pPr>
            <w:r>
              <w:rPr>
                <w:rFonts w:cs="Arial"/>
                <w:sz w:val="20"/>
                <w:szCs w:val="20"/>
              </w:rPr>
              <w:t>C-reactive protein</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Hb</w:t>
            </w:r>
          </w:p>
        </w:tc>
        <w:tc>
          <w:tcPr>
            <w:tcW w:w="6440" w:type="dxa"/>
          </w:tcPr>
          <w:p w:rsidR="00337ADA" w:rsidRPr="00A107B1" w:rsidRDefault="00F61178" w:rsidP="008B7075">
            <w:pPr>
              <w:widowControl/>
              <w:rPr>
                <w:rFonts w:cs="Arial"/>
                <w:sz w:val="20"/>
                <w:szCs w:val="20"/>
              </w:rPr>
            </w:pPr>
            <w:r>
              <w:rPr>
                <w:rFonts w:cs="Arial"/>
                <w:sz w:val="20"/>
                <w:szCs w:val="20"/>
              </w:rPr>
              <w:t>Haemoglobin</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Hct</w:t>
            </w:r>
          </w:p>
        </w:tc>
        <w:tc>
          <w:tcPr>
            <w:tcW w:w="6440" w:type="dxa"/>
          </w:tcPr>
          <w:p w:rsidR="00337ADA" w:rsidRPr="00A107B1" w:rsidRDefault="00F61178" w:rsidP="008B7075">
            <w:pPr>
              <w:widowControl/>
              <w:rPr>
                <w:sz w:val="20"/>
                <w:szCs w:val="20"/>
              </w:rPr>
            </w:pPr>
            <w:r>
              <w:rPr>
                <w:sz w:val="20"/>
                <w:szCs w:val="20"/>
              </w:rPr>
              <w:t>Haematocrit</w:t>
            </w:r>
          </w:p>
        </w:tc>
      </w:tr>
      <w:tr w:rsidR="00F61178" w:rsidRPr="002150EE" w:rsidTr="00277C6F">
        <w:tc>
          <w:tcPr>
            <w:tcW w:w="2694" w:type="dxa"/>
          </w:tcPr>
          <w:p w:rsidR="00F61178" w:rsidRDefault="00F61178" w:rsidP="008B7075">
            <w:pPr>
              <w:rPr>
                <w:rFonts w:cs="Arial"/>
                <w:sz w:val="20"/>
                <w:szCs w:val="20"/>
              </w:rPr>
            </w:pPr>
            <w:r>
              <w:rPr>
                <w:rFonts w:cs="Arial"/>
                <w:sz w:val="20"/>
                <w:szCs w:val="20"/>
              </w:rPr>
              <w:t>LDH</w:t>
            </w:r>
          </w:p>
        </w:tc>
        <w:tc>
          <w:tcPr>
            <w:tcW w:w="6440" w:type="dxa"/>
          </w:tcPr>
          <w:p w:rsidR="00F61178" w:rsidRDefault="00F61178" w:rsidP="008B7075">
            <w:pPr>
              <w:widowControl/>
              <w:rPr>
                <w:sz w:val="20"/>
                <w:szCs w:val="20"/>
              </w:rPr>
            </w:pPr>
            <w:r>
              <w:rPr>
                <w:sz w:val="20"/>
                <w:szCs w:val="20"/>
              </w:rPr>
              <w:t>Lactate dehydrogenase</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RBC</w:t>
            </w:r>
          </w:p>
        </w:tc>
        <w:tc>
          <w:tcPr>
            <w:tcW w:w="6440" w:type="dxa"/>
          </w:tcPr>
          <w:p w:rsidR="00337ADA" w:rsidRPr="00A107B1" w:rsidRDefault="00F61178" w:rsidP="00F61178">
            <w:pPr>
              <w:widowControl/>
              <w:rPr>
                <w:sz w:val="20"/>
                <w:szCs w:val="20"/>
              </w:rPr>
            </w:pPr>
            <w:r>
              <w:rPr>
                <w:sz w:val="20"/>
                <w:szCs w:val="20"/>
              </w:rPr>
              <w:t xml:space="preserve">Red </w:t>
            </w:r>
            <w:r w:rsidR="00794851">
              <w:rPr>
                <w:sz w:val="20"/>
                <w:szCs w:val="20"/>
              </w:rPr>
              <w:t>B</w:t>
            </w:r>
            <w:r>
              <w:rPr>
                <w:sz w:val="20"/>
                <w:szCs w:val="20"/>
              </w:rPr>
              <w:t xml:space="preserve">lood </w:t>
            </w:r>
            <w:r w:rsidR="00794851">
              <w:rPr>
                <w:sz w:val="20"/>
                <w:szCs w:val="20"/>
              </w:rPr>
              <w:t>C</w:t>
            </w:r>
            <w:r>
              <w:rPr>
                <w:sz w:val="20"/>
                <w:szCs w:val="20"/>
              </w:rPr>
              <w:t>ells (erythrocyte) (count)</w:t>
            </w:r>
          </w:p>
        </w:tc>
      </w:tr>
      <w:tr w:rsidR="00337ADA" w:rsidRPr="002150EE" w:rsidTr="00277C6F">
        <w:tc>
          <w:tcPr>
            <w:tcW w:w="2694" w:type="dxa"/>
          </w:tcPr>
          <w:p w:rsidR="00337ADA" w:rsidRDefault="00F61178" w:rsidP="008B7075">
            <w:pPr>
              <w:rPr>
                <w:rFonts w:cs="Arial"/>
                <w:sz w:val="20"/>
                <w:szCs w:val="20"/>
              </w:rPr>
            </w:pPr>
            <w:r>
              <w:rPr>
                <w:rFonts w:cs="Arial"/>
                <w:sz w:val="20"/>
                <w:szCs w:val="20"/>
              </w:rPr>
              <w:t>WBC</w:t>
            </w:r>
          </w:p>
        </w:tc>
        <w:tc>
          <w:tcPr>
            <w:tcW w:w="6440" w:type="dxa"/>
          </w:tcPr>
          <w:p w:rsidR="00337ADA" w:rsidRPr="00A107B1" w:rsidRDefault="00F61178" w:rsidP="008B7075">
            <w:pPr>
              <w:widowControl/>
              <w:rPr>
                <w:sz w:val="20"/>
                <w:szCs w:val="20"/>
              </w:rPr>
            </w:pPr>
            <w:r>
              <w:rPr>
                <w:sz w:val="20"/>
                <w:szCs w:val="20"/>
              </w:rPr>
              <w:t xml:space="preserve">White </w:t>
            </w:r>
            <w:r w:rsidR="00794851">
              <w:rPr>
                <w:sz w:val="20"/>
                <w:szCs w:val="20"/>
              </w:rPr>
              <w:t>B</w:t>
            </w:r>
            <w:r>
              <w:rPr>
                <w:sz w:val="20"/>
                <w:szCs w:val="20"/>
              </w:rPr>
              <w:t xml:space="preserve">lood </w:t>
            </w:r>
            <w:r w:rsidR="00794851">
              <w:rPr>
                <w:sz w:val="20"/>
                <w:szCs w:val="20"/>
              </w:rPr>
              <w:t>C</w:t>
            </w:r>
            <w:r>
              <w:rPr>
                <w:sz w:val="20"/>
                <w:szCs w:val="20"/>
              </w:rPr>
              <w:t>ells (leucocyte) (count)</w:t>
            </w:r>
          </w:p>
        </w:tc>
      </w:tr>
      <w:tr w:rsidR="00337ADA" w:rsidRPr="002150EE" w:rsidTr="00277C6F">
        <w:tc>
          <w:tcPr>
            <w:tcW w:w="2694" w:type="dxa"/>
          </w:tcPr>
          <w:p w:rsidR="00337ADA" w:rsidRDefault="00337ADA" w:rsidP="008B7075">
            <w:pPr>
              <w:rPr>
                <w:rFonts w:cs="Arial"/>
                <w:sz w:val="20"/>
                <w:szCs w:val="20"/>
              </w:rPr>
            </w:pPr>
          </w:p>
        </w:tc>
        <w:tc>
          <w:tcPr>
            <w:tcW w:w="6440" w:type="dxa"/>
          </w:tcPr>
          <w:p w:rsidR="00337ADA" w:rsidRPr="00A107B1" w:rsidRDefault="00337ADA" w:rsidP="008B7075">
            <w:pPr>
              <w:widowControl/>
              <w:rPr>
                <w:sz w:val="20"/>
                <w:szCs w:val="20"/>
              </w:rPr>
            </w:pPr>
          </w:p>
        </w:tc>
      </w:tr>
      <w:tr w:rsidR="00337ADA" w:rsidRPr="002150EE" w:rsidTr="00277C6F">
        <w:tc>
          <w:tcPr>
            <w:tcW w:w="2694" w:type="dxa"/>
          </w:tcPr>
          <w:p w:rsidR="00337ADA" w:rsidRPr="00A107B1" w:rsidRDefault="00337ADA" w:rsidP="00277C6F">
            <w:pPr>
              <w:rPr>
                <w:rFonts w:cs="Arial"/>
                <w:b/>
                <w:sz w:val="20"/>
                <w:szCs w:val="20"/>
                <w:u w:val="single"/>
              </w:rPr>
            </w:pPr>
            <w:r w:rsidRPr="00A107B1">
              <w:rPr>
                <w:rFonts w:cs="Arial"/>
                <w:b/>
                <w:sz w:val="20"/>
                <w:szCs w:val="20"/>
                <w:u w:val="single"/>
              </w:rPr>
              <w:t>Terminology</w:t>
            </w:r>
          </w:p>
        </w:tc>
        <w:tc>
          <w:tcPr>
            <w:tcW w:w="6440" w:type="dxa"/>
          </w:tcPr>
          <w:p w:rsidR="00337ADA" w:rsidRPr="00984057" w:rsidRDefault="00337ADA" w:rsidP="00277C6F">
            <w:pPr>
              <w:rPr>
                <w:rFonts w:cs="Arial"/>
                <w:sz w:val="20"/>
                <w:szCs w:val="20"/>
              </w:rPr>
            </w:pPr>
          </w:p>
        </w:tc>
      </w:tr>
      <w:tr w:rsidR="00337ADA" w:rsidRPr="002150EE" w:rsidTr="00277C6F">
        <w:tc>
          <w:tcPr>
            <w:tcW w:w="2694" w:type="dxa"/>
          </w:tcPr>
          <w:p w:rsidR="00337ADA" w:rsidRPr="00A107B1" w:rsidRDefault="00932AAB" w:rsidP="006F42A4">
            <w:pPr>
              <w:widowControl/>
              <w:rPr>
                <w:rFonts w:cs="Arial"/>
                <w:sz w:val="20"/>
                <w:szCs w:val="20"/>
              </w:rPr>
            </w:pPr>
            <w:r>
              <w:rPr>
                <w:rFonts w:cs="Arial"/>
                <w:sz w:val="20"/>
                <w:szCs w:val="20"/>
              </w:rPr>
              <w:t>ADFI</w:t>
            </w:r>
          </w:p>
        </w:tc>
        <w:tc>
          <w:tcPr>
            <w:tcW w:w="6440" w:type="dxa"/>
          </w:tcPr>
          <w:p w:rsidR="00337ADA" w:rsidRPr="00A107B1" w:rsidRDefault="00057FBD" w:rsidP="006F42A4">
            <w:pPr>
              <w:widowControl/>
              <w:rPr>
                <w:rFonts w:cs="Arial"/>
                <w:sz w:val="20"/>
                <w:szCs w:val="20"/>
              </w:rPr>
            </w:pPr>
            <w:r>
              <w:rPr>
                <w:rFonts w:cs="Arial"/>
                <w:sz w:val="20"/>
                <w:szCs w:val="20"/>
              </w:rPr>
              <w:t>Average Daily Feed I</w:t>
            </w:r>
            <w:r w:rsidRPr="00057FBD">
              <w:rPr>
                <w:rFonts w:cs="Arial"/>
                <w:sz w:val="20"/>
                <w:szCs w:val="20"/>
              </w:rPr>
              <w:t>ntake</w:t>
            </w:r>
          </w:p>
        </w:tc>
      </w:tr>
      <w:tr w:rsidR="00337ADA" w:rsidRPr="002150EE" w:rsidTr="00277C6F">
        <w:tc>
          <w:tcPr>
            <w:tcW w:w="2694" w:type="dxa"/>
          </w:tcPr>
          <w:p w:rsidR="00337ADA" w:rsidRDefault="00932AAB" w:rsidP="006F42A4">
            <w:pPr>
              <w:widowControl/>
              <w:rPr>
                <w:rFonts w:cs="Arial"/>
                <w:sz w:val="20"/>
                <w:szCs w:val="20"/>
              </w:rPr>
            </w:pPr>
            <w:r>
              <w:rPr>
                <w:rFonts w:cs="Arial"/>
                <w:sz w:val="20"/>
                <w:szCs w:val="20"/>
              </w:rPr>
              <w:t>ADI</w:t>
            </w:r>
          </w:p>
        </w:tc>
        <w:tc>
          <w:tcPr>
            <w:tcW w:w="6440" w:type="dxa"/>
          </w:tcPr>
          <w:p w:rsidR="00337ADA" w:rsidRDefault="00BF1119" w:rsidP="00FE7FB1">
            <w:pPr>
              <w:widowControl/>
              <w:rPr>
                <w:rFonts w:cs="Arial"/>
                <w:sz w:val="20"/>
                <w:szCs w:val="20"/>
              </w:rPr>
            </w:pPr>
            <w:r>
              <w:rPr>
                <w:rFonts w:cs="Arial"/>
                <w:sz w:val="20"/>
                <w:szCs w:val="20"/>
              </w:rPr>
              <w:t>Acceptable Daily I</w:t>
            </w:r>
            <w:r w:rsidR="00932AAB">
              <w:rPr>
                <w:rFonts w:cs="Arial"/>
                <w:sz w:val="20"/>
                <w:szCs w:val="20"/>
              </w:rPr>
              <w:t>ntake</w:t>
            </w:r>
          </w:p>
        </w:tc>
      </w:tr>
      <w:tr w:rsidR="0003547F" w:rsidRPr="002150EE" w:rsidTr="00277C6F">
        <w:tc>
          <w:tcPr>
            <w:tcW w:w="2694" w:type="dxa"/>
          </w:tcPr>
          <w:p w:rsidR="0003547F" w:rsidRDefault="0003547F" w:rsidP="006F42A4">
            <w:pPr>
              <w:widowControl/>
              <w:rPr>
                <w:rFonts w:cs="Arial"/>
                <w:sz w:val="20"/>
                <w:szCs w:val="20"/>
              </w:rPr>
            </w:pPr>
            <w:r w:rsidRPr="0003547F">
              <w:rPr>
                <w:rFonts w:cs="Arial"/>
                <w:sz w:val="20"/>
                <w:szCs w:val="20"/>
              </w:rPr>
              <w:t>ANCNPAS</w:t>
            </w:r>
          </w:p>
        </w:tc>
        <w:tc>
          <w:tcPr>
            <w:tcW w:w="6440" w:type="dxa"/>
          </w:tcPr>
          <w:p w:rsidR="0003547F" w:rsidRDefault="0003547F" w:rsidP="00FE7FB1">
            <w:pPr>
              <w:widowControl/>
              <w:rPr>
                <w:rFonts w:cs="Arial"/>
                <w:sz w:val="20"/>
                <w:szCs w:val="20"/>
              </w:rPr>
            </w:pPr>
            <w:r w:rsidRPr="0003547F">
              <w:rPr>
                <w:rFonts w:cs="Arial"/>
                <w:sz w:val="20"/>
                <w:szCs w:val="20"/>
              </w:rPr>
              <w:t>Australian National Children’s Nutrition and Physical Activity Survey</w:t>
            </w:r>
          </w:p>
        </w:tc>
      </w:tr>
      <w:tr w:rsidR="0003547F" w:rsidRPr="002150EE" w:rsidTr="00277C6F">
        <w:tc>
          <w:tcPr>
            <w:tcW w:w="2694" w:type="dxa"/>
          </w:tcPr>
          <w:p w:rsidR="0003547F" w:rsidRDefault="0003547F" w:rsidP="006F42A4">
            <w:pPr>
              <w:widowControl/>
              <w:rPr>
                <w:rFonts w:cs="Arial"/>
                <w:sz w:val="20"/>
                <w:szCs w:val="20"/>
              </w:rPr>
            </w:pPr>
            <w:r w:rsidRPr="0003547F">
              <w:rPr>
                <w:rFonts w:cs="Arial"/>
                <w:sz w:val="20"/>
                <w:szCs w:val="20"/>
              </w:rPr>
              <w:t>AusNNS</w:t>
            </w:r>
          </w:p>
        </w:tc>
        <w:tc>
          <w:tcPr>
            <w:tcW w:w="6440" w:type="dxa"/>
          </w:tcPr>
          <w:p w:rsidR="0003547F" w:rsidRDefault="0003547F" w:rsidP="00FE7FB1">
            <w:pPr>
              <w:widowControl/>
              <w:rPr>
                <w:rFonts w:cs="Arial"/>
                <w:sz w:val="20"/>
                <w:szCs w:val="20"/>
              </w:rPr>
            </w:pPr>
            <w:r w:rsidRPr="0003547F">
              <w:rPr>
                <w:rFonts w:cs="Arial"/>
                <w:sz w:val="20"/>
                <w:szCs w:val="20"/>
              </w:rPr>
              <w:t>Australian National Nutrition Survey</w:t>
            </w:r>
          </w:p>
        </w:tc>
      </w:tr>
      <w:tr w:rsidR="00337ADA" w:rsidRPr="002150EE" w:rsidTr="00277C6F">
        <w:tc>
          <w:tcPr>
            <w:tcW w:w="2694" w:type="dxa"/>
          </w:tcPr>
          <w:p w:rsidR="00337ADA" w:rsidRPr="00A107B1" w:rsidRDefault="00932AAB" w:rsidP="006F51A9">
            <w:pPr>
              <w:widowControl/>
              <w:rPr>
                <w:rFonts w:cs="Arial"/>
                <w:sz w:val="20"/>
                <w:szCs w:val="20"/>
              </w:rPr>
            </w:pPr>
            <w:r>
              <w:rPr>
                <w:rFonts w:cs="Arial"/>
                <w:sz w:val="20"/>
                <w:szCs w:val="20"/>
              </w:rPr>
              <w:t>DEA</w:t>
            </w:r>
          </w:p>
        </w:tc>
        <w:tc>
          <w:tcPr>
            <w:tcW w:w="6440" w:type="dxa"/>
          </w:tcPr>
          <w:p w:rsidR="00337ADA" w:rsidRPr="00A107B1" w:rsidRDefault="00BF1119" w:rsidP="006F51A9">
            <w:pPr>
              <w:widowControl/>
              <w:rPr>
                <w:rFonts w:cs="Arial"/>
                <w:sz w:val="20"/>
                <w:szCs w:val="20"/>
              </w:rPr>
            </w:pPr>
            <w:r>
              <w:rPr>
                <w:rFonts w:cs="Arial"/>
                <w:sz w:val="20"/>
                <w:szCs w:val="20"/>
              </w:rPr>
              <w:t>Dietary Exposure A</w:t>
            </w:r>
            <w:r w:rsidR="00932AAB">
              <w:rPr>
                <w:rFonts w:cs="Arial"/>
                <w:sz w:val="20"/>
                <w:szCs w:val="20"/>
              </w:rPr>
              <w:t>ssessment</w:t>
            </w:r>
          </w:p>
        </w:tc>
      </w:tr>
      <w:tr w:rsidR="00932AAB" w:rsidRPr="002150EE" w:rsidTr="00277C6F">
        <w:tc>
          <w:tcPr>
            <w:tcW w:w="2694" w:type="dxa"/>
          </w:tcPr>
          <w:p w:rsidR="00932AAB" w:rsidRDefault="00932AAB" w:rsidP="006F51A9">
            <w:pPr>
              <w:widowControl/>
              <w:rPr>
                <w:rFonts w:cs="Arial"/>
                <w:sz w:val="20"/>
                <w:szCs w:val="20"/>
              </w:rPr>
            </w:pPr>
            <w:r>
              <w:rPr>
                <w:rFonts w:cs="Arial"/>
                <w:sz w:val="20"/>
                <w:szCs w:val="20"/>
              </w:rPr>
              <w:t>FAO</w:t>
            </w:r>
          </w:p>
        </w:tc>
        <w:tc>
          <w:tcPr>
            <w:tcW w:w="6440" w:type="dxa"/>
          </w:tcPr>
          <w:p w:rsidR="00932AAB" w:rsidRPr="00A107B1" w:rsidRDefault="00932AAB" w:rsidP="006F51A9">
            <w:pPr>
              <w:widowControl/>
              <w:rPr>
                <w:rFonts w:cs="Arial"/>
                <w:sz w:val="20"/>
                <w:szCs w:val="20"/>
              </w:rPr>
            </w:pPr>
            <w:r>
              <w:rPr>
                <w:rFonts w:cs="Arial"/>
                <w:sz w:val="20"/>
                <w:szCs w:val="20"/>
              </w:rPr>
              <w:t>Food and Agriculture Organization of the United Nations</w:t>
            </w:r>
          </w:p>
        </w:tc>
      </w:tr>
      <w:tr w:rsidR="00337ADA" w:rsidRPr="002150EE" w:rsidTr="00277C6F">
        <w:tc>
          <w:tcPr>
            <w:tcW w:w="2694" w:type="dxa"/>
          </w:tcPr>
          <w:p w:rsidR="00337ADA" w:rsidRPr="00A107B1" w:rsidRDefault="00646727" w:rsidP="00277C6F">
            <w:pPr>
              <w:rPr>
                <w:rFonts w:cs="Arial"/>
                <w:sz w:val="20"/>
                <w:szCs w:val="20"/>
              </w:rPr>
            </w:pPr>
            <w:r>
              <w:rPr>
                <w:rFonts w:cs="Arial"/>
                <w:sz w:val="20"/>
                <w:szCs w:val="20"/>
              </w:rPr>
              <w:t>FSANZ</w:t>
            </w:r>
          </w:p>
        </w:tc>
        <w:tc>
          <w:tcPr>
            <w:tcW w:w="6440" w:type="dxa"/>
          </w:tcPr>
          <w:p w:rsidR="00337ADA" w:rsidRPr="00984057" w:rsidRDefault="00646727" w:rsidP="00277C6F">
            <w:pPr>
              <w:rPr>
                <w:rFonts w:cs="Arial"/>
                <w:sz w:val="20"/>
                <w:szCs w:val="20"/>
              </w:rPr>
            </w:pPr>
            <w:r>
              <w:rPr>
                <w:rFonts w:cs="Arial"/>
                <w:sz w:val="20"/>
                <w:szCs w:val="20"/>
              </w:rPr>
              <w:t>Food Standards Australia New Zealand</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G:F</w:t>
            </w:r>
          </w:p>
        </w:tc>
        <w:tc>
          <w:tcPr>
            <w:tcW w:w="6440" w:type="dxa"/>
          </w:tcPr>
          <w:p w:rsidR="00337ADA" w:rsidRPr="00984057" w:rsidRDefault="00BF1119" w:rsidP="00277C6F">
            <w:pPr>
              <w:rPr>
                <w:rFonts w:cs="Arial"/>
                <w:sz w:val="20"/>
                <w:szCs w:val="20"/>
              </w:rPr>
            </w:pPr>
            <w:r>
              <w:rPr>
                <w:rFonts w:cs="Arial"/>
                <w:sz w:val="20"/>
                <w:szCs w:val="20"/>
              </w:rPr>
              <w:t>Growth to F</w:t>
            </w:r>
            <w:r w:rsidR="00932AAB">
              <w:rPr>
                <w:rFonts w:cs="Arial"/>
                <w:sz w:val="20"/>
                <w:szCs w:val="20"/>
              </w:rPr>
              <w:t>eed intake ratio</w:t>
            </w:r>
          </w:p>
        </w:tc>
      </w:tr>
      <w:tr w:rsidR="00932AAB" w:rsidRPr="002150EE" w:rsidTr="00277C6F">
        <w:tc>
          <w:tcPr>
            <w:tcW w:w="2694" w:type="dxa"/>
          </w:tcPr>
          <w:p w:rsidR="00932AAB" w:rsidRDefault="00932AAB" w:rsidP="00277C6F">
            <w:pPr>
              <w:rPr>
                <w:rFonts w:cs="Arial"/>
                <w:sz w:val="20"/>
                <w:szCs w:val="20"/>
              </w:rPr>
            </w:pPr>
            <w:r>
              <w:rPr>
                <w:rFonts w:cs="Arial"/>
                <w:sz w:val="20"/>
                <w:szCs w:val="20"/>
              </w:rPr>
              <w:t>GMP</w:t>
            </w:r>
          </w:p>
        </w:tc>
        <w:tc>
          <w:tcPr>
            <w:tcW w:w="6440" w:type="dxa"/>
          </w:tcPr>
          <w:p w:rsidR="00932AAB" w:rsidRPr="00984057" w:rsidRDefault="00BF1119" w:rsidP="00277C6F">
            <w:pPr>
              <w:rPr>
                <w:rFonts w:cs="Arial"/>
                <w:sz w:val="20"/>
                <w:szCs w:val="20"/>
              </w:rPr>
            </w:pPr>
            <w:r>
              <w:rPr>
                <w:rFonts w:cs="Arial"/>
                <w:sz w:val="20"/>
                <w:szCs w:val="20"/>
              </w:rPr>
              <w:t>Good Manufacturing P</w:t>
            </w:r>
            <w:r w:rsidR="00932AAB">
              <w:rPr>
                <w:rFonts w:cs="Arial"/>
                <w:sz w:val="20"/>
                <w:szCs w:val="20"/>
              </w:rPr>
              <w:t>ractice</w:t>
            </w:r>
          </w:p>
        </w:tc>
      </w:tr>
      <w:tr w:rsidR="00932AAB" w:rsidRPr="002150EE" w:rsidTr="00277C6F">
        <w:tc>
          <w:tcPr>
            <w:tcW w:w="2694" w:type="dxa"/>
          </w:tcPr>
          <w:p w:rsidR="00932AAB" w:rsidRDefault="00932AAB" w:rsidP="00277C6F">
            <w:pPr>
              <w:rPr>
                <w:rFonts w:cs="Arial"/>
                <w:sz w:val="20"/>
                <w:szCs w:val="20"/>
              </w:rPr>
            </w:pPr>
            <w:r>
              <w:rPr>
                <w:rFonts w:cs="Arial"/>
                <w:sz w:val="20"/>
                <w:szCs w:val="20"/>
              </w:rPr>
              <w:t>GRAS</w:t>
            </w:r>
          </w:p>
        </w:tc>
        <w:tc>
          <w:tcPr>
            <w:tcW w:w="6440" w:type="dxa"/>
          </w:tcPr>
          <w:p w:rsidR="00932AAB" w:rsidRPr="00984057" w:rsidRDefault="00BF1119" w:rsidP="00277C6F">
            <w:pPr>
              <w:rPr>
                <w:rFonts w:cs="Arial"/>
                <w:sz w:val="20"/>
                <w:szCs w:val="20"/>
              </w:rPr>
            </w:pPr>
            <w:r>
              <w:rPr>
                <w:rFonts w:cs="Arial"/>
                <w:sz w:val="20"/>
                <w:szCs w:val="20"/>
              </w:rPr>
              <w:t>Generally Recognised As S</w:t>
            </w:r>
            <w:r w:rsidR="00932AAB">
              <w:rPr>
                <w:rFonts w:cs="Arial"/>
                <w:sz w:val="20"/>
                <w:szCs w:val="20"/>
              </w:rPr>
              <w:t>afe</w:t>
            </w:r>
          </w:p>
        </w:tc>
      </w:tr>
      <w:tr w:rsidR="00932AAB" w:rsidRPr="002150EE" w:rsidTr="00277C6F">
        <w:tc>
          <w:tcPr>
            <w:tcW w:w="2694" w:type="dxa"/>
          </w:tcPr>
          <w:p w:rsidR="00932AAB" w:rsidRDefault="00932AAB" w:rsidP="00277C6F">
            <w:pPr>
              <w:rPr>
                <w:rFonts w:cs="Arial"/>
                <w:sz w:val="20"/>
                <w:szCs w:val="20"/>
              </w:rPr>
            </w:pPr>
            <w:r>
              <w:rPr>
                <w:rFonts w:cs="Arial"/>
                <w:sz w:val="20"/>
                <w:szCs w:val="20"/>
              </w:rPr>
              <w:t>HPLC</w:t>
            </w:r>
          </w:p>
        </w:tc>
        <w:tc>
          <w:tcPr>
            <w:tcW w:w="6440" w:type="dxa"/>
          </w:tcPr>
          <w:p w:rsidR="00932AAB" w:rsidRPr="00984057" w:rsidRDefault="00BF1119" w:rsidP="00277C6F">
            <w:pPr>
              <w:rPr>
                <w:rFonts w:cs="Arial"/>
                <w:sz w:val="20"/>
                <w:szCs w:val="20"/>
              </w:rPr>
            </w:pPr>
            <w:r>
              <w:rPr>
                <w:rFonts w:cs="Arial"/>
                <w:sz w:val="20"/>
                <w:szCs w:val="20"/>
              </w:rPr>
              <w:t>High P</w:t>
            </w:r>
            <w:r w:rsidR="00932AAB">
              <w:rPr>
                <w:rFonts w:cs="Arial"/>
                <w:sz w:val="20"/>
                <w:szCs w:val="20"/>
              </w:rPr>
              <w:t>erforman</w:t>
            </w:r>
            <w:r>
              <w:rPr>
                <w:rFonts w:cs="Arial"/>
                <w:sz w:val="20"/>
                <w:szCs w:val="20"/>
              </w:rPr>
              <w:t>ce Liquid C</w:t>
            </w:r>
            <w:r w:rsidR="00932AAB">
              <w:rPr>
                <w:rFonts w:cs="Arial"/>
                <w:sz w:val="20"/>
                <w:szCs w:val="20"/>
              </w:rPr>
              <w:t>hromatography</w:t>
            </w:r>
          </w:p>
        </w:tc>
      </w:tr>
      <w:tr w:rsidR="00932AAB" w:rsidRPr="002150EE" w:rsidTr="00277C6F">
        <w:tc>
          <w:tcPr>
            <w:tcW w:w="2694" w:type="dxa"/>
          </w:tcPr>
          <w:p w:rsidR="00932AAB" w:rsidRDefault="00932AAB" w:rsidP="00277C6F">
            <w:pPr>
              <w:rPr>
                <w:rFonts w:cs="Arial"/>
                <w:sz w:val="20"/>
                <w:szCs w:val="20"/>
              </w:rPr>
            </w:pPr>
            <w:r>
              <w:rPr>
                <w:rFonts w:cs="Arial"/>
                <w:sz w:val="20"/>
                <w:szCs w:val="20"/>
              </w:rPr>
              <w:t>JECFA</w:t>
            </w:r>
          </w:p>
        </w:tc>
        <w:tc>
          <w:tcPr>
            <w:tcW w:w="6440" w:type="dxa"/>
          </w:tcPr>
          <w:p w:rsidR="00932AAB" w:rsidRPr="00984057" w:rsidRDefault="00932AAB" w:rsidP="00277C6F">
            <w:pPr>
              <w:rPr>
                <w:rFonts w:cs="Arial"/>
                <w:sz w:val="20"/>
                <w:szCs w:val="20"/>
              </w:rPr>
            </w:pPr>
            <w:r>
              <w:rPr>
                <w:rFonts w:cs="Arial"/>
                <w:sz w:val="20"/>
                <w:szCs w:val="20"/>
              </w:rPr>
              <w:t>Joint FAO/WHO Expert Committee on Food Additives</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MPL</w:t>
            </w:r>
          </w:p>
        </w:tc>
        <w:tc>
          <w:tcPr>
            <w:tcW w:w="6440" w:type="dxa"/>
          </w:tcPr>
          <w:p w:rsidR="00337ADA" w:rsidRPr="00984057" w:rsidRDefault="00BF1119" w:rsidP="00277C6F">
            <w:pPr>
              <w:rPr>
                <w:rFonts w:cs="Arial"/>
                <w:sz w:val="20"/>
                <w:szCs w:val="20"/>
              </w:rPr>
            </w:pPr>
            <w:r>
              <w:rPr>
                <w:rFonts w:cs="Arial"/>
                <w:sz w:val="20"/>
                <w:szCs w:val="20"/>
              </w:rPr>
              <w:t>Maximum Permitted L</w:t>
            </w:r>
            <w:r w:rsidR="00932AAB">
              <w:rPr>
                <w:rFonts w:cs="Arial"/>
                <w:sz w:val="20"/>
                <w:szCs w:val="20"/>
              </w:rPr>
              <w:t>evel</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NOAEL</w:t>
            </w:r>
          </w:p>
        </w:tc>
        <w:tc>
          <w:tcPr>
            <w:tcW w:w="6440" w:type="dxa"/>
          </w:tcPr>
          <w:p w:rsidR="00337ADA" w:rsidRPr="00984057" w:rsidRDefault="00BF1119" w:rsidP="00277C6F">
            <w:pPr>
              <w:rPr>
                <w:rFonts w:cs="Arial"/>
                <w:sz w:val="20"/>
                <w:szCs w:val="20"/>
              </w:rPr>
            </w:pPr>
            <w:r>
              <w:rPr>
                <w:rFonts w:cs="Arial"/>
                <w:sz w:val="20"/>
                <w:szCs w:val="20"/>
              </w:rPr>
              <w:t>No Observed Adverse Effect L</w:t>
            </w:r>
            <w:r w:rsidR="00932AAB">
              <w:rPr>
                <w:rFonts w:cs="Arial"/>
                <w:sz w:val="20"/>
                <w:szCs w:val="20"/>
              </w:rPr>
              <w:t>evel</w:t>
            </w:r>
          </w:p>
        </w:tc>
      </w:tr>
      <w:tr w:rsidR="00337ADA" w:rsidRPr="002150EE" w:rsidTr="00277C6F">
        <w:tc>
          <w:tcPr>
            <w:tcW w:w="2694" w:type="dxa"/>
          </w:tcPr>
          <w:p w:rsidR="00337ADA" w:rsidRDefault="0003547F" w:rsidP="00277C6F">
            <w:pPr>
              <w:rPr>
                <w:rFonts w:cs="Arial"/>
                <w:sz w:val="20"/>
                <w:szCs w:val="20"/>
              </w:rPr>
            </w:pPr>
            <w:r w:rsidRPr="0003547F">
              <w:rPr>
                <w:rFonts w:cs="Arial"/>
                <w:sz w:val="20"/>
                <w:szCs w:val="20"/>
              </w:rPr>
              <w:t>NZCNS</w:t>
            </w:r>
          </w:p>
        </w:tc>
        <w:tc>
          <w:tcPr>
            <w:tcW w:w="6440" w:type="dxa"/>
          </w:tcPr>
          <w:p w:rsidR="00337ADA" w:rsidRDefault="0003547F" w:rsidP="00277C6F">
            <w:pPr>
              <w:rPr>
                <w:rFonts w:cs="Arial"/>
                <w:sz w:val="20"/>
                <w:szCs w:val="20"/>
              </w:rPr>
            </w:pPr>
            <w:r w:rsidRPr="0003547F">
              <w:rPr>
                <w:rFonts w:cs="Arial"/>
                <w:sz w:val="20"/>
                <w:szCs w:val="20"/>
              </w:rPr>
              <w:t xml:space="preserve">New Zealand National Children’s Nutrition Survey  </w:t>
            </w:r>
          </w:p>
        </w:tc>
      </w:tr>
      <w:tr w:rsidR="0003547F" w:rsidRPr="002150EE" w:rsidTr="00277C6F">
        <w:tc>
          <w:tcPr>
            <w:tcW w:w="2694" w:type="dxa"/>
          </w:tcPr>
          <w:p w:rsidR="0003547F" w:rsidRPr="0003547F" w:rsidRDefault="0003547F" w:rsidP="00277C6F">
            <w:pPr>
              <w:rPr>
                <w:rFonts w:cs="Arial"/>
                <w:sz w:val="20"/>
                <w:szCs w:val="20"/>
              </w:rPr>
            </w:pPr>
            <w:r w:rsidRPr="0003547F">
              <w:rPr>
                <w:rFonts w:cs="Arial"/>
                <w:sz w:val="20"/>
                <w:szCs w:val="20"/>
              </w:rPr>
              <w:t>NZNNS</w:t>
            </w:r>
          </w:p>
        </w:tc>
        <w:tc>
          <w:tcPr>
            <w:tcW w:w="6440" w:type="dxa"/>
          </w:tcPr>
          <w:p w:rsidR="0003547F" w:rsidRPr="0003547F" w:rsidRDefault="0003547F" w:rsidP="00277C6F">
            <w:pPr>
              <w:rPr>
                <w:rFonts w:cs="Arial"/>
                <w:sz w:val="20"/>
                <w:szCs w:val="20"/>
              </w:rPr>
            </w:pPr>
            <w:r w:rsidRPr="0003547F">
              <w:rPr>
                <w:rFonts w:cs="Arial"/>
                <w:sz w:val="20"/>
                <w:szCs w:val="20"/>
              </w:rPr>
              <w:t xml:space="preserve">New Zealand National </w:t>
            </w:r>
            <w:r>
              <w:rPr>
                <w:rFonts w:cs="Arial"/>
                <w:sz w:val="20"/>
                <w:szCs w:val="20"/>
              </w:rPr>
              <w:t>Nutrition Survey</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WBFD</w:t>
            </w:r>
          </w:p>
        </w:tc>
        <w:tc>
          <w:tcPr>
            <w:tcW w:w="6440" w:type="dxa"/>
          </w:tcPr>
          <w:p w:rsidR="00337ADA" w:rsidRPr="009E124D" w:rsidRDefault="00794851" w:rsidP="00277C6F">
            <w:pPr>
              <w:rPr>
                <w:rFonts w:cs="Arial"/>
                <w:sz w:val="20"/>
                <w:szCs w:val="20"/>
              </w:rPr>
            </w:pPr>
            <w:r>
              <w:rPr>
                <w:rFonts w:cs="Arial"/>
                <w:sz w:val="20"/>
                <w:szCs w:val="20"/>
              </w:rPr>
              <w:t>Water Based Flavoured D</w:t>
            </w:r>
            <w:r w:rsidR="00932AAB">
              <w:rPr>
                <w:rFonts w:cs="Arial"/>
                <w:sz w:val="20"/>
                <w:szCs w:val="20"/>
              </w:rPr>
              <w:t>rinks</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WHO</w:t>
            </w:r>
          </w:p>
        </w:tc>
        <w:tc>
          <w:tcPr>
            <w:tcW w:w="6440" w:type="dxa"/>
          </w:tcPr>
          <w:p w:rsidR="00337ADA" w:rsidRPr="00984057" w:rsidRDefault="00932AAB" w:rsidP="00277C6F">
            <w:pPr>
              <w:rPr>
                <w:rFonts w:cs="Arial"/>
                <w:sz w:val="20"/>
                <w:szCs w:val="20"/>
              </w:rPr>
            </w:pPr>
            <w:r>
              <w:rPr>
                <w:rFonts w:cs="Arial"/>
                <w:sz w:val="20"/>
                <w:szCs w:val="20"/>
              </w:rPr>
              <w:t>World Health Organization</w:t>
            </w:r>
          </w:p>
        </w:tc>
      </w:tr>
    </w:tbl>
    <w:p w:rsidR="009969EC" w:rsidRDefault="009969EC" w:rsidP="009969EC">
      <w:bookmarkStart w:id="24" w:name="_Toc314749336"/>
      <w:bookmarkStart w:id="25" w:name="_Toc314754873"/>
      <w:bookmarkStart w:id="26" w:name="_Toc315447926"/>
      <w:bookmarkStart w:id="27" w:name="_Toc315878189"/>
      <w:bookmarkStart w:id="28" w:name="_Toc315953178"/>
      <w:bookmarkStart w:id="29" w:name="_Toc317174565"/>
      <w:bookmarkStart w:id="30" w:name="_Toc318384388"/>
      <w:bookmarkStart w:id="31" w:name="_Toc318467053"/>
      <w:bookmarkStart w:id="32" w:name="_Toc320700361"/>
      <w:bookmarkStart w:id="33" w:name="_Toc320701172"/>
      <w:bookmarkStart w:id="34" w:name="_Toc320701447"/>
    </w:p>
    <w:p w:rsidR="009969EC" w:rsidRDefault="009969EC">
      <w:pPr>
        <w:widowControl/>
        <w:rPr>
          <w:rFonts w:ascii="Tahoma" w:hAnsi="Tahoma" w:cs="Tahoma"/>
          <w:b/>
          <w:bCs/>
          <w:kern w:val="32"/>
          <w:sz w:val="28"/>
          <w:szCs w:val="32"/>
          <w:u w:val="single"/>
        </w:rPr>
      </w:pPr>
      <w:r>
        <w:br w:type="page"/>
      </w:r>
    </w:p>
    <w:p w:rsidR="003C4969" w:rsidRPr="00B0129D" w:rsidRDefault="00EC3020" w:rsidP="00C831D5">
      <w:pPr>
        <w:pStyle w:val="Heading1"/>
        <w:ind w:left="0" w:firstLine="0"/>
        <w:jc w:val="center"/>
        <w:rPr>
          <w:rFonts w:ascii="Arial" w:hAnsi="Arial" w:cs="Arial"/>
          <w:u w:val="none"/>
        </w:rPr>
      </w:pPr>
      <w:bookmarkStart w:id="35" w:name="_Toc360028590"/>
      <w:r w:rsidRPr="00B0129D">
        <w:rPr>
          <w:rFonts w:ascii="Arial" w:hAnsi="Arial" w:cs="Arial"/>
          <w:u w:val="none"/>
        </w:rPr>
        <w:lastRenderedPageBreak/>
        <w:t>Table of Contents</w:t>
      </w:r>
      <w:bookmarkEnd w:id="24"/>
      <w:bookmarkEnd w:id="25"/>
      <w:bookmarkEnd w:id="26"/>
      <w:bookmarkEnd w:id="27"/>
      <w:bookmarkEnd w:id="28"/>
      <w:bookmarkEnd w:id="29"/>
      <w:bookmarkEnd w:id="30"/>
      <w:bookmarkEnd w:id="31"/>
      <w:bookmarkEnd w:id="32"/>
      <w:bookmarkEnd w:id="33"/>
      <w:bookmarkEnd w:id="34"/>
      <w:bookmarkEnd w:id="35"/>
    </w:p>
    <w:p w:rsidR="003C4969" w:rsidRPr="00015D4C" w:rsidRDefault="003C4969" w:rsidP="00C831D5">
      <w:pPr>
        <w:jc w:val="center"/>
        <w:rPr>
          <w:rFonts w:cs="Arial"/>
        </w:rPr>
      </w:pPr>
    </w:p>
    <w:p w:rsidR="00B762D5" w:rsidRPr="00B0129D" w:rsidRDefault="007D22FB">
      <w:pPr>
        <w:pStyle w:val="TOC1"/>
        <w:rPr>
          <w:rFonts w:asciiTheme="minorHAnsi" w:eastAsiaTheme="minorEastAsia" w:hAnsiTheme="minorHAnsi" w:cstheme="minorBidi"/>
          <w:b w:val="0"/>
          <w:bCs w:val="0"/>
          <w:caps w:val="0"/>
          <w:noProof/>
          <w:sz w:val="20"/>
          <w:szCs w:val="20"/>
          <w:lang w:eastAsia="en-GB" w:bidi="ar-SA"/>
        </w:rPr>
      </w:pPr>
      <w:r w:rsidRPr="00E0709F">
        <w:rPr>
          <w:rFonts w:cs="Arial"/>
        </w:rPr>
        <w:fldChar w:fldCharType="begin"/>
      </w:r>
      <w:r w:rsidR="003C4969" w:rsidRPr="00E0709F">
        <w:rPr>
          <w:rFonts w:cs="Arial"/>
        </w:rPr>
        <w:instrText xml:space="preserve"> TOC \o "1-3" \h \z </w:instrText>
      </w:r>
      <w:r w:rsidRPr="00E0709F">
        <w:rPr>
          <w:rFonts w:cs="Arial"/>
        </w:rPr>
        <w:fldChar w:fldCharType="separate"/>
      </w:r>
      <w:hyperlink w:anchor="_Toc360028588" w:history="1">
        <w:r w:rsidR="00B762D5" w:rsidRPr="00B0129D">
          <w:rPr>
            <w:rStyle w:val="Hyperlink"/>
            <w:rFonts w:cs="Arial"/>
            <w:noProof/>
            <w:sz w:val="20"/>
            <w:szCs w:val="20"/>
          </w:rPr>
          <w:t>Executive Summary</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_Toc360028588 \h </w:instrText>
        </w:r>
        <w:r w:rsidR="00B762D5" w:rsidRPr="00B0129D">
          <w:rPr>
            <w:noProof/>
            <w:webHidden/>
            <w:sz w:val="20"/>
            <w:szCs w:val="20"/>
          </w:rPr>
        </w:r>
        <w:r w:rsidR="00B762D5" w:rsidRPr="00B0129D">
          <w:rPr>
            <w:noProof/>
            <w:webHidden/>
            <w:sz w:val="20"/>
            <w:szCs w:val="20"/>
          </w:rPr>
          <w:fldChar w:fldCharType="separate"/>
        </w:r>
        <w:r w:rsidR="00B86DF8">
          <w:rPr>
            <w:noProof/>
            <w:webHidden/>
            <w:sz w:val="20"/>
            <w:szCs w:val="20"/>
          </w:rPr>
          <w:t>1</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589" w:history="1">
        <w:r w:rsidR="00B762D5" w:rsidRPr="00B0129D">
          <w:rPr>
            <w:rStyle w:val="Hyperlink"/>
            <w:rFonts w:cs="Arial"/>
            <w:noProof/>
            <w:sz w:val="20"/>
            <w:szCs w:val="20"/>
          </w:rPr>
          <w:t>Abbreviations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_Toc360028589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590" w:history="1">
        <w:r w:rsidR="00B762D5" w:rsidRPr="00B0129D">
          <w:rPr>
            <w:rStyle w:val="Hyperlink"/>
            <w:noProof/>
            <w:sz w:val="20"/>
            <w:szCs w:val="20"/>
          </w:rPr>
          <w:t>Table of Contents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_Toc360028590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4</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591" w:history="1">
        <w:r w:rsidR="00B762D5" w:rsidRPr="00B0129D">
          <w:rPr>
            <w:rStyle w:val="Hyperlink"/>
            <w:noProof/>
            <w:sz w:val="20"/>
            <w:szCs w:val="20"/>
          </w:rPr>
          <w:t>1.</w:t>
        </w:r>
        <w:r w:rsidR="00B762D5" w:rsidRPr="00B0129D">
          <w:rPr>
            <w:rFonts w:asciiTheme="minorHAnsi" w:eastAsiaTheme="minorEastAsia" w:hAnsiTheme="minorHAnsi" w:cstheme="minorBidi"/>
            <w:b w:val="0"/>
            <w:bCs w:val="0"/>
            <w:caps w:val="0"/>
            <w:noProof/>
            <w:sz w:val="20"/>
            <w:szCs w:val="20"/>
            <w:lang w:eastAsia="en-GB" w:bidi="ar-SA"/>
          </w:rPr>
          <w:tab/>
        </w:r>
        <w:r w:rsidR="00B762D5" w:rsidRPr="00B0129D">
          <w:rPr>
            <w:rStyle w:val="Hyperlink"/>
            <w:noProof/>
            <w:sz w:val="20"/>
            <w:szCs w:val="20"/>
          </w:rPr>
          <w:t>INTRODUCTION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_Toc360028591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6</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592" w:history="1">
        <w:r w:rsidR="00B762D5" w:rsidRPr="00B0129D">
          <w:rPr>
            <w:rStyle w:val="Hyperlink"/>
            <w:noProof/>
            <w:sz w:val="20"/>
            <w:szCs w:val="20"/>
          </w:rPr>
          <w:t>1.1</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Risk assessment context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_Toc360028592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6</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593" w:history="1">
        <w:r w:rsidR="00B762D5" w:rsidRPr="00B0129D">
          <w:rPr>
            <w:rStyle w:val="Hyperlink"/>
            <w:noProof/>
            <w:sz w:val="20"/>
            <w:szCs w:val="20"/>
          </w:rPr>
          <w:t>1.2</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Risk Assessment questions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_Toc360028593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6</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594" w:history="1">
        <w:r w:rsidR="00B762D5" w:rsidRPr="00B0129D">
          <w:rPr>
            <w:rStyle w:val="Hyperlink"/>
            <w:rFonts w:cs="Arial"/>
            <w:noProof/>
            <w:sz w:val="20"/>
            <w:szCs w:val="20"/>
          </w:rPr>
          <w:t>2.</w:t>
        </w:r>
        <w:r w:rsidR="00B762D5" w:rsidRPr="00B0129D">
          <w:rPr>
            <w:rFonts w:asciiTheme="minorHAnsi" w:eastAsiaTheme="minorEastAsia" w:hAnsiTheme="minorHAnsi" w:cstheme="minorBidi"/>
            <w:b w:val="0"/>
            <w:bCs w:val="0"/>
            <w:caps w:val="0"/>
            <w:noProof/>
            <w:sz w:val="20"/>
            <w:szCs w:val="20"/>
            <w:lang w:eastAsia="en-GB" w:bidi="ar-SA"/>
          </w:rPr>
          <w:tab/>
        </w:r>
        <w:r w:rsidR="00B762D5" w:rsidRPr="00B0129D">
          <w:rPr>
            <w:rStyle w:val="Hyperlink"/>
            <w:noProof/>
            <w:sz w:val="20"/>
            <w:szCs w:val="20"/>
          </w:rPr>
          <w:t>FOOD TECHNOLOGY ASSESSMENT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_Toc360028594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7</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595" w:history="1">
        <w:r w:rsidR="00B762D5" w:rsidRPr="00B0129D">
          <w:rPr>
            <w:rStyle w:val="Hyperlink"/>
            <w:noProof/>
            <w:sz w:val="20"/>
            <w:szCs w:val="20"/>
          </w:rPr>
          <w:t>2.1</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 xml:space="preserve">Characterisation of </w:t>
        </w:r>
        <w:r w:rsidR="00E3403B" w:rsidRPr="00B0129D">
          <w:rPr>
            <w:rStyle w:val="Hyperlink"/>
            <w:noProof/>
            <w:sz w:val="20"/>
            <w:szCs w:val="20"/>
          </w:rPr>
          <w:t>quillaia</w:t>
        </w:r>
        <w:r w:rsidR="00B762D5" w:rsidRPr="00B0129D">
          <w:rPr>
            <w:rStyle w:val="Hyperlink"/>
            <w:noProof/>
            <w:sz w:val="20"/>
            <w:szCs w:val="20"/>
          </w:rPr>
          <w:t xml:space="preserve"> extract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_Toc360028595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7</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596" w:history="1">
        <w:r w:rsidR="00B762D5" w:rsidRPr="00B0129D">
          <w:rPr>
            <w:rStyle w:val="Hyperlink"/>
            <w:noProof/>
            <w:sz w:val="20"/>
            <w:szCs w:val="20"/>
          </w:rPr>
          <w:t>2.1.1</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Identity</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_Toc360028596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7</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597" w:history="1">
        <w:r w:rsidR="00B762D5" w:rsidRPr="00B0129D">
          <w:rPr>
            <w:rStyle w:val="Hyperlink"/>
            <w:noProof/>
            <w:sz w:val="20"/>
            <w:szCs w:val="20"/>
          </w:rPr>
          <w:t>2.1.2</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Chemical and physical properties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_Toc360028597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7</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598" w:history="1">
        <w:r w:rsidR="00B762D5" w:rsidRPr="00B0129D">
          <w:rPr>
            <w:rStyle w:val="Hyperlink"/>
            <w:noProof/>
            <w:sz w:val="20"/>
            <w:szCs w:val="20"/>
          </w:rPr>
          <w:t>2.1.3</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 xml:space="preserve">Production of </w:t>
        </w:r>
        <w:r w:rsidR="00E3403B" w:rsidRPr="00B0129D">
          <w:rPr>
            <w:rStyle w:val="Hyperlink"/>
            <w:noProof/>
            <w:sz w:val="20"/>
            <w:szCs w:val="20"/>
          </w:rPr>
          <w:t>quillaia</w:t>
        </w:r>
        <w:r w:rsidR="00B762D5" w:rsidRPr="00B0129D">
          <w:rPr>
            <w:rStyle w:val="Hyperlink"/>
            <w:noProof/>
            <w:sz w:val="20"/>
            <w:szCs w:val="20"/>
          </w:rPr>
          <w:t xml:space="preserve"> extract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_Toc360028598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8</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599" w:history="1">
        <w:r w:rsidR="00B762D5" w:rsidRPr="00B0129D">
          <w:rPr>
            <w:rStyle w:val="Hyperlink"/>
            <w:noProof/>
            <w:sz w:val="20"/>
            <w:szCs w:val="20"/>
          </w:rPr>
          <w:t>2.1.4</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Specifications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_Toc360028599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9</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00" w:history="1">
        <w:r w:rsidR="00B762D5" w:rsidRPr="00B0129D">
          <w:rPr>
            <w:rStyle w:val="Hyperlink"/>
            <w:noProof/>
            <w:sz w:val="20"/>
            <w:szCs w:val="20"/>
          </w:rPr>
          <w:t>2.1.5</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Methods of analysis in foods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_Toc360028600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9</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01" w:history="1">
        <w:r w:rsidR="00B762D5" w:rsidRPr="00B0129D">
          <w:rPr>
            <w:rStyle w:val="Hyperlink"/>
            <w:noProof/>
            <w:sz w:val="20"/>
            <w:szCs w:val="20"/>
          </w:rPr>
          <w:t>2.2</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 xml:space="preserve">Technological function of </w:t>
        </w:r>
        <w:r w:rsidR="00E3403B" w:rsidRPr="00B0129D">
          <w:rPr>
            <w:rStyle w:val="Hyperlink"/>
            <w:noProof/>
            <w:sz w:val="20"/>
            <w:szCs w:val="20"/>
          </w:rPr>
          <w:t>quillaia</w:t>
        </w:r>
        <w:r w:rsidR="00B762D5" w:rsidRPr="00B0129D">
          <w:rPr>
            <w:rStyle w:val="Hyperlink"/>
            <w:noProof/>
            <w:sz w:val="20"/>
            <w:szCs w:val="20"/>
          </w:rPr>
          <w:t xml:space="preserve"> extract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_Toc360028601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9</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02" w:history="1">
        <w:r w:rsidR="00B762D5" w:rsidRPr="00B0129D">
          <w:rPr>
            <w:rStyle w:val="Hyperlink"/>
            <w:noProof/>
            <w:sz w:val="20"/>
            <w:szCs w:val="20"/>
            <w:lang w:val="en-AU" w:eastAsia="en-AU"/>
          </w:rPr>
          <w:t>2.3</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lang w:val="en-AU" w:eastAsia="en-AU"/>
          </w:rPr>
          <w:t>Conclusion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_Toc360028602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10</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603" w:history="1">
        <w:r w:rsidR="00B762D5" w:rsidRPr="00B0129D">
          <w:rPr>
            <w:rStyle w:val="Hyperlink"/>
            <w:rFonts w:cs="Arial"/>
            <w:noProof/>
            <w:sz w:val="20"/>
            <w:szCs w:val="20"/>
          </w:rPr>
          <w:t>3.</w:t>
        </w:r>
        <w:r w:rsidR="00B762D5" w:rsidRPr="00B0129D">
          <w:rPr>
            <w:rFonts w:asciiTheme="minorHAnsi" w:eastAsiaTheme="minorEastAsia" w:hAnsiTheme="minorHAnsi" w:cstheme="minorBidi"/>
            <w:b w:val="0"/>
            <w:bCs w:val="0"/>
            <w:caps w:val="0"/>
            <w:noProof/>
            <w:sz w:val="20"/>
            <w:szCs w:val="20"/>
            <w:lang w:eastAsia="en-GB" w:bidi="ar-SA"/>
          </w:rPr>
          <w:tab/>
        </w:r>
        <w:r w:rsidR="00B762D5" w:rsidRPr="00B0129D">
          <w:rPr>
            <w:rStyle w:val="Hyperlink"/>
            <w:noProof/>
            <w:sz w:val="20"/>
            <w:szCs w:val="20"/>
          </w:rPr>
          <w:t>HAZARD ASSESSMENT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_Toc360028603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11</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04" w:history="1">
        <w:r w:rsidR="00B762D5" w:rsidRPr="00B0129D">
          <w:rPr>
            <w:rStyle w:val="Hyperlink"/>
            <w:noProof/>
            <w:sz w:val="20"/>
            <w:szCs w:val="20"/>
          </w:rPr>
          <w:t>3.1</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Introduction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_Toc360028604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11</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05" w:history="1">
        <w:r w:rsidR="00B762D5" w:rsidRPr="00B0129D">
          <w:rPr>
            <w:rStyle w:val="Hyperlink"/>
            <w:noProof/>
            <w:sz w:val="20"/>
            <w:szCs w:val="20"/>
          </w:rPr>
          <w:t>3.2</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Evaluation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_Toc360028605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11</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06" w:history="1">
        <w:r w:rsidR="00B762D5" w:rsidRPr="00B0129D">
          <w:rPr>
            <w:rStyle w:val="Hyperlink"/>
            <w:noProof/>
            <w:sz w:val="20"/>
            <w:szCs w:val="20"/>
          </w:rPr>
          <w:t>3.2.1</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Biochemical aspects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_Toc360028606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11</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07" w:history="1">
        <w:r w:rsidR="00B762D5" w:rsidRPr="00B0129D">
          <w:rPr>
            <w:rStyle w:val="Hyperlink"/>
            <w:noProof/>
            <w:sz w:val="20"/>
            <w:szCs w:val="20"/>
          </w:rPr>
          <w:t>3.2.2</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Absorption, distribution, metabolism and excretion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_Toc360028607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12</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08" w:history="1">
        <w:r w:rsidR="00B762D5" w:rsidRPr="00B0129D">
          <w:rPr>
            <w:rStyle w:val="Hyperlink"/>
            <w:noProof/>
            <w:sz w:val="20"/>
            <w:szCs w:val="20"/>
          </w:rPr>
          <w:t>3.2.3</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Acute toxicity</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_Toc360028608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12</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09" w:history="1">
        <w:r w:rsidR="00B762D5" w:rsidRPr="00B0129D">
          <w:rPr>
            <w:rStyle w:val="Hyperlink"/>
            <w:noProof/>
            <w:sz w:val="20"/>
            <w:szCs w:val="20"/>
          </w:rPr>
          <w:t>3.2.4</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Repeat-dose toxicity studies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_Toc360028609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12</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10" w:history="1">
        <w:r w:rsidR="00B762D5" w:rsidRPr="00B0129D">
          <w:rPr>
            <w:rStyle w:val="Hyperlink"/>
            <w:noProof/>
            <w:sz w:val="20"/>
            <w:szCs w:val="20"/>
          </w:rPr>
          <w:t>3.2.5</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Growth performance study</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_Toc360028610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16</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11" w:history="1">
        <w:r w:rsidR="00B762D5" w:rsidRPr="00B0129D">
          <w:rPr>
            <w:rStyle w:val="Hyperlink"/>
            <w:noProof/>
            <w:sz w:val="20"/>
            <w:szCs w:val="20"/>
          </w:rPr>
          <w:t>3.3</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Discussion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_Toc360028611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17</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12" w:history="1">
        <w:r w:rsidR="00B762D5" w:rsidRPr="00B0129D">
          <w:rPr>
            <w:rStyle w:val="Hyperlink"/>
            <w:noProof/>
            <w:sz w:val="20"/>
            <w:szCs w:val="20"/>
          </w:rPr>
          <w:t>3.4</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Conclusion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_Toc360028612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18</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613" w:history="1">
        <w:r w:rsidR="00B762D5" w:rsidRPr="00B0129D">
          <w:rPr>
            <w:rStyle w:val="Hyperlink"/>
            <w:noProof/>
            <w:sz w:val="20"/>
            <w:szCs w:val="20"/>
          </w:rPr>
          <w:t>4.</w:t>
        </w:r>
        <w:r w:rsidR="00B762D5" w:rsidRPr="00B0129D">
          <w:rPr>
            <w:rFonts w:asciiTheme="minorHAnsi" w:eastAsiaTheme="minorEastAsia" w:hAnsiTheme="minorHAnsi" w:cstheme="minorBidi"/>
            <w:b w:val="0"/>
            <w:bCs w:val="0"/>
            <w:caps w:val="0"/>
            <w:noProof/>
            <w:sz w:val="20"/>
            <w:szCs w:val="20"/>
            <w:lang w:eastAsia="en-GB" w:bidi="ar-SA"/>
          </w:rPr>
          <w:tab/>
        </w:r>
        <w:r w:rsidR="00B762D5" w:rsidRPr="00B0129D">
          <w:rPr>
            <w:rStyle w:val="Hyperlink"/>
            <w:noProof/>
            <w:sz w:val="20"/>
            <w:szCs w:val="20"/>
          </w:rPr>
          <w:t>DIETARY EXPOSURE ASSESSMENT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_Toc360028613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19</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14" w:history="1">
        <w:r w:rsidR="00B762D5" w:rsidRPr="00B0129D">
          <w:rPr>
            <w:rStyle w:val="Hyperlink"/>
            <w:noProof/>
            <w:sz w:val="20"/>
            <w:szCs w:val="20"/>
          </w:rPr>
          <w:t>4.1</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 xml:space="preserve">Approach to predicting dietary exposure to </w:t>
        </w:r>
        <w:r w:rsidR="00E3403B" w:rsidRPr="00B0129D">
          <w:rPr>
            <w:rStyle w:val="Hyperlink"/>
            <w:noProof/>
            <w:sz w:val="20"/>
            <w:szCs w:val="20"/>
          </w:rPr>
          <w:t>quillaia</w:t>
        </w:r>
        <w:r w:rsidR="00B762D5" w:rsidRPr="00B0129D">
          <w:rPr>
            <w:rStyle w:val="Hyperlink"/>
            <w:noProof/>
            <w:sz w:val="20"/>
            <w:szCs w:val="20"/>
          </w:rPr>
          <w:t xml:space="preserve"> saponins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_Toc360028614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19</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15" w:history="1">
        <w:r w:rsidR="00B762D5" w:rsidRPr="00B0129D">
          <w:rPr>
            <w:rStyle w:val="Hyperlink"/>
            <w:noProof/>
            <w:sz w:val="20"/>
            <w:szCs w:val="20"/>
          </w:rPr>
          <w:t>4.1.1</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Consumption data used</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_Toc360028615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19</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16" w:history="1">
        <w:r w:rsidR="00B762D5" w:rsidRPr="00B0129D">
          <w:rPr>
            <w:rStyle w:val="Hyperlink"/>
            <w:noProof/>
            <w:sz w:val="20"/>
            <w:szCs w:val="20"/>
          </w:rPr>
          <w:t>4.1.2</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 xml:space="preserve">Proposed food categories and concentrations of </w:t>
        </w:r>
        <w:r w:rsidR="00E3403B" w:rsidRPr="00B0129D">
          <w:rPr>
            <w:rStyle w:val="Hyperlink"/>
            <w:noProof/>
            <w:sz w:val="20"/>
            <w:szCs w:val="20"/>
          </w:rPr>
          <w:t>quillaia</w:t>
        </w:r>
        <w:r w:rsidR="00B762D5" w:rsidRPr="00B0129D">
          <w:rPr>
            <w:rStyle w:val="Hyperlink"/>
            <w:noProof/>
            <w:sz w:val="20"/>
            <w:szCs w:val="20"/>
          </w:rPr>
          <w:t xml:space="preserve"> saponins used</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_Toc360028616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20</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17" w:history="1">
        <w:r w:rsidR="00B762D5" w:rsidRPr="00B0129D">
          <w:rPr>
            <w:rStyle w:val="Hyperlink"/>
            <w:noProof/>
            <w:sz w:val="20"/>
            <w:szCs w:val="20"/>
          </w:rPr>
          <w:t>4.1.3</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 xml:space="preserve">Dietary modelling approach used for assessing exposure to </w:t>
        </w:r>
        <w:r w:rsidR="00E3403B" w:rsidRPr="00B0129D">
          <w:rPr>
            <w:rStyle w:val="Hyperlink"/>
            <w:noProof/>
            <w:sz w:val="20"/>
            <w:szCs w:val="20"/>
          </w:rPr>
          <w:t>quillaia</w:t>
        </w:r>
        <w:r w:rsidR="00B762D5" w:rsidRPr="00B0129D">
          <w:rPr>
            <w:rStyle w:val="Hyperlink"/>
            <w:noProof/>
            <w:sz w:val="20"/>
            <w:szCs w:val="20"/>
          </w:rPr>
          <w:t xml:space="preserve"> saponins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_Toc360028617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20</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18" w:history="1">
        <w:r w:rsidR="00B762D5" w:rsidRPr="00B0129D">
          <w:rPr>
            <w:rStyle w:val="Hyperlink"/>
            <w:noProof/>
            <w:sz w:val="20"/>
            <w:szCs w:val="20"/>
          </w:rPr>
          <w:t>4.1.4</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Naturally occurring saponins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_Toc360028618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25</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19" w:history="1">
        <w:r w:rsidR="00B762D5" w:rsidRPr="00B0129D">
          <w:rPr>
            <w:rStyle w:val="Hyperlink"/>
            <w:noProof/>
            <w:sz w:val="20"/>
            <w:szCs w:val="20"/>
          </w:rPr>
          <w:t>4.1.5</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Assumptions and limitations of the Dietary Exposure Assessment</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_Toc360028619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25</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20" w:history="1">
        <w:r w:rsidR="00B762D5" w:rsidRPr="00B0129D">
          <w:rPr>
            <w:rStyle w:val="Hyperlink"/>
            <w:noProof/>
            <w:sz w:val="20"/>
            <w:szCs w:val="20"/>
          </w:rPr>
          <w:t>4.2</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 xml:space="preserve">Predicted population dietary exposure to </w:t>
        </w:r>
        <w:r w:rsidR="00E3403B" w:rsidRPr="00B0129D">
          <w:rPr>
            <w:rStyle w:val="Hyperlink"/>
            <w:noProof/>
            <w:sz w:val="20"/>
            <w:szCs w:val="20"/>
          </w:rPr>
          <w:t>quillaia</w:t>
        </w:r>
        <w:r w:rsidR="00B762D5" w:rsidRPr="00B0129D">
          <w:rPr>
            <w:rStyle w:val="Hyperlink"/>
            <w:noProof/>
            <w:sz w:val="20"/>
            <w:szCs w:val="20"/>
          </w:rPr>
          <w:t xml:space="preserve"> saponins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_Toc360028620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25</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21" w:history="1">
        <w:r w:rsidR="00B762D5" w:rsidRPr="00B0129D">
          <w:rPr>
            <w:rStyle w:val="Hyperlink"/>
            <w:noProof/>
            <w:sz w:val="20"/>
            <w:szCs w:val="20"/>
          </w:rPr>
          <w:t>4.2.1</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Predicted dietary exposures for each population group assessed</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_Toc360028621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26</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22" w:history="1">
        <w:r w:rsidR="00B762D5" w:rsidRPr="00B0129D">
          <w:rPr>
            <w:rStyle w:val="Hyperlink"/>
            <w:noProof/>
            <w:sz w:val="20"/>
            <w:szCs w:val="20"/>
          </w:rPr>
          <w:t>4.2.2</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 xml:space="preserve">Major foods contributing to </w:t>
        </w:r>
        <w:r w:rsidR="00E3403B" w:rsidRPr="00B0129D">
          <w:rPr>
            <w:rStyle w:val="Hyperlink"/>
            <w:noProof/>
            <w:sz w:val="20"/>
            <w:szCs w:val="20"/>
          </w:rPr>
          <w:t>quillaia</w:t>
        </w:r>
        <w:r w:rsidR="00B762D5" w:rsidRPr="00B0129D">
          <w:rPr>
            <w:rStyle w:val="Hyperlink"/>
            <w:noProof/>
            <w:sz w:val="20"/>
            <w:szCs w:val="20"/>
          </w:rPr>
          <w:t xml:space="preserve"> saponins exposure</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_Toc360028622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26</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23" w:history="1">
        <w:r w:rsidR="00B762D5" w:rsidRPr="00B0129D">
          <w:rPr>
            <w:rStyle w:val="Hyperlink"/>
            <w:noProof/>
            <w:sz w:val="20"/>
            <w:szCs w:val="20"/>
          </w:rPr>
          <w:t>4.3</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Modified consumer behaviour dietary exposure assessment results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_Toc360028623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29</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24" w:history="1">
        <w:r w:rsidR="00B762D5" w:rsidRPr="00B0129D">
          <w:rPr>
            <w:rStyle w:val="Hyperlink"/>
            <w:noProof/>
            <w:sz w:val="20"/>
            <w:szCs w:val="20"/>
          </w:rPr>
          <w:t>4.3.1</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 xml:space="preserve">Predicted dietary exposures to </w:t>
        </w:r>
        <w:r w:rsidR="00E3403B" w:rsidRPr="00B0129D">
          <w:rPr>
            <w:rStyle w:val="Hyperlink"/>
            <w:noProof/>
            <w:sz w:val="20"/>
            <w:szCs w:val="20"/>
          </w:rPr>
          <w:t>quillaia</w:t>
        </w:r>
        <w:r w:rsidR="00B762D5" w:rsidRPr="00B0129D">
          <w:rPr>
            <w:rStyle w:val="Hyperlink"/>
            <w:noProof/>
            <w:sz w:val="20"/>
            <w:szCs w:val="20"/>
          </w:rPr>
          <w:t xml:space="preserve"> saponins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_Toc360028624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29</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25" w:history="1">
        <w:r w:rsidR="00B762D5" w:rsidRPr="00B0129D">
          <w:rPr>
            <w:rStyle w:val="Hyperlink"/>
            <w:noProof/>
            <w:sz w:val="20"/>
            <w:szCs w:val="20"/>
          </w:rPr>
          <w:t>4.4</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Conclusion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_Toc360028625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30</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26" w:history="1">
        <w:r w:rsidR="00B762D5" w:rsidRPr="00B0129D">
          <w:rPr>
            <w:rStyle w:val="Hyperlink"/>
            <w:noProof/>
            <w:sz w:val="20"/>
            <w:szCs w:val="20"/>
          </w:rPr>
          <w:t>4.4.1</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Predicted daily population exposures and major food contributors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_Toc360028626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30</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27" w:history="1">
        <w:r w:rsidR="00B762D5" w:rsidRPr="00B0129D">
          <w:rPr>
            <w:rStyle w:val="Hyperlink"/>
            <w:noProof/>
            <w:sz w:val="20"/>
            <w:szCs w:val="20"/>
          </w:rPr>
          <w:t>4.4.2</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Predicted modified consumer behaviour daily exposures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_Toc360028627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30</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628" w:history="1">
        <w:r w:rsidR="00B762D5" w:rsidRPr="00B0129D">
          <w:rPr>
            <w:rStyle w:val="Hyperlink"/>
            <w:noProof/>
            <w:sz w:val="20"/>
            <w:szCs w:val="20"/>
          </w:rPr>
          <w:t>5.</w:t>
        </w:r>
        <w:r w:rsidR="00B762D5" w:rsidRPr="00B0129D">
          <w:rPr>
            <w:rFonts w:asciiTheme="minorHAnsi" w:eastAsiaTheme="minorEastAsia" w:hAnsiTheme="minorHAnsi" w:cstheme="minorBidi"/>
            <w:b w:val="0"/>
            <w:bCs w:val="0"/>
            <w:caps w:val="0"/>
            <w:noProof/>
            <w:sz w:val="20"/>
            <w:szCs w:val="20"/>
            <w:lang w:eastAsia="en-GB" w:bidi="ar-SA"/>
          </w:rPr>
          <w:tab/>
        </w:r>
        <w:r w:rsidR="00B762D5" w:rsidRPr="00B0129D">
          <w:rPr>
            <w:rStyle w:val="Hyperlink"/>
            <w:noProof/>
            <w:sz w:val="20"/>
            <w:szCs w:val="20"/>
          </w:rPr>
          <w:t>RISK CHARACTERISATION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_Toc360028628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31</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29" w:history="1">
        <w:r w:rsidR="00B762D5" w:rsidRPr="00B0129D">
          <w:rPr>
            <w:rStyle w:val="Hyperlink"/>
            <w:noProof/>
            <w:sz w:val="20"/>
            <w:szCs w:val="20"/>
          </w:rPr>
          <w:t>5.1</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Predicted population dietary exposure</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_Toc360028629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31</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30" w:history="1">
        <w:r w:rsidR="00B762D5" w:rsidRPr="00B0129D">
          <w:rPr>
            <w:rStyle w:val="Hyperlink"/>
            <w:noProof/>
            <w:sz w:val="20"/>
            <w:szCs w:val="20"/>
          </w:rPr>
          <w:t>5.2</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Modified consumer behaviour dietary exposure</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_Toc360028630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31</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31" w:history="1">
        <w:r w:rsidR="00B762D5" w:rsidRPr="00B0129D">
          <w:rPr>
            <w:rStyle w:val="Hyperlink"/>
            <w:noProof/>
            <w:sz w:val="20"/>
            <w:szCs w:val="20"/>
          </w:rPr>
          <w:t>5.3</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Conclusion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_Toc360028631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32</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632" w:history="1">
        <w:r w:rsidR="00B762D5" w:rsidRPr="00B0129D">
          <w:rPr>
            <w:rStyle w:val="Hyperlink"/>
            <w:noProof/>
            <w:sz w:val="20"/>
            <w:szCs w:val="20"/>
          </w:rPr>
          <w:t>6.</w:t>
        </w:r>
        <w:r w:rsidR="00B762D5" w:rsidRPr="00B0129D">
          <w:rPr>
            <w:rFonts w:asciiTheme="minorHAnsi" w:eastAsiaTheme="minorEastAsia" w:hAnsiTheme="minorHAnsi" w:cstheme="minorBidi"/>
            <w:b w:val="0"/>
            <w:bCs w:val="0"/>
            <w:caps w:val="0"/>
            <w:noProof/>
            <w:sz w:val="20"/>
            <w:szCs w:val="20"/>
            <w:lang w:eastAsia="en-GB" w:bidi="ar-SA"/>
          </w:rPr>
          <w:tab/>
        </w:r>
        <w:r w:rsidR="00B762D5" w:rsidRPr="00B0129D">
          <w:rPr>
            <w:rStyle w:val="Hyperlink"/>
            <w:noProof/>
            <w:sz w:val="20"/>
            <w:szCs w:val="20"/>
          </w:rPr>
          <w:t>RISK AND TECHNICAL ASSESSMENT CONCLUSIONS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_Toc360028632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33</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33" w:history="1">
        <w:r w:rsidR="00B762D5" w:rsidRPr="00B0129D">
          <w:rPr>
            <w:rStyle w:val="Hyperlink"/>
            <w:noProof/>
            <w:sz w:val="20"/>
            <w:szCs w:val="20"/>
          </w:rPr>
          <w:t>6.1</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Responses to risk assessment questions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_Toc360028633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33</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34" w:history="1">
        <w:r w:rsidR="00B762D5" w:rsidRPr="00B0129D">
          <w:rPr>
            <w:rStyle w:val="Hyperlink"/>
            <w:noProof/>
            <w:sz w:val="20"/>
            <w:szCs w:val="20"/>
          </w:rPr>
          <w:t>6.2</w:t>
        </w:r>
        <w:r w:rsidR="00B762D5" w:rsidRPr="00B0129D">
          <w:rPr>
            <w:rFonts w:asciiTheme="minorHAnsi" w:eastAsiaTheme="minorEastAsia" w:hAnsiTheme="minorHAnsi" w:cstheme="minorBidi"/>
            <w:smallCaps w:val="0"/>
            <w:noProof/>
            <w:sz w:val="20"/>
            <w:szCs w:val="20"/>
            <w:lang w:eastAsia="en-GB" w:bidi="ar-SA"/>
          </w:rPr>
          <w:tab/>
        </w:r>
        <w:r w:rsidR="00B762D5" w:rsidRPr="00B0129D">
          <w:rPr>
            <w:rStyle w:val="Hyperlink"/>
            <w:noProof/>
            <w:sz w:val="20"/>
            <w:szCs w:val="20"/>
          </w:rPr>
          <w:t>Consolidated conclusion</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_Toc360028634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33</w:t>
        </w:r>
        <w:r w:rsidR="00B762D5" w:rsidRPr="00B0129D">
          <w:rPr>
            <w:noProof/>
            <w:webHidden/>
            <w:sz w:val="20"/>
            <w:szCs w:val="20"/>
          </w:rPr>
          <w:fldChar w:fldCharType="end"/>
        </w:r>
      </w:hyperlink>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635" w:history="1">
        <w:r w:rsidR="00B762D5" w:rsidRPr="00B0129D">
          <w:rPr>
            <w:rStyle w:val="Hyperlink"/>
            <w:noProof/>
            <w:sz w:val="20"/>
            <w:szCs w:val="20"/>
          </w:rPr>
          <w:t>7.</w:t>
        </w:r>
        <w:r w:rsidR="00B762D5" w:rsidRPr="00B0129D">
          <w:rPr>
            <w:rFonts w:asciiTheme="minorHAnsi" w:eastAsiaTheme="minorEastAsia" w:hAnsiTheme="minorHAnsi" w:cstheme="minorBidi"/>
            <w:b w:val="0"/>
            <w:bCs w:val="0"/>
            <w:caps w:val="0"/>
            <w:noProof/>
            <w:sz w:val="20"/>
            <w:szCs w:val="20"/>
            <w:lang w:eastAsia="en-GB" w:bidi="ar-SA"/>
          </w:rPr>
          <w:tab/>
        </w:r>
        <w:r w:rsidR="00B762D5" w:rsidRPr="00B0129D">
          <w:rPr>
            <w:rStyle w:val="Hyperlink"/>
            <w:noProof/>
            <w:sz w:val="20"/>
            <w:szCs w:val="20"/>
          </w:rPr>
          <w:t>REFERENCES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_Toc360028635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34</w:t>
        </w:r>
        <w:r w:rsidR="00B762D5" w:rsidRPr="00B0129D">
          <w:rPr>
            <w:noProof/>
            <w:webHidden/>
            <w:sz w:val="20"/>
            <w:szCs w:val="20"/>
          </w:rPr>
          <w:fldChar w:fldCharType="end"/>
        </w:r>
      </w:hyperlink>
    </w:p>
    <w:p w:rsidR="00B0129D" w:rsidRDefault="00B0129D">
      <w:pPr>
        <w:pStyle w:val="TOC1"/>
        <w:rPr>
          <w:sz w:val="20"/>
          <w:szCs w:val="20"/>
        </w:rPr>
      </w:pPr>
      <w:r>
        <w:rPr>
          <w:sz w:val="20"/>
          <w:szCs w:val="20"/>
        </w:rPr>
        <w:br w:type="page"/>
      </w:r>
    </w:p>
    <w:p w:rsidR="00B762D5" w:rsidRPr="00B0129D" w:rsidRDefault="00B86DF8">
      <w:pPr>
        <w:pStyle w:val="TOC1"/>
        <w:rPr>
          <w:rFonts w:asciiTheme="minorHAnsi" w:eastAsiaTheme="minorEastAsia" w:hAnsiTheme="minorHAnsi" w:cstheme="minorBidi"/>
          <w:b w:val="0"/>
          <w:bCs w:val="0"/>
          <w:caps w:val="0"/>
          <w:noProof/>
          <w:sz w:val="20"/>
          <w:szCs w:val="20"/>
          <w:lang w:eastAsia="en-GB" w:bidi="ar-SA"/>
        </w:rPr>
      </w:pPr>
      <w:hyperlink w:anchor="_Toc360028636" w:history="1">
        <w:r w:rsidR="00B762D5" w:rsidRPr="00B0129D">
          <w:rPr>
            <w:rStyle w:val="Hyperlink"/>
            <w:rFonts w:cs="Arial"/>
            <w:noProof/>
            <w:sz w:val="20"/>
            <w:szCs w:val="20"/>
          </w:rPr>
          <w:t>APPENDICES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_Toc360028636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35</w:t>
        </w:r>
        <w:r w:rsidR="00B762D5" w:rsidRPr="00B0129D">
          <w:rPr>
            <w:noProof/>
            <w:webHidden/>
            <w:sz w:val="20"/>
            <w:szCs w:val="20"/>
          </w:rPr>
          <w:fldChar w:fldCharType="end"/>
        </w:r>
      </w:hyperlink>
    </w:p>
    <w:p w:rsidR="00B762D5" w:rsidRPr="00B0129D" w:rsidRDefault="00B86DF8">
      <w:pPr>
        <w:pStyle w:val="TOC2"/>
        <w:rPr>
          <w:rFonts w:asciiTheme="minorHAnsi" w:eastAsiaTheme="minorEastAsia" w:hAnsiTheme="minorHAnsi" w:cstheme="minorBidi"/>
          <w:smallCaps w:val="0"/>
          <w:noProof/>
          <w:sz w:val="20"/>
          <w:szCs w:val="20"/>
          <w:lang w:eastAsia="en-GB" w:bidi="ar-SA"/>
        </w:rPr>
      </w:pPr>
      <w:hyperlink w:anchor="_Toc360028637" w:history="1">
        <w:r w:rsidR="00B762D5" w:rsidRPr="00B0129D">
          <w:rPr>
            <w:rStyle w:val="Hyperlink"/>
            <w:noProof/>
            <w:sz w:val="20"/>
            <w:szCs w:val="20"/>
          </w:rPr>
          <w:t>Appendix 1: Dietary Exposure Assessments at FSANZ</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_Toc360028637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35</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38" w:history="1">
        <w:r w:rsidR="00B762D5" w:rsidRPr="00B0129D">
          <w:rPr>
            <w:rStyle w:val="Hyperlink"/>
            <w:noProof/>
            <w:sz w:val="20"/>
            <w:szCs w:val="20"/>
          </w:rPr>
          <w:t>A1.1</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Food consumption data used</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_Toc360028638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35</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39" w:history="1">
        <w:r w:rsidR="00B762D5" w:rsidRPr="00B0129D">
          <w:rPr>
            <w:rStyle w:val="Hyperlink"/>
            <w:noProof/>
            <w:sz w:val="20"/>
            <w:szCs w:val="20"/>
          </w:rPr>
          <w:t>A1.2</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Change in approach for ‘high consumers’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_Toc360028639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37</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40" w:history="1">
        <w:r w:rsidR="00B762D5" w:rsidRPr="00B0129D">
          <w:rPr>
            <w:rStyle w:val="Hyperlink"/>
            <w:noProof/>
            <w:sz w:val="20"/>
            <w:szCs w:val="20"/>
          </w:rPr>
          <w:t>A1.3</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Limitations of dietary exposure assessments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_Toc360028640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37</w:t>
        </w:r>
        <w:r w:rsidR="00B762D5" w:rsidRPr="00B0129D">
          <w:rPr>
            <w:noProof/>
            <w:webHidden/>
            <w:sz w:val="20"/>
            <w:szCs w:val="20"/>
          </w:rPr>
          <w:fldChar w:fldCharType="end"/>
        </w:r>
      </w:hyperlink>
    </w:p>
    <w:p w:rsidR="00B762D5" w:rsidRPr="00B0129D" w:rsidRDefault="00B86DF8">
      <w:pPr>
        <w:pStyle w:val="TOC3"/>
        <w:tabs>
          <w:tab w:val="left" w:pos="1200"/>
          <w:tab w:val="right" w:leader="dot" w:pos="9016"/>
        </w:tabs>
        <w:rPr>
          <w:rFonts w:asciiTheme="minorHAnsi" w:eastAsiaTheme="minorEastAsia" w:hAnsiTheme="minorHAnsi" w:cstheme="minorBidi"/>
          <w:i w:val="0"/>
          <w:iCs w:val="0"/>
          <w:noProof/>
          <w:sz w:val="20"/>
          <w:szCs w:val="20"/>
          <w:lang w:eastAsia="en-GB" w:bidi="ar-SA"/>
        </w:rPr>
      </w:pPr>
      <w:hyperlink w:anchor="_Toc360028641" w:history="1">
        <w:r w:rsidR="00B762D5" w:rsidRPr="00B0129D">
          <w:rPr>
            <w:rStyle w:val="Hyperlink"/>
            <w:noProof/>
            <w:sz w:val="20"/>
            <w:szCs w:val="20"/>
          </w:rPr>
          <w:t>A1.4</w:t>
        </w:r>
        <w:r w:rsidR="00B762D5" w:rsidRPr="00B0129D">
          <w:rPr>
            <w:rFonts w:asciiTheme="minorHAnsi" w:eastAsiaTheme="minorEastAsia" w:hAnsiTheme="minorHAnsi" w:cstheme="minorBidi"/>
            <w:i w:val="0"/>
            <w:iCs w:val="0"/>
            <w:noProof/>
            <w:sz w:val="20"/>
            <w:szCs w:val="20"/>
            <w:lang w:eastAsia="en-GB" w:bidi="ar-SA"/>
          </w:rPr>
          <w:tab/>
        </w:r>
        <w:r w:rsidR="00B762D5" w:rsidRPr="00B0129D">
          <w:rPr>
            <w:rStyle w:val="Hyperlink"/>
            <w:noProof/>
            <w:sz w:val="20"/>
            <w:szCs w:val="20"/>
          </w:rPr>
          <w:t>Calculation of market weighted concentrations for food categories not captured in 1995 and 1997 nutrition surveys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_Toc360028641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37</w:t>
        </w:r>
        <w:r w:rsidR="00B762D5" w:rsidRPr="00B0129D">
          <w:rPr>
            <w:noProof/>
            <w:webHidden/>
            <w:sz w:val="20"/>
            <w:szCs w:val="20"/>
          </w:rPr>
          <w:fldChar w:fldCharType="end"/>
        </w:r>
      </w:hyperlink>
    </w:p>
    <w:p w:rsidR="00B762D5" w:rsidRDefault="00B86DF8">
      <w:pPr>
        <w:pStyle w:val="TOC2"/>
        <w:rPr>
          <w:rFonts w:asciiTheme="minorHAnsi" w:eastAsiaTheme="minorEastAsia" w:hAnsiTheme="minorHAnsi" w:cstheme="minorBidi"/>
          <w:smallCaps w:val="0"/>
          <w:noProof/>
          <w:szCs w:val="22"/>
          <w:lang w:eastAsia="en-GB" w:bidi="ar-SA"/>
        </w:rPr>
      </w:pPr>
      <w:hyperlink w:anchor="_Toc360028642" w:history="1">
        <w:r w:rsidR="00B762D5" w:rsidRPr="00B0129D">
          <w:rPr>
            <w:rStyle w:val="Hyperlink"/>
            <w:noProof/>
            <w:sz w:val="20"/>
            <w:szCs w:val="20"/>
          </w:rPr>
          <w:t>Appendix 2: Dietary Exposure Assessment Results</w:t>
        </w:r>
        <w:r w:rsidR="00B762D5" w:rsidRPr="00B0129D">
          <w:rPr>
            <w:noProof/>
            <w:webHidden/>
            <w:sz w:val="20"/>
            <w:szCs w:val="20"/>
          </w:rPr>
          <w:tab/>
        </w:r>
        <w:r w:rsidR="00B762D5" w:rsidRPr="00B0129D">
          <w:rPr>
            <w:noProof/>
            <w:webHidden/>
            <w:sz w:val="20"/>
            <w:szCs w:val="20"/>
          </w:rPr>
          <w:fldChar w:fldCharType="begin"/>
        </w:r>
        <w:r w:rsidR="00B762D5" w:rsidRPr="00B0129D">
          <w:rPr>
            <w:noProof/>
            <w:webHidden/>
            <w:sz w:val="20"/>
            <w:szCs w:val="20"/>
          </w:rPr>
          <w:instrText xml:space="preserve"> PAGEREF _Toc360028642 \h </w:instrText>
        </w:r>
        <w:r w:rsidR="00B762D5" w:rsidRPr="00B0129D">
          <w:rPr>
            <w:noProof/>
            <w:webHidden/>
            <w:sz w:val="20"/>
            <w:szCs w:val="20"/>
          </w:rPr>
        </w:r>
        <w:r w:rsidR="00B762D5" w:rsidRPr="00B0129D">
          <w:rPr>
            <w:noProof/>
            <w:webHidden/>
            <w:sz w:val="20"/>
            <w:szCs w:val="20"/>
          </w:rPr>
          <w:fldChar w:fldCharType="separate"/>
        </w:r>
        <w:r>
          <w:rPr>
            <w:noProof/>
            <w:webHidden/>
            <w:sz w:val="20"/>
            <w:szCs w:val="20"/>
          </w:rPr>
          <w:t>39</w:t>
        </w:r>
        <w:r w:rsidR="00B762D5" w:rsidRPr="00B0129D">
          <w:rPr>
            <w:noProof/>
            <w:webHidden/>
            <w:sz w:val="20"/>
            <w:szCs w:val="20"/>
          </w:rPr>
          <w:fldChar w:fldCharType="end"/>
        </w:r>
      </w:hyperlink>
    </w:p>
    <w:p w:rsidR="003C4969" w:rsidRPr="00E0709F" w:rsidRDefault="007D22FB">
      <w:pPr>
        <w:rPr>
          <w:rFonts w:cs="Arial"/>
        </w:rPr>
      </w:pPr>
      <w:r w:rsidRPr="00E0709F">
        <w:rPr>
          <w:rFonts w:cs="Arial"/>
        </w:rPr>
        <w:fldChar w:fldCharType="end"/>
      </w:r>
    </w:p>
    <w:p w:rsidR="003C4969" w:rsidRPr="00AF18AD" w:rsidRDefault="003C4969" w:rsidP="001304C7">
      <w:pPr>
        <w:pStyle w:val="Heading1"/>
        <w:keepNext w:val="0"/>
        <w:numPr>
          <w:ilvl w:val="0"/>
          <w:numId w:val="2"/>
        </w:numPr>
        <w:ind w:left="851" w:hanging="851"/>
        <w:rPr>
          <w:u w:val="none"/>
        </w:rPr>
      </w:pPr>
      <w:bookmarkStart w:id="36" w:name="_Toc29883110"/>
      <w:bookmarkStart w:id="37" w:name="_Toc41906797"/>
      <w:bookmarkStart w:id="38" w:name="_Toc41907544"/>
      <w:bookmarkStart w:id="39" w:name="_Toc120358575"/>
      <w:r w:rsidRPr="00E0709F">
        <w:br w:type="page"/>
      </w:r>
      <w:bookmarkStart w:id="40" w:name="_Toc360028591"/>
      <w:r w:rsidRPr="00435E22">
        <w:rPr>
          <w:rFonts w:ascii="Arial" w:hAnsi="Arial" w:cs="Arial"/>
          <w:u w:val="none"/>
        </w:rPr>
        <w:lastRenderedPageBreak/>
        <w:t>I</w:t>
      </w:r>
      <w:r w:rsidR="00404090" w:rsidRPr="00435E22">
        <w:rPr>
          <w:rFonts w:ascii="Arial" w:hAnsi="Arial" w:cs="Arial"/>
          <w:u w:val="none"/>
        </w:rPr>
        <w:t>NTRODUCTION</w:t>
      </w:r>
      <w:bookmarkEnd w:id="10"/>
      <w:bookmarkEnd w:id="36"/>
      <w:bookmarkEnd w:id="37"/>
      <w:bookmarkEnd w:id="38"/>
      <w:bookmarkEnd w:id="39"/>
      <w:bookmarkEnd w:id="40"/>
    </w:p>
    <w:p w:rsidR="00B046AC" w:rsidRPr="00E0709F" w:rsidRDefault="00B046AC" w:rsidP="00B046AC"/>
    <w:p w:rsidR="00C85305" w:rsidRDefault="002D72CB" w:rsidP="00EC3020">
      <w:pPr>
        <w:rPr>
          <w:rFonts w:cs="Arial"/>
          <w:szCs w:val="22"/>
        </w:rPr>
      </w:pPr>
      <w:r w:rsidRPr="00E0709F">
        <w:rPr>
          <w:rFonts w:cs="Arial"/>
          <w:szCs w:val="22"/>
        </w:rPr>
        <w:t xml:space="preserve">On the </w:t>
      </w:r>
      <w:r w:rsidR="009357A0">
        <w:rPr>
          <w:rFonts w:cs="Arial"/>
          <w:szCs w:val="22"/>
        </w:rPr>
        <w:t>8 June</w:t>
      </w:r>
      <w:r w:rsidRPr="00E0709F">
        <w:rPr>
          <w:rFonts w:cs="Arial"/>
          <w:szCs w:val="22"/>
        </w:rPr>
        <w:t xml:space="preserve"> 20</w:t>
      </w:r>
      <w:r w:rsidR="0097077B" w:rsidRPr="00E0709F">
        <w:rPr>
          <w:rFonts w:cs="Arial"/>
          <w:szCs w:val="22"/>
        </w:rPr>
        <w:t>1</w:t>
      </w:r>
      <w:r w:rsidR="00646727">
        <w:rPr>
          <w:rFonts w:cs="Arial"/>
          <w:szCs w:val="22"/>
        </w:rPr>
        <w:t>2</w:t>
      </w:r>
      <w:r w:rsidRPr="00E0709F">
        <w:rPr>
          <w:rFonts w:cs="Arial"/>
          <w:szCs w:val="22"/>
        </w:rPr>
        <w:t xml:space="preserve">, </w:t>
      </w:r>
      <w:r w:rsidR="00F129D4" w:rsidRPr="00E0709F">
        <w:rPr>
          <w:szCs w:val="22"/>
        </w:rPr>
        <w:t xml:space="preserve">Food Standards Australia New Zealand (FSANZ) received an Application </w:t>
      </w:r>
      <w:r w:rsidR="00F129D4" w:rsidRPr="00E0709F">
        <w:rPr>
          <w:rFonts w:cs="Arial"/>
          <w:szCs w:val="22"/>
        </w:rPr>
        <w:t xml:space="preserve">from </w:t>
      </w:r>
      <w:r w:rsidR="00646727">
        <w:rPr>
          <w:rFonts w:cs="Arial"/>
          <w:szCs w:val="22"/>
        </w:rPr>
        <w:t>National Starch Pty Ltd</w:t>
      </w:r>
      <w:r w:rsidR="0012047C" w:rsidRPr="00E0709F">
        <w:rPr>
          <w:rFonts w:cs="Arial"/>
          <w:szCs w:val="22"/>
        </w:rPr>
        <w:t xml:space="preserve"> </w:t>
      </w:r>
      <w:r w:rsidR="00383220" w:rsidRPr="00E0709F">
        <w:rPr>
          <w:rFonts w:cs="Arial"/>
          <w:szCs w:val="22"/>
        </w:rPr>
        <w:t xml:space="preserve">seeking </w:t>
      </w:r>
      <w:r w:rsidR="00122506">
        <w:rPr>
          <w:rFonts w:cs="Arial"/>
          <w:szCs w:val="22"/>
        </w:rPr>
        <w:t>to</w:t>
      </w:r>
      <w:r w:rsidR="00383220" w:rsidRPr="00E0709F">
        <w:rPr>
          <w:rFonts w:cs="Arial"/>
          <w:szCs w:val="22"/>
        </w:rPr>
        <w:t xml:space="preserve"> amend </w:t>
      </w:r>
      <w:r w:rsidR="00646727">
        <w:rPr>
          <w:rFonts w:cs="Arial"/>
          <w:szCs w:val="22"/>
        </w:rPr>
        <w:t>Standard 1.3.1</w:t>
      </w:r>
      <w:r w:rsidR="002D425D" w:rsidRPr="00E0709F">
        <w:rPr>
          <w:rFonts w:cs="Arial"/>
          <w:szCs w:val="22"/>
        </w:rPr>
        <w:t xml:space="preserve"> – </w:t>
      </w:r>
      <w:r w:rsidR="00646727">
        <w:rPr>
          <w:rFonts w:cs="Arial"/>
          <w:szCs w:val="22"/>
        </w:rPr>
        <w:t>Food Additives</w:t>
      </w:r>
      <w:r w:rsidR="00383220" w:rsidRPr="00E0709F">
        <w:rPr>
          <w:rFonts w:cs="Arial"/>
          <w:szCs w:val="22"/>
        </w:rPr>
        <w:t xml:space="preserve"> of the </w:t>
      </w:r>
      <w:r w:rsidR="00383220" w:rsidRPr="00E0709F">
        <w:rPr>
          <w:rFonts w:cs="Arial"/>
          <w:i/>
          <w:szCs w:val="22"/>
        </w:rPr>
        <w:t>Australia New Zealand Food Standards Code</w:t>
      </w:r>
      <w:r w:rsidR="00383220" w:rsidRPr="00E0709F">
        <w:rPr>
          <w:rFonts w:cs="Arial"/>
          <w:szCs w:val="22"/>
        </w:rPr>
        <w:t xml:space="preserve"> (the Code)</w:t>
      </w:r>
      <w:r w:rsidR="00A926CE" w:rsidRPr="00E0709F">
        <w:rPr>
          <w:rFonts w:cs="Arial"/>
          <w:szCs w:val="22"/>
        </w:rPr>
        <w:t xml:space="preserve"> to </w:t>
      </w:r>
      <w:r w:rsidRPr="00E0709F">
        <w:rPr>
          <w:rFonts w:cs="Arial"/>
          <w:szCs w:val="22"/>
        </w:rPr>
        <w:t>permit</w:t>
      </w:r>
      <w:r w:rsidR="00383220" w:rsidRPr="00E0709F">
        <w:rPr>
          <w:rFonts w:cs="Arial"/>
          <w:szCs w:val="22"/>
        </w:rPr>
        <w:t xml:space="preserve"> the </w:t>
      </w:r>
      <w:r w:rsidR="00093DED" w:rsidRPr="00E0709F">
        <w:rPr>
          <w:rFonts w:cs="Arial"/>
          <w:szCs w:val="22"/>
        </w:rPr>
        <w:t xml:space="preserve">addition of </w:t>
      </w:r>
      <w:r w:rsidR="00E3403B">
        <w:rPr>
          <w:rFonts w:cs="Arial"/>
          <w:szCs w:val="22"/>
        </w:rPr>
        <w:t>quillaia</w:t>
      </w:r>
      <w:r w:rsidR="00C85305">
        <w:rPr>
          <w:rFonts w:cs="Arial"/>
          <w:szCs w:val="22"/>
        </w:rPr>
        <w:t xml:space="preserve"> extract to food as </w:t>
      </w:r>
      <w:r w:rsidR="006B7EB6">
        <w:rPr>
          <w:rFonts w:cs="Arial"/>
          <w:szCs w:val="22"/>
        </w:rPr>
        <w:t>a</w:t>
      </w:r>
      <w:r w:rsidR="00074764">
        <w:rPr>
          <w:rFonts w:cs="Arial"/>
          <w:szCs w:val="22"/>
        </w:rPr>
        <w:t>n</w:t>
      </w:r>
      <w:r w:rsidR="006B7EB6">
        <w:rPr>
          <w:rFonts w:cs="Arial"/>
          <w:szCs w:val="22"/>
        </w:rPr>
        <w:t xml:space="preserve"> emulsifier </w:t>
      </w:r>
      <w:r w:rsidR="00074764">
        <w:rPr>
          <w:rFonts w:cs="Arial"/>
          <w:szCs w:val="22"/>
        </w:rPr>
        <w:t xml:space="preserve">being an alternative to such food additives </w:t>
      </w:r>
      <w:r w:rsidR="006B7EB6">
        <w:rPr>
          <w:rFonts w:cs="Arial"/>
          <w:szCs w:val="22"/>
        </w:rPr>
        <w:t>as gum arabic and modified food starch</w:t>
      </w:r>
      <w:r w:rsidR="00C85305">
        <w:rPr>
          <w:rFonts w:cs="Arial"/>
          <w:szCs w:val="22"/>
        </w:rPr>
        <w:t>.</w:t>
      </w:r>
    </w:p>
    <w:p w:rsidR="00435E22" w:rsidRPr="00842815" w:rsidRDefault="00435E22" w:rsidP="00EC3020">
      <w:pPr>
        <w:rPr>
          <w:rFonts w:cs="Arial"/>
          <w:szCs w:val="22"/>
        </w:rPr>
      </w:pPr>
    </w:p>
    <w:p w:rsidR="00686824" w:rsidRDefault="001A1838" w:rsidP="00435E22">
      <w:pPr>
        <w:pStyle w:val="Heading2"/>
      </w:pPr>
      <w:bookmarkStart w:id="41" w:name="_Toc120358576"/>
      <w:r w:rsidRPr="001A1838">
        <w:t>1.</w:t>
      </w:r>
      <w:r w:rsidR="003861A6">
        <w:t>1</w:t>
      </w:r>
      <w:r w:rsidRPr="001A1838">
        <w:tab/>
      </w:r>
      <w:bookmarkStart w:id="42" w:name="_Toc360028592"/>
      <w:r w:rsidRPr="001A1838">
        <w:t>Risk assessment context</w:t>
      </w:r>
      <w:bookmarkEnd w:id="42"/>
    </w:p>
    <w:p w:rsidR="00435E22" w:rsidRPr="00435E22" w:rsidRDefault="00435E22" w:rsidP="00435E22"/>
    <w:p w:rsidR="00CF250D" w:rsidRDefault="00CF250D" w:rsidP="00CF250D">
      <w:r>
        <w:t xml:space="preserve">For the purpose of this risk assessment, the proposed addition of </w:t>
      </w:r>
      <w:r w:rsidR="00E3403B">
        <w:rPr>
          <w:rFonts w:cs="Arial"/>
        </w:rPr>
        <w:t>quillaia</w:t>
      </w:r>
      <w:r w:rsidR="00AE3A09" w:rsidRPr="009969EC">
        <w:rPr>
          <w:rFonts w:cs="Arial"/>
        </w:rPr>
        <w:t xml:space="preserve"> extract</w:t>
      </w:r>
      <w:r w:rsidR="00AE3A09">
        <w:t xml:space="preserve"> to</w:t>
      </w:r>
      <w:r w:rsidR="008D1254">
        <w:t xml:space="preserve"> </w:t>
      </w:r>
      <w:r w:rsidR="00AE3A09">
        <w:rPr>
          <w:rFonts w:cs="Arial"/>
        </w:rPr>
        <w:t>food</w:t>
      </w:r>
      <w:r w:rsidR="008D1254">
        <w:rPr>
          <w:rFonts w:cs="Arial"/>
        </w:rPr>
        <w:t xml:space="preserve"> in Australia and New Zealand</w:t>
      </w:r>
      <w:r>
        <w:t xml:space="preserve"> will be considered i</w:t>
      </w:r>
      <w:r w:rsidR="008D1254">
        <w:t>n the context of the following:</w:t>
      </w:r>
    </w:p>
    <w:p w:rsidR="00CF250D" w:rsidRDefault="00CF250D" w:rsidP="00CF250D"/>
    <w:p w:rsidR="00CF250D" w:rsidRPr="00C831D5" w:rsidRDefault="00871EE6" w:rsidP="00C831D5">
      <w:pPr>
        <w:pStyle w:val="FSBullet1"/>
        <w:ind w:left="567" w:hanging="567"/>
      </w:pPr>
      <w:r>
        <w:t xml:space="preserve">The main family of functionally-relevant compounds present in </w:t>
      </w:r>
      <w:r w:rsidR="00E3403B">
        <w:t>quillaia</w:t>
      </w:r>
      <w:r w:rsidRPr="009969EC">
        <w:t xml:space="preserve"> extract</w:t>
      </w:r>
      <w:r>
        <w:t>, the saponins, are a normal component of the human diet by virtue of their presence in a range of edible plant materials.</w:t>
      </w:r>
    </w:p>
    <w:p w:rsidR="00CF250D" w:rsidRPr="00CF250D" w:rsidRDefault="00CF250D" w:rsidP="00CF250D">
      <w:pPr>
        <w:rPr>
          <w:rFonts w:cs="Arial"/>
          <w:szCs w:val="22"/>
        </w:rPr>
      </w:pPr>
    </w:p>
    <w:p w:rsidR="00CF250D" w:rsidRDefault="00E3403B" w:rsidP="00C831D5">
      <w:pPr>
        <w:pStyle w:val="FSBullet1"/>
        <w:ind w:left="567" w:hanging="567"/>
      </w:pPr>
      <w:r>
        <w:t>Quillaia</w:t>
      </w:r>
      <w:r w:rsidR="00871EE6">
        <w:t xml:space="preserve"> extract is already a permitted food additive and/or food ingredient in the European Union, the US, Canada, China, Japan, India, Singapore, Thailand, Taiwan and Vietnam</w:t>
      </w:r>
      <w:r w:rsidR="002A2C04">
        <w:t>.</w:t>
      </w:r>
    </w:p>
    <w:p w:rsidR="008F0036" w:rsidRDefault="008F0036" w:rsidP="003A29D5"/>
    <w:p w:rsidR="002A2C04" w:rsidRDefault="00871EE6" w:rsidP="00C831D5">
      <w:pPr>
        <w:pStyle w:val="FSBullet1"/>
        <w:ind w:left="567" w:hanging="567"/>
      </w:pPr>
      <w:r>
        <w:t xml:space="preserve">The Joint FAO/WHO Expert Committee on Food Additives (JECFA) has evaluated </w:t>
      </w:r>
      <w:r w:rsidR="00E3403B">
        <w:t>quillaia</w:t>
      </w:r>
      <w:r w:rsidRPr="009969EC">
        <w:t xml:space="preserve"> extract</w:t>
      </w:r>
      <w:r>
        <w:t>, establishing product specifications and a</w:t>
      </w:r>
      <w:r w:rsidR="002D65E8">
        <w:t xml:space="preserve"> group</w:t>
      </w:r>
      <w:r>
        <w:t xml:space="preserve"> acceptable daily intake (ADI).</w:t>
      </w:r>
    </w:p>
    <w:p w:rsidR="00807559" w:rsidRPr="00435E22" w:rsidRDefault="00B046AC" w:rsidP="00435E22">
      <w:pPr>
        <w:pStyle w:val="Two"/>
      </w:pPr>
      <w:bookmarkStart w:id="43" w:name="_Toc360028593"/>
      <w:bookmarkEnd w:id="41"/>
      <w:r w:rsidRPr="00435E22">
        <w:t>1.</w:t>
      </w:r>
      <w:r w:rsidR="003861A6" w:rsidRPr="00435E22">
        <w:t>2</w:t>
      </w:r>
      <w:r w:rsidRPr="00435E22">
        <w:tab/>
      </w:r>
      <w:r w:rsidR="00592F7E" w:rsidRPr="00435E22">
        <w:t xml:space="preserve">Risk Assessment </w:t>
      </w:r>
      <w:r w:rsidR="0077252F" w:rsidRPr="00435E22">
        <w:t>questions</w:t>
      </w:r>
      <w:bookmarkEnd w:id="43"/>
    </w:p>
    <w:p w:rsidR="00066DA9" w:rsidRPr="009969EC" w:rsidRDefault="00066DA9" w:rsidP="00066DA9">
      <w:pPr>
        <w:rPr>
          <w:rFonts w:cs="Arial"/>
        </w:rPr>
      </w:pPr>
      <w:r w:rsidRPr="00E0709F">
        <w:rPr>
          <w:rFonts w:cs="Arial"/>
        </w:rPr>
        <w:t xml:space="preserve">For this Application, the risk assessment questions were developed in the context of the Section 18 Objectives of the </w:t>
      </w:r>
      <w:r w:rsidRPr="00E0709F">
        <w:rPr>
          <w:rFonts w:cs="Arial"/>
          <w:i/>
        </w:rPr>
        <w:t>Food Standards Australia New Zealand Act 1991</w:t>
      </w:r>
      <w:r w:rsidR="009969EC">
        <w:rPr>
          <w:rStyle w:val="FootnoteReference"/>
          <w:rFonts w:cs="Arial"/>
          <w:vertAlign w:val="baseline"/>
        </w:rPr>
        <w:t>.</w:t>
      </w:r>
    </w:p>
    <w:p w:rsidR="00066DA9" w:rsidRPr="00E0709F" w:rsidRDefault="00066DA9" w:rsidP="00066DA9">
      <w:pPr>
        <w:rPr>
          <w:rFonts w:cs="Arial"/>
        </w:rPr>
      </w:pPr>
    </w:p>
    <w:p w:rsidR="00CB2DF1" w:rsidRPr="00E0709F" w:rsidRDefault="00066DA9" w:rsidP="008D7AD4">
      <w:pPr>
        <w:spacing w:after="120"/>
        <w:rPr>
          <w:rFonts w:cs="Arial"/>
        </w:rPr>
      </w:pPr>
      <w:r w:rsidRPr="00E0709F">
        <w:rPr>
          <w:rFonts w:cs="Arial"/>
        </w:rPr>
        <w:t xml:space="preserve">The following risk assessment questions are addressed in this </w:t>
      </w:r>
      <w:r w:rsidR="002037F7" w:rsidRPr="00E0709F">
        <w:rPr>
          <w:rFonts w:cs="Arial"/>
        </w:rPr>
        <w:t>report</w:t>
      </w:r>
      <w:r w:rsidRPr="00E0709F">
        <w:rPr>
          <w:rFonts w:cs="Arial"/>
        </w:rPr>
        <w:t>:</w:t>
      </w:r>
    </w:p>
    <w:p w:rsidR="001B38D8" w:rsidRPr="00E0709F" w:rsidRDefault="001B38D8" w:rsidP="001B38D8">
      <w:pPr>
        <w:ind w:left="567" w:hanging="567"/>
        <w:rPr>
          <w:rFonts w:cs="Arial"/>
        </w:rPr>
      </w:pPr>
      <w:r w:rsidRPr="00E0709F">
        <w:rPr>
          <w:rFonts w:cs="Arial"/>
        </w:rPr>
        <w:t>1.</w:t>
      </w:r>
      <w:r w:rsidRPr="00E0709F">
        <w:rPr>
          <w:rFonts w:cs="Arial"/>
        </w:rPr>
        <w:tab/>
        <w:t xml:space="preserve">Does </w:t>
      </w:r>
      <w:r w:rsidR="00E3403B">
        <w:rPr>
          <w:rFonts w:cs="Arial"/>
        </w:rPr>
        <w:t>quillaia</w:t>
      </w:r>
      <w:r w:rsidR="009969EC" w:rsidRPr="009969EC">
        <w:rPr>
          <w:rFonts w:cs="Arial"/>
        </w:rPr>
        <w:t xml:space="preserve"> extract</w:t>
      </w:r>
      <w:r w:rsidRPr="00E0709F">
        <w:rPr>
          <w:rFonts w:cs="Arial"/>
        </w:rPr>
        <w:t xml:space="preserve"> achieve its technological function in the form a</w:t>
      </w:r>
      <w:r w:rsidR="00FD0FD5" w:rsidRPr="00E0709F">
        <w:rPr>
          <w:rFonts w:cs="Arial"/>
        </w:rPr>
        <w:t>nd</w:t>
      </w:r>
      <w:r w:rsidRPr="00E0709F">
        <w:rPr>
          <w:rFonts w:cs="Arial"/>
        </w:rPr>
        <w:t xml:space="preserve"> </w:t>
      </w:r>
      <w:r w:rsidR="00FD0FD5" w:rsidRPr="00E0709F">
        <w:rPr>
          <w:rFonts w:cs="Arial"/>
        </w:rPr>
        <w:t xml:space="preserve">quantity used </w:t>
      </w:r>
      <w:r w:rsidR="00AE3A09">
        <w:rPr>
          <w:rFonts w:cs="Arial"/>
        </w:rPr>
        <w:t>as an emulsifier</w:t>
      </w:r>
      <w:r w:rsidR="00FD0FD5" w:rsidRPr="00E0709F">
        <w:rPr>
          <w:rFonts w:cs="Arial"/>
        </w:rPr>
        <w:t>?</w:t>
      </w:r>
    </w:p>
    <w:p w:rsidR="00FA7C0A" w:rsidRPr="00E0709F" w:rsidRDefault="00FA7C0A" w:rsidP="001B38D8">
      <w:pPr>
        <w:rPr>
          <w:rFonts w:cs="Arial"/>
        </w:rPr>
      </w:pPr>
    </w:p>
    <w:p w:rsidR="001B38D8" w:rsidRPr="00E0709F" w:rsidRDefault="00810764" w:rsidP="001B38D8">
      <w:pPr>
        <w:ind w:left="567" w:hanging="567"/>
        <w:rPr>
          <w:rFonts w:cs="Arial"/>
        </w:rPr>
      </w:pPr>
      <w:r>
        <w:rPr>
          <w:rFonts w:cs="Arial"/>
        </w:rPr>
        <w:t>2</w:t>
      </w:r>
      <w:r w:rsidR="001B38D8" w:rsidRPr="00E0709F">
        <w:rPr>
          <w:rFonts w:cs="Arial"/>
        </w:rPr>
        <w:t>.</w:t>
      </w:r>
      <w:r w:rsidR="001B38D8" w:rsidRPr="00E0709F">
        <w:rPr>
          <w:rFonts w:cs="Arial"/>
        </w:rPr>
        <w:tab/>
        <w:t xml:space="preserve">Are there any public health and safety issues associated with the use of </w:t>
      </w:r>
      <w:r w:rsidR="00E3403B">
        <w:rPr>
          <w:rFonts w:cs="Arial"/>
        </w:rPr>
        <w:t>quillaia</w:t>
      </w:r>
      <w:r w:rsidR="00AE3A09" w:rsidRPr="009969EC">
        <w:rPr>
          <w:rFonts w:cs="Arial"/>
        </w:rPr>
        <w:t xml:space="preserve"> extract</w:t>
      </w:r>
      <w:r w:rsidR="00AE3A09">
        <w:rPr>
          <w:rFonts w:cs="Arial"/>
        </w:rPr>
        <w:t xml:space="preserve"> as an emulsifier</w:t>
      </w:r>
      <w:r w:rsidR="001B38D8" w:rsidRPr="00E0709F">
        <w:rPr>
          <w:rFonts w:cs="Arial"/>
        </w:rPr>
        <w:t>?</w:t>
      </w:r>
    </w:p>
    <w:p w:rsidR="009969EC" w:rsidRPr="00F26165" w:rsidRDefault="009969EC" w:rsidP="00F26165">
      <w:pPr>
        <w:widowControl/>
        <w:rPr>
          <w:rFonts w:cs="Arial"/>
        </w:rPr>
      </w:pPr>
    </w:p>
    <w:p w:rsidR="001904CA" w:rsidRDefault="001904CA" w:rsidP="003779E4">
      <w:pPr>
        <w:widowControl/>
        <w:rPr>
          <w:rFonts w:ascii="Tahoma" w:hAnsi="Tahoma" w:cs="Tahoma"/>
          <w:b/>
          <w:bCs/>
          <w:kern w:val="32"/>
          <w:sz w:val="28"/>
          <w:szCs w:val="32"/>
          <w:u w:val="single"/>
        </w:rPr>
      </w:pPr>
      <w:r>
        <w:br w:type="page"/>
      </w:r>
    </w:p>
    <w:p w:rsidR="00E0053C" w:rsidRDefault="00621BE3" w:rsidP="00435E22">
      <w:pPr>
        <w:pStyle w:val="Heading2"/>
      </w:pPr>
      <w:r w:rsidRPr="002744C7">
        <w:rPr>
          <w:rFonts w:ascii="Arial" w:hAnsi="Arial" w:cs="Arial"/>
        </w:rPr>
        <w:lastRenderedPageBreak/>
        <w:t>2.</w:t>
      </w:r>
      <w:r w:rsidRPr="002744C7">
        <w:rPr>
          <w:rFonts w:ascii="Arial" w:hAnsi="Arial" w:cs="Arial"/>
        </w:rPr>
        <w:tab/>
      </w:r>
      <w:bookmarkStart w:id="44" w:name="_Toc360028594"/>
      <w:r w:rsidR="00404090" w:rsidRPr="00AF18AD">
        <w:t xml:space="preserve">FOOD </w:t>
      </w:r>
      <w:r w:rsidR="00404090" w:rsidRPr="00435E22">
        <w:rPr>
          <w:rFonts w:ascii="Arial" w:hAnsi="Arial" w:cs="Arial"/>
        </w:rPr>
        <w:t>TECHNOLOGY</w:t>
      </w:r>
      <w:r w:rsidR="00404090" w:rsidRPr="00AF18AD">
        <w:t xml:space="preserve"> ASSESSMENT</w:t>
      </w:r>
      <w:bookmarkEnd w:id="44"/>
    </w:p>
    <w:p w:rsidR="00435E22" w:rsidRPr="00435E22" w:rsidRDefault="00435E22" w:rsidP="00435E22"/>
    <w:p w:rsidR="00C8573B" w:rsidRDefault="007101AD" w:rsidP="00435E22">
      <w:pPr>
        <w:pStyle w:val="Heading2"/>
      </w:pPr>
      <w:bookmarkStart w:id="45" w:name="_Toc360028595"/>
      <w:r>
        <w:t>2.1</w:t>
      </w:r>
      <w:r>
        <w:tab/>
      </w:r>
      <w:r w:rsidR="00C8573B" w:rsidRPr="00A632CC">
        <w:t xml:space="preserve">Characterisation of </w:t>
      </w:r>
      <w:r w:rsidR="00E3403B">
        <w:t>quillaia</w:t>
      </w:r>
      <w:r w:rsidR="00C8573B" w:rsidRPr="00A632CC">
        <w:t xml:space="preserve"> extract</w:t>
      </w:r>
      <w:bookmarkEnd w:id="45"/>
    </w:p>
    <w:p w:rsidR="00435E22" w:rsidRPr="00435E22" w:rsidRDefault="00435E22" w:rsidP="00435E22"/>
    <w:p w:rsidR="00C8573B" w:rsidRPr="00D33053" w:rsidRDefault="007101AD">
      <w:pPr>
        <w:pStyle w:val="Heading3"/>
      </w:pPr>
      <w:bookmarkStart w:id="46" w:name="_Toc360028596"/>
      <w:r w:rsidRPr="00505718">
        <w:t>2.1.1</w:t>
      </w:r>
      <w:r w:rsidR="00031188">
        <w:tab/>
      </w:r>
      <w:r w:rsidR="00C8573B" w:rsidRPr="00D33053">
        <w:t>Identity</w:t>
      </w:r>
      <w:bookmarkEnd w:id="46"/>
      <w:r w:rsidR="00C8573B" w:rsidRPr="00D33053">
        <w:t xml:space="preserve"> </w:t>
      </w:r>
    </w:p>
    <w:p w:rsidR="00C8573B" w:rsidRPr="00A632CC" w:rsidRDefault="00C8573B" w:rsidP="00C8573B">
      <w:pPr>
        <w:rPr>
          <w:lang w:val="en-AU" w:eastAsia="en-AU"/>
        </w:rPr>
      </w:pPr>
    </w:p>
    <w:p w:rsidR="00C8573B" w:rsidRPr="00731735" w:rsidRDefault="00C8573B" w:rsidP="00C8573B">
      <w:pPr>
        <w:rPr>
          <w:lang w:val="en-AU" w:eastAsia="en-AU"/>
        </w:rPr>
      </w:pPr>
      <w:r w:rsidRPr="00A632CC">
        <w:rPr>
          <w:lang w:val="en-AU" w:eastAsia="en-AU"/>
        </w:rPr>
        <w:t>Common name:</w:t>
      </w:r>
      <w:r w:rsidRPr="00A632CC">
        <w:rPr>
          <w:lang w:val="en-AU" w:eastAsia="en-AU"/>
        </w:rPr>
        <w:tab/>
      </w:r>
      <w:r w:rsidRPr="00A632CC">
        <w:rPr>
          <w:lang w:val="en-AU" w:eastAsia="en-AU"/>
        </w:rPr>
        <w:tab/>
      </w:r>
      <w:r w:rsidRPr="00A632CC">
        <w:rPr>
          <w:lang w:val="en-AU" w:eastAsia="en-AU"/>
        </w:rPr>
        <w:tab/>
      </w:r>
      <w:r w:rsidR="00B105A8">
        <w:rPr>
          <w:lang w:val="en-AU" w:eastAsia="en-AU"/>
        </w:rPr>
        <w:t>Quillaia</w:t>
      </w:r>
      <w:r w:rsidRPr="00731735">
        <w:rPr>
          <w:lang w:val="en-AU" w:eastAsia="en-AU"/>
        </w:rPr>
        <w:t xml:space="preserve"> extract</w:t>
      </w:r>
    </w:p>
    <w:p w:rsidR="00C8573B" w:rsidRPr="00731735" w:rsidRDefault="00C8573B" w:rsidP="00C8573B">
      <w:pPr>
        <w:rPr>
          <w:lang w:val="en-AU" w:eastAsia="en-AU"/>
        </w:rPr>
      </w:pPr>
    </w:p>
    <w:p w:rsidR="00C8573B" w:rsidRPr="00A632CC" w:rsidRDefault="00C8573B" w:rsidP="00AF18AD">
      <w:pPr>
        <w:ind w:left="2835" w:hanging="2835"/>
        <w:rPr>
          <w:lang w:val="en-AU" w:eastAsia="en-AU"/>
        </w:rPr>
      </w:pPr>
      <w:r w:rsidRPr="00731735">
        <w:rPr>
          <w:lang w:val="en-AU" w:eastAsia="en-AU"/>
        </w:rPr>
        <w:t>Other names:</w:t>
      </w:r>
      <w:r w:rsidR="00872C5A">
        <w:rPr>
          <w:lang w:val="en-AU" w:eastAsia="en-AU"/>
        </w:rPr>
        <w:tab/>
      </w:r>
      <w:r w:rsidR="00872C5A">
        <w:rPr>
          <w:lang w:val="en-AU" w:eastAsia="en-AU"/>
        </w:rPr>
        <w:tab/>
      </w:r>
      <w:r w:rsidR="00E3403B">
        <w:rPr>
          <w:rFonts w:cs="Arial"/>
          <w:lang w:val="en-AU"/>
        </w:rPr>
        <w:t>Quillaja</w:t>
      </w:r>
      <w:r w:rsidRPr="00731735">
        <w:rPr>
          <w:rFonts w:cs="Arial"/>
          <w:lang w:val="en-AU"/>
        </w:rPr>
        <w:t xml:space="preserve"> extract, Soapbark extract, Quillay bark extract, Panama bark</w:t>
      </w:r>
      <w:r w:rsidRPr="00A632CC">
        <w:rPr>
          <w:rFonts w:cs="Arial"/>
          <w:lang w:val="en-AU"/>
        </w:rPr>
        <w:t xml:space="preserve"> extract, Quillai extract, Murillo bark extract, China bark extract</w:t>
      </w:r>
      <w:r w:rsidRPr="00A632CC">
        <w:rPr>
          <w:lang w:val="en-AU" w:eastAsia="en-AU"/>
        </w:rPr>
        <w:t xml:space="preserve"> </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C.A.S. registry number:</w:t>
      </w:r>
      <w:r w:rsidRPr="00A632CC">
        <w:rPr>
          <w:lang w:val="en-AU" w:eastAsia="en-AU"/>
        </w:rPr>
        <w:tab/>
      </w:r>
      <w:r w:rsidRPr="00315D9F">
        <w:rPr>
          <w:lang w:val="en-AU" w:eastAsia="en-AU"/>
        </w:rPr>
        <w:t>68990-67-0</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INS number:</w:t>
      </w:r>
      <w:r w:rsidRPr="00A632CC">
        <w:rPr>
          <w:lang w:val="en-AU" w:eastAsia="en-AU"/>
        </w:rPr>
        <w:tab/>
      </w:r>
      <w:r w:rsidRPr="00A632CC">
        <w:rPr>
          <w:lang w:val="en-AU" w:eastAsia="en-AU"/>
        </w:rPr>
        <w:tab/>
      </w:r>
      <w:r w:rsidRPr="00A632CC">
        <w:rPr>
          <w:lang w:val="en-AU" w:eastAsia="en-AU"/>
        </w:rPr>
        <w:tab/>
        <w:t>999(i) [type 1 extract] and 999(ii) [type 2 extract]</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Structural formula:</w:t>
      </w:r>
      <w:r w:rsidRPr="00A632CC">
        <w:rPr>
          <w:lang w:val="en-AU" w:eastAsia="en-AU"/>
        </w:rPr>
        <w:tab/>
      </w:r>
      <w:r w:rsidRPr="00A632CC">
        <w:rPr>
          <w:lang w:val="en-AU" w:eastAsia="en-AU"/>
        </w:rPr>
        <w:tab/>
        <w:t>Not applicable (Mixture of substances)</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Molecular weight:</w:t>
      </w:r>
      <w:r w:rsidRPr="00A632CC">
        <w:rPr>
          <w:lang w:val="en-AU" w:eastAsia="en-AU"/>
        </w:rPr>
        <w:tab/>
      </w:r>
      <w:r w:rsidRPr="00A632CC">
        <w:rPr>
          <w:lang w:val="en-AU" w:eastAsia="en-AU"/>
        </w:rPr>
        <w:tab/>
        <w:t>Not applicable (Mixture of substances)</w:t>
      </w:r>
    </w:p>
    <w:p w:rsidR="00C8573B" w:rsidRPr="00A632CC" w:rsidRDefault="00C8573B" w:rsidP="00C8573B">
      <w:pPr>
        <w:ind w:left="3600" w:hanging="3600"/>
        <w:rPr>
          <w:lang w:val="en-AU" w:eastAsia="en-AU"/>
        </w:rPr>
      </w:pPr>
    </w:p>
    <w:p w:rsidR="00C8573B" w:rsidRPr="00A632CC" w:rsidRDefault="00C8573B" w:rsidP="00AF18AD">
      <w:pPr>
        <w:rPr>
          <w:lang w:val="en-AU" w:eastAsia="en-AU"/>
        </w:rPr>
      </w:pPr>
      <w:r w:rsidRPr="00A632CC">
        <w:rPr>
          <w:lang w:val="en-AU" w:eastAsia="en-AU"/>
        </w:rPr>
        <w:t>Marketing names:</w:t>
      </w:r>
      <w:r w:rsidR="00D772D2">
        <w:rPr>
          <w:lang w:val="en-AU" w:eastAsia="en-AU"/>
        </w:rPr>
        <w:tab/>
      </w:r>
      <w:r w:rsidR="00D772D2">
        <w:rPr>
          <w:lang w:val="en-AU" w:eastAsia="en-AU"/>
        </w:rPr>
        <w:tab/>
      </w:r>
      <w:r w:rsidRPr="00A632CC">
        <w:rPr>
          <w:lang w:val="en-AU" w:eastAsia="en-AU"/>
        </w:rPr>
        <w:t>Q-Naturale® 100, Q-Naturale® 200 and Q-Naturale® 300</w:t>
      </w:r>
      <w:r w:rsidRPr="00A632CC">
        <w:rPr>
          <w:lang w:val="en-AU"/>
        </w:rPr>
        <w:t>.</w:t>
      </w:r>
    </w:p>
    <w:p w:rsidR="00C8573B" w:rsidRPr="00A632CC" w:rsidRDefault="00C8573B" w:rsidP="00C8573B">
      <w:pPr>
        <w:ind w:left="3600" w:hanging="3600"/>
        <w:rPr>
          <w:lang w:val="en-AU" w:eastAsia="en-AU"/>
        </w:rPr>
      </w:pPr>
    </w:p>
    <w:p w:rsidR="00C8573B" w:rsidRPr="00AF18AD" w:rsidRDefault="00031188" w:rsidP="00D33053">
      <w:pPr>
        <w:pStyle w:val="Heading3"/>
      </w:pPr>
      <w:bookmarkStart w:id="47" w:name="_Toc360028597"/>
      <w:r w:rsidRPr="00AF18AD">
        <w:t>2.1.2</w:t>
      </w:r>
      <w:r w:rsidRPr="00AF18AD">
        <w:tab/>
      </w:r>
      <w:r w:rsidR="00C8573B" w:rsidRPr="00AF18AD">
        <w:t>Chemical and physical properties</w:t>
      </w:r>
      <w:bookmarkEnd w:id="47"/>
    </w:p>
    <w:p w:rsidR="00C8573B" w:rsidRPr="00A632CC" w:rsidRDefault="00C8573B" w:rsidP="00C8573B">
      <w:pPr>
        <w:rPr>
          <w:lang w:val="en-AU" w:eastAsia="en-AU"/>
        </w:rPr>
      </w:pPr>
    </w:p>
    <w:p w:rsidR="00C8573B" w:rsidRPr="00315D9F" w:rsidRDefault="00E3403B" w:rsidP="00C8573B">
      <w:pPr>
        <w:rPr>
          <w:rFonts w:cs="Arial"/>
          <w:lang w:val="en-AU"/>
        </w:rPr>
      </w:pPr>
      <w:r>
        <w:rPr>
          <w:lang w:val="en-AU" w:eastAsia="en-AU"/>
        </w:rPr>
        <w:t>Quillaia</w:t>
      </w:r>
      <w:r w:rsidR="00C8573B" w:rsidRPr="00A632CC">
        <w:rPr>
          <w:lang w:val="en-AU" w:eastAsia="en-AU"/>
        </w:rPr>
        <w:t xml:space="preserve"> extract is obtained by aqueous extraction of the milled inner bark, stems and branches of the </w:t>
      </w:r>
      <w:r>
        <w:rPr>
          <w:i/>
          <w:lang w:val="en-AU" w:eastAsia="en-AU"/>
        </w:rPr>
        <w:t>Quillaia</w:t>
      </w:r>
      <w:r w:rsidR="00C8573B" w:rsidRPr="00A632CC">
        <w:rPr>
          <w:i/>
          <w:lang w:val="en-AU" w:eastAsia="en-AU"/>
        </w:rPr>
        <w:t xml:space="preserve"> saponaria</w:t>
      </w:r>
      <w:r w:rsidR="00C8573B" w:rsidRPr="00A632CC">
        <w:rPr>
          <w:lang w:val="en-AU" w:eastAsia="en-AU"/>
        </w:rPr>
        <w:t xml:space="preserve"> Molina tree. The tree is native to China and South America. The extract is a heterogeneous mixture of over 100 tri-terpenoid saponins.</w:t>
      </w:r>
      <w:r w:rsidR="00C8573B" w:rsidRPr="00315D9F">
        <w:rPr>
          <w:rFonts w:cs="Arial"/>
          <w:lang w:val="en-AU"/>
        </w:rPr>
        <w:t xml:space="preserve"> </w:t>
      </w:r>
      <w:r w:rsidR="00C8573B" w:rsidRPr="00A632CC">
        <w:rPr>
          <w:rFonts w:cs="Arial"/>
          <w:lang w:val="en-AU"/>
        </w:rPr>
        <w:t xml:space="preserve">The saponins </w:t>
      </w:r>
      <w:r w:rsidR="00C8573B" w:rsidRPr="00315D9F">
        <w:rPr>
          <w:rFonts w:cs="Arial"/>
          <w:lang w:val="en-AU"/>
        </w:rPr>
        <w:t xml:space="preserve">consist mainly of quillaic acid as the hydrophobic moiety with various attached oligosaccharides </w:t>
      </w:r>
      <w:r w:rsidR="00C8573B" w:rsidRPr="00A632CC">
        <w:rPr>
          <w:lang w:val="en-AU" w:eastAsia="en-AU"/>
        </w:rPr>
        <w:t>(JECFA 2005)</w:t>
      </w:r>
      <w:r w:rsidR="00C8573B" w:rsidRPr="00315D9F">
        <w:rPr>
          <w:rFonts w:cs="Arial"/>
          <w:lang w:val="en-AU"/>
        </w:rPr>
        <w:t xml:space="preserve">. The oligosaccharides consist of various </w:t>
      </w:r>
      <w:r w:rsidR="00C8573B" w:rsidRPr="00A632CC">
        <w:rPr>
          <w:rFonts w:cs="Arial"/>
          <w:lang w:val="en-AU"/>
        </w:rPr>
        <w:t xml:space="preserve">combinations of </w:t>
      </w:r>
      <w:r w:rsidR="00C8573B" w:rsidRPr="00315D9F">
        <w:rPr>
          <w:rFonts w:cs="Arial"/>
          <w:lang w:val="en-AU"/>
        </w:rPr>
        <w:t>sugars such as glucose, galactose, arabinose, xylose and rhamnose. Other components that may be present include polyphenols, tannins and calcium oxalate (</w:t>
      </w:r>
      <w:r w:rsidR="002B2123">
        <w:rPr>
          <w:rFonts w:cs="Arial"/>
          <w:lang w:val="en-AU"/>
        </w:rPr>
        <w:t xml:space="preserve">JECFA 2005; </w:t>
      </w:r>
      <w:r w:rsidR="00C8573B" w:rsidRPr="00315D9F">
        <w:rPr>
          <w:rFonts w:cs="Arial"/>
          <w:lang w:val="en-AU"/>
        </w:rPr>
        <w:t>The Commission of the European Communities 20</w:t>
      </w:r>
      <w:r w:rsidR="00C8573B">
        <w:rPr>
          <w:rFonts w:cs="Arial"/>
          <w:lang w:val="en-AU"/>
        </w:rPr>
        <w:t>12</w:t>
      </w:r>
      <w:r w:rsidR="00C8573B" w:rsidRPr="00315D9F">
        <w:rPr>
          <w:rFonts w:cs="Arial"/>
          <w:lang w:val="en-AU"/>
        </w:rPr>
        <w:t xml:space="preserve">). </w:t>
      </w:r>
    </w:p>
    <w:p w:rsidR="00C8573B" w:rsidRPr="00315D9F" w:rsidRDefault="00C8573B" w:rsidP="00C8573B">
      <w:pPr>
        <w:rPr>
          <w:rFonts w:cs="Arial"/>
          <w:lang w:val="en-AU"/>
        </w:rPr>
      </w:pPr>
    </w:p>
    <w:p w:rsidR="00C8573B" w:rsidRPr="00A632CC" w:rsidRDefault="00C8573B" w:rsidP="00C8573B">
      <w:pPr>
        <w:rPr>
          <w:rFonts w:cs="Arial"/>
          <w:lang w:val="en-AU"/>
        </w:rPr>
      </w:pPr>
      <w:r w:rsidRPr="00315D9F">
        <w:rPr>
          <w:rFonts w:cs="Arial"/>
          <w:lang w:val="en-AU"/>
        </w:rPr>
        <w:t>The combination of a hydrophobic</w:t>
      </w:r>
      <w:r>
        <w:rPr>
          <w:rFonts w:cs="Arial"/>
          <w:lang w:val="en-AU"/>
        </w:rPr>
        <w:t xml:space="preserve"> component</w:t>
      </w:r>
      <w:r w:rsidRPr="00315D9F">
        <w:rPr>
          <w:rFonts w:cs="Arial"/>
          <w:lang w:val="en-AU"/>
        </w:rPr>
        <w:t xml:space="preserve"> such as quillaic acid and hydrophilic oligosaccharides makes saponins amphipathic substances. They are surface-active substances that form micelles in</w:t>
      </w:r>
      <w:r>
        <w:rPr>
          <w:rFonts w:cs="Arial"/>
          <w:lang w:val="en-AU"/>
        </w:rPr>
        <w:t xml:space="preserve"> an</w:t>
      </w:r>
      <w:r w:rsidRPr="00315D9F">
        <w:rPr>
          <w:rFonts w:cs="Arial"/>
          <w:lang w:val="en-AU"/>
        </w:rPr>
        <w:t xml:space="preserve"> aqueous solution, and this gives </w:t>
      </w:r>
      <w:r w:rsidR="00E3403B">
        <w:rPr>
          <w:rFonts w:cs="Arial"/>
          <w:lang w:val="en-AU"/>
        </w:rPr>
        <w:t>quillaia</w:t>
      </w:r>
      <w:r w:rsidRPr="00315D9F">
        <w:rPr>
          <w:rFonts w:cs="Arial"/>
          <w:lang w:val="en-AU"/>
        </w:rPr>
        <w:t xml:space="preserve"> extracts emulsifying and foaming properties (</w:t>
      </w:r>
      <w:r w:rsidRPr="00A632CC">
        <w:rPr>
          <w:rFonts w:cs="Arial"/>
          <w:lang w:val="en-AU"/>
        </w:rPr>
        <w:t>Güçlü-Ustündağ and</w:t>
      </w:r>
      <w:r w:rsidRPr="00315D9F">
        <w:rPr>
          <w:rFonts w:cs="Arial"/>
          <w:lang w:val="en-AU"/>
        </w:rPr>
        <w:t xml:space="preserve"> </w:t>
      </w:r>
      <w:r w:rsidRPr="00A632CC">
        <w:rPr>
          <w:rFonts w:cs="Arial"/>
          <w:lang w:val="en-AU"/>
        </w:rPr>
        <w:t>Mazza</w:t>
      </w:r>
      <w:r w:rsidRPr="00315D9F">
        <w:rPr>
          <w:rFonts w:cs="Arial"/>
          <w:lang w:val="en-AU"/>
        </w:rPr>
        <w:t xml:space="preserve"> 2007)</w:t>
      </w:r>
      <w:r w:rsidRPr="00A632CC">
        <w:rPr>
          <w:rFonts w:cs="Arial"/>
          <w:lang w:val="en-AU"/>
        </w:rPr>
        <w:t xml:space="preserve">. </w:t>
      </w:r>
    </w:p>
    <w:p w:rsidR="00C8573B" w:rsidRPr="00315D9F" w:rsidRDefault="00C8573B" w:rsidP="00C8573B">
      <w:pPr>
        <w:rPr>
          <w:rFonts w:cs="Arial"/>
          <w:lang w:val="en-AU"/>
        </w:rPr>
      </w:pPr>
    </w:p>
    <w:p w:rsidR="00C8573B" w:rsidRPr="00315D9F" w:rsidRDefault="00C8573B" w:rsidP="00C8573B">
      <w:pPr>
        <w:rPr>
          <w:rFonts w:cs="Arial"/>
          <w:lang w:val="en-AU"/>
        </w:rPr>
      </w:pPr>
      <w:r w:rsidRPr="00315D9F">
        <w:rPr>
          <w:rFonts w:cs="Arial"/>
          <w:lang w:val="en-AU"/>
        </w:rPr>
        <w:t xml:space="preserve">The general structure of </w:t>
      </w:r>
      <w:r w:rsidR="00E3403B">
        <w:rPr>
          <w:rFonts w:cs="Arial"/>
          <w:lang w:val="en-AU"/>
        </w:rPr>
        <w:t>quillaia</w:t>
      </w:r>
      <w:r w:rsidRPr="00315D9F">
        <w:rPr>
          <w:rFonts w:cs="Arial"/>
          <w:lang w:val="en-AU"/>
        </w:rPr>
        <w:t xml:space="preserve"> saponins is shown in Figure 1.</w:t>
      </w:r>
    </w:p>
    <w:p w:rsidR="00C8573B" w:rsidRPr="00315D9F" w:rsidRDefault="00C8573B" w:rsidP="00C8573B">
      <w:pPr>
        <w:rPr>
          <w:rFonts w:cs="Arial"/>
          <w:lang w:val="en-AU"/>
        </w:rPr>
      </w:pPr>
      <w:r w:rsidRPr="00315D9F">
        <w:rPr>
          <w:noProof/>
          <w:lang w:eastAsia="en-GB" w:bidi="ar-SA"/>
        </w:rPr>
        <w:lastRenderedPageBreak/>
        <w:drawing>
          <wp:inline distT="0" distB="0" distL="0" distR="0" wp14:anchorId="586C58C7" wp14:editId="4F96A88D">
            <wp:extent cx="5210354" cy="46833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09" t="5898"/>
                    <a:stretch/>
                  </pic:blipFill>
                  <pic:spPr bwMode="auto">
                    <a:xfrm>
                      <a:off x="0" y="0"/>
                      <a:ext cx="5205762" cy="4679198"/>
                    </a:xfrm>
                    <a:prstGeom prst="rect">
                      <a:avLst/>
                    </a:prstGeom>
                    <a:ln>
                      <a:noFill/>
                    </a:ln>
                    <a:extLst>
                      <a:ext uri="{53640926-AAD7-44D8-BBD7-CCE9431645EC}">
                        <a14:shadowObscured xmlns:a14="http://schemas.microsoft.com/office/drawing/2010/main"/>
                      </a:ext>
                    </a:extLst>
                  </pic:spPr>
                </pic:pic>
              </a:graphicData>
            </a:graphic>
          </wp:inline>
        </w:drawing>
      </w:r>
    </w:p>
    <w:p w:rsidR="00C8573B" w:rsidRPr="00315D9F" w:rsidRDefault="00C8573B" w:rsidP="00C8573B">
      <w:pPr>
        <w:rPr>
          <w:rFonts w:cs="Arial"/>
          <w:lang w:val="en-AU"/>
        </w:rPr>
      </w:pPr>
    </w:p>
    <w:p w:rsidR="00C8573B" w:rsidRPr="00A632CC" w:rsidRDefault="00C8573B" w:rsidP="00C8573B">
      <w:pPr>
        <w:rPr>
          <w:rFonts w:cs="Arial"/>
          <w:i/>
          <w:lang w:val="en-AU"/>
        </w:rPr>
      </w:pPr>
      <w:r w:rsidRPr="00315D9F">
        <w:rPr>
          <w:rFonts w:cs="Arial"/>
          <w:i/>
          <w:lang w:val="en-AU"/>
        </w:rPr>
        <w:t xml:space="preserve">Figure 1: General structure of </w:t>
      </w:r>
      <w:r w:rsidR="00E3403B">
        <w:rPr>
          <w:rFonts w:cs="Arial"/>
          <w:i/>
          <w:lang w:val="en-AU"/>
        </w:rPr>
        <w:t>quillaia</w:t>
      </w:r>
      <w:r w:rsidRPr="00315D9F">
        <w:rPr>
          <w:rFonts w:cs="Arial"/>
          <w:i/>
          <w:lang w:val="en-AU"/>
        </w:rPr>
        <w:t xml:space="preserve"> saponins</w:t>
      </w:r>
      <w:r>
        <w:rPr>
          <w:rFonts w:cs="Arial"/>
          <w:i/>
          <w:lang w:val="en-AU"/>
        </w:rPr>
        <w:t>. In this example,</w:t>
      </w:r>
      <w:r w:rsidRPr="00315D9F">
        <w:rPr>
          <w:rFonts w:cs="Arial"/>
          <w:i/>
          <w:lang w:val="en-AU"/>
        </w:rPr>
        <w:t xml:space="preserve"> the aglycone component is quillaic acid (</w:t>
      </w:r>
      <w:r w:rsidRPr="00A632CC">
        <w:rPr>
          <w:rFonts w:cs="Arial"/>
          <w:i/>
          <w:lang w:val="en-AU"/>
        </w:rPr>
        <w:t>Güçlü-Ustündağ and</w:t>
      </w:r>
      <w:r w:rsidRPr="00315D9F">
        <w:rPr>
          <w:rFonts w:cs="Arial"/>
          <w:i/>
          <w:lang w:val="en-AU"/>
        </w:rPr>
        <w:t xml:space="preserve"> </w:t>
      </w:r>
      <w:r w:rsidRPr="00A632CC">
        <w:rPr>
          <w:rFonts w:cs="Arial"/>
          <w:i/>
          <w:lang w:val="en-AU"/>
        </w:rPr>
        <w:t>Mazza</w:t>
      </w:r>
      <w:r w:rsidRPr="00315D9F">
        <w:rPr>
          <w:rFonts w:cs="Arial"/>
          <w:i/>
          <w:lang w:val="en-AU"/>
        </w:rPr>
        <w:t xml:space="preserve"> 2007).</w:t>
      </w:r>
    </w:p>
    <w:p w:rsidR="00C8573B" w:rsidRPr="00315D9F" w:rsidRDefault="00C8573B" w:rsidP="00C8573B">
      <w:pPr>
        <w:rPr>
          <w:rFonts w:cs="Arial"/>
          <w:lang w:val="en-AU"/>
        </w:rPr>
      </w:pPr>
    </w:p>
    <w:p w:rsidR="00C8573B" w:rsidRPr="00A632CC" w:rsidRDefault="00C8573B" w:rsidP="00C8573B">
      <w:pPr>
        <w:rPr>
          <w:rFonts w:cs="Arial"/>
          <w:lang w:val="en-AU"/>
        </w:rPr>
      </w:pPr>
      <w:r w:rsidRPr="00315D9F">
        <w:rPr>
          <w:rFonts w:cs="Arial"/>
          <w:lang w:val="en-AU"/>
        </w:rPr>
        <w:t xml:space="preserve">There are two types of </w:t>
      </w:r>
      <w:r w:rsidR="00E3403B">
        <w:rPr>
          <w:rFonts w:cs="Arial"/>
          <w:lang w:val="en-AU"/>
        </w:rPr>
        <w:t>quillaia</w:t>
      </w:r>
      <w:r w:rsidRPr="00315D9F">
        <w:rPr>
          <w:rFonts w:cs="Arial"/>
          <w:lang w:val="en-AU"/>
        </w:rPr>
        <w:t xml:space="preserve"> extract. Type 1 is obtained by aqueous extraction and type 2 by further purification (chromatographic separation or ultrafiltration) of the type 1 extract. </w:t>
      </w:r>
      <w:r w:rsidRPr="00A632CC">
        <w:rPr>
          <w:lang w:val="en-AU"/>
        </w:rPr>
        <w:t xml:space="preserve">Type 1 extract contains 10-30% saponins, while </w:t>
      </w:r>
      <w:r w:rsidR="005604ED">
        <w:rPr>
          <w:lang w:val="en-AU"/>
        </w:rPr>
        <w:t>t</w:t>
      </w:r>
      <w:r w:rsidR="005604ED" w:rsidRPr="00A632CC">
        <w:rPr>
          <w:lang w:val="en-AU"/>
        </w:rPr>
        <w:t xml:space="preserve">ype </w:t>
      </w:r>
      <w:r w:rsidRPr="00A632CC">
        <w:rPr>
          <w:lang w:val="en-AU"/>
        </w:rPr>
        <w:t xml:space="preserve">2 contains 65-90% saponins on a dry basis. </w:t>
      </w:r>
      <w:r w:rsidR="00E3403B">
        <w:rPr>
          <w:rFonts w:cs="Arial"/>
          <w:lang w:val="en-AU"/>
        </w:rPr>
        <w:t>Quillaia</w:t>
      </w:r>
      <w:r w:rsidRPr="00A632CC">
        <w:rPr>
          <w:rFonts w:cs="Arial"/>
          <w:lang w:val="en-AU"/>
        </w:rPr>
        <w:t xml:space="preserve"> extract is highly water-soluble but insoluble in ethanol, acetone and butanol. </w:t>
      </w:r>
    </w:p>
    <w:p w:rsidR="00C8573B" w:rsidRPr="00315D9F" w:rsidRDefault="00C8573B" w:rsidP="00C8573B">
      <w:pPr>
        <w:rPr>
          <w:rFonts w:cs="Arial"/>
          <w:lang w:val="en-AU"/>
        </w:rPr>
      </w:pPr>
    </w:p>
    <w:p w:rsidR="00C8573B" w:rsidRDefault="00C8573B" w:rsidP="00C8573B">
      <w:pPr>
        <w:rPr>
          <w:rFonts w:cs="Arial"/>
          <w:lang w:val="en-AU"/>
        </w:rPr>
      </w:pPr>
      <w:r w:rsidRPr="00315D9F">
        <w:rPr>
          <w:rFonts w:cs="Arial"/>
          <w:lang w:val="en-AU"/>
        </w:rPr>
        <w:t>Commercial extracts can be in the form of a reddish-brown powder or light reddish-brown liquid. Some extracts are bleached to lighten the colour. Highly purified extracts, which have had polyphenols and other constituents removed, are used as adjuvants in the production of human and animal vaccines (JECFA 2005).</w:t>
      </w:r>
    </w:p>
    <w:p w:rsidR="004148B9" w:rsidRPr="00315D9F" w:rsidRDefault="004148B9" w:rsidP="00BE355C">
      <w:pPr>
        <w:widowControl/>
        <w:spacing w:before="120"/>
        <w:rPr>
          <w:rFonts w:cs="Arial"/>
          <w:lang w:val="en-AU"/>
        </w:rPr>
      </w:pPr>
      <w:r w:rsidRPr="004148B9">
        <w:rPr>
          <w:lang w:val="en-AU"/>
        </w:rPr>
        <w:t xml:space="preserve">It is also possible that high levels of </w:t>
      </w:r>
      <w:r w:rsidR="00E3403B">
        <w:rPr>
          <w:lang w:val="en-AU"/>
        </w:rPr>
        <w:t>quillaia</w:t>
      </w:r>
      <w:r w:rsidRPr="005F6A9D">
        <w:rPr>
          <w:lang w:val="en-AU"/>
        </w:rPr>
        <w:t xml:space="preserve"> extracts added to beverages may have detrimental effects on the </w:t>
      </w:r>
      <w:r w:rsidRPr="00BE355C">
        <w:rPr>
          <w:lang w:val="en-AU"/>
        </w:rPr>
        <w:t xml:space="preserve">taste and appearance of the products. </w:t>
      </w:r>
      <w:r w:rsidR="00E3403B">
        <w:rPr>
          <w:lang w:val="en-AU"/>
        </w:rPr>
        <w:t>Quillaia</w:t>
      </w:r>
      <w:r w:rsidRPr="00BE355C">
        <w:rPr>
          <w:lang w:val="en-AU"/>
        </w:rPr>
        <w:t xml:space="preserve"> saponins are bitter.</w:t>
      </w:r>
    </w:p>
    <w:p w:rsidR="00C8573B" w:rsidRPr="00A632CC" w:rsidRDefault="00C8573B" w:rsidP="00C8573B">
      <w:pPr>
        <w:ind w:left="3600" w:hanging="3600"/>
        <w:rPr>
          <w:rFonts w:cs="Arial"/>
          <w:lang w:val="en-AU" w:eastAsia="en-AU"/>
        </w:rPr>
      </w:pPr>
    </w:p>
    <w:p w:rsidR="00C8573B" w:rsidRPr="00AF18AD" w:rsidRDefault="00031188" w:rsidP="00D33053">
      <w:pPr>
        <w:pStyle w:val="Heading3"/>
      </w:pPr>
      <w:bookmarkStart w:id="48" w:name="_Toc360028598"/>
      <w:r w:rsidRPr="00AF18AD">
        <w:t>2.1.3</w:t>
      </w:r>
      <w:r w:rsidRPr="00AF18AD">
        <w:tab/>
      </w:r>
      <w:r w:rsidR="00C8573B" w:rsidRPr="00AF18AD">
        <w:t xml:space="preserve">Production of </w:t>
      </w:r>
      <w:r w:rsidR="00E3403B">
        <w:t>quillaia</w:t>
      </w:r>
      <w:r w:rsidR="00C8573B" w:rsidRPr="00AF18AD">
        <w:t xml:space="preserve"> extract</w:t>
      </w:r>
      <w:bookmarkEnd w:id="48"/>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 xml:space="preserve">The traditional method of obtaining </w:t>
      </w:r>
      <w:r w:rsidR="00E3403B">
        <w:rPr>
          <w:lang w:val="en-AU" w:eastAsia="en-AU"/>
        </w:rPr>
        <w:t>quillaia</w:t>
      </w:r>
      <w:r w:rsidRPr="00A632CC">
        <w:rPr>
          <w:lang w:val="en-AU" w:eastAsia="en-AU"/>
        </w:rPr>
        <w:t xml:space="preserve"> extract involves removing the outer part of the bark of the </w:t>
      </w:r>
      <w:r w:rsidR="00E3403B">
        <w:rPr>
          <w:i/>
          <w:lang w:val="en-AU" w:eastAsia="en-AU"/>
        </w:rPr>
        <w:t>Quillaia</w:t>
      </w:r>
      <w:r w:rsidRPr="00A632CC">
        <w:rPr>
          <w:i/>
          <w:lang w:val="en-AU" w:eastAsia="en-AU"/>
        </w:rPr>
        <w:t xml:space="preserve"> saponaria </w:t>
      </w:r>
      <w:r w:rsidRPr="00A632CC">
        <w:rPr>
          <w:lang w:val="en-AU" w:eastAsia="en-AU"/>
        </w:rPr>
        <w:t xml:space="preserve">Molina tree, then treating the remaining bark with hot water. This yields an extract with about 20% saponins (JECFA 2005). </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 xml:space="preserve">Commercial manufacture of </w:t>
      </w:r>
      <w:r w:rsidR="00E3403B">
        <w:rPr>
          <w:lang w:val="en-AU" w:eastAsia="en-AU"/>
        </w:rPr>
        <w:t>quillaia</w:t>
      </w:r>
      <w:r w:rsidRPr="00A632CC">
        <w:rPr>
          <w:lang w:val="en-AU" w:eastAsia="en-AU"/>
        </w:rPr>
        <w:t xml:space="preserve"> extract now usually involves milling the wood with its bark to yield an extract of similar quality to that obtained from bark alone. Following aqueous extraction, the crude extract is clarified and its pH adjusted. I</w:t>
      </w:r>
      <w:r w:rsidR="00DF0C7C">
        <w:rPr>
          <w:lang w:val="en-AU" w:eastAsia="en-AU"/>
        </w:rPr>
        <w:t>t is then filtered to give the t</w:t>
      </w:r>
      <w:r w:rsidRPr="00A632CC">
        <w:rPr>
          <w:lang w:val="en-AU" w:eastAsia="en-AU"/>
        </w:rPr>
        <w:t xml:space="preserve">ype </w:t>
      </w:r>
      <w:r w:rsidRPr="00A632CC">
        <w:rPr>
          <w:lang w:val="en-AU" w:eastAsia="en-AU"/>
        </w:rPr>
        <w:lastRenderedPageBreak/>
        <w:t>1 extract. Type 2 extract is then obtained by chromatographic separa</w:t>
      </w:r>
      <w:r w:rsidR="00DF0C7C">
        <w:rPr>
          <w:lang w:val="en-AU" w:eastAsia="en-AU"/>
        </w:rPr>
        <w:t>tion or ultrafiltration of the t</w:t>
      </w:r>
      <w:r w:rsidRPr="00A632CC">
        <w:rPr>
          <w:lang w:val="en-AU" w:eastAsia="en-AU"/>
        </w:rPr>
        <w:t>ype 1 extract. The final product is then pasteurised and packaged.</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 xml:space="preserve">JECFA (2005) notes that </w:t>
      </w:r>
      <w:r w:rsidR="00E3403B">
        <w:rPr>
          <w:lang w:val="en-AU" w:eastAsia="en-AU"/>
        </w:rPr>
        <w:t>quillaia</w:t>
      </w:r>
      <w:r w:rsidRPr="00A632CC">
        <w:rPr>
          <w:lang w:val="en-AU" w:eastAsia="en-AU"/>
        </w:rPr>
        <w:t xml:space="preserve"> extract is often standardised with carriers such as lactose, maltodextrin or maltitol.</w:t>
      </w:r>
    </w:p>
    <w:p w:rsidR="00C8573B" w:rsidRPr="00A632CC" w:rsidRDefault="00C8573B" w:rsidP="00C8573B">
      <w:pPr>
        <w:rPr>
          <w:lang w:val="en-AU" w:eastAsia="en-AU"/>
        </w:rPr>
      </w:pPr>
    </w:p>
    <w:p w:rsidR="00C8573B" w:rsidRPr="00AF18AD" w:rsidRDefault="00031188" w:rsidP="00D33053">
      <w:pPr>
        <w:pStyle w:val="Heading3"/>
      </w:pPr>
      <w:bookmarkStart w:id="49" w:name="_Toc360028599"/>
      <w:r w:rsidRPr="00AF18AD">
        <w:t>2.1.4</w:t>
      </w:r>
      <w:r w:rsidRPr="00AF18AD">
        <w:tab/>
      </w:r>
      <w:r w:rsidR="00C8573B" w:rsidRPr="00AF18AD">
        <w:t>Specifications</w:t>
      </w:r>
      <w:bookmarkEnd w:id="49"/>
    </w:p>
    <w:p w:rsidR="00C8573B" w:rsidRPr="00A632CC" w:rsidRDefault="00C8573B" w:rsidP="00C8573B">
      <w:pPr>
        <w:rPr>
          <w:lang w:val="en-AU" w:eastAsia="en-AU"/>
        </w:rPr>
      </w:pPr>
    </w:p>
    <w:p w:rsidR="00C8573B" w:rsidRPr="00A632CC" w:rsidRDefault="00C8573B" w:rsidP="00C8573B">
      <w:pPr>
        <w:rPr>
          <w:rFonts w:cs="Arial"/>
          <w:lang w:val="en-AU"/>
        </w:rPr>
      </w:pPr>
      <w:r w:rsidRPr="00A632CC">
        <w:rPr>
          <w:lang w:val="en-AU" w:eastAsia="en-AU"/>
        </w:rPr>
        <w:t>The Applicant</w:t>
      </w:r>
      <w:r>
        <w:rPr>
          <w:lang w:val="en-AU" w:eastAsia="en-AU"/>
        </w:rPr>
        <w:t xml:space="preserve">’s </w:t>
      </w:r>
      <w:r w:rsidR="00E3403B">
        <w:rPr>
          <w:lang w:val="en-AU" w:eastAsia="en-AU"/>
        </w:rPr>
        <w:t>quillaia</w:t>
      </w:r>
      <w:r>
        <w:rPr>
          <w:lang w:val="en-AU" w:eastAsia="en-AU"/>
        </w:rPr>
        <w:t xml:space="preserve"> extract product meets the</w:t>
      </w:r>
      <w:r w:rsidRPr="00A632CC">
        <w:rPr>
          <w:lang w:val="en-AU" w:eastAsia="en-AU"/>
        </w:rPr>
        <w:t xml:space="preserve"> JECFA specification for </w:t>
      </w:r>
      <w:r w:rsidR="00E3403B">
        <w:rPr>
          <w:lang w:val="en-AU" w:eastAsia="en-AU"/>
        </w:rPr>
        <w:t>quillaia</w:t>
      </w:r>
      <w:r w:rsidRPr="00A632CC">
        <w:rPr>
          <w:lang w:val="en-AU" w:eastAsia="en-AU"/>
        </w:rPr>
        <w:t xml:space="preserve"> extract</w:t>
      </w:r>
      <w:r>
        <w:rPr>
          <w:lang w:val="en-AU" w:eastAsia="en-AU"/>
        </w:rPr>
        <w:t xml:space="preserve"> (JECFA 2005)</w:t>
      </w:r>
      <w:r w:rsidRPr="00A632CC">
        <w:rPr>
          <w:lang w:val="en-AU" w:eastAsia="en-AU"/>
        </w:rPr>
        <w:t xml:space="preserve">. JECFA specifications are listed as a </w:t>
      </w:r>
      <w:r w:rsidRPr="00A632CC">
        <w:rPr>
          <w:rFonts w:cs="Arial"/>
          <w:lang w:val="en-AU"/>
        </w:rPr>
        <w:t>primary source in</w:t>
      </w:r>
      <w:r>
        <w:rPr>
          <w:rFonts w:cs="Arial"/>
          <w:lang w:val="en-AU"/>
        </w:rPr>
        <w:t xml:space="preserve"> the Code in</w:t>
      </w:r>
      <w:r w:rsidRPr="00A632CC">
        <w:rPr>
          <w:rFonts w:cs="Arial"/>
          <w:lang w:val="en-AU"/>
        </w:rPr>
        <w:t xml:space="preserve"> clause 2 of Standard 1.3.4 – Identity and Purity, so no separate specifications for </w:t>
      </w:r>
      <w:r w:rsidR="00E3403B">
        <w:rPr>
          <w:rFonts w:cs="Arial"/>
          <w:lang w:val="en-AU"/>
        </w:rPr>
        <w:t>quillaia</w:t>
      </w:r>
      <w:r w:rsidRPr="00A632CC">
        <w:rPr>
          <w:rFonts w:cs="Arial"/>
          <w:lang w:val="en-AU"/>
        </w:rPr>
        <w:t xml:space="preserve"> extracts </w:t>
      </w:r>
      <w:r>
        <w:rPr>
          <w:rFonts w:cs="Arial"/>
          <w:lang w:val="en-AU"/>
        </w:rPr>
        <w:t>is required in the Code</w:t>
      </w:r>
      <w:r w:rsidRPr="00A632CC">
        <w:rPr>
          <w:rFonts w:cs="Arial"/>
          <w:lang w:val="en-AU"/>
        </w:rPr>
        <w:t xml:space="preserve">. </w:t>
      </w:r>
      <w:r w:rsidRPr="00A632CC">
        <w:rPr>
          <w:rFonts w:cs="Arial"/>
          <w:color w:val="000000"/>
          <w:lang w:val="en-AU" w:eastAsia="en-AU"/>
        </w:rPr>
        <w:t xml:space="preserve">The specification for </w:t>
      </w:r>
      <w:r w:rsidR="00E3403B">
        <w:rPr>
          <w:rFonts w:cs="Arial"/>
          <w:color w:val="000000"/>
          <w:lang w:val="en-AU" w:eastAsia="en-AU"/>
        </w:rPr>
        <w:t>quillaia</w:t>
      </w:r>
      <w:r w:rsidRPr="00A632CC">
        <w:rPr>
          <w:rFonts w:cs="Arial"/>
          <w:color w:val="000000"/>
          <w:lang w:val="en-AU" w:eastAsia="en-AU"/>
        </w:rPr>
        <w:t xml:space="preserve"> extract type 2 requires the </w:t>
      </w:r>
      <w:r w:rsidR="00E3403B">
        <w:rPr>
          <w:rFonts w:cs="Arial"/>
          <w:color w:val="000000"/>
          <w:lang w:val="en-AU" w:eastAsia="en-AU"/>
        </w:rPr>
        <w:t>quillaia</w:t>
      </w:r>
      <w:r w:rsidRPr="00A632CC">
        <w:rPr>
          <w:rFonts w:cs="Arial"/>
          <w:color w:val="000000"/>
          <w:lang w:val="en-AU" w:eastAsia="en-AU"/>
        </w:rPr>
        <w:t xml:space="preserve"> saponins content to be betw</w:t>
      </w:r>
      <w:r w:rsidRPr="00A632CC">
        <w:rPr>
          <w:color w:val="000000"/>
          <w:lang w:val="en-AU" w:eastAsia="en-AU"/>
        </w:rPr>
        <w:t xml:space="preserve">een 65 and 90% on a dry basis, whereas for type 1 extract </w:t>
      </w:r>
      <w:r w:rsidR="00231A7B">
        <w:rPr>
          <w:color w:val="000000"/>
          <w:lang w:val="en-AU" w:eastAsia="en-AU"/>
        </w:rPr>
        <w:t xml:space="preserve">the </w:t>
      </w:r>
      <w:r w:rsidR="00883944">
        <w:rPr>
          <w:color w:val="000000"/>
          <w:lang w:val="en-AU" w:eastAsia="en-AU"/>
        </w:rPr>
        <w:t xml:space="preserve">specified </w:t>
      </w:r>
      <w:r w:rsidR="00231A7B">
        <w:rPr>
          <w:color w:val="000000"/>
          <w:lang w:val="en-AU" w:eastAsia="en-AU"/>
        </w:rPr>
        <w:t>range is</w:t>
      </w:r>
      <w:r w:rsidRPr="00A632CC">
        <w:rPr>
          <w:color w:val="000000"/>
          <w:lang w:val="en-AU" w:eastAsia="en-AU"/>
        </w:rPr>
        <w:t xml:space="preserve"> 20 to 26 %.</w:t>
      </w:r>
    </w:p>
    <w:p w:rsidR="00C8573B" w:rsidRPr="00A632CC" w:rsidRDefault="00C8573B" w:rsidP="00C8573B">
      <w:pPr>
        <w:rPr>
          <w:rFonts w:cs="Arial"/>
          <w:lang w:val="en-AU"/>
        </w:rPr>
      </w:pPr>
    </w:p>
    <w:p w:rsidR="00C8573B" w:rsidRPr="00AF18AD" w:rsidRDefault="00031188" w:rsidP="00D33053">
      <w:pPr>
        <w:pStyle w:val="Heading3"/>
      </w:pPr>
      <w:bookmarkStart w:id="50" w:name="_Toc360028600"/>
      <w:r w:rsidRPr="00AF18AD">
        <w:t>2.1.5</w:t>
      </w:r>
      <w:r w:rsidRPr="00AF18AD">
        <w:tab/>
      </w:r>
      <w:r w:rsidR="00C8573B" w:rsidRPr="00AF18AD">
        <w:t>Methods of analysis in foods</w:t>
      </w:r>
      <w:bookmarkEnd w:id="50"/>
    </w:p>
    <w:p w:rsidR="00C8573B" w:rsidRPr="00A632CC" w:rsidRDefault="00C8573B" w:rsidP="00C8573B">
      <w:pPr>
        <w:rPr>
          <w:lang w:val="en-AU" w:eastAsia="en-AU"/>
        </w:rPr>
      </w:pPr>
    </w:p>
    <w:p w:rsidR="00C8573B" w:rsidRDefault="00C8573B" w:rsidP="00C8573B">
      <w:pPr>
        <w:rPr>
          <w:lang w:val="en-AU"/>
        </w:rPr>
      </w:pPr>
      <w:r w:rsidRPr="00A632CC">
        <w:rPr>
          <w:lang w:val="en-AU" w:eastAsia="en-AU"/>
        </w:rPr>
        <w:t xml:space="preserve">The Applicant cited </w:t>
      </w:r>
      <w:r w:rsidRPr="00A632CC">
        <w:rPr>
          <w:lang w:val="en-AU"/>
        </w:rPr>
        <w:t xml:space="preserve">the reversed phase HPLC method </w:t>
      </w:r>
      <w:r w:rsidR="000A2CE1">
        <w:rPr>
          <w:lang w:val="en-AU"/>
        </w:rPr>
        <w:t xml:space="preserve">as detailed </w:t>
      </w:r>
      <w:r w:rsidR="000A2CE1" w:rsidRPr="00A632CC">
        <w:rPr>
          <w:lang w:val="en-AU"/>
        </w:rPr>
        <w:t>in</w:t>
      </w:r>
      <w:r w:rsidRPr="00A632CC">
        <w:rPr>
          <w:lang w:val="en-AU"/>
        </w:rPr>
        <w:t xml:space="preserve"> the JECFA specification as a suitable method for detecting and quantifying the amount of </w:t>
      </w:r>
      <w:r w:rsidR="00E3403B">
        <w:rPr>
          <w:lang w:val="en-AU"/>
        </w:rPr>
        <w:t>quillaia</w:t>
      </w:r>
      <w:r w:rsidRPr="00A632CC">
        <w:rPr>
          <w:lang w:val="en-AU"/>
        </w:rPr>
        <w:t xml:space="preserve"> saponins in food</w:t>
      </w:r>
      <w:r>
        <w:rPr>
          <w:lang w:val="en-AU"/>
        </w:rPr>
        <w:t>, with amendments to improve sensitivity</w:t>
      </w:r>
      <w:r w:rsidRPr="00A632CC">
        <w:rPr>
          <w:lang w:val="en-AU"/>
        </w:rPr>
        <w:t xml:space="preserve">. </w:t>
      </w:r>
      <w:r>
        <w:rPr>
          <w:lang w:val="en-AU"/>
        </w:rPr>
        <w:t xml:space="preserve">FSANZ considers the updated method is sufficient for purposes of monitoring the level of </w:t>
      </w:r>
      <w:r w:rsidR="00E3403B">
        <w:rPr>
          <w:lang w:val="en-AU"/>
        </w:rPr>
        <w:t>quillaia</w:t>
      </w:r>
      <w:r>
        <w:rPr>
          <w:lang w:val="en-AU"/>
        </w:rPr>
        <w:t xml:space="preserve"> saponins in beverages.</w:t>
      </w:r>
    </w:p>
    <w:p w:rsidR="00C8573B" w:rsidRDefault="00C8573B" w:rsidP="00C8573B"/>
    <w:p w:rsidR="00C8573B" w:rsidRPr="00BE355C" w:rsidRDefault="00C8573B" w:rsidP="00BE355C">
      <w:pPr>
        <w:rPr>
          <w:lang w:val="en-AU"/>
        </w:rPr>
      </w:pPr>
      <w:r>
        <w:rPr>
          <w:lang w:val="en-AU"/>
        </w:rPr>
        <w:t>Furthermore, FSANZ notes that</w:t>
      </w:r>
      <w:r w:rsidR="009A6765">
        <w:rPr>
          <w:lang w:val="en-AU"/>
        </w:rPr>
        <w:t xml:space="preserve"> t</w:t>
      </w:r>
      <w:r w:rsidRPr="009A6765">
        <w:rPr>
          <w:lang w:val="en-AU"/>
        </w:rPr>
        <w:t xml:space="preserve">he quantity of saponins required to achieve the intended technological purpose (emulsification of oil-soluble substances) is in the range 2.6 to 39 mg/L, which </w:t>
      </w:r>
      <w:r w:rsidRPr="00BE355C">
        <w:rPr>
          <w:lang w:val="en-AU"/>
        </w:rPr>
        <w:t xml:space="preserve">is in the range of proposed maximum permitted levels (MPLs) of 30 to </w:t>
      </w:r>
      <w:r w:rsidR="00C046D7" w:rsidRPr="00BE355C">
        <w:rPr>
          <w:lang w:val="en-AU"/>
        </w:rPr>
        <w:t>4</w:t>
      </w:r>
      <w:r w:rsidRPr="00BE355C">
        <w:rPr>
          <w:lang w:val="en-AU"/>
        </w:rPr>
        <w:t>0 mg/L in various beverages.</w:t>
      </w:r>
    </w:p>
    <w:p w:rsidR="00C8573B" w:rsidRPr="00315D9F" w:rsidRDefault="00C8573B" w:rsidP="00C8573B">
      <w:pPr>
        <w:rPr>
          <w:lang w:val="en-AU" w:eastAsia="en-AU"/>
        </w:rPr>
      </w:pPr>
    </w:p>
    <w:p w:rsidR="00C8573B" w:rsidRPr="00AF18AD" w:rsidRDefault="00D92E44" w:rsidP="00D33053">
      <w:pPr>
        <w:pStyle w:val="Heading2"/>
      </w:pPr>
      <w:bookmarkStart w:id="51" w:name="_Toc360028601"/>
      <w:r w:rsidRPr="00AF18AD">
        <w:t>2.2</w:t>
      </w:r>
      <w:r w:rsidRPr="00AF18AD">
        <w:tab/>
      </w:r>
      <w:r w:rsidR="00C8573B" w:rsidRPr="00AF18AD">
        <w:t xml:space="preserve">Technological function of </w:t>
      </w:r>
      <w:r w:rsidR="00E3403B">
        <w:t>quillaia</w:t>
      </w:r>
      <w:r w:rsidR="00C8573B" w:rsidRPr="00AF18AD">
        <w:t xml:space="preserve"> extract</w:t>
      </w:r>
      <w:bookmarkEnd w:id="51"/>
    </w:p>
    <w:p w:rsidR="00C8573B" w:rsidRPr="00315D9F" w:rsidRDefault="00C8573B" w:rsidP="00C8573B">
      <w:pPr>
        <w:rPr>
          <w:lang w:val="en-AU" w:eastAsia="en-AU"/>
        </w:rPr>
      </w:pPr>
    </w:p>
    <w:p w:rsidR="00C8573B" w:rsidRPr="00315D9F" w:rsidRDefault="00C8573B" w:rsidP="00C8573B">
      <w:pPr>
        <w:rPr>
          <w:rFonts w:cs="Arial"/>
          <w:iCs/>
          <w:lang w:val="en-AU"/>
        </w:rPr>
      </w:pPr>
      <w:r w:rsidRPr="00315D9F">
        <w:rPr>
          <w:lang w:val="en-AU" w:eastAsia="en-AU"/>
        </w:rPr>
        <w:t xml:space="preserve">The Applicant seeks approval </w:t>
      </w:r>
      <w:r w:rsidRPr="00315D9F">
        <w:rPr>
          <w:rFonts w:cs="Arial"/>
          <w:iCs/>
          <w:lang w:val="en-AU"/>
        </w:rPr>
        <w:t xml:space="preserve">to use </w:t>
      </w:r>
      <w:r w:rsidR="00E3403B">
        <w:rPr>
          <w:rFonts w:cs="Arial"/>
          <w:iCs/>
          <w:lang w:val="en-AU"/>
        </w:rPr>
        <w:t>quillaia</w:t>
      </w:r>
      <w:r w:rsidRPr="00315D9F">
        <w:rPr>
          <w:rFonts w:cs="Arial"/>
          <w:iCs/>
          <w:lang w:val="en-AU"/>
        </w:rPr>
        <w:t xml:space="preserve"> extract </w:t>
      </w:r>
      <w:r>
        <w:rPr>
          <w:rFonts w:cs="Arial"/>
          <w:iCs/>
          <w:lang w:val="en-AU"/>
        </w:rPr>
        <w:t xml:space="preserve">type 2 </w:t>
      </w:r>
      <w:r w:rsidRPr="00315D9F">
        <w:rPr>
          <w:rFonts w:cs="Arial"/>
          <w:iCs/>
          <w:lang w:val="en-AU"/>
        </w:rPr>
        <w:t>as an emulsifier in a range of beverages. The Applicant</w:t>
      </w:r>
      <w:r>
        <w:rPr>
          <w:rFonts w:cs="Arial"/>
          <w:iCs/>
          <w:lang w:val="en-AU"/>
        </w:rPr>
        <w:t xml:space="preserve"> </w:t>
      </w:r>
      <w:r w:rsidRPr="00315D9F">
        <w:rPr>
          <w:rFonts w:cs="Arial"/>
          <w:iCs/>
          <w:lang w:val="en-AU"/>
        </w:rPr>
        <w:t xml:space="preserve">intends to market the type 2 extract in Australia and New Zealand and has provided a study investigating the ability of this </w:t>
      </w:r>
      <w:r>
        <w:rPr>
          <w:rFonts w:cs="Arial"/>
          <w:iCs/>
          <w:lang w:val="en-AU"/>
        </w:rPr>
        <w:t>extract</w:t>
      </w:r>
      <w:r w:rsidRPr="00315D9F">
        <w:rPr>
          <w:rFonts w:cs="Arial"/>
          <w:iCs/>
          <w:lang w:val="en-AU"/>
        </w:rPr>
        <w:t xml:space="preserve"> to form high oil load emulsions </w:t>
      </w:r>
      <w:r w:rsidR="0072770F">
        <w:rPr>
          <w:rFonts w:cs="Arial"/>
          <w:iCs/>
          <w:lang w:val="en-AU"/>
        </w:rPr>
        <w:t>(</w:t>
      </w:r>
      <w:r w:rsidRPr="00315D9F">
        <w:rPr>
          <w:rFonts w:cs="Arial"/>
          <w:iCs/>
          <w:lang w:val="en-AU"/>
        </w:rPr>
        <w:t>see Appendix A of the Application</w:t>
      </w:r>
      <w:r w:rsidR="0072770F">
        <w:rPr>
          <w:rFonts w:cs="Arial"/>
          <w:iCs/>
          <w:lang w:val="en-AU"/>
        </w:rPr>
        <w:t>)</w:t>
      </w:r>
      <w:r w:rsidRPr="00315D9F">
        <w:rPr>
          <w:rFonts w:cs="Arial"/>
          <w:iCs/>
          <w:lang w:val="en-AU"/>
        </w:rPr>
        <w:t>.</w:t>
      </w:r>
    </w:p>
    <w:p w:rsidR="00C8573B" w:rsidRPr="00315D9F" w:rsidRDefault="00C8573B" w:rsidP="00C8573B">
      <w:pPr>
        <w:rPr>
          <w:rFonts w:cs="Arial"/>
          <w:iCs/>
          <w:lang w:val="en-AU"/>
        </w:rPr>
      </w:pPr>
    </w:p>
    <w:p w:rsidR="00C8573B" w:rsidRPr="00315D9F" w:rsidRDefault="00D449F6" w:rsidP="00C8573B">
      <w:pPr>
        <w:rPr>
          <w:rFonts w:cs="Arial"/>
          <w:iCs/>
          <w:lang w:val="en-AU"/>
        </w:rPr>
      </w:pPr>
      <w:r>
        <w:rPr>
          <w:rFonts w:cs="Arial"/>
          <w:iCs/>
          <w:lang w:val="en-AU"/>
        </w:rPr>
        <w:t>T</w:t>
      </w:r>
      <w:r w:rsidR="00C8573B" w:rsidRPr="00315D9F">
        <w:rPr>
          <w:rFonts w:cs="Arial"/>
          <w:iCs/>
          <w:lang w:val="en-AU"/>
        </w:rPr>
        <w:t xml:space="preserve">he Applicant prepared 50% oil emulsions with different emulsifiers, namely gum arabic (20%), modified starch (20%) or </w:t>
      </w:r>
      <w:r w:rsidR="00E3403B">
        <w:rPr>
          <w:rFonts w:cs="Arial"/>
          <w:iCs/>
          <w:lang w:val="en-AU"/>
        </w:rPr>
        <w:t>quillaia</w:t>
      </w:r>
      <w:r w:rsidR="00C8573B" w:rsidRPr="00315D9F">
        <w:rPr>
          <w:rFonts w:cs="Arial"/>
          <w:iCs/>
          <w:lang w:val="en-AU"/>
        </w:rPr>
        <w:t xml:space="preserve"> extract type 2 (10%). </w:t>
      </w:r>
      <w:r w:rsidR="00962C7A">
        <w:rPr>
          <w:rFonts w:cs="Arial"/>
          <w:iCs/>
          <w:lang w:val="en-AU"/>
        </w:rPr>
        <w:t>Part</w:t>
      </w:r>
      <w:r w:rsidR="00C8573B" w:rsidRPr="00315D9F">
        <w:rPr>
          <w:rFonts w:cs="Arial"/>
          <w:iCs/>
          <w:lang w:val="en-AU"/>
        </w:rPr>
        <w:t xml:space="preserve"> of the emulsion </w:t>
      </w:r>
      <w:r w:rsidR="00962C7A">
        <w:rPr>
          <w:rFonts w:cs="Arial"/>
          <w:iCs/>
          <w:lang w:val="en-AU"/>
        </w:rPr>
        <w:t xml:space="preserve">was stored </w:t>
      </w:r>
      <w:r w:rsidR="00C8573B" w:rsidRPr="00315D9F">
        <w:rPr>
          <w:rFonts w:cs="Arial"/>
          <w:iCs/>
          <w:lang w:val="en-AU"/>
        </w:rPr>
        <w:t xml:space="preserve">to check for stability, </w:t>
      </w:r>
      <w:r w:rsidRPr="00315D9F">
        <w:rPr>
          <w:rFonts w:cs="Arial"/>
          <w:iCs/>
          <w:lang w:val="en-AU"/>
        </w:rPr>
        <w:t>and the</w:t>
      </w:r>
      <w:r w:rsidR="00C8573B" w:rsidRPr="00315D9F">
        <w:rPr>
          <w:rFonts w:cs="Arial"/>
          <w:iCs/>
          <w:lang w:val="en-AU"/>
        </w:rPr>
        <w:t xml:space="preserve"> other</w:t>
      </w:r>
      <w:r w:rsidR="00962C7A">
        <w:rPr>
          <w:rFonts w:cs="Arial"/>
          <w:iCs/>
          <w:lang w:val="en-AU"/>
        </w:rPr>
        <w:t xml:space="preserve"> was used</w:t>
      </w:r>
      <w:r w:rsidR="00C8573B" w:rsidRPr="00315D9F">
        <w:rPr>
          <w:rFonts w:cs="Arial"/>
          <w:iCs/>
          <w:lang w:val="en-AU"/>
        </w:rPr>
        <w:t xml:space="preserve"> in a beverage. The</w:t>
      </w:r>
      <w:r w:rsidR="00962C7A">
        <w:rPr>
          <w:rFonts w:cs="Arial"/>
          <w:iCs/>
          <w:lang w:val="en-AU"/>
        </w:rPr>
        <w:t xml:space="preserve"> study</w:t>
      </w:r>
      <w:r w:rsidR="00C8573B" w:rsidRPr="00315D9F">
        <w:rPr>
          <w:rFonts w:cs="Arial"/>
          <w:iCs/>
          <w:lang w:val="en-AU"/>
        </w:rPr>
        <w:t xml:space="preserve"> reported that emulsions prepared with gum arabic or modified starch were paste-like and did not flow, and had an oil layer at the top after six months in storage. The beverages prepared using these emulsifiers developed a “ring” after 1 month in storage. The </w:t>
      </w:r>
      <w:r w:rsidR="00E3403B">
        <w:rPr>
          <w:rFonts w:cs="Arial"/>
          <w:iCs/>
          <w:lang w:val="en-AU"/>
        </w:rPr>
        <w:t>quillaia</w:t>
      </w:r>
      <w:r w:rsidR="00C8573B" w:rsidRPr="00315D9F">
        <w:rPr>
          <w:rFonts w:cs="Arial"/>
          <w:iCs/>
          <w:lang w:val="en-AU"/>
        </w:rPr>
        <w:t xml:space="preserve"> extract emulsion flowed and was stable after six months in storage. The beverage prepared using the </w:t>
      </w:r>
      <w:r w:rsidR="00E3403B">
        <w:rPr>
          <w:rFonts w:cs="Arial"/>
          <w:iCs/>
          <w:lang w:val="en-AU"/>
        </w:rPr>
        <w:t>quillaia</w:t>
      </w:r>
      <w:r w:rsidR="00C8573B" w:rsidRPr="00315D9F">
        <w:rPr>
          <w:rFonts w:cs="Arial"/>
          <w:iCs/>
          <w:lang w:val="en-AU"/>
        </w:rPr>
        <w:t xml:space="preserve"> emulsion did not form any rings and remained stable after six months in storage. The Applicant also reports that beverages prepared using </w:t>
      </w:r>
      <w:r w:rsidR="00E3403B">
        <w:rPr>
          <w:rFonts w:cs="Arial"/>
          <w:iCs/>
          <w:lang w:val="en-AU"/>
        </w:rPr>
        <w:t>quillaia</w:t>
      </w:r>
      <w:r w:rsidR="00C8573B" w:rsidRPr="00315D9F">
        <w:rPr>
          <w:rFonts w:cs="Arial"/>
          <w:iCs/>
          <w:lang w:val="en-AU"/>
        </w:rPr>
        <w:t xml:space="preserve"> extract as an emulsifier were clear compared with those using modified starch.</w:t>
      </w:r>
    </w:p>
    <w:p w:rsidR="00C8573B" w:rsidRPr="00315D9F" w:rsidRDefault="00C8573B" w:rsidP="00C8573B">
      <w:pPr>
        <w:rPr>
          <w:rFonts w:cs="Arial"/>
          <w:iCs/>
          <w:lang w:val="en-AU"/>
        </w:rPr>
      </w:pPr>
    </w:p>
    <w:p w:rsidR="00C8573B" w:rsidRPr="00315D9F" w:rsidRDefault="00C8573B" w:rsidP="00C8573B">
      <w:pPr>
        <w:rPr>
          <w:highlight w:val="yellow"/>
          <w:lang w:val="en-AU"/>
        </w:rPr>
      </w:pPr>
      <w:r w:rsidRPr="00315D9F">
        <w:rPr>
          <w:rFonts w:cs="Arial"/>
          <w:iCs/>
          <w:lang w:val="en-AU"/>
        </w:rPr>
        <w:t xml:space="preserve">FSANZ considers the observations reported in the studies are consistent with the known properties of </w:t>
      </w:r>
      <w:r w:rsidR="00E3403B">
        <w:rPr>
          <w:rFonts w:cs="Arial"/>
          <w:iCs/>
          <w:lang w:val="en-AU"/>
        </w:rPr>
        <w:t>quillaia</w:t>
      </w:r>
      <w:r w:rsidRPr="00315D9F">
        <w:rPr>
          <w:rFonts w:cs="Arial"/>
          <w:iCs/>
          <w:lang w:val="en-AU"/>
        </w:rPr>
        <w:t xml:space="preserve"> saponins.</w:t>
      </w:r>
    </w:p>
    <w:p w:rsidR="001D4281" w:rsidRDefault="001D4281" w:rsidP="00C8573B">
      <w:pPr>
        <w:rPr>
          <w:b/>
          <w:sz w:val="24"/>
          <w:lang w:val="en-AU" w:eastAsia="en-AU"/>
        </w:rPr>
      </w:pPr>
    </w:p>
    <w:p w:rsidR="00C8573B" w:rsidRPr="00315D9F" w:rsidRDefault="003933CB" w:rsidP="00C8573B">
      <w:pPr>
        <w:rPr>
          <w:b/>
          <w:sz w:val="24"/>
          <w:lang w:val="en-AU" w:eastAsia="en-AU"/>
        </w:rPr>
      </w:pPr>
      <w:r>
        <w:rPr>
          <w:b/>
          <w:sz w:val="24"/>
          <w:lang w:val="en-AU" w:eastAsia="en-AU"/>
        </w:rPr>
        <w:t>F</w:t>
      </w:r>
      <w:r w:rsidR="00C8573B" w:rsidRPr="00315D9F">
        <w:rPr>
          <w:b/>
          <w:sz w:val="24"/>
          <w:lang w:val="en-AU" w:eastAsia="en-AU"/>
        </w:rPr>
        <w:t xml:space="preserve">ood </w:t>
      </w:r>
      <w:r>
        <w:rPr>
          <w:b/>
          <w:sz w:val="24"/>
          <w:lang w:val="en-AU" w:eastAsia="en-AU"/>
        </w:rPr>
        <w:t>categories</w:t>
      </w:r>
      <w:r w:rsidR="00C8573B" w:rsidRPr="00315D9F">
        <w:rPr>
          <w:b/>
          <w:sz w:val="24"/>
          <w:lang w:val="en-AU" w:eastAsia="en-AU"/>
        </w:rPr>
        <w:t xml:space="preserve"> in which </w:t>
      </w:r>
      <w:r w:rsidR="00E3403B">
        <w:rPr>
          <w:b/>
          <w:sz w:val="24"/>
          <w:lang w:val="en-AU" w:eastAsia="en-AU"/>
        </w:rPr>
        <w:t>quillaia</w:t>
      </w:r>
      <w:r w:rsidR="00C8573B" w:rsidRPr="00315D9F">
        <w:rPr>
          <w:b/>
          <w:sz w:val="24"/>
          <w:lang w:val="en-AU" w:eastAsia="en-AU"/>
        </w:rPr>
        <w:t xml:space="preserve"> extract is proposed </w:t>
      </w:r>
      <w:r>
        <w:rPr>
          <w:b/>
          <w:sz w:val="24"/>
          <w:lang w:val="en-AU" w:eastAsia="en-AU"/>
        </w:rPr>
        <w:t>for</w:t>
      </w:r>
      <w:r w:rsidR="00C8573B" w:rsidRPr="00315D9F">
        <w:rPr>
          <w:b/>
          <w:sz w:val="24"/>
          <w:lang w:val="en-AU" w:eastAsia="en-AU"/>
        </w:rPr>
        <w:t xml:space="preserve"> use</w:t>
      </w:r>
    </w:p>
    <w:p w:rsidR="00C8573B" w:rsidRPr="00315D9F" w:rsidRDefault="00C8573B" w:rsidP="00C8573B">
      <w:pPr>
        <w:rPr>
          <w:lang w:val="en-AU" w:eastAsia="en-AU"/>
        </w:rPr>
      </w:pPr>
    </w:p>
    <w:p w:rsidR="00382141" w:rsidRDefault="00861464" w:rsidP="00C8573B">
      <w:pPr>
        <w:spacing w:after="120"/>
        <w:rPr>
          <w:rFonts w:cs="Arial"/>
          <w:iCs/>
          <w:lang w:val="en-AU"/>
        </w:rPr>
      </w:pPr>
      <w:r>
        <w:rPr>
          <w:rFonts w:cs="Arial"/>
          <w:iCs/>
          <w:lang w:val="en-AU"/>
        </w:rPr>
        <w:t>W</w:t>
      </w:r>
      <w:r w:rsidR="008E409F" w:rsidRPr="00861464">
        <w:rPr>
          <w:rFonts w:cs="Arial"/>
          <w:iCs/>
          <w:lang w:val="en-AU"/>
        </w:rPr>
        <w:t xml:space="preserve">ith the agreement of the Applicant a revised list of food categories and MPLs </w:t>
      </w:r>
      <w:r w:rsidR="006C012A" w:rsidRPr="00861464">
        <w:rPr>
          <w:rFonts w:cs="Arial"/>
          <w:iCs/>
          <w:lang w:val="en-AU"/>
        </w:rPr>
        <w:t xml:space="preserve">was </w:t>
      </w:r>
      <w:r w:rsidR="008E409F" w:rsidRPr="00861464">
        <w:rPr>
          <w:rFonts w:cs="Arial"/>
          <w:iCs/>
          <w:lang w:val="en-AU"/>
        </w:rPr>
        <w:t xml:space="preserve">used for the Dietary Exposure Assessment as noted below. </w:t>
      </w:r>
    </w:p>
    <w:p w:rsidR="00382141" w:rsidRDefault="00382141">
      <w:pPr>
        <w:widowControl/>
        <w:rPr>
          <w:rFonts w:cs="Arial"/>
          <w:iCs/>
          <w:lang w:val="en-AU"/>
        </w:rPr>
      </w:pPr>
      <w:r>
        <w:rPr>
          <w:rFonts w:cs="Arial"/>
          <w:iCs/>
          <w:lang w:val="en-AU"/>
        </w:rPr>
        <w:br w:type="page"/>
      </w:r>
    </w:p>
    <w:tbl>
      <w:tblPr>
        <w:tblStyle w:val="TableGrid"/>
        <w:tblW w:w="0" w:type="auto"/>
        <w:tblLook w:val="04A0" w:firstRow="1" w:lastRow="0" w:firstColumn="1" w:lastColumn="0" w:noHBand="0" w:noVBand="1"/>
      </w:tblPr>
      <w:tblGrid>
        <w:gridCol w:w="6726"/>
        <w:gridCol w:w="1843"/>
      </w:tblGrid>
      <w:tr w:rsidR="00C8573B" w:rsidRPr="00783BB6" w:rsidTr="004F3EF0">
        <w:tc>
          <w:tcPr>
            <w:tcW w:w="6726" w:type="dxa"/>
          </w:tcPr>
          <w:p w:rsidR="00C8573B" w:rsidRPr="00783BB6" w:rsidRDefault="00C8573B" w:rsidP="004F3EF0">
            <w:pPr>
              <w:rPr>
                <w:rFonts w:ascii="Arial Narrow" w:hAnsi="Arial Narrow" w:cs="Arial"/>
                <w:b/>
                <w:iCs/>
                <w:lang w:val="en-AU"/>
              </w:rPr>
            </w:pPr>
            <w:r w:rsidRPr="00783BB6">
              <w:rPr>
                <w:rFonts w:ascii="Arial Narrow" w:hAnsi="Arial Narrow" w:cs="Arial"/>
                <w:b/>
                <w:iCs/>
                <w:lang w:val="en-AU"/>
              </w:rPr>
              <w:lastRenderedPageBreak/>
              <w:t>Food Category</w:t>
            </w:r>
          </w:p>
        </w:tc>
        <w:tc>
          <w:tcPr>
            <w:tcW w:w="1843" w:type="dxa"/>
          </w:tcPr>
          <w:p w:rsidR="00C8573B" w:rsidRPr="00783BB6" w:rsidRDefault="00C8573B" w:rsidP="004F3EF0">
            <w:pPr>
              <w:jc w:val="center"/>
              <w:rPr>
                <w:rFonts w:ascii="Arial Narrow" w:hAnsi="Arial Narrow" w:cs="Arial"/>
                <w:b/>
                <w:iCs/>
                <w:lang w:val="en-AU"/>
              </w:rPr>
            </w:pPr>
            <w:r w:rsidRPr="00783BB6">
              <w:rPr>
                <w:rFonts w:ascii="Arial Narrow" w:hAnsi="Arial Narrow" w:cs="Arial"/>
                <w:b/>
                <w:iCs/>
                <w:lang w:val="en-AU"/>
              </w:rPr>
              <w:t>Proposed MPL (mg/kg)</w:t>
            </w:r>
            <w:r w:rsidR="009A2C88" w:rsidRPr="009A2C88">
              <w:rPr>
                <w:rFonts w:ascii="Arial Narrow" w:hAnsi="Arial Narrow" w:cs="Arial"/>
                <w:b/>
                <w:iCs/>
                <w:vertAlign w:val="superscript"/>
                <w:lang w:val="en-AU"/>
              </w:rPr>
              <w:t>^</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14.1.1.2</w:t>
            </w:r>
            <w:r w:rsidRPr="00783BB6">
              <w:rPr>
                <w:rFonts w:ascii="Arial Narrow" w:hAnsi="Arial Narrow" w:cs="Arial"/>
                <w:lang w:val="en-AU"/>
              </w:rPr>
              <w:tab/>
              <w:t>Carbonated, mineralised and soda waters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14.1.2.2</w:t>
            </w:r>
            <w:r w:rsidRPr="00783BB6">
              <w:rPr>
                <w:rFonts w:ascii="Arial Narrow" w:hAnsi="Arial Narrow" w:cs="Arial"/>
                <w:lang w:val="en-AU"/>
              </w:rPr>
              <w:tab/>
              <w:t>Fruit and vegetable juice products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14.1.3</w:t>
            </w:r>
            <w:r w:rsidRPr="00783BB6">
              <w:rPr>
                <w:rFonts w:ascii="Arial Narrow" w:hAnsi="Arial Narrow" w:cs="Arial"/>
                <w:lang w:val="en-AU"/>
              </w:rPr>
              <w:tab/>
              <w:t>Water based flavoured drinks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14.1.4</w:t>
            </w:r>
            <w:r w:rsidRPr="00783BB6">
              <w:rPr>
                <w:rFonts w:ascii="Arial Narrow" w:hAnsi="Arial Narrow" w:cs="Arial"/>
                <w:lang w:val="en-AU"/>
              </w:rPr>
              <w:tab/>
              <w:t>Formulated beverages</w:t>
            </w:r>
          </w:p>
        </w:tc>
        <w:tc>
          <w:tcPr>
            <w:tcW w:w="1843" w:type="dxa"/>
          </w:tcPr>
          <w:p w:rsidR="00C8573B" w:rsidRPr="00783BB6" w:rsidRDefault="00823968" w:rsidP="004F3EF0">
            <w:pPr>
              <w:jc w:val="center"/>
              <w:rPr>
                <w:rFonts w:ascii="Arial Narrow" w:hAnsi="Arial Narrow" w:cs="Arial"/>
                <w:iCs/>
                <w:lang w:val="en-AU"/>
              </w:rPr>
            </w:pPr>
            <w:r>
              <w:rPr>
                <w:rFonts w:ascii="Arial Narrow" w:hAnsi="Arial Narrow" w:cs="Arial"/>
                <w:iCs/>
                <w:lang w:val="en-AU"/>
              </w:rPr>
              <w:t>4</w:t>
            </w:r>
            <w:r w:rsidR="00C8573B" w:rsidRPr="00783BB6">
              <w:rPr>
                <w:rFonts w:ascii="Arial Narrow" w:hAnsi="Arial Narrow" w:cs="Arial"/>
                <w:iCs/>
                <w:lang w:val="en-AU"/>
              </w:rPr>
              <w:t>0</w:t>
            </w:r>
          </w:p>
        </w:tc>
      </w:tr>
      <w:tr w:rsidR="00C8573B" w:rsidRPr="00783BB6" w:rsidTr="004F3EF0">
        <w:tc>
          <w:tcPr>
            <w:tcW w:w="6726" w:type="dxa"/>
          </w:tcPr>
          <w:p w:rsidR="00C8573B" w:rsidRPr="00783BB6" w:rsidRDefault="00C8573B" w:rsidP="004F3EF0">
            <w:pPr>
              <w:tabs>
                <w:tab w:val="left" w:pos="993"/>
              </w:tabs>
              <w:ind w:left="993" w:hanging="993"/>
              <w:rPr>
                <w:rFonts w:ascii="Arial Narrow" w:hAnsi="Arial Narrow" w:cs="Arial"/>
                <w:iCs/>
                <w:lang w:val="en-AU"/>
              </w:rPr>
            </w:pPr>
            <w:r w:rsidRPr="00783BB6">
              <w:rPr>
                <w:rFonts w:ascii="Arial Narrow" w:hAnsi="Arial Narrow" w:cs="Arial"/>
                <w:lang w:val="en-AU"/>
              </w:rPr>
              <w:t>14.1.5</w:t>
            </w:r>
            <w:r w:rsidRPr="00783BB6">
              <w:rPr>
                <w:rFonts w:ascii="Arial Narrow" w:hAnsi="Arial Narrow" w:cs="Arial"/>
                <w:lang w:val="en-AU"/>
              </w:rPr>
              <w:tab/>
              <w:t>Coffee, coffee substitutes, tea, herbal infusions and similar products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30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iCs/>
                <w:lang w:val="en-AU"/>
              </w:rPr>
              <w:t>14.2.1</w:t>
            </w:r>
            <w:r w:rsidRPr="00783BB6">
              <w:rPr>
                <w:rFonts w:ascii="Arial Narrow" w:hAnsi="Arial Narrow" w:cs="Arial"/>
                <w:iCs/>
                <w:lang w:val="en-AU"/>
              </w:rPr>
              <w:tab/>
              <w:t>Beer and related products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iCs/>
                <w:lang w:val="en-AU"/>
              </w:rPr>
              <w:t>14.2.5</w:t>
            </w:r>
            <w:r w:rsidRPr="00783BB6">
              <w:rPr>
                <w:rFonts w:ascii="Arial Narrow" w:hAnsi="Arial Narrow" w:cs="Arial"/>
                <w:iCs/>
                <w:lang w:val="en-AU"/>
              </w:rPr>
              <w:tab/>
              <w:t xml:space="preserve">Spirits and liqueurs </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iCs/>
                <w:lang w:val="en-AU"/>
              </w:rPr>
              <w:t>14.3</w:t>
            </w:r>
            <w:r w:rsidRPr="00783BB6">
              <w:rPr>
                <w:rFonts w:ascii="Arial Narrow" w:hAnsi="Arial Narrow" w:cs="Arial"/>
                <w:iCs/>
                <w:lang w:val="en-AU"/>
              </w:rPr>
              <w:tab/>
              <w:t>Alcoholic beverages not included in item 14.2</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bl>
    <w:p w:rsidR="009A2C88" w:rsidRPr="009A2C88" w:rsidRDefault="009A2C88" w:rsidP="00C8573B">
      <w:pPr>
        <w:rPr>
          <w:rFonts w:cs="Arial"/>
          <w:iCs/>
          <w:sz w:val="4"/>
          <w:szCs w:val="4"/>
          <w:lang w:val="en-AU"/>
        </w:rPr>
      </w:pPr>
    </w:p>
    <w:p w:rsidR="00C8573B" w:rsidRPr="009A2C88" w:rsidRDefault="009A2C88" w:rsidP="00C8573B">
      <w:pPr>
        <w:rPr>
          <w:rFonts w:cs="Arial"/>
          <w:iCs/>
          <w:sz w:val="18"/>
          <w:szCs w:val="18"/>
          <w:lang w:val="en-AU"/>
        </w:rPr>
      </w:pPr>
      <w:r w:rsidRPr="005235F0">
        <w:rPr>
          <w:rFonts w:cs="Arial"/>
          <w:iCs/>
          <w:sz w:val="18"/>
          <w:szCs w:val="18"/>
          <w:vertAlign w:val="superscript"/>
          <w:lang w:val="en-AU"/>
        </w:rPr>
        <w:t>^</w:t>
      </w:r>
      <w:r w:rsidRPr="009A2C88">
        <w:rPr>
          <w:rFonts w:cs="Arial"/>
          <w:iCs/>
          <w:sz w:val="18"/>
          <w:szCs w:val="18"/>
          <w:lang w:val="en-AU"/>
        </w:rPr>
        <w:t xml:space="preserve"> MPL</w:t>
      </w:r>
      <w:r w:rsidR="0011582B">
        <w:rPr>
          <w:rFonts w:cs="Arial"/>
          <w:iCs/>
          <w:sz w:val="18"/>
          <w:szCs w:val="18"/>
          <w:lang w:val="en-AU"/>
        </w:rPr>
        <w:t xml:space="preserve"> -</w:t>
      </w:r>
      <w:r w:rsidRPr="009A2C88">
        <w:rPr>
          <w:rFonts w:cs="Arial"/>
          <w:iCs/>
          <w:sz w:val="18"/>
          <w:szCs w:val="18"/>
          <w:lang w:val="en-AU"/>
        </w:rPr>
        <w:t xml:space="preserve"> Maximum Permitted Level</w:t>
      </w:r>
      <w:r w:rsidR="00FF6CED">
        <w:rPr>
          <w:rFonts w:cs="Arial"/>
          <w:iCs/>
          <w:sz w:val="18"/>
          <w:szCs w:val="18"/>
          <w:lang w:val="en-AU"/>
        </w:rPr>
        <w:t>, expressed as saponins</w:t>
      </w:r>
    </w:p>
    <w:p w:rsidR="009A2C88" w:rsidRDefault="009A2C88" w:rsidP="00C8573B">
      <w:pPr>
        <w:rPr>
          <w:rFonts w:cs="Arial"/>
          <w:iCs/>
          <w:lang w:val="en-AU"/>
        </w:rPr>
      </w:pPr>
    </w:p>
    <w:p w:rsidR="00BE1A71" w:rsidRDefault="00C8573B" w:rsidP="00C8573B">
      <w:pPr>
        <w:rPr>
          <w:rFonts w:cs="Arial"/>
          <w:iCs/>
          <w:lang w:val="en-AU"/>
        </w:rPr>
      </w:pPr>
      <w:r w:rsidRPr="00197925">
        <w:rPr>
          <w:rFonts w:cs="Arial"/>
          <w:iCs/>
          <w:lang w:val="en-AU"/>
        </w:rPr>
        <w:t xml:space="preserve">FSANZ considers </w:t>
      </w:r>
      <w:r w:rsidR="00E3403B">
        <w:rPr>
          <w:rFonts w:cs="Arial"/>
          <w:iCs/>
          <w:lang w:val="en-AU"/>
        </w:rPr>
        <w:t>quillaia</w:t>
      </w:r>
      <w:r w:rsidRPr="00197925">
        <w:rPr>
          <w:rFonts w:cs="Arial"/>
          <w:iCs/>
          <w:lang w:val="en-AU"/>
        </w:rPr>
        <w:t xml:space="preserve"> extract</w:t>
      </w:r>
      <w:r w:rsidR="005604ED">
        <w:rPr>
          <w:rFonts w:cs="Arial"/>
          <w:iCs/>
          <w:lang w:val="en-AU"/>
        </w:rPr>
        <w:t>s</w:t>
      </w:r>
      <w:r w:rsidRPr="00197925">
        <w:rPr>
          <w:rFonts w:cs="Arial"/>
          <w:iCs/>
          <w:lang w:val="en-AU"/>
        </w:rPr>
        <w:t xml:space="preserve"> (both type 1 and type 2) fulfil a legitimate technological function when used in all of the food categories listed in </w:t>
      </w:r>
      <w:r w:rsidR="005D674F">
        <w:rPr>
          <w:rFonts w:cs="Arial"/>
          <w:iCs/>
          <w:lang w:val="en-AU"/>
        </w:rPr>
        <w:t xml:space="preserve">the Table above. </w:t>
      </w:r>
    </w:p>
    <w:p w:rsidR="00BE1A71" w:rsidRDefault="00BE1A71" w:rsidP="00C8573B">
      <w:pPr>
        <w:rPr>
          <w:rFonts w:cs="Arial"/>
          <w:iCs/>
          <w:lang w:val="en-AU"/>
        </w:rPr>
      </w:pPr>
    </w:p>
    <w:p w:rsidR="00C8573B" w:rsidRPr="00197925" w:rsidRDefault="00C8573B" w:rsidP="00C8573B">
      <w:pPr>
        <w:rPr>
          <w:rFonts w:cs="Arial"/>
          <w:iCs/>
          <w:lang w:val="en-AU"/>
        </w:rPr>
      </w:pPr>
      <w:r w:rsidRPr="00197925">
        <w:rPr>
          <w:rFonts w:cs="Arial"/>
          <w:iCs/>
          <w:lang w:val="en-AU"/>
        </w:rPr>
        <w:t xml:space="preserve">FSANZ notes that </w:t>
      </w:r>
      <w:r w:rsidR="00E3403B">
        <w:rPr>
          <w:rFonts w:cs="Arial"/>
          <w:iCs/>
          <w:lang w:val="en-AU"/>
        </w:rPr>
        <w:t>quillaia</w:t>
      </w:r>
      <w:r w:rsidRPr="00197925">
        <w:rPr>
          <w:rFonts w:cs="Arial"/>
          <w:iCs/>
          <w:lang w:val="en-AU"/>
        </w:rPr>
        <w:t xml:space="preserve"> extracts are currently used as foaming agents and emulsifiers in food in a number of countries (JECFA 2005). The Codex General Standard for Food Additives </w:t>
      </w:r>
      <w:r w:rsidR="005604ED">
        <w:rPr>
          <w:rFonts w:cs="Arial"/>
          <w:iCs/>
          <w:lang w:val="en-AU"/>
        </w:rPr>
        <w:t xml:space="preserve">(GSFA) </w:t>
      </w:r>
      <w:r w:rsidRPr="00197925">
        <w:rPr>
          <w:rFonts w:cs="Arial"/>
          <w:iCs/>
          <w:lang w:val="en-AU"/>
        </w:rPr>
        <w:t xml:space="preserve">lists </w:t>
      </w:r>
      <w:r w:rsidR="00E3403B">
        <w:rPr>
          <w:rFonts w:cs="Arial"/>
          <w:iCs/>
          <w:lang w:val="en-AU"/>
        </w:rPr>
        <w:t>quillaia</w:t>
      </w:r>
      <w:r w:rsidRPr="00197925">
        <w:rPr>
          <w:rFonts w:cs="Arial"/>
          <w:iCs/>
          <w:lang w:val="en-AU"/>
        </w:rPr>
        <w:t xml:space="preserve"> extracts (types 1 and 2) under the functional class “Emulsifier, Foaming agent” for water-based flavoured drinks, including “sport”, “energy” or “electrolyte” drinks and particulated drinks. The MPL for the type 1 extract is set </w:t>
      </w:r>
      <w:r w:rsidR="005604ED">
        <w:rPr>
          <w:rFonts w:cs="Arial"/>
          <w:iCs/>
          <w:lang w:val="en-AU"/>
        </w:rPr>
        <w:t xml:space="preserve">in the GSFA </w:t>
      </w:r>
      <w:r w:rsidRPr="00197925">
        <w:rPr>
          <w:rFonts w:cs="Arial"/>
          <w:iCs/>
          <w:lang w:val="en-AU"/>
        </w:rPr>
        <w:t>at 50 mg/kg on a saponins basis, except in semi-frozen beverages where the limit is 130 mg/kg (dried basis).</w:t>
      </w:r>
    </w:p>
    <w:p w:rsidR="00C8573B" w:rsidRPr="00197925" w:rsidRDefault="00C8573B" w:rsidP="00C8573B">
      <w:pPr>
        <w:rPr>
          <w:rFonts w:cs="Arial"/>
          <w:iCs/>
          <w:lang w:val="en-AU"/>
        </w:rPr>
      </w:pPr>
    </w:p>
    <w:p w:rsidR="00C8573B" w:rsidRPr="00197925" w:rsidRDefault="00C8573B" w:rsidP="00C8573B">
      <w:pPr>
        <w:rPr>
          <w:rFonts w:cs="Arial"/>
          <w:iCs/>
          <w:lang w:val="en-AU"/>
        </w:rPr>
      </w:pPr>
      <w:r w:rsidRPr="00197925">
        <w:rPr>
          <w:rFonts w:cs="Arial"/>
          <w:iCs/>
          <w:lang w:val="en-AU"/>
        </w:rPr>
        <w:t xml:space="preserve">In the European Union, </w:t>
      </w:r>
      <w:r w:rsidR="00E3403B">
        <w:rPr>
          <w:rFonts w:cs="Arial"/>
          <w:iCs/>
          <w:lang w:val="en-AU"/>
        </w:rPr>
        <w:t>quillaia</w:t>
      </w:r>
      <w:r w:rsidRPr="00197925">
        <w:rPr>
          <w:rFonts w:cs="Arial"/>
          <w:iCs/>
          <w:lang w:val="en-AU"/>
        </w:rPr>
        <w:t xml:space="preserve"> extracts are permitted to be used in water-based flavoured non-alcoholic drinks and cider (excluding cidre bouch</w:t>
      </w:r>
      <w:r w:rsidR="00C71B41">
        <w:rPr>
          <w:rFonts w:cs="Arial"/>
          <w:iCs/>
          <w:lang w:val="en-AU"/>
        </w:rPr>
        <w:t>é</w:t>
      </w:r>
      <w:r w:rsidRPr="00197925">
        <w:rPr>
          <w:rFonts w:cs="Arial"/>
          <w:iCs/>
          <w:lang w:val="en-AU"/>
        </w:rPr>
        <w:t>) at a maximum level of 200 mg/L calculated as anhydrous extract. The EU provisions do not distinguish between type 1 and type 2</w:t>
      </w:r>
      <w:r>
        <w:rPr>
          <w:rFonts w:cs="Arial"/>
          <w:iCs/>
          <w:lang w:val="en-AU"/>
        </w:rPr>
        <w:t xml:space="preserve"> extract</w:t>
      </w:r>
      <w:r w:rsidR="005604ED">
        <w:rPr>
          <w:rFonts w:cs="Arial"/>
          <w:iCs/>
          <w:lang w:val="en-AU"/>
        </w:rPr>
        <w:t>s</w:t>
      </w:r>
      <w:r w:rsidRPr="00197925">
        <w:rPr>
          <w:rFonts w:cs="Arial"/>
          <w:iCs/>
          <w:lang w:val="en-AU"/>
        </w:rPr>
        <w:t>.</w:t>
      </w:r>
    </w:p>
    <w:p w:rsidR="00C8573B" w:rsidRPr="00197925" w:rsidRDefault="00C8573B" w:rsidP="00C8573B">
      <w:pPr>
        <w:rPr>
          <w:rFonts w:cs="Arial"/>
          <w:iCs/>
          <w:lang w:val="en-AU"/>
        </w:rPr>
      </w:pPr>
    </w:p>
    <w:p w:rsidR="00C8573B" w:rsidRPr="00197925" w:rsidRDefault="00C8573B" w:rsidP="00C8573B">
      <w:pPr>
        <w:rPr>
          <w:rFonts w:cs="Arial"/>
          <w:iCs/>
          <w:lang w:val="en-AU"/>
        </w:rPr>
      </w:pPr>
      <w:r w:rsidRPr="00197925">
        <w:rPr>
          <w:rFonts w:cs="Arial"/>
          <w:iCs/>
          <w:lang w:val="en-AU"/>
        </w:rPr>
        <w:t xml:space="preserve">In Canada, </w:t>
      </w:r>
      <w:r w:rsidR="00E3403B">
        <w:rPr>
          <w:rFonts w:cs="Arial"/>
          <w:iCs/>
          <w:lang w:val="en-AU"/>
        </w:rPr>
        <w:t>quillaia</w:t>
      </w:r>
      <w:r w:rsidRPr="00197925">
        <w:rPr>
          <w:rFonts w:cs="Arial"/>
          <w:iCs/>
          <w:lang w:val="en-AU"/>
        </w:rPr>
        <w:t xml:space="preserve"> extract is permitted as a foaming agent in beverage bases, beverage mixes and soft drinks at Good Manufacturing Practice (GMP) levels. No distinction is made between type 1 and type 2</w:t>
      </w:r>
      <w:r w:rsidR="005604ED">
        <w:rPr>
          <w:rFonts w:cs="Arial"/>
          <w:iCs/>
          <w:lang w:val="en-AU"/>
        </w:rPr>
        <w:t xml:space="preserve"> extracts</w:t>
      </w:r>
      <w:r w:rsidRPr="00197925">
        <w:rPr>
          <w:rFonts w:cs="Arial"/>
          <w:iCs/>
          <w:lang w:val="en-AU"/>
        </w:rPr>
        <w:t xml:space="preserve">. </w:t>
      </w:r>
    </w:p>
    <w:p w:rsidR="00C8573B" w:rsidRPr="00197925" w:rsidRDefault="00C8573B" w:rsidP="00C8573B">
      <w:pPr>
        <w:rPr>
          <w:rFonts w:cs="Arial"/>
          <w:iCs/>
          <w:lang w:val="en-AU"/>
        </w:rPr>
      </w:pPr>
    </w:p>
    <w:p w:rsidR="00C8573B" w:rsidRDefault="00C8573B" w:rsidP="00C8573B">
      <w:pPr>
        <w:rPr>
          <w:rFonts w:cs="Arial"/>
          <w:iCs/>
          <w:lang w:val="en-AU"/>
        </w:rPr>
      </w:pPr>
      <w:r w:rsidRPr="00197925">
        <w:rPr>
          <w:rFonts w:cs="Arial"/>
          <w:iCs/>
          <w:lang w:val="en-AU"/>
        </w:rPr>
        <w:t xml:space="preserve">In the United States, </w:t>
      </w:r>
      <w:r w:rsidR="00E3403B">
        <w:rPr>
          <w:rFonts w:cs="Arial"/>
          <w:iCs/>
          <w:lang w:val="en-AU"/>
        </w:rPr>
        <w:t>quillaia</w:t>
      </w:r>
      <w:r w:rsidRPr="00197925">
        <w:rPr>
          <w:rFonts w:cs="Arial"/>
          <w:iCs/>
          <w:lang w:val="en-AU"/>
        </w:rPr>
        <w:t xml:space="preserve"> extract is listed in </w:t>
      </w:r>
      <w:r w:rsidRPr="00197925">
        <w:rPr>
          <w:rFonts w:cs="Arial"/>
          <w:i/>
          <w:iCs/>
          <w:lang w:val="en-AU"/>
        </w:rPr>
        <w:t>Section 172.510 Natural flavoring substances and natural substances used in conjunction with flavors</w:t>
      </w:r>
      <w:r w:rsidRPr="00197925">
        <w:rPr>
          <w:rFonts w:cs="Arial"/>
          <w:iCs/>
          <w:lang w:val="en-AU"/>
        </w:rPr>
        <w:t xml:space="preserve"> under Title 21 of the US Code of Federal Regulations. The extract is permitted at GMP levels, and no distinction is made between type 1 and type 2. </w:t>
      </w:r>
      <w:r>
        <w:rPr>
          <w:rFonts w:cs="Arial"/>
          <w:iCs/>
          <w:lang w:val="en-AU"/>
        </w:rPr>
        <w:t xml:space="preserve">There is also a </w:t>
      </w:r>
      <w:r w:rsidRPr="00197925">
        <w:rPr>
          <w:rFonts w:cs="Arial"/>
          <w:iCs/>
          <w:lang w:val="en-AU"/>
        </w:rPr>
        <w:t xml:space="preserve">Generally Recognised as Safe (GRAS) </w:t>
      </w:r>
      <w:r>
        <w:rPr>
          <w:rFonts w:cs="Arial"/>
          <w:iCs/>
          <w:lang w:val="en-AU"/>
        </w:rPr>
        <w:t>notice</w:t>
      </w:r>
      <w:r w:rsidRPr="00197925">
        <w:rPr>
          <w:rFonts w:cs="Arial"/>
          <w:iCs/>
          <w:lang w:val="en-AU"/>
        </w:rPr>
        <w:t xml:space="preserve"> (GRN 000165) </w:t>
      </w:r>
      <w:r>
        <w:rPr>
          <w:rFonts w:cs="Arial"/>
          <w:iCs/>
          <w:lang w:val="en-AU"/>
        </w:rPr>
        <w:t>for</w:t>
      </w:r>
      <w:r w:rsidRPr="00197925">
        <w:rPr>
          <w:rFonts w:cs="Arial"/>
          <w:iCs/>
          <w:lang w:val="en-AU"/>
        </w:rPr>
        <w:t xml:space="preserve"> the type 1 extract as a foaming agent in semi-frozen carbonated and non-carbonated beverages. The extract is to be used at a </w:t>
      </w:r>
      <w:r w:rsidR="00D449F6">
        <w:rPr>
          <w:rFonts w:cs="Arial"/>
          <w:iCs/>
          <w:lang w:val="en-AU"/>
        </w:rPr>
        <w:t>MPL</w:t>
      </w:r>
      <w:r w:rsidRPr="00197925">
        <w:rPr>
          <w:rFonts w:cs="Arial"/>
          <w:iCs/>
          <w:lang w:val="en-AU"/>
        </w:rPr>
        <w:t xml:space="preserve"> of 500 mg/kg (dried basis) in beverage concentrate prior to the incorporation of water and carbon dioxide or air in retail establishments. The Food and Drug Administration has raised no objection to </w:t>
      </w:r>
      <w:r>
        <w:rPr>
          <w:rFonts w:cs="Arial"/>
          <w:iCs/>
          <w:lang w:val="en-AU"/>
        </w:rPr>
        <w:t>GRN 000165.</w:t>
      </w:r>
    </w:p>
    <w:p w:rsidR="00C8573B" w:rsidRPr="00197925" w:rsidRDefault="00C8573B" w:rsidP="00C8573B">
      <w:pPr>
        <w:rPr>
          <w:rFonts w:cs="Arial"/>
          <w:iCs/>
          <w:lang w:val="en-AU"/>
        </w:rPr>
      </w:pPr>
    </w:p>
    <w:p w:rsidR="00C8573B" w:rsidRDefault="00C8573B" w:rsidP="00C8573B">
      <w:pPr>
        <w:rPr>
          <w:rFonts w:cs="Arial"/>
          <w:iCs/>
          <w:lang w:val="en-AU"/>
        </w:rPr>
      </w:pPr>
      <w:r w:rsidRPr="00197925">
        <w:rPr>
          <w:rFonts w:cs="Arial"/>
          <w:iCs/>
          <w:lang w:val="en-AU"/>
        </w:rPr>
        <w:t>The Applicant has also completed a self-affirmed GRAS determination for the type 2 extract when used as an emulsifier or encapsulation agent in alcoholic beverages, coffee, tea, processed fruit and vegetable juices and other beverages.</w:t>
      </w:r>
    </w:p>
    <w:p w:rsidR="00C8573B" w:rsidRPr="00197925" w:rsidRDefault="00C8573B" w:rsidP="00C8573B">
      <w:pPr>
        <w:rPr>
          <w:lang w:val="en-AU" w:eastAsia="en-AU"/>
        </w:rPr>
      </w:pPr>
    </w:p>
    <w:p w:rsidR="00C8573B" w:rsidRPr="00197925" w:rsidRDefault="00D92E44" w:rsidP="00C8573B">
      <w:pPr>
        <w:pStyle w:val="Heading2"/>
        <w:rPr>
          <w:lang w:val="en-AU" w:eastAsia="en-AU"/>
        </w:rPr>
      </w:pPr>
      <w:bookmarkStart w:id="52" w:name="_Toc360028602"/>
      <w:r>
        <w:rPr>
          <w:lang w:val="en-AU" w:eastAsia="en-AU"/>
        </w:rPr>
        <w:t>2.3</w:t>
      </w:r>
      <w:r>
        <w:rPr>
          <w:lang w:val="en-AU" w:eastAsia="en-AU"/>
        </w:rPr>
        <w:tab/>
      </w:r>
      <w:r w:rsidR="00C8573B" w:rsidRPr="00197925">
        <w:rPr>
          <w:lang w:val="en-AU" w:eastAsia="en-AU"/>
        </w:rPr>
        <w:t>Conclusion</w:t>
      </w:r>
      <w:bookmarkEnd w:id="52"/>
    </w:p>
    <w:p w:rsidR="00C8573B" w:rsidRPr="00197925" w:rsidRDefault="00C8573B" w:rsidP="00C8573B">
      <w:pPr>
        <w:rPr>
          <w:lang w:val="en-AU" w:eastAsia="en-AU"/>
        </w:rPr>
      </w:pPr>
    </w:p>
    <w:p w:rsidR="00C8573B" w:rsidRPr="0063118B" w:rsidRDefault="00C8573B" w:rsidP="00C8573B">
      <w:pPr>
        <w:rPr>
          <w:lang w:val="en-AU" w:eastAsia="en-AU"/>
        </w:rPr>
      </w:pPr>
      <w:r w:rsidRPr="00197925">
        <w:rPr>
          <w:lang w:val="en-AU" w:eastAsia="en-AU"/>
        </w:rPr>
        <w:t xml:space="preserve">The Applicant has clearly articulated the technological function of </w:t>
      </w:r>
      <w:r w:rsidR="00E3403B">
        <w:rPr>
          <w:lang w:val="en-AU" w:eastAsia="en-AU"/>
        </w:rPr>
        <w:t>quillaia</w:t>
      </w:r>
      <w:r w:rsidRPr="00197925">
        <w:rPr>
          <w:lang w:val="en-AU" w:eastAsia="en-AU"/>
        </w:rPr>
        <w:t xml:space="preserve"> extract when used as an emulsifier </w:t>
      </w:r>
      <w:r>
        <w:rPr>
          <w:lang w:val="en-AU" w:eastAsia="en-AU"/>
        </w:rPr>
        <w:t>for adding oil soluble ingredients to</w:t>
      </w:r>
      <w:r w:rsidRPr="00197925">
        <w:rPr>
          <w:lang w:val="en-AU" w:eastAsia="en-AU"/>
        </w:rPr>
        <w:t xml:space="preserve"> various beverages. B</w:t>
      </w:r>
      <w:r w:rsidRPr="00197925">
        <w:rPr>
          <w:lang w:val="en-AU"/>
        </w:rPr>
        <w:t xml:space="preserve">ased on its </w:t>
      </w:r>
      <w:r>
        <w:rPr>
          <w:lang w:val="en-AU"/>
        </w:rPr>
        <w:t>known physico-chemical properties</w:t>
      </w:r>
      <w:r w:rsidRPr="00197925">
        <w:rPr>
          <w:lang w:val="en-AU"/>
        </w:rPr>
        <w:t xml:space="preserve"> and evidence provided by the Applicant, </w:t>
      </w:r>
      <w:r w:rsidR="00E3403B">
        <w:rPr>
          <w:lang w:val="en-AU" w:eastAsia="en-AU"/>
        </w:rPr>
        <w:t>quillaia</w:t>
      </w:r>
      <w:r w:rsidRPr="00197925">
        <w:rPr>
          <w:lang w:val="en-AU" w:eastAsia="en-AU"/>
        </w:rPr>
        <w:t xml:space="preserve"> extract fulfils the stated technological function at the proposed level</w:t>
      </w:r>
      <w:r w:rsidR="001E2DD3">
        <w:rPr>
          <w:lang w:val="en-AU" w:eastAsia="en-AU"/>
        </w:rPr>
        <w:t>s</w:t>
      </w:r>
      <w:r w:rsidRPr="00197925">
        <w:rPr>
          <w:lang w:val="en-AU" w:eastAsia="en-AU"/>
        </w:rPr>
        <w:t xml:space="preserve"> of use i.e. it is effective as an emulsifier </w:t>
      </w:r>
      <w:r>
        <w:rPr>
          <w:lang w:val="en-AU" w:eastAsia="en-AU"/>
        </w:rPr>
        <w:t xml:space="preserve">in </w:t>
      </w:r>
      <w:r w:rsidRPr="00197925">
        <w:rPr>
          <w:lang w:val="en-AU" w:eastAsia="en-AU"/>
        </w:rPr>
        <w:t xml:space="preserve">various beverages. Furthermore, </w:t>
      </w:r>
      <w:r w:rsidR="00E3403B">
        <w:rPr>
          <w:lang w:val="en-AU" w:eastAsia="en-AU"/>
        </w:rPr>
        <w:t>quillaia</w:t>
      </w:r>
      <w:r w:rsidRPr="00197925">
        <w:rPr>
          <w:lang w:val="en-AU" w:eastAsia="en-AU"/>
        </w:rPr>
        <w:t xml:space="preserve"> extract has a history of safe use as a food additive in a number of countries. </w:t>
      </w:r>
      <w:r>
        <w:rPr>
          <w:lang w:val="en-AU"/>
        </w:rPr>
        <w:t xml:space="preserve">The Applicant has </w:t>
      </w:r>
      <w:r w:rsidRPr="0063118B">
        <w:rPr>
          <w:lang w:val="en-AU"/>
        </w:rPr>
        <w:t xml:space="preserve">provided a suitable method of analysis for detecting and quantifying </w:t>
      </w:r>
      <w:r w:rsidR="00E3403B">
        <w:rPr>
          <w:lang w:val="en-AU"/>
        </w:rPr>
        <w:t>quillaia</w:t>
      </w:r>
      <w:r w:rsidRPr="0063118B">
        <w:rPr>
          <w:lang w:val="en-AU"/>
        </w:rPr>
        <w:t xml:space="preserve"> saponins in various foods.</w:t>
      </w:r>
    </w:p>
    <w:p w:rsidR="00AC23CB" w:rsidRPr="00435E22" w:rsidRDefault="006C6323" w:rsidP="002744C7">
      <w:pPr>
        <w:pStyle w:val="Heading1"/>
        <w:spacing w:before="240" w:after="240"/>
        <w:rPr>
          <w:rFonts w:ascii="Arial" w:hAnsi="Arial" w:cs="Arial"/>
          <w:u w:val="none"/>
        </w:rPr>
      </w:pPr>
      <w:bookmarkStart w:id="53" w:name="_Toc360028603"/>
      <w:r w:rsidRPr="00435E22">
        <w:rPr>
          <w:rFonts w:ascii="Arial" w:hAnsi="Arial" w:cs="Arial"/>
          <w:u w:val="none"/>
        </w:rPr>
        <w:lastRenderedPageBreak/>
        <w:t>3.</w:t>
      </w:r>
      <w:r w:rsidRPr="00435E22">
        <w:rPr>
          <w:rFonts w:ascii="Arial" w:hAnsi="Arial" w:cs="Arial"/>
          <w:u w:val="none"/>
        </w:rPr>
        <w:tab/>
      </w:r>
      <w:r w:rsidR="00404090" w:rsidRPr="00435E22">
        <w:rPr>
          <w:rFonts w:ascii="Arial" w:hAnsi="Arial" w:cs="Arial"/>
          <w:u w:val="none"/>
        </w:rPr>
        <w:t>HAZARD ASSESSMENT</w:t>
      </w:r>
      <w:bookmarkEnd w:id="53"/>
    </w:p>
    <w:p w:rsidR="00810764" w:rsidRDefault="00810764" w:rsidP="00435E22">
      <w:pPr>
        <w:pStyle w:val="Two"/>
      </w:pPr>
      <w:bookmarkStart w:id="54" w:name="_Toc360028604"/>
      <w:r>
        <w:t>3.1</w:t>
      </w:r>
      <w:r>
        <w:tab/>
      </w:r>
      <w:r w:rsidR="00F70530">
        <w:t>Introduction</w:t>
      </w:r>
      <w:bookmarkEnd w:id="54"/>
      <w:r w:rsidR="00F70530" w:rsidRPr="00F70530">
        <w:t xml:space="preserve"> </w:t>
      </w:r>
    </w:p>
    <w:p w:rsidR="001B7DE7" w:rsidRPr="001B7DE7" w:rsidRDefault="001B7DE7" w:rsidP="001B7DE7">
      <w:r w:rsidRPr="001B7DE7">
        <w:t xml:space="preserve">JECFA has evaluated the toxicological hazard of </w:t>
      </w:r>
      <w:r w:rsidR="00E3403B">
        <w:t>quillaia</w:t>
      </w:r>
      <w:r w:rsidRPr="001B7DE7">
        <w:t xml:space="preserve"> extracts on several occasions, most recently in 2005, when a group ADI of 0-1 mg </w:t>
      </w:r>
      <w:r w:rsidR="00E3403B">
        <w:t>quillaia</w:t>
      </w:r>
      <w:r w:rsidRPr="001B7DE7">
        <w:t xml:space="preserve"> saponins/kg bw was established for </w:t>
      </w:r>
      <w:r w:rsidR="005604ED">
        <w:t>t</w:t>
      </w:r>
      <w:r w:rsidR="005604ED" w:rsidRPr="001B7DE7">
        <w:t xml:space="preserve">ype </w:t>
      </w:r>
      <w:r w:rsidRPr="001B7DE7">
        <w:t xml:space="preserve">I (unpurified) and </w:t>
      </w:r>
      <w:r w:rsidR="005604ED">
        <w:t>t</w:t>
      </w:r>
      <w:r w:rsidR="005604ED" w:rsidRPr="001B7DE7">
        <w:t xml:space="preserve">ype </w:t>
      </w:r>
      <w:r w:rsidRPr="001B7DE7">
        <w:t xml:space="preserve">II (saponin enriched) extracts (see Section 2 for more details about the </w:t>
      </w:r>
      <w:r w:rsidR="005604ED">
        <w:t>t</w:t>
      </w:r>
      <w:r w:rsidR="005604ED" w:rsidRPr="001B7DE7">
        <w:t xml:space="preserve">ype </w:t>
      </w:r>
      <w:r w:rsidRPr="001B7DE7">
        <w:t xml:space="preserve">I and II extracts). Type I and type II </w:t>
      </w:r>
      <w:r w:rsidR="00E3403B">
        <w:t>quillaia</w:t>
      </w:r>
      <w:r w:rsidRPr="001B7DE7">
        <w:t xml:space="preserve"> extracts have separate specifications but because the acute toxicity was similar it was concluded that a group ADI which specified the </w:t>
      </w:r>
      <w:r w:rsidR="00E3403B">
        <w:t>quillaia</w:t>
      </w:r>
      <w:r w:rsidRPr="001B7DE7">
        <w:t xml:space="preserve"> saponin content could be used for both extract types.  </w:t>
      </w:r>
    </w:p>
    <w:p w:rsidR="001B7DE7" w:rsidRPr="001B7DE7" w:rsidRDefault="001B7DE7" w:rsidP="001B7DE7"/>
    <w:p w:rsidR="001B7DE7" w:rsidRPr="001B7DE7" w:rsidRDefault="001B7DE7" w:rsidP="001B7DE7">
      <w:pPr>
        <w:rPr>
          <w:rFonts w:cs="Arial"/>
        </w:rPr>
      </w:pPr>
      <w:r w:rsidRPr="001B7DE7">
        <w:t xml:space="preserve">The Applicant submitted published laboratory animal studies conducted on </w:t>
      </w:r>
      <w:r w:rsidR="005604ED">
        <w:t>t</w:t>
      </w:r>
      <w:r w:rsidR="005604ED" w:rsidRPr="001B7DE7">
        <w:t xml:space="preserve">ype </w:t>
      </w:r>
      <w:r w:rsidRPr="001B7DE7">
        <w:t xml:space="preserve">I </w:t>
      </w:r>
      <w:r w:rsidR="00E3403B">
        <w:rPr>
          <w:rFonts w:cs="Arial"/>
        </w:rPr>
        <w:t>quillaia</w:t>
      </w:r>
      <w:r w:rsidRPr="001B7DE7">
        <w:rPr>
          <w:rFonts w:cs="Arial"/>
        </w:rPr>
        <w:t xml:space="preserve"> extract, which have previously been evaluated by JECFA and used as the basis for a group ADI for </w:t>
      </w:r>
      <w:r w:rsidR="00E3403B">
        <w:rPr>
          <w:rFonts w:cs="Arial"/>
        </w:rPr>
        <w:t>quillaia</w:t>
      </w:r>
      <w:r w:rsidRPr="001B7DE7">
        <w:rPr>
          <w:rFonts w:cs="Arial"/>
        </w:rPr>
        <w:t xml:space="preserve"> saponins. These studies are reported and evaluated in the following sections. </w:t>
      </w:r>
    </w:p>
    <w:p w:rsidR="001B7DE7" w:rsidRPr="001B7DE7" w:rsidRDefault="001B7DE7" w:rsidP="001B7DE7">
      <w:pPr>
        <w:rPr>
          <w:rFonts w:cs="Arial"/>
        </w:rPr>
      </w:pPr>
    </w:p>
    <w:p w:rsidR="008C3598" w:rsidRDefault="001B7DE7" w:rsidP="001B7DE7">
      <w:pPr>
        <w:rPr>
          <w:rFonts w:cs="Arial"/>
        </w:rPr>
      </w:pPr>
      <w:r w:rsidRPr="001B7DE7">
        <w:rPr>
          <w:rFonts w:cs="Arial"/>
        </w:rPr>
        <w:t xml:space="preserve">An additional literature search was conducted by FSANZ to identify any relevant published supplementary data on the toxicity of </w:t>
      </w:r>
      <w:r w:rsidR="00E3403B">
        <w:rPr>
          <w:rFonts w:cs="Arial"/>
        </w:rPr>
        <w:t>quillaia</w:t>
      </w:r>
      <w:r w:rsidRPr="001B7DE7">
        <w:rPr>
          <w:rFonts w:cs="Arial"/>
        </w:rPr>
        <w:t xml:space="preserve"> extract. Searches were conducted in PubMed (</w:t>
      </w:r>
      <w:r w:rsidRPr="001B7DE7">
        <w:rPr>
          <w:rFonts w:cs="Arial"/>
          <w:color w:val="0000FF"/>
          <w:u w:val="single"/>
        </w:rPr>
        <w:t>http://www.ncbi.nlm.nih.gov/pubmed</w:t>
      </w:r>
      <w:r w:rsidRPr="001B7DE7">
        <w:rPr>
          <w:rFonts w:cs="Arial"/>
        </w:rPr>
        <w:t>), TOXNET (</w:t>
      </w:r>
      <w:r w:rsidRPr="001B7DE7">
        <w:rPr>
          <w:rFonts w:cs="Arial"/>
          <w:color w:val="0000FF"/>
          <w:u w:val="single"/>
        </w:rPr>
        <w:t>http://toxnet.nlm.nih.gov/</w:t>
      </w:r>
      <w:r w:rsidRPr="001B7DE7">
        <w:rPr>
          <w:rFonts w:cs="Arial"/>
        </w:rPr>
        <w:t>), Google Scholar (</w:t>
      </w:r>
      <w:hyperlink r:id="rId14" w:history="1">
        <w:r w:rsidRPr="001B7DE7">
          <w:rPr>
            <w:rFonts w:cs="Arial"/>
            <w:color w:val="0000FF"/>
            <w:u w:val="single"/>
          </w:rPr>
          <w:t>http://scholar.google.com.au/</w:t>
        </w:r>
      </w:hyperlink>
      <w:r w:rsidRPr="001B7DE7">
        <w:rPr>
          <w:rFonts w:cs="Arial"/>
        </w:rPr>
        <w:t>) and SCIRUS (</w:t>
      </w:r>
      <w:hyperlink r:id="rId15" w:history="1">
        <w:r w:rsidRPr="001B7DE7">
          <w:rPr>
            <w:rFonts w:cs="Arial"/>
            <w:color w:val="0000FF"/>
            <w:u w:val="single"/>
          </w:rPr>
          <w:t>http://www.scirus.com</w:t>
        </w:r>
        <w:r w:rsidRPr="001B7DE7">
          <w:rPr>
            <w:rFonts w:cs="Arial"/>
            <w:u w:val="single"/>
          </w:rPr>
          <w:t>/</w:t>
        </w:r>
      </w:hyperlink>
      <w:r w:rsidRPr="001B7DE7">
        <w:rPr>
          <w:rFonts w:cs="Arial"/>
        </w:rPr>
        <w:t>) using the keywords “</w:t>
      </w:r>
      <w:r w:rsidR="00E3403B">
        <w:rPr>
          <w:rFonts w:cs="Arial"/>
        </w:rPr>
        <w:t>quillaia</w:t>
      </w:r>
      <w:r w:rsidRPr="001B7DE7">
        <w:rPr>
          <w:rFonts w:cs="Arial"/>
        </w:rPr>
        <w:t>” or “</w:t>
      </w:r>
      <w:r w:rsidR="00E3403B">
        <w:rPr>
          <w:rFonts w:cs="Arial"/>
        </w:rPr>
        <w:t>quilla</w:t>
      </w:r>
      <w:r w:rsidR="002544A0">
        <w:rPr>
          <w:rFonts w:cs="Arial"/>
        </w:rPr>
        <w:t>j</w:t>
      </w:r>
      <w:r w:rsidR="00E3403B">
        <w:rPr>
          <w:rFonts w:cs="Arial"/>
        </w:rPr>
        <w:t>a</w:t>
      </w:r>
      <w:r w:rsidRPr="001B7DE7">
        <w:rPr>
          <w:rFonts w:cs="Arial"/>
        </w:rPr>
        <w:t xml:space="preserve">” </w:t>
      </w:r>
      <w:r w:rsidRPr="001B7DE7">
        <w:rPr>
          <w:rFonts w:cs="Arial"/>
          <w:i/>
        </w:rPr>
        <w:t>and</w:t>
      </w:r>
      <w:r w:rsidRPr="001B7DE7">
        <w:rPr>
          <w:rFonts w:cs="Arial"/>
        </w:rPr>
        <w:t xml:space="preserve"> “toxicity” or “safety” or “growth”. A tolerance study in weaned piglets (Ilsley et al 2005) was identified for inclusion in this hazard assessment. However, other studies in piglets by Turner et al (2002) and Václavková &amp; Beèková (2008) were excluded on the grounds that there was insufficient detail surrounding the composition of the </w:t>
      </w:r>
      <w:r w:rsidR="00E3403B">
        <w:rPr>
          <w:rFonts w:cs="Arial"/>
        </w:rPr>
        <w:t>quillaia</w:t>
      </w:r>
      <w:r w:rsidRPr="001B7DE7">
        <w:rPr>
          <w:rFonts w:cs="Arial"/>
        </w:rPr>
        <w:t xml:space="preserve"> extract used. </w:t>
      </w:r>
    </w:p>
    <w:p w:rsidR="008C3598" w:rsidRPr="001B7DE7" w:rsidRDefault="005E5836" w:rsidP="00435E22">
      <w:pPr>
        <w:pStyle w:val="Two"/>
      </w:pPr>
      <w:bookmarkStart w:id="55" w:name="_Toc360028605"/>
      <w:r>
        <w:t>3.2</w:t>
      </w:r>
      <w:r>
        <w:tab/>
      </w:r>
      <w:r w:rsidR="008C3598">
        <w:t>Evaluation</w:t>
      </w:r>
      <w:bookmarkEnd w:id="55"/>
    </w:p>
    <w:p w:rsidR="001B7DE7" w:rsidRPr="001B7DE7" w:rsidRDefault="001B7DE7" w:rsidP="00AF18AD">
      <w:pPr>
        <w:pStyle w:val="Heading3"/>
      </w:pPr>
      <w:bookmarkStart w:id="56" w:name="_Toc360028606"/>
      <w:r w:rsidRPr="001B7DE7">
        <w:t>3.</w:t>
      </w:r>
      <w:r w:rsidR="001F4BF5">
        <w:t>2</w:t>
      </w:r>
      <w:r w:rsidR="008C3598">
        <w:t>.1</w:t>
      </w:r>
      <w:r w:rsidR="002A511B">
        <w:tab/>
      </w:r>
      <w:r w:rsidRPr="001B7DE7">
        <w:t>Biochemical aspects</w:t>
      </w:r>
      <w:bookmarkEnd w:id="56"/>
      <w:r w:rsidRPr="001B7DE7">
        <w:t xml:space="preserve"> </w:t>
      </w:r>
    </w:p>
    <w:p w:rsidR="008C3598" w:rsidRPr="001B7DE7" w:rsidRDefault="008C3598" w:rsidP="001B7DE7">
      <w:pPr>
        <w:rPr>
          <w:rFonts w:cs="Arial"/>
        </w:rPr>
      </w:pPr>
    </w:p>
    <w:p w:rsidR="001B7DE7" w:rsidRPr="001B7DE7" w:rsidRDefault="001B7DE7" w:rsidP="001B7DE7">
      <w:pPr>
        <w:rPr>
          <w:rFonts w:cs="Arial"/>
        </w:rPr>
      </w:pPr>
      <w:r w:rsidRPr="001B7DE7">
        <w:rPr>
          <w:rFonts w:cs="Arial"/>
        </w:rPr>
        <w:t xml:space="preserve">Chemically saponins (Latin: sapo → soap) are characterised as being amphiphilic, the triterpene or steroid (eg quillaic acid in the saponins from </w:t>
      </w:r>
      <w:r w:rsidR="00E3403B">
        <w:rPr>
          <w:rFonts w:cs="Arial"/>
        </w:rPr>
        <w:t>quillaia</w:t>
      </w:r>
      <w:r w:rsidR="0011582B">
        <w:rPr>
          <w:rFonts w:cs="Arial"/>
        </w:rPr>
        <w:t xml:space="preserve"> extract</w:t>
      </w:r>
      <w:r w:rsidRPr="001B7DE7">
        <w:rPr>
          <w:rFonts w:cs="Arial"/>
        </w:rPr>
        <w:t>) part being hydrophobic and the sugar part (eg glucose, galactose, arabinose, xylose and rhamnose) hydrophilic, giving saponins their characteristic surfac</w:t>
      </w:r>
      <w:r w:rsidR="0011582B">
        <w:rPr>
          <w:rFonts w:cs="Arial"/>
        </w:rPr>
        <w:t>tant</w:t>
      </w:r>
      <w:r w:rsidRPr="001B7DE7">
        <w:rPr>
          <w:rFonts w:cs="Arial"/>
        </w:rPr>
        <w:t xml:space="preserve"> activity from which the name is derived. As a result of their chemistry</w:t>
      </w:r>
      <w:r w:rsidR="0011582B">
        <w:rPr>
          <w:rFonts w:cs="Arial"/>
        </w:rPr>
        <w:t>,</w:t>
      </w:r>
      <w:r w:rsidRPr="001B7DE7">
        <w:rPr>
          <w:rFonts w:cs="Arial"/>
        </w:rPr>
        <w:t xml:space="preserve"> many ingested saponins have been shown to form large mixed micelles with bile acids and cholesterol leading to decreased intestinal cholesterol absorption. Similarly, many ingested saponins have been shown to affect the enterohepatic circulation of bile acids by forming mixed micelles (Francis et al 2002). </w:t>
      </w:r>
    </w:p>
    <w:p w:rsidR="001B7DE7" w:rsidRPr="001B7DE7" w:rsidRDefault="001B7DE7" w:rsidP="001B7DE7">
      <w:pPr>
        <w:rPr>
          <w:rFonts w:cs="Arial"/>
        </w:rPr>
      </w:pPr>
    </w:p>
    <w:p w:rsidR="001B7DE7" w:rsidRPr="001B7DE7" w:rsidRDefault="001B7DE7" w:rsidP="001B7DE7">
      <w:pPr>
        <w:rPr>
          <w:rFonts w:cs="Arial"/>
        </w:rPr>
      </w:pPr>
      <w:r w:rsidRPr="001B7DE7">
        <w:rPr>
          <w:rFonts w:cs="Arial"/>
        </w:rPr>
        <w:t>Saponins</w:t>
      </w:r>
      <w:r w:rsidR="00BD1D1A">
        <w:rPr>
          <w:rFonts w:cs="Arial"/>
        </w:rPr>
        <w:t xml:space="preserve"> </w:t>
      </w:r>
      <w:r w:rsidRPr="001B7DE7">
        <w:rPr>
          <w:rFonts w:cs="Arial"/>
        </w:rPr>
        <w:t>from soapbark trees administered orally to rabbits with experimental atherosclerosis resulted in an increased ratio of plasma lecithin to cholesterol, normalized blood cholesterol levels, and decreased elevated blood pressure</w:t>
      </w:r>
      <w:r w:rsidR="003F5614">
        <w:rPr>
          <w:rStyle w:val="FootnoteReference"/>
          <w:rFonts w:cs="Arial"/>
        </w:rPr>
        <w:footnoteReference w:id="3"/>
      </w:r>
      <w:r w:rsidRPr="001B7DE7">
        <w:rPr>
          <w:rFonts w:cs="Arial"/>
        </w:rPr>
        <w:t>. Subcutaneous injection of the saponin extract did not affect the atherosclerotic symptoms (Efimova et al 1966).</w:t>
      </w:r>
    </w:p>
    <w:p w:rsidR="001B7DE7" w:rsidRPr="001B7DE7" w:rsidRDefault="001B7DE7" w:rsidP="001B7DE7">
      <w:pPr>
        <w:rPr>
          <w:rFonts w:cs="Arial"/>
        </w:rPr>
      </w:pPr>
    </w:p>
    <w:p w:rsidR="00BD1D1A" w:rsidRDefault="001B7DE7" w:rsidP="001B7DE7">
      <w:pPr>
        <w:rPr>
          <w:rFonts w:cs="Arial"/>
        </w:rPr>
      </w:pPr>
      <w:r w:rsidRPr="001B7DE7">
        <w:rPr>
          <w:rFonts w:cs="Arial"/>
        </w:rPr>
        <w:t xml:space="preserve">The effect of a range of saponins, including crude </w:t>
      </w:r>
      <w:r w:rsidR="00E3403B">
        <w:rPr>
          <w:rFonts w:cs="Arial"/>
        </w:rPr>
        <w:t>quillaia</w:t>
      </w:r>
      <w:r w:rsidRPr="001B7DE7">
        <w:rPr>
          <w:rFonts w:cs="Arial"/>
        </w:rPr>
        <w:t xml:space="preserve"> saponin </w:t>
      </w:r>
      <w:r w:rsidR="0011582B">
        <w:rPr>
          <w:rFonts w:cs="Arial"/>
        </w:rPr>
        <w:t xml:space="preserve">extract </w:t>
      </w:r>
      <w:r w:rsidRPr="001B7DE7">
        <w:rPr>
          <w:rFonts w:cs="Arial"/>
        </w:rPr>
        <w:t xml:space="preserve">on gut permeability was assessed by monitoring the steady-state glucose transfer potential </w:t>
      </w:r>
      <w:r w:rsidRPr="001B7DE7">
        <w:rPr>
          <w:rFonts w:cs="Arial"/>
          <w:i/>
        </w:rPr>
        <w:t>in vitro</w:t>
      </w:r>
      <w:r w:rsidRPr="001B7DE7">
        <w:rPr>
          <w:rFonts w:cs="Arial"/>
        </w:rPr>
        <w:t xml:space="preserve"> in sections of jejunal mucosa from male Wistar rats. The individual saponins elicited widely different responses in the small gut and these were significantly affected by pH, concentration, </w:t>
      </w:r>
      <w:r w:rsidRPr="001B7DE7">
        <w:rPr>
          <w:rFonts w:cs="Arial"/>
        </w:rPr>
        <w:lastRenderedPageBreak/>
        <w:t xml:space="preserve">chemical formula, and the presence of other materials in the solution. </w:t>
      </w:r>
      <w:r w:rsidR="00E3403B">
        <w:rPr>
          <w:rFonts w:cs="Arial"/>
        </w:rPr>
        <w:t>Quillaia</w:t>
      </w:r>
      <w:r w:rsidRPr="001B7DE7">
        <w:rPr>
          <w:rFonts w:cs="Arial"/>
        </w:rPr>
        <w:t xml:space="preserve"> extract caused a reduction in transmural potential difference comparable to that observed with the basic glycoalkaloids in potato and tomato and the complex bisdesmosides from Gypsophilia and alfalfa. These saponins were all more potent than the saponins from soya, which showed only weak activity. </w:t>
      </w:r>
    </w:p>
    <w:p w:rsidR="00BD1D1A" w:rsidRDefault="00BD1D1A" w:rsidP="001B7DE7">
      <w:pPr>
        <w:rPr>
          <w:rFonts w:cs="Arial"/>
        </w:rPr>
      </w:pPr>
    </w:p>
    <w:p w:rsidR="001B7DE7" w:rsidRPr="001B7DE7" w:rsidRDefault="001B7DE7" w:rsidP="001B7DE7">
      <w:pPr>
        <w:rPr>
          <w:rFonts w:cs="Arial"/>
        </w:rPr>
      </w:pPr>
      <w:r w:rsidRPr="001B7DE7">
        <w:rPr>
          <w:rFonts w:cs="Arial"/>
        </w:rPr>
        <w:t>The reduction in transmural potential difference has been associated with increased uptake of both passively permeable sugars and large compounds and with a loss of the ability of the mucosa to accumulate actively transported organic species (Gee et al 1989).</w:t>
      </w:r>
    </w:p>
    <w:p w:rsidR="001B7DE7" w:rsidRPr="001B7DE7" w:rsidRDefault="001B7DE7" w:rsidP="001B7DE7">
      <w:pPr>
        <w:rPr>
          <w:rFonts w:cs="Arial"/>
        </w:rPr>
      </w:pPr>
    </w:p>
    <w:p w:rsidR="006E575C" w:rsidRDefault="001B7DE7" w:rsidP="001B7DE7">
      <w:pPr>
        <w:rPr>
          <w:rFonts w:cs="Arial"/>
        </w:rPr>
      </w:pPr>
      <w:r w:rsidRPr="001B7DE7">
        <w:rPr>
          <w:rFonts w:cs="Arial"/>
        </w:rPr>
        <w:t xml:space="preserve">The effect of the </w:t>
      </w:r>
      <w:r w:rsidR="00E3403B">
        <w:rPr>
          <w:rFonts w:cs="Arial"/>
        </w:rPr>
        <w:t>quillaia</w:t>
      </w:r>
      <w:r w:rsidRPr="001B7DE7">
        <w:rPr>
          <w:rFonts w:cs="Arial"/>
        </w:rPr>
        <w:t xml:space="preserve"> saponin fractions QH-A, QH-B, and QH-C and a crude </w:t>
      </w:r>
      <w:r w:rsidR="00E3403B">
        <w:rPr>
          <w:rFonts w:cs="Arial"/>
        </w:rPr>
        <w:t>quillaia</w:t>
      </w:r>
      <w:r w:rsidRPr="001B7DE7">
        <w:rPr>
          <w:rFonts w:cs="Arial"/>
        </w:rPr>
        <w:t xml:space="preserve"> saponin extract (Spikoside) on haemolytic activity, cytotoxicity, and macromolecular synthesis was studied </w:t>
      </w:r>
      <w:r w:rsidRPr="00B879C9">
        <w:rPr>
          <w:rFonts w:cs="Arial"/>
          <w:i/>
        </w:rPr>
        <w:t>in vitro</w:t>
      </w:r>
      <w:r w:rsidRPr="001B7DE7">
        <w:rPr>
          <w:rFonts w:cs="Arial"/>
        </w:rPr>
        <w:t>. A concentration of 5 µg/mL of QH-B or QH-C caused haemolysis of chicken erythrocytes after 1 h of incubation at 37</w:t>
      </w:r>
      <w:r w:rsidRPr="001B7DE7">
        <w:rPr>
          <w:rFonts w:cs="Arial"/>
          <w:vertAlign w:val="superscript"/>
        </w:rPr>
        <w:t>o</w:t>
      </w:r>
      <w:r w:rsidRPr="001B7DE7">
        <w:rPr>
          <w:rFonts w:cs="Arial"/>
        </w:rPr>
        <w:t xml:space="preserve"> C. QH-A was haemolytic at an approximately 10-fold higher concentration, 50 µg/mL. The crude extract caused haemolysis at a concentration of 20 µg/mL. No haemolytic activity was observed at concentrations &lt;100 µg/mL when these preparations were incorporated into an immunostimulating complex matrix. Cytotoxicity was assessed by measuring intracellular dehydrogenase activity by a colorimetric method. Seeded WEHI 164 cells (clone 139) were incubated with various concentrations of the extracts for 2 h before analysis. QH-B and QH-C inhibited enzyme activity at 10 µg/mL and the crude extract at a concentration of approximately 20 µg/mL. QH-A was tolerated at concentrations &lt;100 µg/mL. When QH-A, QH-B, QH-C, and the crude extract were incorporated into the immunostimulating complex matrix, the cells tolerated approximately 10-fold higher concentrations. Macromolecular synthesis was assessed by measuring incorporation of [</w:t>
      </w:r>
      <w:r w:rsidRPr="001B7DE7">
        <w:rPr>
          <w:rFonts w:cs="Arial"/>
          <w:vertAlign w:val="superscript"/>
        </w:rPr>
        <w:t>3</w:t>
      </w:r>
      <w:r w:rsidRPr="001B7DE7">
        <w:rPr>
          <w:rFonts w:cs="Arial"/>
        </w:rPr>
        <w:t>H]leucine and [</w:t>
      </w:r>
      <w:r w:rsidRPr="001B7DE7">
        <w:rPr>
          <w:rFonts w:cs="Arial"/>
          <w:vertAlign w:val="superscript"/>
        </w:rPr>
        <w:t>3</w:t>
      </w:r>
      <w:r w:rsidRPr="001B7DE7">
        <w:rPr>
          <w:rFonts w:cs="Arial"/>
        </w:rPr>
        <w:t>H]uridine into protein and RNA, respectively, in WEHI 164 cultured cells. Treatment with QH-B or QH-C at concentrations &lt;10 µg/mL for 30 min had no effect on protein or RNA synthesis (Rönnberg et al 1995).</w:t>
      </w:r>
    </w:p>
    <w:p w:rsidR="00730D84" w:rsidRPr="001B7DE7" w:rsidRDefault="00730D84" w:rsidP="001B7DE7">
      <w:pPr>
        <w:rPr>
          <w:rFonts w:cs="Arial"/>
        </w:rPr>
      </w:pPr>
    </w:p>
    <w:p w:rsidR="001B7DE7" w:rsidRPr="001B7DE7" w:rsidRDefault="001B7DE7" w:rsidP="00AF18AD">
      <w:pPr>
        <w:pStyle w:val="Heading3"/>
        <w:rPr>
          <w:i/>
        </w:rPr>
      </w:pPr>
      <w:bookmarkStart w:id="57" w:name="_Toc360028607"/>
      <w:r w:rsidRPr="001B7DE7">
        <w:t>3.</w:t>
      </w:r>
      <w:r w:rsidR="00730D84">
        <w:t>2.2</w:t>
      </w:r>
      <w:r w:rsidRPr="001B7DE7">
        <w:tab/>
        <w:t>Absorption, distribution, metabolism and excretion</w:t>
      </w:r>
      <w:bookmarkEnd w:id="57"/>
      <w:r w:rsidRPr="001B7DE7">
        <w:t xml:space="preserve"> </w:t>
      </w:r>
    </w:p>
    <w:p w:rsidR="00730D84" w:rsidRDefault="00730D84" w:rsidP="001B7DE7">
      <w:pPr>
        <w:widowControl/>
        <w:rPr>
          <w:rFonts w:cs="Arial"/>
        </w:rPr>
      </w:pPr>
    </w:p>
    <w:p w:rsidR="001B7DE7" w:rsidRDefault="001B7DE7" w:rsidP="001B7DE7">
      <w:pPr>
        <w:widowControl/>
        <w:rPr>
          <w:rFonts w:cs="Arial"/>
        </w:rPr>
      </w:pPr>
      <w:r w:rsidRPr="001B7DE7">
        <w:rPr>
          <w:rFonts w:cs="Arial"/>
        </w:rPr>
        <w:t xml:space="preserve">No studies were submitted on the absorption, distribution, metabolism and excretion of </w:t>
      </w:r>
      <w:r w:rsidR="00E3403B">
        <w:rPr>
          <w:rFonts w:cs="Arial"/>
        </w:rPr>
        <w:t>quillaia</w:t>
      </w:r>
      <w:r w:rsidRPr="001B7DE7">
        <w:rPr>
          <w:rFonts w:cs="Arial"/>
        </w:rPr>
        <w:t xml:space="preserve"> extract.  </w:t>
      </w:r>
    </w:p>
    <w:p w:rsidR="00730D84" w:rsidRDefault="00730D84" w:rsidP="001B7DE7">
      <w:pPr>
        <w:widowControl/>
        <w:rPr>
          <w:rFonts w:cs="Arial"/>
        </w:rPr>
      </w:pPr>
    </w:p>
    <w:p w:rsidR="001B7DE7" w:rsidRPr="001B7DE7" w:rsidRDefault="001B7DE7" w:rsidP="00AF18AD">
      <w:pPr>
        <w:pStyle w:val="Heading3"/>
      </w:pPr>
      <w:bookmarkStart w:id="58" w:name="_Toc360028608"/>
      <w:r w:rsidRPr="001B7DE7">
        <w:t>3.</w:t>
      </w:r>
      <w:r w:rsidR="00730D84">
        <w:t>2.3</w:t>
      </w:r>
      <w:r w:rsidRPr="001B7DE7">
        <w:tab/>
        <w:t>Acute toxicity</w:t>
      </w:r>
      <w:bookmarkEnd w:id="58"/>
    </w:p>
    <w:p w:rsidR="00730D84" w:rsidRDefault="00730D84" w:rsidP="001B7DE7"/>
    <w:p w:rsidR="001B7DE7" w:rsidRPr="001B7DE7" w:rsidRDefault="001B7DE7" w:rsidP="001B7DE7">
      <w:r w:rsidRPr="001B7DE7">
        <w:t>No acute studies were submitted by the Applicant. However, in previous JECFA monographs the following studies have been cited.</w:t>
      </w:r>
    </w:p>
    <w:p w:rsidR="001B7DE7" w:rsidRPr="001B7DE7" w:rsidRDefault="001B7DE7" w:rsidP="001B7DE7"/>
    <w:p w:rsidR="001B7DE7" w:rsidRPr="001B7DE7" w:rsidRDefault="001B7DE7" w:rsidP="001B7DE7">
      <w:r w:rsidRPr="001B7DE7">
        <w:t>In mice, saponins extracted from the soapbark tree were less acutely toxic when administered orally (LD50, 1600 mg/kg bw) than when administered intravenously (280</w:t>
      </w:r>
      <w:r w:rsidR="00D54A52">
        <w:t> </w:t>
      </w:r>
      <w:r w:rsidRPr="001B7DE7">
        <w:t xml:space="preserve">mg/kg bw) (Efimova et al 1966). </w:t>
      </w:r>
    </w:p>
    <w:p w:rsidR="001B7DE7" w:rsidRPr="001B7DE7" w:rsidRDefault="001B7DE7" w:rsidP="001B7DE7">
      <w:r w:rsidRPr="001B7DE7">
        <w:t xml:space="preserve"> </w:t>
      </w:r>
    </w:p>
    <w:p w:rsidR="001B7DE7" w:rsidRDefault="001B7DE7" w:rsidP="001B7DE7">
      <w:r w:rsidRPr="001B7DE7">
        <w:t xml:space="preserve">Groups of five Sprague-Dawley rats of each sex were gavaged once with doses ranging from 3000 to 20 000 mg/kg bw and were observed for clinical signs of toxicity for 14 days. The LD50 for the type </w:t>
      </w:r>
      <w:r w:rsidR="00B879C9">
        <w:t>2</w:t>
      </w:r>
      <w:r w:rsidRPr="001B7DE7">
        <w:t xml:space="preserve"> extract when expressed in relation to the saponin content was calculated to be 900 mg/kg bw. The LD50 for the type I extract expressed in relation to the saponin content was 1000 mg/kg bw. On the basis of the saponin content, the LD50s for the two extracts were the same: about 900 mg/kg bw (JECFA 2006).</w:t>
      </w:r>
    </w:p>
    <w:p w:rsidR="000E2608" w:rsidRPr="001B7DE7" w:rsidRDefault="000E2608" w:rsidP="001B7DE7"/>
    <w:p w:rsidR="001B7DE7" w:rsidRDefault="001B7DE7" w:rsidP="00AF18AD">
      <w:pPr>
        <w:pStyle w:val="Heading3"/>
      </w:pPr>
      <w:bookmarkStart w:id="59" w:name="_Toc360028609"/>
      <w:r w:rsidRPr="001B7DE7">
        <w:t>3.</w:t>
      </w:r>
      <w:r w:rsidR="00730D84">
        <w:t>2.4</w:t>
      </w:r>
      <w:r w:rsidRPr="001B7DE7">
        <w:tab/>
        <w:t>Repeat-dose toxicity studies</w:t>
      </w:r>
      <w:bookmarkEnd w:id="59"/>
    </w:p>
    <w:p w:rsidR="000E2608" w:rsidRPr="00D33053" w:rsidRDefault="000E2608" w:rsidP="00AF18AD"/>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rPr>
                <w:rFonts w:cs="Arial"/>
                <w:b/>
              </w:rPr>
            </w:pPr>
            <w:r w:rsidRPr="001B7DE7">
              <w:rPr>
                <w:rFonts w:cs="Arial"/>
                <w:b/>
              </w:rPr>
              <w:t xml:space="preserve">Gaunt IF, Grasso P &amp; Gangolli SD (1974) Short-term toxicity of </w:t>
            </w:r>
            <w:r w:rsidR="00E3403B">
              <w:rPr>
                <w:rFonts w:cs="Arial"/>
                <w:b/>
              </w:rPr>
              <w:t>quillaia</w:t>
            </w:r>
            <w:r w:rsidRPr="001B7DE7">
              <w:rPr>
                <w:rFonts w:cs="Arial"/>
                <w:b/>
              </w:rPr>
              <w:t xml:space="preserve"> extract in rats. Fd Cosmet. Toxicol. 12: 641-650.</w:t>
            </w:r>
          </w:p>
        </w:tc>
      </w:tr>
    </w:tbl>
    <w:p w:rsidR="001B7DE7" w:rsidRPr="001B7DE7" w:rsidRDefault="001B7DE7" w:rsidP="001B7DE7">
      <w:pPr>
        <w:widowControl/>
        <w:rPr>
          <w:rFonts w:cs="Arial"/>
        </w:rPr>
      </w:pPr>
    </w:p>
    <w:p w:rsidR="001B7DE7" w:rsidRPr="001B7DE7" w:rsidRDefault="00B0666D" w:rsidP="001B7DE7">
      <w:pPr>
        <w:widowControl/>
        <w:rPr>
          <w:rFonts w:cs="Arial"/>
        </w:rPr>
      </w:pPr>
      <w:r>
        <w:rPr>
          <w:rFonts w:cs="Arial"/>
        </w:rPr>
        <w:lastRenderedPageBreak/>
        <w:t>An aqueous t</w:t>
      </w:r>
      <w:r w:rsidR="001B7DE7" w:rsidRPr="001B7DE7">
        <w:rPr>
          <w:rFonts w:cs="Arial"/>
        </w:rPr>
        <w:t xml:space="preserve">ype I </w:t>
      </w:r>
      <w:r w:rsidR="00E3403B">
        <w:rPr>
          <w:rFonts w:cs="Arial"/>
          <w:szCs w:val="22"/>
        </w:rPr>
        <w:t>quillaia</w:t>
      </w:r>
      <w:r w:rsidR="001B7DE7" w:rsidRPr="001B7DE7">
        <w:rPr>
          <w:rFonts w:cs="Arial"/>
        </w:rPr>
        <w:t xml:space="preserve"> extract (Food Industries Ltd, Birkenhead, Cheshire, UK) was admixed in the diet at concentrations of 0, 0.6, 2 or 4% (w/</w:t>
      </w:r>
      <w:r w:rsidR="008D6230">
        <w:rPr>
          <w:rFonts w:cs="Arial"/>
        </w:rPr>
        <w:t>w</w:t>
      </w:r>
      <w:r w:rsidR="001B7DE7" w:rsidRPr="001B7DE7">
        <w:rPr>
          <w:rFonts w:cs="Arial"/>
        </w:rPr>
        <w:t xml:space="preserve">) and fed </w:t>
      </w:r>
      <w:r w:rsidR="001B7DE7" w:rsidRPr="001B7DE7">
        <w:rPr>
          <w:rFonts w:cs="Arial"/>
          <w:i/>
        </w:rPr>
        <w:t>ad libitum</w:t>
      </w:r>
      <w:r w:rsidR="001B7DE7" w:rsidRPr="001B7DE7">
        <w:rPr>
          <w:rFonts w:cs="Arial"/>
        </w:rPr>
        <w:t xml:space="preserve"> to Carworth Farms Elias (CFE) strain rats (15/sex/group; males bw range 130-175 g; females bw range 105-135 g) for 13 weeks. Separate groups of 5/rats/sex were fed diets containing 0, 2 or 4% (w/</w:t>
      </w:r>
      <w:r w:rsidR="008D6230">
        <w:rPr>
          <w:rFonts w:cs="Arial"/>
        </w:rPr>
        <w:t>w</w:t>
      </w:r>
      <w:r w:rsidR="001B7DE7" w:rsidRPr="001B7DE7">
        <w:rPr>
          <w:rFonts w:cs="Arial"/>
        </w:rPr>
        <w:t xml:space="preserve">) </w:t>
      </w:r>
      <w:r w:rsidR="00E3403B">
        <w:rPr>
          <w:rFonts w:cs="Arial"/>
          <w:szCs w:val="22"/>
        </w:rPr>
        <w:t>quillaia</w:t>
      </w:r>
      <w:r w:rsidR="001B7DE7" w:rsidRPr="001B7DE7">
        <w:rPr>
          <w:rFonts w:cs="Arial"/>
        </w:rPr>
        <w:t xml:space="preserve"> extract for 2 or 6 weeks. The test material was described as a spray dried aqueous extract, with 100 parts by weight of </w:t>
      </w:r>
      <w:r w:rsidR="00E3403B">
        <w:rPr>
          <w:rFonts w:cs="Arial"/>
        </w:rPr>
        <w:t>quillaia</w:t>
      </w:r>
      <w:r w:rsidR="001B7DE7" w:rsidRPr="001B7DE7">
        <w:rPr>
          <w:rFonts w:cs="Arial"/>
        </w:rPr>
        <w:t xml:space="preserve"> bark yielding ~15 parts of the extract. The test material contained 5% (w/w) lactose added to the extract before drying. The dried extract was stated to contain &lt;10% (w/w) moisture and &lt;10% (w/w) ash. Bodyweight and food consumption were recorded prior to the commencement of dosing and weekly thereafter. An </w:t>
      </w:r>
      <w:r w:rsidR="001B7DE7" w:rsidRPr="001B7DE7">
        <w:rPr>
          <w:rFonts w:cs="Arial"/>
          <w:i/>
        </w:rPr>
        <w:t>in vitro</w:t>
      </w:r>
      <w:r w:rsidR="001B7DE7" w:rsidRPr="001B7DE7">
        <w:rPr>
          <w:rFonts w:cs="Arial"/>
        </w:rPr>
        <w:t xml:space="preserve"> haemolysis assay was performed using blood collected during week 6 (5 rats/sex from the control and high-dose group) and 13 (5 females from the control and high-dose group). During weeks 6 and 13, urine was collected at 0-2 and 16-20 h following a water load of 25 mL/kg bw and the following parameters analysed: microscopic constituents, blood, bile and ketones. Also during week 13, urine volume and specific gravity were analysed following a 6 h period without water. At the end of the treatment period, rats were sacrificed, necropsied and the following organs weighed: brain, pituitary, thyroid, heart, liver, spleen, stomach, small intestine, caecum, kidneys, adrenals and gonads. Samples of these organs and of oesophagus, colon, rectum, lung, lymph nodes, skeletal muscle, trachea, uterus, urinary bladder and pancreas were examined histopathologically. During autopsy blood was collected for the analysis of haematology [haemoglobin (Hb), haematocrit (Hct), erythrocyte counts (RBC), reticulocytes, leucocytes (WBC) and differential leucocyte count] and clinical chemistry parameters [urea, glucose, total protein, albumin, alanine aminotransferase (ALT), aspartate aminotransferase (AST) and lactate dehydrogenase (LDH)]. The intake of the test material was calculated by the authors to be 0.36, 1.18 and 2.47 g/kg bw per day in males and 0.44, 1.37 and 3.03 g/kg bw per day in females at dietary concentrations of 0.6, 2 or 4% (w/</w:t>
      </w:r>
      <w:r w:rsidR="008D6230">
        <w:rPr>
          <w:rFonts w:cs="Arial"/>
        </w:rPr>
        <w:t>w</w:t>
      </w:r>
      <w:r w:rsidR="001B7DE7" w:rsidRPr="001B7DE7">
        <w:rPr>
          <w:rFonts w:cs="Arial"/>
        </w:rPr>
        <w:t>), respectively.</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There were no deaths or clinical signs. Bodyweight and food consumption findings are summarised in Table 3.1. </w:t>
      </w:r>
    </w:p>
    <w:p w:rsidR="001B7DE7" w:rsidRPr="001B7DE7" w:rsidRDefault="001B7DE7" w:rsidP="001B7DE7">
      <w:pPr>
        <w:widowControl/>
        <w:rPr>
          <w:rFonts w:cs="Arial"/>
        </w:rPr>
      </w:pPr>
    </w:p>
    <w:p w:rsidR="001B7DE7" w:rsidRPr="001B7DE7" w:rsidRDefault="001B7DE7" w:rsidP="001B7DE7">
      <w:pPr>
        <w:widowControl/>
        <w:ind w:left="1134" w:hanging="1134"/>
        <w:rPr>
          <w:rFonts w:cs="Arial"/>
          <w:b/>
          <w:i/>
        </w:rPr>
      </w:pPr>
      <w:r w:rsidRPr="001B7DE7">
        <w:rPr>
          <w:rFonts w:cs="Arial"/>
          <w:b/>
          <w:i/>
        </w:rPr>
        <w:t>Table 3.1.</w:t>
      </w:r>
      <w:r w:rsidRPr="001B7DE7">
        <w:rPr>
          <w:rFonts w:cs="Arial"/>
          <w:b/>
          <w:i/>
        </w:rPr>
        <w:tab/>
        <w:t xml:space="preserve">Bodyweight and food consumption in rats exposed to </w:t>
      </w:r>
      <w:r w:rsidR="00E3403B">
        <w:rPr>
          <w:rFonts w:cs="Arial"/>
          <w:b/>
          <w:i/>
        </w:rPr>
        <w:t>quillaia</w:t>
      </w:r>
      <w:r w:rsidRPr="001B7DE7">
        <w:rPr>
          <w:rFonts w:cs="Arial"/>
          <w:b/>
          <w:i/>
        </w:rPr>
        <w:t xml:space="preserve"> extract for up to 13 weeks</w:t>
      </w:r>
    </w:p>
    <w:tbl>
      <w:tblPr>
        <w:tblStyle w:val="TableGrid"/>
        <w:tblW w:w="0" w:type="auto"/>
        <w:tblInd w:w="108" w:type="dxa"/>
        <w:tblLook w:val="04A0" w:firstRow="1" w:lastRow="0" w:firstColumn="1" w:lastColumn="0" w:noHBand="0" w:noVBand="1"/>
      </w:tblPr>
      <w:tblGrid>
        <w:gridCol w:w="1707"/>
        <w:gridCol w:w="963"/>
        <w:gridCol w:w="906"/>
        <w:gridCol w:w="950"/>
        <w:gridCol w:w="906"/>
        <w:gridCol w:w="956"/>
        <w:gridCol w:w="906"/>
        <w:gridCol w:w="934"/>
        <w:gridCol w:w="906"/>
      </w:tblGrid>
      <w:tr w:rsidR="001B7DE7" w:rsidRPr="001B7DE7" w:rsidTr="004129E6">
        <w:trPr>
          <w:tblHeader/>
        </w:trPr>
        <w:tc>
          <w:tcPr>
            <w:tcW w:w="1707" w:type="dxa"/>
            <w:vMerge w:val="restart"/>
            <w:shd w:val="clear" w:color="auto" w:fill="EEECE1" w:themeFill="background2"/>
            <w:vAlign w:val="center"/>
          </w:tcPr>
          <w:p w:rsidR="001B7DE7" w:rsidRPr="001B7DE7" w:rsidRDefault="001B7DE7" w:rsidP="001B7DE7">
            <w:pPr>
              <w:widowControl/>
              <w:rPr>
                <w:rFonts w:cs="Arial"/>
                <w:b/>
                <w:sz w:val="20"/>
                <w:szCs w:val="20"/>
              </w:rPr>
            </w:pPr>
            <w:r w:rsidRPr="001B7DE7">
              <w:rPr>
                <w:rFonts w:cs="Arial"/>
                <w:b/>
                <w:sz w:val="20"/>
                <w:szCs w:val="20"/>
              </w:rPr>
              <w:t>Parameter</w:t>
            </w:r>
          </w:p>
        </w:tc>
        <w:tc>
          <w:tcPr>
            <w:tcW w:w="7427" w:type="dxa"/>
            <w:gridSpan w:val="8"/>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Dietary concentration (% w/</w:t>
            </w:r>
            <w:r w:rsidR="008D6230">
              <w:rPr>
                <w:rFonts w:cs="Arial"/>
                <w:b/>
                <w:sz w:val="20"/>
                <w:szCs w:val="20"/>
              </w:rPr>
              <w:t>w</w:t>
            </w:r>
            <w:r w:rsidRPr="001B7DE7">
              <w:rPr>
                <w:rFonts w:cs="Arial"/>
                <w:b/>
                <w:sz w:val="20"/>
                <w:szCs w:val="20"/>
              </w:rPr>
              <w:t>)</w:t>
            </w:r>
          </w:p>
        </w:tc>
      </w:tr>
      <w:tr w:rsidR="001B7DE7" w:rsidRPr="001B7DE7" w:rsidTr="004129E6">
        <w:trPr>
          <w:tblHeader/>
        </w:trPr>
        <w:tc>
          <w:tcPr>
            <w:tcW w:w="1707" w:type="dxa"/>
            <w:vMerge/>
            <w:shd w:val="clear" w:color="auto" w:fill="EEECE1" w:themeFill="background2"/>
          </w:tcPr>
          <w:p w:rsidR="001B7DE7" w:rsidRPr="001B7DE7" w:rsidRDefault="001B7DE7" w:rsidP="001B7DE7">
            <w:pPr>
              <w:widowControl/>
              <w:rPr>
                <w:rFonts w:cs="Arial"/>
                <w:b/>
                <w:sz w:val="20"/>
                <w:szCs w:val="20"/>
              </w:rPr>
            </w:pPr>
          </w:p>
        </w:tc>
        <w:tc>
          <w:tcPr>
            <w:tcW w:w="1869"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0</w:t>
            </w:r>
          </w:p>
        </w:tc>
        <w:tc>
          <w:tcPr>
            <w:tcW w:w="1856"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0.6</w:t>
            </w:r>
          </w:p>
        </w:tc>
        <w:tc>
          <w:tcPr>
            <w:tcW w:w="1862"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2.0</w:t>
            </w:r>
          </w:p>
        </w:tc>
        <w:tc>
          <w:tcPr>
            <w:tcW w:w="1840"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4.0</w:t>
            </w:r>
          </w:p>
        </w:tc>
      </w:tr>
      <w:tr w:rsidR="001B7DE7" w:rsidRPr="001B7DE7" w:rsidTr="004129E6">
        <w:trPr>
          <w:tblHeader/>
        </w:trPr>
        <w:tc>
          <w:tcPr>
            <w:tcW w:w="1707" w:type="dxa"/>
            <w:vMerge/>
          </w:tcPr>
          <w:p w:rsidR="001B7DE7" w:rsidRPr="001B7DE7" w:rsidRDefault="001B7DE7" w:rsidP="001B7DE7">
            <w:pPr>
              <w:widowControl/>
              <w:rPr>
                <w:rFonts w:cs="Arial"/>
                <w:sz w:val="20"/>
                <w:szCs w:val="20"/>
              </w:rPr>
            </w:pPr>
          </w:p>
        </w:tc>
        <w:tc>
          <w:tcPr>
            <w:tcW w:w="963"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c>
          <w:tcPr>
            <w:tcW w:w="950"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c>
          <w:tcPr>
            <w:tcW w:w="956"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c>
          <w:tcPr>
            <w:tcW w:w="934"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r>
      <w:tr w:rsidR="001B7DE7" w:rsidRPr="001B7DE7" w:rsidTr="004129E6">
        <w:tc>
          <w:tcPr>
            <w:tcW w:w="1707" w:type="dxa"/>
          </w:tcPr>
          <w:p w:rsidR="001B7DE7" w:rsidRPr="001B7DE7" w:rsidRDefault="001B7DE7" w:rsidP="001B7DE7">
            <w:pPr>
              <w:widowControl/>
              <w:rPr>
                <w:rFonts w:cs="Arial"/>
                <w:sz w:val="20"/>
                <w:szCs w:val="20"/>
              </w:rPr>
            </w:pPr>
            <w:r w:rsidRPr="001B7DE7">
              <w:rPr>
                <w:rFonts w:cs="Arial"/>
                <w:sz w:val="20"/>
                <w:szCs w:val="20"/>
              </w:rPr>
              <w:t>Bodyweight (g)</w:t>
            </w:r>
          </w:p>
          <w:p w:rsidR="001B7DE7" w:rsidRPr="001B7DE7" w:rsidRDefault="001B7DE7" w:rsidP="001B7DE7">
            <w:pPr>
              <w:widowControl/>
              <w:rPr>
                <w:rFonts w:cs="Arial"/>
                <w:sz w:val="20"/>
                <w:szCs w:val="20"/>
              </w:rPr>
            </w:pPr>
            <w:r w:rsidRPr="001B7DE7">
              <w:rPr>
                <w:rFonts w:cs="Arial"/>
                <w:sz w:val="20"/>
                <w:szCs w:val="20"/>
              </w:rPr>
              <w:t xml:space="preserve">   d 29</w:t>
            </w:r>
          </w:p>
          <w:p w:rsidR="001B7DE7" w:rsidRPr="001B7DE7" w:rsidRDefault="001B7DE7" w:rsidP="001B7DE7">
            <w:pPr>
              <w:widowControl/>
              <w:rPr>
                <w:rFonts w:cs="Arial"/>
                <w:sz w:val="20"/>
                <w:szCs w:val="20"/>
              </w:rPr>
            </w:pPr>
            <w:r w:rsidRPr="001B7DE7">
              <w:rPr>
                <w:rFonts w:cs="Arial"/>
                <w:sz w:val="20"/>
                <w:szCs w:val="20"/>
              </w:rPr>
              <w:t xml:space="preserve">   d 57</w:t>
            </w:r>
          </w:p>
          <w:p w:rsidR="001B7DE7" w:rsidRPr="001B7DE7" w:rsidRDefault="001B7DE7" w:rsidP="001B7DE7">
            <w:pPr>
              <w:widowControl/>
              <w:rPr>
                <w:rFonts w:cs="Arial"/>
                <w:sz w:val="20"/>
                <w:szCs w:val="20"/>
              </w:rPr>
            </w:pPr>
            <w:r w:rsidRPr="001B7DE7">
              <w:rPr>
                <w:rFonts w:cs="Arial"/>
                <w:sz w:val="20"/>
                <w:szCs w:val="20"/>
              </w:rPr>
              <w:t xml:space="preserve">   d 92</w:t>
            </w:r>
          </w:p>
        </w:tc>
        <w:tc>
          <w:tcPr>
            <w:tcW w:w="963"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333</w:t>
            </w:r>
          </w:p>
          <w:p w:rsidR="001B7DE7" w:rsidRPr="001B7DE7" w:rsidRDefault="001B7DE7" w:rsidP="001B7DE7">
            <w:pPr>
              <w:widowControl/>
              <w:jc w:val="center"/>
              <w:rPr>
                <w:rFonts w:cs="Arial"/>
                <w:sz w:val="20"/>
                <w:szCs w:val="20"/>
              </w:rPr>
            </w:pPr>
            <w:r w:rsidRPr="001B7DE7">
              <w:rPr>
                <w:rFonts w:cs="Arial"/>
                <w:sz w:val="20"/>
                <w:szCs w:val="20"/>
              </w:rPr>
              <w:t>428</w:t>
            </w:r>
          </w:p>
          <w:p w:rsidR="001B7DE7" w:rsidRPr="001B7DE7" w:rsidRDefault="001B7DE7" w:rsidP="001B7DE7">
            <w:pPr>
              <w:widowControl/>
              <w:jc w:val="center"/>
              <w:rPr>
                <w:rFonts w:cs="Arial"/>
                <w:sz w:val="20"/>
                <w:szCs w:val="20"/>
              </w:rPr>
            </w:pPr>
            <w:r w:rsidRPr="001B7DE7">
              <w:rPr>
                <w:rFonts w:cs="Arial"/>
                <w:sz w:val="20"/>
                <w:szCs w:val="20"/>
              </w:rPr>
              <w:t>496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214</w:t>
            </w:r>
          </w:p>
          <w:p w:rsidR="001B7DE7" w:rsidRPr="001B7DE7" w:rsidRDefault="001B7DE7" w:rsidP="001B7DE7">
            <w:pPr>
              <w:widowControl/>
              <w:jc w:val="center"/>
              <w:rPr>
                <w:rFonts w:cs="Arial"/>
                <w:sz w:val="20"/>
                <w:szCs w:val="20"/>
              </w:rPr>
            </w:pPr>
            <w:r w:rsidRPr="001B7DE7">
              <w:rPr>
                <w:rFonts w:cs="Arial"/>
                <w:sz w:val="20"/>
                <w:szCs w:val="20"/>
              </w:rPr>
              <w:t>263</w:t>
            </w:r>
          </w:p>
          <w:p w:rsidR="001B7DE7" w:rsidRPr="001B7DE7" w:rsidRDefault="001B7DE7" w:rsidP="001B7DE7">
            <w:pPr>
              <w:widowControl/>
              <w:jc w:val="center"/>
              <w:rPr>
                <w:rFonts w:cs="Arial"/>
                <w:sz w:val="20"/>
                <w:szCs w:val="20"/>
              </w:rPr>
            </w:pPr>
            <w:r w:rsidRPr="001B7DE7">
              <w:rPr>
                <w:rFonts w:cs="Arial"/>
                <w:sz w:val="20"/>
                <w:szCs w:val="20"/>
              </w:rPr>
              <w:t>272</w:t>
            </w:r>
          </w:p>
        </w:tc>
        <w:tc>
          <w:tcPr>
            <w:tcW w:w="95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319</w:t>
            </w:r>
          </w:p>
          <w:p w:rsidR="001B7DE7" w:rsidRPr="001B7DE7" w:rsidRDefault="001B7DE7" w:rsidP="001B7DE7">
            <w:pPr>
              <w:widowControl/>
              <w:jc w:val="center"/>
              <w:rPr>
                <w:rFonts w:cs="Arial"/>
                <w:sz w:val="20"/>
                <w:szCs w:val="20"/>
              </w:rPr>
            </w:pPr>
            <w:r w:rsidRPr="001B7DE7">
              <w:rPr>
                <w:rFonts w:cs="Arial"/>
                <w:sz w:val="20"/>
                <w:szCs w:val="20"/>
              </w:rPr>
              <w:t>407</w:t>
            </w:r>
          </w:p>
          <w:p w:rsidR="001B7DE7" w:rsidRPr="001B7DE7" w:rsidRDefault="001B7DE7" w:rsidP="001B7DE7">
            <w:pPr>
              <w:widowControl/>
              <w:jc w:val="center"/>
              <w:rPr>
                <w:rFonts w:cs="Arial"/>
                <w:sz w:val="20"/>
                <w:szCs w:val="20"/>
              </w:rPr>
            </w:pPr>
            <w:r w:rsidRPr="001B7DE7">
              <w:rPr>
                <w:rFonts w:cs="Arial"/>
                <w:sz w:val="20"/>
                <w:szCs w:val="20"/>
              </w:rPr>
              <w:t>466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215</w:t>
            </w:r>
          </w:p>
          <w:p w:rsidR="001B7DE7" w:rsidRPr="001B7DE7" w:rsidRDefault="001B7DE7" w:rsidP="001B7DE7">
            <w:pPr>
              <w:widowControl/>
              <w:jc w:val="center"/>
              <w:rPr>
                <w:rFonts w:cs="Arial"/>
                <w:sz w:val="20"/>
                <w:szCs w:val="20"/>
              </w:rPr>
            </w:pPr>
            <w:r w:rsidRPr="001B7DE7">
              <w:rPr>
                <w:rFonts w:cs="Arial"/>
                <w:sz w:val="20"/>
                <w:szCs w:val="20"/>
              </w:rPr>
              <w:t>264</w:t>
            </w:r>
          </w:p>
          <w:p w:rsidR="001B7DE7" w:rsidRPr="001B7DE7" w:rsidRDefault="001B7DE7" w:rsidP="001B7DE7">
            <w:pPr>
              <w:widowControl/>
              <w:jc w:val="center"/>
              <w:rPr>
                <w:rFonts w:cs="Arial"/>
                <w:sz w:val="20"/>
                <w:szCs w:val="20"/>
              </w:rPr>
            </w:pPr>
            <w:r w:rsidRPr="001B7DE7">
              <w:rPr>
                <w:rFonts w:cs="Arial"/>
                <w:sz w:val="20"/>
                <w:szCs w:val="20"/>
              </w:rPr>
              <w:t>293</w:t>
            </w:r>
          </w:p>
        </w:tc>
        <w:tc>
          <w:tcPr>
            <w:tcW w:w="956"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321</w:t>
            </w:r>
          </w:p>
          <w:p w:rsidR="001B7DE7" w:rsidRPr="001B7DE7" w:rsidRDefault="001B7DE7" w:rsidP="001B7DE7">
            <w:pPr>
              <w:widowControl/>
              <w:jc w:val="center"/>
              <w:rPr>
                <w:rFonts w:cs="Arial"/>
                <w:sz w:val="20"/>
                <w:szCs w:val="20"/>
              </w:rPr>
            </w:pPr>
            <w:r w:rsidRPr="001B7DE7">
              <w:rPr>
                <w:rFonts w:cs="Arial"/>
                <w:sz w:val="20"/>
                <w:szCs w:val="20"/>
              </w:rPr>
              <w:t>419</w:t>
            </w:r>
          </w:p>
          <w:p w:rsidR="001B7DE7" w:rsidRPr="001B7DE7" w:rsidRDefault="001B7DE7" w:rsidP="001B7DE7">
            <w:pPr>
              <w:widowControl/>
              <w:jc w:val="center"/>
              <w:rPr>
                <w:rFonts w:cs="Arial"/>
                <w:sz w:val="20"/>
                <w:szCs w:val="20"/>
              </w:rPr>
            </w:pPr>
            <w:r w:rsidRPr="001B7DE7">
              <w:rPr>
                <w:rFonts w:cs="Arial"/>
                <w:sz w:val="20"/>
                <w:szCs w:val="20"/>
              </w:rPr>
              <w:t>478</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207</w:t>
            </w:r>
          </w:p>
          <w:p w:rsidR="001B7DE7" w:rsidRPr="001B7DE7" w:rsidRDefault="001B7DE7" w:rsidP="001B7DE7">
            <w:pPr>
              <w:widowControl/>
              <w:jc w:val="center"/>
              <w:rPr>
                <w:rFonts w:cs="Arial"/>
                <w:sz w:val="20"/>
                <w:szCs w:val="20"/>
              </w:rPr>
            </w:pPr>
            <w:r w:rsidRPr="001B7DE7">
              <w:rPr>
                <w:rFonts w:cs="Arial"/>
                <w:sz w:val="20"/>
                <w:szCs w:val="20"/>
              </w:rPr>
              <w:t>251</w:t>
            </w:r>
          </w:p>
          <w:p w:rsidR="001B7DE7" w:rsidRPr="001B7DE7" w:rsidRDefault="001B7DE7" w:rsidP="001B7DE7">
            <w:pPr>
              <w:widowControl/>
              <w:jc w:val="center"/>
              <w:rPr>
                <w:rFonts w:cs="Arial"/>
                <w:sz w:val="20"/>
                <w:szCs w:val="20"/>
              </w:rPr>
            </w:pPr>
            <w:r w:rsidRPr="001B7DE7">
              <w:rPr>
                <w:rFonts w:cs="Arial"/>
                <w:sz w:val="20"/>
                <w:szCs w:val="20"/>
              </w:rPr>
              <w:t>277</w:t>
            </w:r>
          </w:p>
        </w:tc>
        <w:tc>
          <w:tcPr>
            <w:tcW w:w="934"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b/>
                <w:sz w:val="20"/>
                <w:szCs w:val="20"/>
              </w:rPr>
            </w:pPr>
            <w:r w:rsidRPr="001B7DE7">
              <w:rPr>
                <w:rFonts w:cs="Arial"/>
                <w:b/>
                <w:sz w:val="20"/>
                <w:szCs w:val="20"/>
              </w:rPr>
              <w:t>306***</w:t>
            </w:r>
          </w:p>
          <w:p w:rsidR="001B7DE7" w:rsidRPr="001B7DE7" w:rsidRDefault="001B7DE7" w:rsidP="001B7DE7">
            <w:pPr>
              <w:widowControl/>
              <w:jc w:val="center"/>
              <w:rPr>
                <w:rFonts w:cs="Arial"/>
                <w:b/>
                <w:sz w:val="20"/>
                <w:szCs w:val="20"/>
              </w:rPr>
            </w:pPr>
            <w:r w:rsidRPr="001B7DE7">
              <w:rPr>
                <w:rFonts w:cs="Arial"/>
                <w:b/>
                <w:sz w:val="20"/>
                <w:szCs w:val="20"/>
              </w:rPr>
              <w:t>409*</w:t>
            </w:r>
          </w:p>
          <w:p w:rsidR="001B7DE7" w:rsidRPr="001B7DE7" w:rsidRDefault="001B7DE7" w:rsidP="001B7DE7">
            <w:pPr>
              <w:widowControl/>
              <w:jc w:val="center"/>
              <w:rPr>
                <w:rFonts w:cs="Arial"/>
                <w:sz w:val="20"/>
                <w:szCs w:val="20"/>
              </w:rPr>
            </w:pPr>
            <w:r w:rsidRPr="001B7DE7">
              <w:rPr>
                <w:rFonts w:cs="Arial"/>
                <w:sz w:val="20"/>
                <w:szCs w:val="20"/>
              </w:rPr>
              <w:t>457</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206</w:t>
            </w:r>
          </w:p>
          <w:p w:rsidR="001B7DE7" w:rsidRPr="001B7DE7" w:rsidRDefault="001B7DE7" w:rsidP="001B7DE7">
            <w:pPr>
              <w:widowControl/>
              <w:jc w:val="center"/>
              <w:rPr>
                <w:rFonts w:cs="Arial"/>
                <w:sz w:val="20"/>
                <w:szCs w:val="20"/>
              </w:rPr>
            </w:pPr>
            <w:r w:rsidRPr="001B7DE7">
              <w:rPr>
                <w:rFonts w:cs="Arial"/>
                <w:sz w:val="20"/>
                <w:szCs w:val="20"/>
              </w:rPr>
              <w:t>254</w:t>
            </w:r>
          </w:p>
          <w:p w:rsidR="001B7DE7" w:rsidRPr="001B7DE7" w:rsidRDefault="001B7DE7" w:rsidP="001B7DE7">
            <w:pPr>
              <w:widowControl/>
              <w:jc w:val="center"/>
              <w:rPr>
                <w:rFonts w:cs="Arial"/>
                <w:sz w:val="20"/>
                <w:szCs w:val="20"/>
              </w:rPr>
            </w:pPr>
            <w:r w:rsidRPr="001B7DE7">
              <w:rPr>
                <w:rFonts w:cs="Arial"/>
                <w:sz w:val="20"/>
                <w:szCs w:val="20"/>
              </w:rPr>
              <w:t>281</w:t>
            </w:r>
          </w:p>
        </w:tc>
      </w:tr>
      <w:tr w:rsidR="001B7DE7" w:rsidRPr="001B7DE7" w:rsidTr="004129E6">
        <w:tc>
          <w:tcPr>
            <w:tcW w:w="1707" w:type="dxa"/>
          </w:tcPr>
          <w:p w:rsidR="001B7DE7" w:rsidRPr="001B7DE7" w:rsidRDefault="001B7DE7" w:rsidP="001B7DE7">
            <w:pPr>
              <w:widowControl/>
              <w:rPr>
                <w:rFonts w:cs="Arial"/>
                <w:sz w:val="20"/>
                <w:szCs w:val="20"/>
              </w:rPr>
            </w:pPr>
            <w:r w:rsidRPr="001B7DE7">
              <w:rPr>
                <w:rFonts w:cs="Arial"/>
                <w:sz w:val="20"/>
                <w:szCs w:val="20"/>
              </w:rPr>
              <w:t>Bodyweight gain (g)</w:t>
            </w:r>
          </w:p>
          <w:p w:rsidR="001B7DE7" w:rsidRPr="001B7DE7" w:rsidRDefault="001B7DE7" w:rsidP="001B7DE7">
            <w:pPr>
              <w:widowControl/>
              <w:rPr>
                <w:rFonts w:cs="Arial"/>
                <w:sz w:val="20"/>
                <w:szCs w:val="20"/>
              </w:rPr>
            </w:pPr>
            <w:r w:rsidRPr="001B7DE7">
              <w:rPr>
                <w:rFonts w:cs="Arial"/>
                <w:sz w:val="20"/>
                <w:szCs w:val="20"/>
              </w:rPr>
              <w:t xml:space="preserve">   d 0-92</w:t>
            </w:r>
          </w:p>
        </w:tc>
        <w:tc>
          <w:tcPr>
            <w:tcW w:w="963"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346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149</w:t>
            </w:r>
          </w:p>
        </w:tc>
        <w:tc>
          <w:tcPr>
            <w:tcW w:w="95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316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172</w:t>
            </w:r>
          </w:p>
        </w:tc>
        <w:tc>
          <w:tcPr>
            <w:tcW w:w="956"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328</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154</w:t>
            </w:r>
          </w:p>
        </w:tc>
        <w:tc>
          <w:tcPr>
            <w:tcW w:w="934"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307</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159</w:t>
            </w:r>
          </w:p>
        </w:tc>
      </w:tr>
      <w:tr w:rsidR="001B7DE7" w:rsidRPr="001B7DE7" w:rsidTr="004129E6">
        <w:trPr>
          <w:cantSplit/>
        </w:trPr>
        <w:tc>
          <w:tcPr>
            <w:tcW w:w="1707" w:type="dxa"/>
          </w:tcPr>
          <w:p w:rsidR="001B7DE7" w:rsidRPr="001B7DE7" w:rsidRDefault="001B7DE7" w:rsidP="001B7DE7">
            <w:pPr>
              <w:widowControl/>
              <w:rPr>
                <w:rFonts w:cs="Arial"/>
                <w:sz w:val="20"/>
                <w:szCs w:val="20"/>
              </w:rPr>
            </w:pPr>
            <w:r w:rsidRPr="001B7DE7">
              <w:rPr>
                <w:rFonts w:cs="Arial"/>
                <w:sz w:val="20"/>
                <w:szCs w:val="20"/>
              </w:rPr>
              <w:t>Feed consumption (g/rat/day)</w:t>
            </w:r>
          </w:p>
          <w:p w:rsidR="001B7DE7" w:rsidRPr="001B7DE7" w:rsidRDefault="001B7DE7" w:rsidP="001B7DE7">
            <w:pPr>
              <w:widowControl/>
              <w:rPr>
                <w:rFonts w:cs="Arial"/>
                <w:sz w:val="20"/>
                <w:szCs w:val="20"/>
              </w:rPr>
            </w:pPr>
            <w:r w:rsidRPr="001B7DE7">
              <w:rPr>
                <w:rFonts w:cs="Arial"/>
                <w:sz w:val="20"/>
                <w:szCs w:val="20"/>
              </w:rPr>
              <w:t xml:space="preserve">   d 1</w:t>
            </w:r>
          </w:p>
          <w:p w:rsidR="001B7DE7" w:rsidRPr="001B7DE7" w:rsidRDefault="001B7DE7" w:rsidP="001B7DE7">
            <w:pPr>
              <w:widowControl/>
              <w:rPr>
                <w:rFonts w:cs="Arial"/>
                <w:sz w:val="20"/>
                <w:szCs w:val="20"/>
              </w:rPr>
            </w:pPr>
            <w:r w:rsidRPr="001B7DE7">
              <w:rPr>
                <w:rFonts w:cs="Arial"/>
                <w:sz w:val="20"/>
                <w:szCs w:val="20"/>
              </w:rPr>
              <w:t xml:space="preserve">   d 29</w:t>
            </w:r>
          </w:p>
          <w:p w:rsidR="001B7DE7" w:rsidRPr="001B7DE7" w:rsidRDefault="001B7DE7" w:rsidP="001B7DE7">
            <w:pPr>
              <w:widowControl/>
              <w:rPr>
                <w:rFonts w:cs="Arial"/>
                <w:sz w:val="20"/>
                <w:szCs w:val="20"/>
              </w:rPr>
            </w:pPr>
            <w:r w:rsidRPr="001B7DE7">
              <w:rPr>
                <w:rFonts w:cs="Arial"/>
                <w:sz w:val="20"/>
                <w:szCs w:val="20"/>
              </w:rPr>
              <w:t xml:space="preserve">   d 57</w:t>
            </w:r>
          </w:p>
          <w:p w:rsidR="001B7DE7" w:rsidRPr="001B7DE7" w:rsidRDefault="001B7DE7" w:rsidP="001B7DE7">
            <w:pPr>
              <w:widowControl/>
              <w:rPr>
                <w:rFonts w:cs="Arial"/>
                <w:sz w:val="20"/>
                <w:szCs w:val="20"/>
              </w:rPr>
            </w:pPr>
            <w:r w:rsidRPr="001B7DE7">
              <w:rPr>
                <w:rFonts w:cs="Arial"/>
                <w:sz w:val="20"/>
                <w:szCs w:val="20"/>
              </w:rPr>
              <w:t xml:space="preserve">   d 92</w:t>
            </w:r>
          </w:p>
          <w:p w:rsidR="001B7DE7" w:rsidRPr="001B7DE7" w:rsidRDefault="001B7DE7" w:rsidP="001B7DE7">
            <w:pPr>
              <w:widowControl/>
              <w:rPr>
                <w:rFonts w:cs="Arial"/>
                <w:sz w:val="20"/>
                <w:szCs w:val="20"/>
              </w:rPr>
            </w:pPr>
            <w:r w:rsidRPr="001B7DE7">
              <w:rPr>
                <w:rFonts w:cs="Arial"/>
                <w:sz w:val="20"/>
                <w:szCs w:val="20"/>
              </w:rPr>
              <w:t xml:space="preserve">   Overall mean</w:t>
            </w:r>
          </w:p>
        </w:tc>
        <w:tc>
          <w:tcPr>
            <w:tcW w:w="963"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19.4</w:t>
            </w:r>
          </w:p>
          <w:p w:rsidR="001B7DE7" w:rsidRPr="001B7DE7" w:rsidRDefault="001B7DE7" w:rsidP="001B7DE7">
            <w:pPr>
              <w:widowControl/>
              <w:jc w:val="center"/>
              <w:rPr>
                <w:rFonts w:cs="Arial"/>
                <w:sz w:val="20"/>
                <w:szCs w:val="20"/>
              </w:rPr>
            </w:pPr>
            <w:r w:rsidRPr="001B7DE7">
              <w:rPr>
                <w:rFonts w:cs="Arial"/>
                <w:sz w:val="20"/>
                <w:szCs w:val="20"/>
              </w:rPr>
              <w:t>24.0</w:t>
            </w:r>
          </w:p>
          <w:p w:rsidR="001B7DE7" w:rsidRPr="001B7DE7" w:rsidRDefault="001B7DE7" w:rsidP="001B7DE7">
            <w:pPr>
              <w:widowControl/>
              <w:jc w:val="center"/>
              <w:rPr>
                <w:rFonts w:cs="Arial"/>
                <w:sz w:val="20"/>
                <w:szCs w:val="20"/>
              </w:rPr>
            </w:pPr>
            <w:r w:rsidRPr="001B7DE7">
              <w:rPr>
                <w:rFonts w:cs="Arial"/>
                <w:sz w:val="20"/>
                <w:szCs w:val="20"/>
              </w:rPr>
              <w:t>22.0</w:t>
            </w:r>
          </w:p>
          <w:p w:rsidR="001B7DE7" w:rsidRPr="001B7DE7" w:rsidRDefault="001B7DE7" w:rsidP="001B7DE7">
            <w:pPr>
              <w:widowControl/>
              <w:jc w:val="center"/>
              <w:rPr>
                <w:rFonts w:cs="Arial"/>
                <w:sz w:val="20"/>
                <w:szCs w:val="20"/>
              </w:rPr>
            </w:pPr>
            <w:r w:rsidRPr="001B7DE7">
              <w:rPr>
                <w:rFonts w:cs="Arial"/>
                <w:sz w:val="20"/>
                <w:szCs w:val="20"/>
              </w:rPr>
              <w:t>21.3</w:t>
            </w:r>
          </w:p>
          <w:p w:rsidR="001B7DE7" w:rsidRPr="001B7DE7" w:rsidRDefault="001B7DE7" w:rsidP="001B7DE7">
            <w:pPr>
              <w:widowControl/>
              <w:jc w:val="center"/>
              <w:rPr>
                <w:rFonts w:cs="Arial"/>
                <w:sz w:val="20"/>
                <w:szCs w:val="20"/>
              </w:rPr>
            </w:pPr>
            <w:r w:rsidRPr="001B7DE7">
              <w:rPr>
                <w:rFonts w:cs="Arial"/>
                <w:sz w:val="20"/>
                <w:szCs w:val="20"/>
              </w:rPr>
              <w:t>21.9</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15.6</w:t>
            </w:r>
          </w:p>
          <w:p w:rsidR="001B7DE7" w:rsidRPr="001B7DE7" w:rsidRDefault="001B7DE7" w:rsidP="001B7DE7">
            <w:pPr>
              <w:widowControl/>
              <w:jc w:val="center"/>
              <w:rPr>
                <w:rFonts w:cs="Arial"/>
                <w:sz w:val="20"/>
                <w:szCs w:val="20"/>
              </w:rPr>
            </w:pPr>
            <w:r w:rsidRPr="001B7DE7">
              <w:rPr>
                <w:rFonts w:cs="Arial"/>
                <w:sz w:val="20"/>
                <w:szCs w:val="20"/>
              </w:rPr>
              <w:t>22.7</w:t>
            </w:r>
          </w:p>
          <w:p w:rsidR="001B7DE7" w:rsidRPr="001B7DE7" w:rsidRDefault="001B7DE7" w:rsidP="001B7DE7">
            <w:pPr>
              <w:widowControl/>
              <w:jc w:val="center"/>
              <w:rPr>
                <w:rFonts w:cs="Arial"/>
                <w:sz w:val="20"/>
                <w:szCs w:val="20"/>
              </w:rPr>
            </w:pPr>
            <w:r w:rsidRPr="001B7DE7">
              <w:rPr>
                <w:rFonts w:cs="Arial"/>
                <w:sz w:val="20"/>
                <w:szCs w:val="20"/>
              </w:rPr>
              <w:t>17.5</w:t>
            </w:r>
          </w:p>
          <w:p w:rsidR="001B7DE7" w:rsidRPr="001B7DE7" w:rsidRDefault="001B7DE7" w:rsidP="001B7DE7">
            <w:pPr>
              <w:widowControl/>
              <w:jc w:val="center"/>
              <w:rPr>
                <w:rFonts w:cs="Arial"/>
                <w:sz w:val="20"/>
                <w:szCs w:val="20"/>
              </w:rPr>
            </w:pPr>
            <w:r w:rsidRPr="001B7DE7">
              <w:rPr>
                <w:rFonts w:cs="Arial"/>
                <w:sz w:val="20"/>
                <w:szCs w:val="20"/>
              </w:rPr>
              <w:t>17.2</w:t>
            </w:r>
          </w:p>
          <w:p w:rsidR="001B7DE7" w:rsidRPr="001B7DE7" w:rsidRDefault="001B7DE7" w:rsidP="001B7DE7">
            <w:pPr>
              <w:widowControl/>
              <w:jc w:val="center"/>
              <w:rPr>
                <w:rFonts w:cs="Arial"/>
                <w:sz w:val="20"/>
                <w:szCs w:val="20"/>
              </w:rPr>
            </w:pPr>
            <w:r w:rsidRPr="001B7DE7">
              <w:rPr>
                <w:rFonts w:cs="Arial"/>
                <w:sz w:val="20"/>
                <w:szCs w:val="20"/>
              </w:rPr>
              <w:t>17.8</w:t>
            </w:r>
          </w:p>
        </w:tc>
        <w:tc>
          <w:tcPr>
            <w:tcW w:w="95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18.2</w:t>
            </w:r>
          </w:p>
          <w:p w:rsidR="001B7DE7" w:rsidRPr="001B7DE7" w:rsidRDefault="001B7DE7" w:rsidP="001B7DE7">
            <w:pPr>
              <w:widowControl/>
              <w:jc w:val="center"/>
              <w:rPr>
                <w:rFonts w:cs="Arial"/>
                <w:sz w:val="20"/>
                <w:szCs w:val="20"/>
              </w:rPr>
            </w:pPr>
            <w:r w:rsidRPr="001B7DE7">
              <w:rPr>
                <w:rFonts w:cs="Arial"/>
                <w:sz w:val="20"/>
                <w:szCs w:val="20"/>
              </w:rPr>
              <w:t>26.4</w:t>
            </w:r>
          </w:p>
          <w:p w:rsidR="001B7DE7" w:rsidRPr="001B7DE7" w:rsidRDefault="001B7DE7" w:rsidP="001B7DE7">
            <w:pPr>
              <w:widowControl/>
              <w:jc w:val="center"/>
              <w:rPr>
                <w:rFonts w:cs="Arial"/>
                <w:sz w:val="20"/>
                <w:szCs w:val="20"/>
              </w:rPr>
            </w:pPr>
            <w:r w:rsidRPr="001B7DE7">
              <w:rPr>
                <w:rFonts w:cs="Arial"/>
                <w:sz w:val="20"/>
                <w:szCs w:val="20"/>
              </w:rPr>
              <w:t>19.4</w:t>
            </w:r>
          </w:p>
          <w:p w:rsidR="001B7DE7" w:rsidRPr="001B7DE7" w:rsidRDefault="001B7DE7" w:rsidP="001B7DE7">
            <w:pPr>
              <w:widowControl/>
              <w:jc w:val="center"/>
              <w:rPr>
                <w:rFonts w:cs="Arial"/>
                <w:sz w:val="20"/>
                <w:szCs w:val="20"/>
              </w:rPr>
            </w:pPr>
            <w:r w:rsidRPr="001B7DE7">
              <w:rPr>
                <w:rFonts w:cs="Arial"/>
                <w:sz w:val="20"/>
                <w:szCs w:val="20"/>
              </w:rPr>
              <w:t>21.5</w:t>
            </w:r>
          </w:p>
          <w:p w:rsidR="001B7DE7" w:rsidRPr="001B7DE7" w:rsidRDefault="001B7DE7" w:rsidP="001B7DE7">
            <w:pPr>
              <w:widowControl/>
              <w:jc w:val="center"/>
              <w:rPr>
                <w:rFonts w:cs="Arial"/>
                <w:sz w:val="20"/>
                <w:szCs w:val="20"/>
              </w:rPr>
            </w:pPr>
            <w:r w:rsidRPr="001B7DE7">
              <w:rPr>
                <w:rFonts w:cs="Arial"/>
                <w:sz w:val="20"/>
                <w:szCs w:val="20"/>
              </w:rPr>
              <w:t>20.5</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15.6</w:t>
            </w:r>
          </w:p>
          <w:p w:rsidR="001B7DE7" w:rsidRPr="001B7DE7" w:rsidRDefault="001B7DE7" w:rsidP="001B7DE7">
            <w:pPr>
              <w:widowControl/>
              <w:jc w:val="center"/>
              <w:rPr>
                <w:rFonts w:cs="Arial"/>
                <w:sz w:val="20"/>
                <w:szCs w:val="20"/>
              </w:rPr>
            </w:pPr>
            <w:r w:rsidRPr="001B7DE7">
              <w:rPr>
                <w:rFonts w:cs="Arial"/>
                <w:sz w:val="20"/>
                <w:szCs w:val="20"/>
              </w:rPr>
              <w:t>19.2</w:t>
            </w:r>
          </w:p>
          <w:p w:rsidR="001B7DE7" w:rsidRPr="001B7DE7" w:rsidRDefault="001B7DE7" w:rsidP="001B7DE7">
            <w:pPr>
              <w:widowControl/>
              <w:jc w:val="center"/>
              <w:rPr>
                <w:rFonts w:cs="Arial"/>
                <w:sz w:val="20"/>
                <w:szCs w:val="20"/>
              </w:rPr>
            </w:pPr>
            <w:r w:rsidRPr="001B7DE7">
              <w:rPr>
                <w:rFonts w:cs="Arial"/>
                <w:sz w:val="20"/>
                <w:szCs w:val="20"/>
              </w:rPr>
              <w:t>17.2</w:t>
            </w:r>
          </w:p>
          <w:p w:rsidR="001B7DE7" w:rsidRPr="001B7DE7" w:rsidRDefault="001B7DE7" w:rsidP="001B7DE7">
            <w:pPr>
              <w:widowControl/>
              <w:jc w:val="center"/>
              <w:rPr>
                <w:rFonts w:cs="Arial"/>
                <w:sz w:val="20"/>
                <w:szCs w:val="20"/>
              </w:rPr>
            </w:pPr>
            <w:r w:rsidRPr="001B7DE7">
              <w:rPr>
                <w:rFonts w:cs="Arial"/>
                <w:sz w:val="20"/>
                <w:szCs w:val="20"/>
              </w:rPr>
              <w:t>17.6</w:t>
            </w:r>
          </w:p>
          <w:p w:rsidR="001B7DE7" w:rsidRPr="001B7DE7" w:rsidRDefault="001B7DE7" w:rsidP="001B7DE7">
            <w:pPr>
              <w:widowControl/>
              <w:jc w:val="center"/>
              <w:rPr>
                <w:rFonts w:cs="Arial"/>
                <w:sz w:val="20"/>
                <w:szCs w:val="20"/>
              </w:rPr>
            </w:pPr>
            <w:r w:rsidRPr="001B7DE7">
              <w:rPr>
                <w:rFonts w:cs="Arial"/>
                <w:sz w:val="20"/>
                <w:szCs w:val="20"/>
              </w:rPr>
              <w:t>17.4</w:t>
            </w:r>
          </w:p>
        </w:tc>
        <w:tc>
          <w:tcPr>
            <w:tcW w:w="956"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14.7</w:t>
            </w:r>
          </w:p>
          <w:p w:rsidR="001B7DE7" w:rsidRPr="001B7DE7" w:rsidRDefault="001B7DE7" w:rsidP="001B7DE7">
            <w:pPr>
              <w:widowControl/>
              <w:jc w:val="center"/>
              <w:rPr>
                <w:rFonts w:cs="Arial"/>
                <w:sz w:val="20"/>
                <w:szCs w:val="20"/>
              </w:rPr>
            </w:pPr>
            <w:r w:rsidRPr="001B7DE7">
              <w:rPr>
                <w:rFonts w:cs="Arial"/>
                <w:sz w:val="20"/>
                <w:szCs w:val="20"/>
              </w:rPr>
              <w:t>22.9</w:t>
            </w:r>
          </w:p>
          <w:p w:rsidR="001B7DE7" w:rsidRPr="001B7DE7" w:rsidRDefault="001B7DE7" w:rsidP="001B7DE7">
            <w:pPr>
              <w:widowControl/>
              <w:jc w:val="center"/>
              <w:rPr>
                <w:rFonts w:cs="Arial"/>
                <w:sz w:val="20"/>
                <w:szCs w:val="20"/>
              </w:rPr>
            </w:pPr>
            <w:r w:rsidRPr="001B7DE7">
              <w:rPr>
                <w:rFonts w:cs="Arial"/>
                <w:sz w:val="20"/>
                <w:szCs w:val="20"/>
              </w:rPr>
              <w:t>20.4</w:t>
            </w:r>
          </w:p>
          <w:p w:rsidR="001B7DE7" w:rsidRPr="001B7DE7" w:rsidRDefault="001B7DE7" w:rsidP="001B7DE7">
            <w:pPr>
              <w:widowControl/>
              <w:jc w:val="center"/>
              <w:rPr>
                <w:rFonts w:cs="Arial"/>
                <w:sz w:val="20"/>
                <w:szCs w:val="20"/>
              </w:rPr>
            </w:pPr>
            <w:r w:rsidRPr="001B7DE7">
              <w:rPr>
                <w:rFonts w:cs="Arial"/>
                <w:sz w:val="20"/>
                <w:szCs w:val="20"/>
              </w:rPr>
              <w:t>20.2</w:t>
            </w:r>
          </w:p>
          <w:p w:rsidR="001B7DE7" w:rsidRPr="001B7DE7" w:rsidRDefault="001B7DE7" w:rsidP="001B7DE7">
            <w:pPr>
              <w:widowControl/>
              <w:jc w:val="center"/>
              <w:rPr>
                <w:rFonts w:cs="Arial"/>
                <w:sz w:val="20"/>
                <w:szCs w:val="20"/>
              </w:rPr>
            </w:pPr>
            <w:r w:rsidRPr="001B7DE7">
              <w:rPr>
                <w:rFonts w:cs="Arial"/>
                <w:sz w:val="20"/>
                <w:szCs w:val="20"/>
              </w:rPr>
              <w:t>20.3</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13.3</w:t>
            </w:r>
          </w:p>
          <w:p w:rsidR="001B7DE7" w:rsidRPr="001B7DE7" w:rsidRDefault="001B7DE7" w:rsidP="001B7DE7">
            <w:pPr>
              <w:widowControl/>
              <w:jc w:val="center"/>
              <w:rPr>
                <w:rFonts w:cs="Arial"/>
                <w:sz w:val="20"/>
                <w:szCs w:val="20"/>
              </w:rPr>
            </w:pPr>
            <w:r w:rsidRPr="001B7DE7">
              <w:rPr>
                <w:rFonts w:cs="Arial"/>
                <w:sz w:val="20"/>
                <w:szCs w:val="20"/>
              </w:rPr>
              <w:t>16.8</w:t>
            </w:r>
          </w:p>
          <w:p w:rsidR="001B7DE7" w:rsidRPr="001B7DE7" w:rsidRDefault="001B7DE7" w:rsidP="001B7DE7">
            <w:pPr>
              <w:widowControl/>
              <w:jc w:val="center"/>
              <w:rPr>
                <w:rFonts w:cs="Arial"/>
                <w:sz w:val="20"/>
                <w:szCs w:val="20"/>
              </w:rPr>
            </w:pPr>
            <w:r w:rsidRPr="001B7DE7">
              <w:rPr>
                <w:rFonts w:cs="Arial"/>
                <w:sz w:val="20"/>
                <w:szCs w:val="20"/>
              </w:rPr>
              <w:t>11.3</w:t>
            </w:r>
          </w:p>
          <w:p w:rsidR="001B7DE7" w:rsidRPr="001B7DE7" w:rsidRDefault="001B7DE7" w:rsidP="001B7DE7">
            <w:pPr>
              <w:widowControl/>
              <w:jc w:val="center"/>
              <w:rPr>
                <w:rFonts w:cs="Arial"/>
                <w:sz w:val="20"/>
                <w:szCs w:val="20"/>
              </w:rPr>
            </w:pPr>
            <w:r w:rsidRPr="001B7DE7">
              <w:rPr>
                <w:rFonts w:cs="Arial"/>
                <w:sz w:val="20"/>
                <w:szCs w:val="20"/>
              </w:rPr>
              <w:t>12.4</w:t>
            </w:r>
          </w:p>
          <w:p w:rsidR="001B7DE7" w:rsidRPr="001B7DE7" w:rsidRDefault="001B7DE7" w:rsidP="001B7DE7">
            <w:pPr>
              <w:widowControl/>
              <w:jc w:val="center"/>
              <w:rPr>
                <w:rFonts w:cs="Arial"/>
                <w:b/>
                <w:sz w:val="20"/>
                <w:szCs w:val="20"/>
              </w:rPr>
            </w:pPr>
            <w:r w:rsidRPr="001B7DE7">
              <w:rPr>
                <w:rFonts w:cs="Arial"/>
                <w:b/>
                <w:sz w:val="20"/>
                <w:szCs w:val="20"/>
              </w:rPr>
              <w:t>14.0**</w:t>
            </w:r>
          </w:p>
        </w:tc>
        <w:tc>
          <w:tcPr>
            <w:tcW w:w="934"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9.4</w:t>
            </w:r>
          </w:p>
          <w:p w:rsidR="001B7DE7" w:rsidRPr="001B7DE7" w:rsidRDefault="001B7DE7" w:rsidP="001B7DE7">
            <w:pPr>
              <w:widowControl/>
              <w:jc w:val="center"/>
              <w:rPr>
                <w:rFonts w:cs="Arial"/>
                <w:sz w:val="20"/>
                <w:szCs w:val="20"/>
              </w:rPr>
            </w:pPr>
            <w:r w:rsidRPr="001B7DE7">
              <w:rPr>
                <w:rFonts w:cs="Arial"/>
                <w:sz w:val="20"/>
                <w:szCs w:val="20"/>
              </w:rPr>
              <w:t>22.3</w:t>
            </w:r>
          </w:p>
          <w:p w:rsidR="001B7DE7" w:rsidRPr="001B7DE7" w:rsidRDefault="001B7DE7" w:rsidP="001B7DE7">
            <w:pPr>
              <w:widowControl/>
              <w:jc w:val="center"/>
              <w:rPr>
                <w:rFonts w:cs="Arial"/>
                <w:sz w:val="20"/>
                <w:szCs w:val="20"/>
              </w:rPr>
            </w:pPr>
            <w:r w:rsidRPr="001B7DE7">
              <w:rPr>
                <w:rFonts w:cs="Arial"/>
                <w:sz w:val="20"/>
                <w:szCs w:val="20"/>
              </w:rPr>
              <w:t>20.4</w:t>
            </w:r>
          </w:p>
          <w:p w:rsidR="001B7DE7" w:rsidRPr="001B7DE7" w:rsidRDefault="001B7DE7" w:rsidP="001B7DE7">
            <w:pPr>
              <w:widowControl/>
              <w:jc w:val="center"/>
              <w:rPr>
                <w:rFonts w:cs="Arial"/>
                <w:sz w:val="20"/>
                <w:szCs w:val="20"/>
              </w:rPr>
            </w:pPr>
            <w:r w:rsidRPr="001B7DE7">
              <w:rPr>
                <w:rFonts w:cs="Arial"/>
                <w:sz w:val="20"/>
                <w:szCs w:val="20"/>
              </w:rPr>
              <w:t>20.2</w:t>
            </w:r>
          </w:p>
          <w:p w:rsidR="001B7DE7" w:rsidRPr="001B7DE7" w:rsidRDefault="001B7DE7" w:rsidP="001B7DE7">
            <w:pPr>
              <w:widowControl/>
              <w:jc w:val="center"/>
              <w:rPr>
                <w:rFonts w:cs="Arial"/>
                <w:sz w:val="20"/>
                <w:szCs w:val="20"/>
              </w:rPr>
            </w:pPr>
            <w:r w:rsidRPr="001B7DE7">
              <w:rPr>
                <w:rFonts w:cs="Arial"/>
                <w:sz w:val="20"/>
                <w:szCs w:val="20"/>
              </w:rPr>
              <w:t>20.0</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6.4</w:t>
            </w:r>
          </w:p>
          <w:p w:rsidR="001B7DE7" w:rsidRPr="001B7DE7" w:rsidRDefault="001B7DE7" w:rsidP="001B7DE7">
            <w:pPr>
              <w:widowControl/>
              <w:jc w:val="center"/>
              <w:rPr>
                <w:rFonts w:cs="Arial"/>
                <w:sz w:val="20"/>
                <w:szCs w:val="20"/>
              </w:rPr>
            </w:pPr>
            <w:r w:rsidRPr="001B7DE7">
              <w:rPr>
                <w:rFonts w:cs="Arial"/>
                <w:sz w:val="20"/>
                <w:szCs w:val="20"/>
              </w:rPr>
              <w:t>15.5</w:t>
            </w:r>
          </w:p>
          <w:p w:rsidR="001B7DE7" w:rsidRPr="001B7DE7" w:rsidRDefault="001B7DE7" w:rsidP="001B7DE7">
            <w:pPr>
              <w:widowControl/>
              <w:jc w:val="center"/>
              <w:rPr>
                <w:rFonts w:cs="Arial"/>
                <w:sz w:val="20"/>
                <w:szCs w:val="20"/>
              </w:rPr>
            </w:pPr>
            <w:r w:rsidRPr="001B7DE7">
              <w:rPr>
                <w:rFonts w:cs="Arial"/>
                <w:sz w:val="20"/>
                <w:szCs w:val="20"/>
              </w:rPr>
              <w:t>15.1</w:t>
            </w:r>
          </w:p>
          <w:p w:rsidR="001B7DE7" w:rsidRPr="001B7DE7" w:rsidRDefault="001B7DE7" w:rsidP="001B7DE7">
            <w:pPr>
              <w:widowControl/>
              <w:jc w:val="center"/>
              <w:rPr>
                <w:rFonts w:cs="Arial"/>
                <w:sz w:val="20"/>
                <w:szCs w:val="20"/>
              </w:rPr>
            </w:pPr>
            <w:r w:rsidRPr="001B7DE7">
              <w:rPr>
                <w:rFonts w:cs="Arial"/>
                <w:sz w:val="20"/>
                <w:szCs w:val="20"/>
              </w:rPr>
              <w:t>16.6</w:t>
            </w:r>
          </w:p>
          <w:p w:rsidR="001B7DE7" w:rsidRPr="001B7DE7" w:rsidRDefault="001B7DE7" w:rsidP="001B7DE7">
            <w:pPr>
              <w:widowControl/>
              <w:jc w:val="center"/>
              <w:rPr>
                <w:rFonts w:cs="Arial"/>
                <w:b/>
                <w:sz w:val="20"/>
                <w:szCs w:val="20"/>
              </w:rPr>
            </w:pPr>
            <w:r w:rsidRPr="001B7DE7">
              <w:rPr>
                <w:rFonts w:cs="Arial"/>
                <w:b/>
                <w:sz w:val="20"/>
                <w:szCs w:val="20"/>
              </w:rPr>
              <w:t>15.3**</w:t>
            </w:r>
          </w:p>
        </w:tc>
      </w:tr>
    </w:tbl>
    <w:p w:rsidR="001B7DE7" w:rsidRPr="001B7DE7" w:rsidRDefault="001B7DE7" w:rsidP="001B7DE7">
      <w:pPr>
        <w:widowControl/>
        <w:spacing w:before="120"/>
        <w:rPr>
          <w:rFonts w:cs="Arial"/>
          <w:sz w:val="18"/>
          <w:szCs w:val="18"/>
        </w:rPr>
      </w:pPr>
      <w:r w:rsidRPr="001B7DE7">
        <w:rPr>
          <w:rFonts w:cs="Arial"/>
          <w:sz w:val="18"/>
          <w:szCs w:val="18"/>
        </w:rPr>
        <w:t>Results expressed as means; *p&lt;0.05; **p&lt;0.01; ***p&lt;0.001</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The mean absolute bodyweight of high-dose males was significantly lower than the control on d 29 (p&lt;0.001) and 57 (p&lt;0.01), with overall bodyweight gain ~11% lower than the control. The reduced bodyweight gain in high-dose males over ninety-two days are not matched by a corresponding significant reduction in food consumption. An overall reduction </w:t>
      </w:r>
      <w:r w:rsidRPr="001B7DE7">
        <w:rPr>
          <w:rFonts w:cs="Arial"/>
        </w:rPr>
        <w:lastRenderedPageBreak/>
        <w:t xml:space="preserve">in food consumption was observed in mid- and high-dose females but this was not associated with a corresponding reduction in bodyweight gain. Overall mean water consumption was significantly lower than the control in mid- and high-dose male rats (p&lt;0.05 and 0.001, respectively) and was also reduced in high-dose females, but not significantly. The magnitude of these decreases was ~10%, 18% and 7%, respectively. </w:t>
      </w:r>
    </w:p>
    <w:p w:rsidR="001B7DE7" w:rsidRPr="001B7DE7" w:rsidRDefault="001B7DE7" w:rsidP="001B7DE7">
      <w:pPr>
        <w:widowControl/>
        <w:rPr>
          <w:rFonts w:cs="Arial"/>
          <w:b/>
          <w:i/>
        </w:rPr>
      </w:pPr>
    </w:p>
    <w:p w:rsidR="001B7DE7" w:rsidRPr="001B7DE7" w:rsidRDefault="001B7DE7" w:rsidP="001B7DE7">
      <w:pPr>
        <w:widowControl/>
        <w:rPr>
          <w:rFonts w:cs="Arial"/>
        </w:rPr>
      </w:pPr>
      <w:r w:rsidRPr="001B7DE7">
        <w:rPr>
          <w:rFonts w:cs="Arial"/>
        </w:rPr>
        <w:t>There was no treatment-related effect on any haematology, clinical chemistry or urinalysis parameter. There were a number of significant differences in absolute and/or relative organ weights between treated and control rats (Table 3.2).</w:t>
      </w:r>
    </w:p>
    <w:p w:rsidR="001B7DE7" w:rsidRPr="001B7DE7" w:rsidRDefault="001B7DE7" w:rsidP="001B7DE7">
      <w:pPr>
        <w:widowControl/>
        <w:rPr>
          <w:rFonts w:cs="Arial"/>
          <w:b/>
          <w:i/>
        </w:rPr>
      </w:pPr>
    </w:p>
    <w:p w:rsidR="001B7DE7" w:rsidRPr="001B7DE7" w:rsidRDefault="001B7DE7" w:rsidP="001B7DE7">
      <w:pPr>
        <w:widowControl/>
        <w:rPr>
          <w:rFonts w:cs="Arial"/>
          <w:b/>
          <w:i/>
        </w:rPr>
      </w:pPr>
      <w:r w:rsidRPr="001B7DE7">
        <w:rPr>
          <w:rFonts w:cs="Arial"/>
          <w:b/>
          <w:i/>
        </w:rPr>
        <w:t>Table 3.2.</w:t>
      </w:r>
      <w:r w:rsidRPr="001B7DE7">
        <w:rPr>
          <w:rFonts w:cs="Arial"/>
          <w:b/>
          <w:i/>
        </w:rPr>
        <w:tab/>
        <w:t xml:space="preserve">Selected organ weights of rats exposed to </w:t>
      </w:r>
      <w:r w:rsidR="00E3403B">
        <w:rPr>
          <w:rFonts w:cs="Arial"/>
          <w:b/>
          <w:i/>
        </w:rPr>
        <w:t>quillaia</w:t>
      </w:r>
      <w:r w:rsidRPr="001B7DE7">
        <w:rPr>
          <w:rFonts w:cs="Arial"/>
          <w:b/>
          <w:i/>
        </w:rPr>
        <w:t xml:space="preserve"> extract for 13 weeks</w:t>
      </w:r>
    </w:p>
    <w:tbl>
      <w:tblPr>
        <w:tblStyle w:val="TableGrid"/>
        <w:tblW w:w="0" w:type="auto"/>
        <w:tblInd w:w="108" w:type="dxa"/>
        <w:tblLook w:val="04A0" w:firstRow="1" w:lastRow="0" w:firstColumn="1" w:lastColumn="0" w:noHBand="0" w:noVBand="1"/>
      </w:tblPr>
      <w:tblGrid>
        <w:gridCol w:w="1492"/>
        <w:gridCol w:w="895"/>
        <w:gridCol w:w="975"/>
        <w:gridCol w:w="917"/>
        <w:gridCol w:w="975"/>
        <w:gridCol w:w="950"/>
        <w:gridCol w:w="975"/>
        <w:gridCol w:w="1024"/>
        <w:gridCol w:w="975"/>
      </w:tblGrid>
      <w:tr w:rsidR="001B7DE7" w:rsidRPr="001B7DE7" w:rsidTr="004129E6">
        <w:tc>
          <w:tcPr>
            <w:tcW w:w="1707" w:type="dxa"/>
            <w:vMerge w:val="restart"/>
            <w:shd w:val="clear" w:color="auto" w:fill="EEECE1" w:themeFill="background2"/>
            <w:vAlign w:val="center"/>
          </w:tcPr>
          <w:p w:rsidR="001B7DE7" w:rsidRPr="001B7DE7" w:rsidRDefault="001B7DE7" w:rsidP="001B7DE7">
            <w:pPr>
              <w:widowControl/>
              <w:rPr>
                <w:rFonts w:cs="Arial"/>
                <w:b/>
              </w:rPr>
            </w:pPr>
            <w:r w:rsidRPr="001B7DE7">
              <w:rPr>
                <w:rFonts w:cs="Arial"/>
                <w:b/>
              </w:rPr>
              <w:t>Organ</w:t>
            </w:r>
          </w:p>
        </w:tc>
        <w:tc>
          <w:tcPr>
            <w:tcW w:w="7427" w:type="dxa"/>
            <w:gridSpan w:val="8"/>
            <w:shd w:val="clear" w:color="auto" w:fill="EEECE1" w:themeFill="background2"/>
          </w:tcPr>
          <w:p w:rsidR="001B7DE7" w:rsidRPr="001B7DE7" w:rsidRDefault="001B7DE7" w:rsidP="001B7DE7">
            <w:pPr>
              <w:widowControl/>
              <w:rPr>
                <w:rFonts w:cs="Arial"/>
                <w:b/>
              </w:rPr>
            </w:pPr>
            <w:r w:rsidRPr="001B7DE7">
              <w:rPr>
                <w:rFonts w:cs="Arial"/>
                <w:b/>
              </w:rPr>
              <w:t>Dietary concentration (% w/</w:t>
            </w:r>
            <w:r w:rsidR="007F00E9">
              <w:rPr>
                <w:rFonts w:cs="Arial"/>
                <w:b/>
              </w:rPr>
              <w:t>w</w:t>
            </w:r>
            <w:r w:rsidRPr="001B7DE7">
              <w:rPr>
                <w:rFonts w:cs="Arial"/>
                <w:b/>
              </w:rPr>
              <w:t>)</w:t>
            </w:r>
          </w:p>
        </w:tc>
      </w:tr>
      <w:tr w:rsidR="001B7DE7" w:rsidRPr="001B7DE7" w:rsidTr="004129E6">
        <w:tc>
          <w:tcPr>
            <w:tcW w:w="1707" w:type="dxa"/>
            <w:vMerge/>
            <w:shd w:val="clear" w:color="auto" w:fill="EEECE1" w:themeFill="background2"/>
          </w:tcPr>
          <w:p w:rsidR="001B7DE7" w:rsidRPr="001B7DE7" w:rsidRDefault="001B7DE7" w:rsidP="001B7DE7">
            <w:pPr>
              <w:widowControl/>
              <w:rPr>
                <w:rFonts w:cs="Arial"/>
                <w:b/>
              </w:rPr>
            </w:pPr>
          </w:p>
        </w:tc>
        <w:tc>
          <w:tcPr>
            <w:tcW w:w="1869" w:type="dxa"/>
            <w:gridSpan w:val="2"/>
            <w:shd w:val="clear" w:color="auto" w:fill="EEECE1" w:themeFill="background2"/>
          </w:tcPr>
          <w:p w:rsidR="001B7DE7" w:rsidRPr="001B7DE7" w:rsidRDefault="001B7DE7" w:rsidP="001B7DE7">
            <w:pPr>
              <w:widowControl/>
              <w:rPr>
                <w:rFonts w:cs="Arial"/>
                <w:b/>
              </w:rPr>
            </w:pPr>
            <w:r w:rsidRPr="001B7DE7">
              <w:rPr>
                <w:rFonts w:cs="Arial"/>
                <w:b/>
              </w:rPr>
              <w:t>0</w:t>
            </w:r>
          </w:p>
        </w:tc>
        <w:tc>
          <w:tcPr>
            <w:tcW w:w="1856" w:type="dxa"/>
            <w:gridSpan w:val="2"/>
            <w:shd w:val="clear" w:color="auto" w:fill="EEECE1" w:themeFill="background2"/>
          </w:tcPr>
          <w:p w:rsidR="001B7DE7" w:rsidRPr="001B7DE7" w:rsidRDefault="001B7DE7" w:rsidP="001B7DE7">
            <w:pPr>
              <w:widowControl/>
              <w:rPr>
                <w:rFonts w:cs="Arial"/>
                <w:b/>
              </w:rPr>
            </w:pPr>
            <w:r w:rsidRPr="001B7DE7">
              <w:rPr>
                <w:rFonts w:cs="Arial"/>
                <w:b/>
              </w:rPr>
              <w:t>0.6</w:t>
            </w:r>
          </w:p>
        </w:tc>
        <w:tc>
          <w:tcPr>
            <w:tcW w:w="1862" w:type="dxa"/>
            <w:gridSpan w:val="2"/>
            <w:shd w:val="clear" w:color="auto" w:fill="EEECE1" w:themeFill="background2"/>
          </w:tcPr>
          <w:p w:rsidR="001B7DE7" w:rsidRPr="001B7DE7" w:rsidRDefault="001B7DE7" w:rsidP="001B7DE7">
            <w:pPr>
              <w:widowControl/>
              <w:rPr>
                <w:rFonts w:cs="Arial"/>
                <w:b/>
              </w:rPr>
            </w:pPr>
            <w:r w:rsidRPr="001B7DE7">
              <w:rPr>
                <w:rFonts w:cs="Arial"/>
                <w:b/>
              </w:rPr>
              <w:t>2.0</w:t>
            </w:r>
          </w:p>
        </w:tc>
        <w:tc>
          <w:tcPr>
            <w:tcW w:w="1840" w:type="dxa"/>
            <w:gridSpan w:val="2"/>
            <w:shd w:val="clear" w:color="auto" w:fill="EEECE1" w:themeFill="background2"/>
          </w:tcPr>
          <w:p w:rsidR="001B7DE7" w:rsidRPr="001B7DE7" w:rsidRDefault="001B7DE7" w:rsidP="001B7DE7">
            <w:pPr>
              <w:widowControl/>
              <w:rPr>
                <w:rFonts w:cs="Arial"/>
                <w:b/>
              </w:rPr>
            </w:pPr>
            <w:r w:rsidRPr="001B7DE7">
              <w:rPr>
                <w:rFonts w:cs="Arial"/>
                <w:b/>
              </w:rPr>
              <w:t>4.0</w:t>
            </w:r>
          </w:p>
        </w:tc>
      </w:tr>
      <w:tr w:rsidR="001B7DE7" w:rsidRPr="001B7DE7" w:rsidTr="004129E6">
        <w:tc>
          <w:tcPr>
            <w:tcW w:w="1707" w:type="dxa"/>
            <w:vMerge/>
          </w:tcPr>
          <w:p w:rsidR="001B7DE7" w:rsidRPr="001B7DE7" w:rsidRDefault="001B7DE7" w:rsidP="001B7DE7">
            <w:pPr>
              <w:widowControl/>
              <w:rPr>
                <w:rFonts w:cs="Arial"/>
              </w:rPr>
            </w:pPr>
          </w:p>
        </w:tc>
        <w:tc>
          <w:tcPr>
            <w:tcW w:w="963"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c>
          <w:tcPr>
            <w:tcW w:w="950"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c>
          <w:tcPr>
            <w:tcW w:w="956"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c>
          <w:tcPr>
            <w:tcW w:w="934"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r>
      <w:tr w:rsidR="001B7DE7" w:rsidRPr="001B7DE7" w:rsidTr="004129E6">
        <w:tc>
          <w:tcPr>
            <w:tcW w:w="9134" w:type="dxa"/>
            <w:gridSpan w:val="9"/>
          </w:tcPr>
          <w:p w:rsidR="001B7DE7" w:rsidRPr="001B7DE7" w:rsidRDefault="001B7DE7" w:rsidP="001B7DE7">
            <w:pPr>
              <w:widowControl/>
              <w:rPr>
                <w:rFonts w:cs="Arial"/>
                <w:i/>
              </w:rPr>
            </w:pPr>
            <w:r w:rsidRPr="001B7DE7">
              <w:rPr>
                <w:rFonts w:cs="Arial"/>
                <w:i/>
              </w:rPr>
              <w:t>Absolute weight (g)</w:t>
            </w:r>
          </w:p>
        </w:tc>
      </w:tr>
      <w:tr w:rsidR="001B7DE7" w:rsidRPr="001B7DE7" w:rsidTr="004129E6">
        <w:tc>
          <w:tcPr>
            <w:tcW w:w="1707" w:type="dxa"/>
          </w:tcPr>
          <w:p w:rsidR="001B7DE7" w:rsidRPr="001B7DE7" w:rsidRDefault="001B7DE7" w:rsidP="001B7DE7">
            <w:pPr>
              <w:widowControl/>
              <w:rPr>
                <w:rFonts w:cs="Arial"/>
              </w:rPr>
            </w:pPr>
            <w:r w:rsidRPr="001B7DE7">
              <w:rPr>
                <w:rFonts w:cs="Arial"/>
              </w:rPr>
              <w:t>Liver</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12.39</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6.51</w:t>
            </w:r>
          </w:p>
        </w:tc>
        <w:tc>
          <w:tcPr>
            <w:tcW w:w="950" w:type="dxa"/>
            <w:tcBorders>
              <w:right w:val="single" w:sz="4" w:space="0" w:color="auto"/>
            </w:tcBorders>
          </w:tcPr>
          <w:p w:rsidR="001B7DE7" w:rsidRPr="001B7DE7" w:rsidRDefault="001B7DE7" w:rsidP="001B7DE7">
            <w:pPr>
              <w:widowControl/>
              <w:rPr>
                <w:rFonts w:cs="Arial"/>
                <w:b/>
              </w:rPr>
            </w:pPr>
            <w:r w:rsidRPr="001B7DE7">
              <w:rPr>
                <w:rFonts w:cs="Arial"/>
                <w:b/>
              </w:rPr>
              <w:t>11.21*</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6.32</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10.86**</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6.29</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10.57***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6.68</w:t>
            </w:r>
          </w:p>
        </w:tc>
      </w:tr>
      <w:tr w:rsidR="001B7DE7" w:rsidRPr="001B7DE7" w:rsidTr="004129E6">
        <w:tc>
          <w:tcPr>
            <w:tcW w:w="1707" w:type="dxa"/>
          </w:tcPr>
          <w:p w:rsidR="001B7DE7" w:rsidRPr="001B7DE7" w:rsidRDefault="001B7DE7" w:rsidP="001B7DE7">
            <w:pPr>
              <w:widowControl/>
              <w:rPr>
                <w:rFonts w:cs="Arial"/>
              </w:rPr>
            </w:pPr>
            <w:r w:rsidRPr="001B7DE7">
              <w:rPr>
                <w:rFonts w:cs="Arial"/>
              </w:rPr>
              <w:t>Kidney</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2.86</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1.69</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2.67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1.65</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2.28*</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1.59</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2.55*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1.55</w:t>
            </w:r>
          </w:p>
        </w:tc>
      </w:tr>
      <w:tr w:rsidR="001B7DE7" w:rsidRPr="001B7DE7" w:rsidTr="004129E6">
        <w:tc>
          <w:tcPr>
            <w:tcW w:w="1707" w:type="dxa"/>
          </w:tcPr>
          <w:p w:rsidR="001B7DE7" w:rsidRPr="001B7DE7" w:rsidRDefault="001B7DE7" w:rsidP="001B7DE7">
            <w:pPr>
              <w:widowControl/>
              <w:rPr>
                <w:rFonts w:cs="Arial"/>
              </w:rPr>
            </w:pPr>
            <w:r w:rsidRPr="001B7DE7">
              <w:rPr>
                <w:rFonts w:cs="Arial"/>
              </w:rPr>
              <w:t>Stomach</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1.65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1.29</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1.65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1.27</w:t>
            </w:r>
          </w:p>
        </w:tc>
        <w:tc>
          <w:tcPr>
            <w:tcW w:w="956" w:type="dxa"/>
            <w:tcBorders>
              <w:right w:val="single" w:sz="4" w:space="0" w:color="auto"/>
            </w:tcBorders>
          </w:tcPr>
          <w:p w:rsidR="001B7DE7" w:rsidRPr="001B7DE7" w:rsidRDefault="001B7DE7" w:rsidP="001B7DE7">
            <w:pPr>
              <w:widowControl/>
              <w:rPr>
                <w:rFonts w:cs="Arial"/>
              </w:rPr>
            </w:pPr>
            <w:r w:rsidRPr="001B7DE7">
              <w:rPr>
                <w:rFonts w:cs="Arial"/>
              </w:rPr>
              <w:t>1.76</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1.30</w:t>
            </w:r>
          </w:p>
        </w:tc>
        <w:tc>
          <w:tcPr>
            <w:tcW w:w="934" w:type="dxa"/>
            <w:tcBorders>
              <w:right w:val="single" w:sz="4" w:space="0" w:color="auto"/>
            </w:tcBorders>
          </w:tcPr>
          <w:p w:rsidR="001B7DE7" w:rsidRPr="001B7DE7" w:rsidRDefault="001B7DE7" w:rsidP="001B7DE7">
            <w:pPr>
              <w:widowControl/>
              <w:rPr>
                <w:rFonts w:cs="Arial"/>
              </w:rPr>
            </w:pPr>
            <w:r w:rsidRPr="001B7DE7">
              <w:rPr>
                <w:rFonts w:cs="Arial"/>
              </w:rPr>
              <w:t>1.75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1.39</w:t>
            </w:r>
          </w:p>
        </w:tc>
      </w:tr>
      <w:tr w:rsidR="001B7DE7" w:rsidRPr="001B7DE7" w:rsidTr="004129E6">
        <w:tc>
          <w:tcPr>
            <w:tcW w:w="9134" w:type="dxa"/>
            <w:gridSpan w:val="9"/>
          </w:tcPr>
          <w:p w:rsidR="001B7DE7" w:rsidRPr="001B7DE7" w:rsidRDefault="001B7DE7" w:rsidP="001B7DE7">
            <w:pPr>
              <w:widowControl/>
              <w:rPr>
                <w:rFonts w:cs="Arial"/>
                <w:i/>
              </w:rPr>
            </w:pPr>
            <w:r w:rsidRPr="001B7DE7">
              <w:rPr>
                <w:rFonts w:cs="Arial"/>
                <w:i/>
              </w:rPr>
              <w:t>Relative organ weight (%)</w:t>
            </w:r>
          </w:p>
        </w:tc>
      </w:tr>
      <w:tr w:rsidR="001B7DE7" w:rsidRPr="001B7DE7" w:rsidTr="004129E6">
        <w:tc>
          <w:tcPr>
            <w:tcW w:w="1707" w:type="dxa"/>
          </w:tcPr>
          <w:p w:rsidR="001B7DE7" w:rsidRPr="001B7DE7" w:rsidRDefault="001B7DE7" w:rsidP="001B7DE7">
            <w:pPr>
              <w:widowControl/>
              <w:rPr>
                <w:rFonts w:cs="Arial"/>
              </w:rPr>
            </w:pPr>
            <w:r w:rsidRPr="001B7DE7">
              <w:rPr>
                <w:rFonts w:cs="Arial"/>
              </w:rPr>
              <w:t>Liver</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2.64</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2.32</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2.53</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2.24</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2.40***</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2.32</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2.41***</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2.45</w:t>
            </w:r>
          </w:p>
        </w:tc>
      </w:tr>
      <w:tr w:rsidR="001B7DE7" w:rsidRPr="001B7DE7" w:rsidTr="004129E6">
        <w:tc>
          <w:tcPr>
            <w:tcW w:w="1707" w:type="dxa"/>
          </w:tcPr>
          <w:p w:rsidR="001B7DE7" w:rsidRPr="001B7DE7" w:rsidRDefault="001B7DE7" w:rsidP="001B7DE7">
            <w:pPr>
              <w:widowControl/>
              <w:rPr>
                <w:rFonts w:cs="Arial"/>
              </w:rPr>
            </w:pPr>
            <w:r w:rsidRPr="001B7DE7">
              <w:rPr>
                <w:rFonts w:cs="Arial"/>
              </w:rPr>
              <w:t>Kidney</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0.61</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0.60</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0.60</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0.59</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0.57*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0.58</w:t>
            </w:r>
          </w:p>
        </w:tc>
        <w:tc>
          <w:tcPr>
            <w:tcW w:w="934" w:type="dxa"/>
            <w:tcBorders>
              <w:right w:val="single" w:sz="4" w:space="0" w:color="auto"/>
            </w:tcBorders>
          </w:tcPr>
          <w:p w:rsidR="001B7DE7" w:rsidRPr="001B7DE7" w:rsidRDefault="001B7DE7" w:rsidP="001B7DE7">
            <w:pPr>
              <w:widowControl/>
              <w:rPr>
                <w:rFonts w:cs="Arial"/>
              </w:rPr>
            </w:pPr>
            <w:r w:rsidRPr="001B7DE7">
              <w:rPr>
                <w:rFonts w:cs="Arial"/>
              </w:rPr>
              <w:t>0.58</w:t>
            </w:r>
          </w:p>
        </w:tc>
        <w:tc>
          <w:tcPr>
            <w:tcW w:w="906" w:type="dxa"/>
            <w:tcBorders>
              <w:left w:val="single" w:sz="4" w:space="0" w:color="auto"/>
            </w:tcBorders>
          </w:tcPr>
          <w:p w:rsidR="001B7DE7" w:rsidRPr="001B7DE7" w:rsidRDefault="001B7DE7" w:rsidP="001B7DE7">
            <w:pPr>
              <w:widowControl/>
              <w:rPr>
                <w:rFonts w:cs="Arial"/>
                <w:b/>
              </w:rPr>
            </w:pPr>
            <w:r w:rsidRPr="001B7DE7">
              <w:rPr>
                <w:rFonts w:cs="Arial"/>
                <w:b/>
              </w:rPr>
              <w:t>0.57*</w:t>
            </w:r>
          </w:p>
        </w:tc>
      </w:tr>
      <w:tr w:rsidR="001B7DE7" w:rsidRPr="001B7DE7" w:rsidTr="004129E6">
        <w:tc>
          <w:tcPr>
            <w:tcW w:w="1707" w:type="dxa"/>
          </w:tcPr>
          <w:p w:rsidR="001B7DE7" w:rsidRPr="001B7DE7" w:rsidRDefault="001B7DE7" w:rsidP="001B7DE7">
            <w:pPr>
              <w:widowControl/>
              <w:rPr>
                <w:rFonts w:cs="Arial"/>
              </w:rPr>
            </w:pPr>
            <w:r w:rsidRPr="001B7DE7">
              <w:rPr>
                <w:rFonts w:cs="Arial"/>
              </w:rPr>
              <w:t>Stomach</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0.35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0.46</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0.37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0.45</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0.39**</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0.48</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0.40**</w:t>
            </w:r>
          </w:p>
        </w:tc>
        <w:tc>
          <w:tcPr>
            <w:tcW w:w="906" w:type="dxa"/>
            <w:tcBorders>
              <w:left w:val="single" w:sz="4" w:space="0" w:color="auto"/>
            </w:tcBorders>
          </w:tcPr>
          <w:p w:rsidR="001B7DE7" w:rsidRPr="001B7DE7" w:rsidRDefault="001B7DE7" w:rsidP="001B7DE7">
            <w:pPr>
              <w:widowControl/>
              <w:rPr>
                <w:rFonts w:cs="Arial"/>
                <w:b/>
              </w:rPr>
            </w:pPr>
            <w:r w:rsidRPr="001B7DE7">
              <w:rPr>
                <w:rFonts w:cs="Arial"/>
                <w:b/>
              </w:rPr>
              <w:t>0.51**</w:t>
            </w:r>
          </w:p>
        </w:tc>
      </w:tr>
    </w:tbl>
    <w:p w:rsidR="001B7DE7" w:rsidRPr="001B7DE7" w:rsidRDefault="001B7DE7" w:rsidP="001B7DE7">
      <w:pPr>
        <w:widowControl/>
        <w:rPr>
          <w:rFonts w:cs="Arial"/>
          <w:sz w:val="18"/>
          <w:szCs w:val="18"/>
        </w:rPr>
      </w:pPr>
      <w:r w:rsidRPr="001B7DE7">
        <w:rPr>
          <w:rFonts w:cs="Arial"/>
          <w:sz w:val="18"/>
          <w:szCs w:val="18"/>
        </w:rPr>
        <w:t>Results expressed as means; *p&lt;0.05; **p&lt;0.01; ***p&lt;0.001</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In males, absolute liver weights were significantly lower (p&lt;0.01 or 0.05) than the control across all doses; when corrected for bodyweight, significant differences (p&lt;0.001) were evident at the mid- and high-doses. The lower relative liver weights were not associated with any histopathological abnormalities or clinical chemistry findings. The absolute kidney weight of mid- and high-dose males was significantly lower (p&lt;0.05) than control, while only the relative kidney weight of mid-dose males was significantly lower (p&lt;0.05); in the absence of a dose-response relationship, kidney histopathology, effects on clinical chemistry or urinary parameters or the same findings in females, these differences in kidney weights are considered to be incidental. Relative stomach weight was significantly higher (p&lt;0.01) than the control in mid-dose males and high-dose males and females. While the authors suggested that these higher stomach weights may reflect a local irritant effect, the absence of any actual signs of irritation by way of macroscopic examination, histopathology or clinical signs would </w:t>
      </w:r>
      <w:r w:rsidR="001B334B">
        <w:rPr>
          <w:rFonts w:cs="Arial"/>
        </w:rPr>
        <w:t xml:space="preserve">not </w:t>
      </w:r>
      <w:r w:rsidRPr="001B7DE7">
        <w:rPr>
          <w:rFonts w:cs="Arial"/>
        </w:rPr>
        <w:t>seem to support this interpretation.</w:t>
      </w:r>
    </w:p>
    <w:p w:rsidR="001B7DE7" w:rsidRPr="001B7DE7" w:rsidRDefault="001B7DE7" w:rsidP="001B7DE7">
      <w:pPr>
        <w:widowControl/>
        <w:rPr>
          <w:rFonts w:cs="Arial"/>
          <w:b/>
        </w:rPr>
      </w:pPr>
    </w:p>
    <w:p w:rsidR="001B7DE7" w:rsidRPr="001B7DE7" w:rsidRDefault="001B7DE7" w:rsidP="001B7DE7">
      <w:pPr>
        <w:widowControl/>
        <w:rPr>
          <w:rFonts w:cs="Arial"/>
        </w:rPr>
      </w:pPr>
      <w:r w:rsidRPr="001B7DE7">
        <w:rPr>
          <w:rFonts w:cs="Arial"/>
        </w:rPr>
        <w:t xml:space="preserve">The No Observed Adverse Effect Level (NOAEL) of the </w:t>
      </w:r>
      <w:r w:rsidR="005604ED">
        <w:rPr>
          <w:rFonts w:cs="Arial"/>
        </w:rPr>
        <w:t>t</w:t>
      </w:r>
      <w:r w:rsidR="005604ED" w:rsidRPr="001B7DE7">
        <w:rPr>
          <w:rFonts w:cs="Arial"/>
        </w:rPr>
        <w:t xml:space="preserve">ype </w:t>
      </w:r>
      <w:r w:rsidRPr="001B7DE7">
        <w:rPr>
          <w:rFonts w:cs="Arial"/>
        </w:rPr>
        <w:t xml:space="preserve">I </w:t>
      </w:r>
      <w:r w:rsidR="00E3403B">
        <w:rPr>
          <w:rFonts w:cs="Arial"/>
        </w:rPr>
        <w:t>quillaia</w:t>
      </w:r>
      <w:r w:rsidRPr="001B7DE7">
        <w:rPr>
          <w:rFonts w:cs="Arial"/>
        </w:rPr>
        <w:t xml:space="preserve"> extract was 0.6% (w/</w:t>
      </w:r>
      <w:r w:rsidR="008D6230">
        <w:rPr>
          <w:rFonts w:cs="Arial"/>
        </w:rPr>
        <w:t>w</w:t>
      </w:r>
      <w:r w:rsidRPr="001B7DE7">
        <w:rPr>
          <w:rFonts w:cs="Arial"/>
        </w:rPr>
        <w:t xml:space="preserve">), equivalent to 400 mg/kg bw per day based on reduced bodyweight gain, </w:t>
      </w:r>
      <w:r w:rsidR="000E4DC6">
        <w:rPr>
          <w:rFonts w:cs="Arial"/>
        </w:rPr>
        <w:t xml:space="preserve">reduced </w:t>
      </w:r>
      <w:r w:rsidRPr="001B7DE7">
        <w:rPr>
          <w:rFonts w:cs="Arial"/>
        </w:rPr>
        <w:t xml:space="preserve">food consumption, reduced liver weight, and increased stomach weights. </w:t>
      </w:r>
    </w:p>
    <w:p w:rsidR="001B7DE7" w:rsidRPr="001B7DE7" w:rsidRDefault="001B7DE7" w:rsidP="001B7DE7">
      <w:pPr>
        <w:widowControl/>
        <w:rPr>
          <w:rFonts w:cs="Arial"/>
        </w:rPr>
      </w:pPr>
    </w:p>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rPr>
                <w:rFonts w:cs="Arial"/>
                <w:b/>
              </w:rPr>
            </w:pPr>
            <w:r w:rsidRPr="001B7DE7">
              <w:rPr>
                <w:rFonts w:cs="Arial"/>
                <w:b/>
              </w:rPr>
              <w:t xml:space="preserve">Phillips JC, Butterworth KR, Gaunt IF, Evans JG &amp; Grasso P (1979) Long-term toxicity study of </w:t>
            </w:r>
            <w:r w:rsidR="00E3403B">
              <w:rPr>
                <w:rFonts w:cs="Arial"/>
                <w:b/>
              </w:rPr>
              <w:t>quillaia</w:t>
            </w:r>
            <w:r w:rsidRPr="001B7DE7">
              <w:rPr>
                <w:rFonts w:cs="Arial"/>
                <w:b/>
              </w:rPr>
              <w:t xml:space="preserve"> extract in mice. Fd Cosmet. Toxicol. 17: 23-27.</w:t>
            </w:r>
          </w:p>
        </w:tc>
      </w:tr>
    </w:tbl>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An aqueous type I </w:t>
      </w:r>
      <w:r w:rsidR="00E3403B">
        <w:rPr>
          <w:rFonts w:cs="Arial"/>
          <w:szCs w:val="22"/>
        </w:rPr>
        <w:t>quillaia</w:t>
      </w:r>
      <w:r w:rsidRPr="001B7DE7">
        <w:rPr>
          <w:rFonts w:cs="Arial"/>
        </w:rPr>
        <w:t xml:space="preserve"> extract (sourced from Food Industries Ltd, Birkenhead, Cheshire, UK) was admixed in the diet at concentrations of 0, 0.1, 0.5 or 1.5% (w/</w:t>
      </w:r>
      <w:r w:rsidR="008D6230">
        <w:rPr>
          <w:rFonts w:cs="Arial"/>
        </w:rPr>
        <w:t>w</w:t>
      </w:r>
      <w:r w:rsidRPr="001B7DE7">
        <w:rPr>
          <w:rFonts w:cs="Arial"/>
        </w:rPr>
        <w:t xml:space="preserve">) and fed </w:t>
      </w:r>
      <w:r w:rsidRPr="001B7DE7">
        <w:rPr>
          <w:rFonts w:cs="Arial"/>
          <w:i/>
        </w:rPr>
        <w:t>ad libitum</w:t>
      </w:r>
      <w:r w:rsidRPr="001B7DE7">
        <w:rPr>
          <w:rFonts w:cs="Arial"/>
        </w:rPr>
        <w:t xml:space="preserve"> to TO strain mice (48/sex/group) for 84 weeks (equivalent to 0, 1000, 5000 and 15000 ppm, respectively). The estimated doses were 0, 150, 750 and 2250 mg/kg bw per day using a dietary conversion factor of 0.15. Based on the description given in the paper, the extract appears to be consistent with that used in the preceding study by Gaunt et al (1974). Mice were observed regularly for clinical signs. Sixteen male mice per group were weighed at weeks 1, 4, 10, 14, 28, 40, 57 and 84. Food consumption was not recorded. Blood was sampled from 10 mice/sex/group at week 26 and 54, and all surviving mice at week 84, for </w:t>
      </w:r>
      <w:r w:rsidRPr="001B7DE7">
        <w:rPr>
          <w:rFonts w:cs="Arial"/>
        </w:rPr>
        <w:lastRenderedPageBreak/>
        <w:t xml:space="preserve">the analysis of Hb, Hct, reticulocytes, RBC and WBC. At the end of the exposure period, survivors were sacrificed, necropsied and the following organs weighed: brain, heart, liver, kidneys, spleen, stomach, small intestine, caecum and testes. These along with the following organs/tissues were histopathologically examined: salivary gland, thyroid, adrenal glands, lymph nodes, aorta, pancreas, pituitary, prostate, seminal vesicles, ovaries, uterus, urinary bladder, lungs, colon, rectum, spinal cord, skeletal muscle, eye, Harderian gland and any gross lesions.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There were no intergroup differences in survival; cumulative mortality to week 80 was 16, 18, 12 and 9% in males and 9, 11, 10 and 12% in females at dietary concentrations of 0, 0.1, 0.5 and 1.5% (w/</w:t>
      </w:r>
      <w:r w:rsidR="008D6230">
        <w:rPr>
          <w:rFonts w:cs="Arial"/>
        </w:rPr>
        <w:t>w</w:t>
      </w:r>
      <w:r w:rsidRPr="001B7DE7">
        <w:rPr>
          <w:rFonts w:cs="Arial"/>
        </w:rPr>
        <w:t>), respectively. There were no treatment-related clinical signs. The only significant effect on absolute bodyweight was in high-dose males where the terminal bodyweight (47 g) was significantly lower (p&lt;0.05) than the control (53 g). The significantly higher (p&lt;0.05) relative brain and stomach weights in high-dose males is attributable to the lower terminal bodyweight. At week 26, RBC was significantly lower (p&lt;0.05) than the control in mid-dose males and high-dose males and females (p&lt;0.01), while at week 84, RBC was significantly lower (p&lt;0.01) than the control only in mid-dose males. In the absence of a dose-response relationship, a consistent effect between the sexes or any corroborative perturbations in other haematology parameters (e.g. Hb, Hct or reticulocytes), these significant differences in RBC between treated and control groups are considered to be incidental findings. There were no treatment-related macroscopic or histopathological abnormalities.</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The NOAEL of the </w:t>
      </w:r>
      <w:r w:rsidR="00C613F0">
        <w:rPr>
          <w:rFonts w:cs="Arial"/>
        </w:rPr>
        <w:t>t</w:t>
      </w:r>
      <w:r w:rsidR="00C613F0" w:rsidRPr="001B7DE7">
        <w:rPr>
          <w:rFonts w:cs="Arial"/>
        </w:rPr>
        <w:t xml:space="preserve">ype </w:t>
      </w:r>
      <w:r w:rsidRPr="001B7DE7">
        <w:rPr>
          <w:rFonts w:cs="Arial"/>
        </w:rPr>
        <w:t xml:space="preserve">I </w:t>
      </w:r>
      <w:r w:rsidR="00E3403B">
        <w:rPr>
          <w:rFonts w:cs="Arial"/>
        </w:rPr>
        <w:t>quillaia</w:t>
      </w:r>
      <w:r w:rsidRPr="001B7DE7">
        <w:rPr>
          <w:rFonts w:cs="Arial"/>
        </w:rPr>
        <w:t xml:space="preserve"> extract was 0.5% (750 mg/kg bw per day), based on reduced terminal bodyweight in males at 1.5% (2250 mg/kg bw per day). </w:t>
      </w:r>
    </w:p>
    <w:p w:rsidR="001B7DE7" w:rsidRPr="001B7DE7" w:rsidRDefault="001B7DE7" w:rsidP="001B7DE7">
      <w:pPr>
        <w:widowControl/>
        <w:rPr>
          <w:rFonts w:cs="Arial"/>
        </w:rPr>
      </w:pPr>
    </w:p>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rPr>
                <w:rFonts w:cs="Arial"/>
                <w:b/>
              </w:rPr>
            </w:pPr>
            <w:r w:rsidRPr="001B7DE7">
              <w:rPr>
                <w:rFonts w:cs="Arial"/>
                <w:b/>
              </w:rPr>
              <w:t xml:space="preserve">Drake JJ-P, Butterworth KR, Gaunt IF, Hooson J, Evans JG &amp; Gangolli SD (1974) Long-term toxicity of </w:t>
            </w:r>
            <w:r w:rsidR="00E3403B">
              <w:rPr>
                <w:rFonts w:cs="Arial"/>
                <w:b/>
              </w:rPr>
              <w:t>quillaia</w:t>
            </w:r>
            <w:r w:rsidRPr="001B7DE7">
              <w:rPr>
                <w:rFonts w:cs="Arial"/>
                <w:b/>
              </w:rPr>
              <w:t xml:space="preserve"> extract in rats. Fd Cosmet. Toxicol. 20: 15-23.</w:t>
            </w:r>
          </w:p>
        </w:tc>
      </w:tr>
    </w:tbl>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Prior to the main study, two short-term palatability studies were conducted in groups of two male Wistar rats that had access to a control diet and a diet supplemented with 0.3, 1.0 or 3.0% (w/</w:t>
      </w:r>
      <w:r w:rsidR="008D6230">
        <w:rPr>
          <w:rFonts w:cs="Arial"/>
        </w:rPr>
        <w:t>w</w:t>
      </w:r>
      <w:r w:rsidR="00B0666D">
        <w:rPr>
          <w:rFonts w:cs="Arial"/>
        </w:rPr>
        <w:t>) t</w:t>
      </w:r>
      <w:r w:rsidRPr="001B7DE7">
        <w:rPr>
          <w:rFonts w:cs="Arial"/>
        </w:rPr>
        <w:t xml:space="preserve">ype I </w:t>
      </w:r>
      <w:r w:rsidR="00E3403B">
        <w:rPr>
          <w:rFonts w:cs="Arial"/>
          <w:szCs w:val="22"/>
        </w:rPr>
        <w:t>quillaia</w:t>
      </w:r>
      <w:r w:rsidRPr="001B7DE7">
        <w:rPr>
          <w:rFonts w:cs="Arial"/>
        </w:rPr>
        <w:t xml:space="preserve"> extract. The test material appears to be consistent with that used in the two preceding studies undertaken by the same group. In the first study, the amount of each diet consumed was recorded for 21 days. In the second study, rats were fed diets containing 0.3, 1.0 or 3.0 % (w/</w:t>
      </w:r>
      <w:r w:rsidR="007F00E9">
        <w:rPr>
          <w:rFonts w:cs="Arial"/>
        </w:rPr>
        <w:t>w</w:t>
      </w:r>
      <w:r w:rsidRPr="001B7DE7">
        <w:rPr>
          <w:rFonts w:cs="Arial"/>
        </w:rPr>
        <w:t xml:space="preserve">) </w:t>
      </w:r>
      <w:r w:rsidR="00E3403B">
        <w:rPr>
          <w:rFonts w:cs="Arial"/>
          <w:szCs w:val="22"/>
        </w:rPr>
        <w:t>quillaia</w:t>
      </w:r>
      <w:r w:rsidRPr="001B7DE7">
        <w:rPr>
          <w:rFonts w:cs="Arial"/>
        </w:rPr>
        <w:t xml:space="preserve"> extract for 7 days: bodyweight and food consumption were recorded daily. In the first study, when there was a choice between a control and test diet, rats (bw range 255-275 g) consumed 18, 12 and 34 times less of the diet containing 0.3, 1.0 or 3.0% (w/</w:t>
      </w:r>
      <w:r w:rsidR="007F00E9">
        <w:rPr>
          <w:rFonts w:cs="Arial"/>
        </w:rPr>
        <w:t>w</w:t>
      </w:r>
      <w:r w:rsidR="00B0666D">
        <w:rPr>
          <w:rFonts w:cs="Arial"/>
        </w:rPr>
        <w:t>) t</w:t>
      </w:r>
      <w:r w:rsidRPr="001B7DE7">
        <w:rPr>
          <w:rFonts w:cs="Arial"/>
        </w:rPr>
        <w:t xml:space="preserve">ype I </w:t>
      </w:r>
      <w:r w:rsidR="00E3403B">
        <w:rPr>
          <w:rFonts w:cs="Arial"/>
          <w:szCs w:val="22"/>
        </w:rPr>
        <w:t>quillaia</w:t>
      </w:r>
      <w:r w:rsidRPr="001B7DE7">
        <w:rPr>
          <w:rFonts w:cs="Arial"/>
        </w:rPr>
        <w:t xml:space="preserve"> extract, respectively, relative to the control diet. In the second study, the mean daily food consumption in rats (bw range 358-395 g) over 7 days was 25, 29, 26 and 21 g/day, with the corresponding bodyweight gains of 26, 29, 30 and 11 g. These findings suggest that ingestion of </w:t>
      </w:r>
      <w:r w:rsidR="00E3403B">
        <w:rPr>
          <w:rFonts w:cs="Arial"/>
          <w:szCs w:val="22"/>
        </w:rPr>
        <w:t>quillaia</w:t>
      </w:r>
      <w:r w:rsidRPr="001B7DE7">
        <w:rPr>
          <w:rFonts w:cs="Arial"/>
        </w:rPr>
        <w:t xml:space="preserve"> extract reduces bodyweight gain in the absence of a proportional reduction in feed consumption.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In the main study, </w:t>
      </w:r>
      <w:r w:rsidR="00C613F0">
        <w:rPr>
          <w:rFonts w:cs="Arial"/>
        </w:rPr>
        <w:t>t</w:t>
      </w:r>
      <w:r w:rsidR="00C613F0" w:rsidRPr="001B7DE7">
        <w:rPr>
          <w:rFonts w:cs="Arial"/>
        </w:rPr>
        <w:t xml:space="preserve">ype </w:t>
      </w:r>
      <w:r w:rsidRPr="001B7DE7">
        <w:rPr>
          <w:rFonts w:cs="Arial"/>
        </w:rPr>
        <w:t xml:space="preserve">I </w:t>
      </w:r>
      <w:r w:rsidR="00E3403B">
        <w:rPr>
          <w:rFonts w:cs="Arial"/>
          <w:szCs w:val="22"/>
        </w:rPr>
        <w:t>quillaia</w:t>
      </w:r>
      <w:r w:rsidRPr="001B7DE7">
        <w:rPr>
          <w:rFonts w:cs="Arial"/>
        </w:rPr>
        <w:t xml:space="preserve"> extract was admixed in the diet at concentrations of 0, 0.3, 1.0 or 3.0% (w/</w:t>
      </w:r>
      <w:r w:rsidR="007F00E9">
        <w:rPr>
          <w:rFonts w:cs="Arial"/>
        </w:rPr>
        <w:t>w</w:t>
      </w:r>
      <w:r w:rsidRPr="001B7DE7">
        <w:rPr>
          <w:rFonts w:cs="Arial"/>
        </w:rPr>
        <w:t xml:space="preserve">) and fed </w:t>
      </w:r>
      <w:r w:rsidRPr="001B7DE7">
        <w:rPr>
          <w:rFonts w:cs="Arial"/>
          <w:i/>
        </w:rPr>
        <w:t>ad libitum</w:t>
      </w:r>
      <w:r w:rsidRPr="001B7DE7">
        <w:rPr>
          <w:rFonts w:cs="Arial"/>
        </w:rPr>
        <w:t xml:space="preserve"> to Wistar rats (48/sex/group) for 2 years. Observations for clinical signs and deaths were made “regularly”. Bodyweight and food consumption were measured approximately every 2 months. Blood was taken from 10 rats/sex in the control, mid- and high-dose groups at week 15, 25 and 52, with blood collected from all surviving rats after 108 weeks. The following haematology and clinical chemistry parameters were analysed: Hb, Hct, RBC, WBC, differential WBC, urea, glucose, total protein, albumin, ALT, AST and LDH. Urine was collected from 10 control and 10 high-dose rats/sex at weeks 13, 24 and 78 for the analysis of volume, specific gravity, microscopic constituents, protein, glucose, blood, bile and ketones. Decedents and those sacrificed at the end of the study were necropsied and their organs/tissues examined macroscopically and histopathologically.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lastRenderedPageBreak/>
        <w:t xml:space="preserve">Cumulative mortality to 103 weeks was 33, 27, 42 and 19% in males and 27, 27, 21 and 29% in females in the control, low-, mid- and high-dose, respectively. There were no clinical signs reported. For males the mean food consumption measured at weeks 4, 25, 54, 71, 89 and 106 was 20.2, 19.3, 18.9, and 18.5 g/rat/day for the control, 0.3%, 1% and 3% groups respectively. In females the food consumption for the same treatment groups was 15.9, 15.3, 15.2 and 14.9 g/rat/day respectively. Water consumption was unaffected by treatment. The mean absolute bodyweight of high-dose males was significantly lower (p&lt;0.05 or 0.01) than the control at week 4, 42, 48, 54, 63, 71, 80 and 89 (3-9% lower than the control), with the overall bodyweight gain to week 106 being ~9% lower than the control.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In high-dose males, mean urine specific gravity was significantly higher (p&lt;0.01) than the control at week 78 but not at weeks 13 or 24. However, as the week 78 value (1.075) was identical to that determined at week 24, the significant difference is attributed to the reduction in specific gravity of the control from week 24 to week 78 concomitant with an increase in urine volume. There was no treatment-related effect on any haematology or clinical chemistry parameter. It was noted that WBC were significantly higher than the control in treated males at week 15 [13.8, 19.5 (p&lt;0.05) and 23.0 10</w:t>
      </w:r>
      <w:r w:rsidRPr="001B7DE7">
        <w:rPr>
          <w:rFonts w:cs="Arial"/>
          <w:vertAlign w:val="superscript"/>
        </w:rPr>
        <w:t>3</w:t>
      </w:r>
      <w:r w:rsidRPr="001B7DE7">
        <w:rPr>
          <w:rFonts w:cs="Arial"/>
        </w:rPr>
        <w:t>/mm</w:t>
      </w:r>
      <w:r w:rsidRPr="001B7DE7">
        <w:rPr>
          <w:rFonts w:cs="Arial"/>
          <w:vertAlign w:val="superscript"/>
        </w:rPr>
        <w:t>3</w:t>
      </w:r>
      <w:r w:rsidRPr="001B7DE7">
        <w:rPr>
          <w:rFonts w:cs="Arial"/>
        </w:rPr>
        <w:t xml:space="preserve"> (p&lt;0.01) at 0, 1 and 3% </w:t>
      </w:r>
      <w:r w:rsidR="00E3403B">
        <w:rPr>
          <w:rFonts w:cs="Arial"/>
          <w:szCs w:val="22"/>
        </w:rPr>
        <w:t>quillaia</w:t>
      </w:r>
      <w:r w:rsidRPr="001B7DE7">
        <w:rPr>
          <w:rFonts w:cs="Arial"/>
        </w:rPr>
        <w:t xml:space="preserve"> extract, respectively] and 25 [13.8, 12.2 and 18.5 (p&lt;0.01) at 0, 1 and 3% </w:t>
      </w:r>
      <w:r w:rsidR="00E3403B">
        <w:rPr>
          <w:rFonts w:cs="Arial"/>
          <w:szCs w:val="22"/>
        </w:rPr>
        <w:t>quillaia</w:t>
      </w:r>
      <w:r w:rsidRPr="001B7DE7">
        <w:rPr>
          <w:rFonts w:cs="Arial"/>
        </w:rPr>
        <w:t xml:space="preserve"> extract, respectively]. No differences were determined at week 52, with both sexes having significantly </w:t>
      </w:r>
      <w:r w:rsidRPr="001B7DE7">
        <w:rPr>
          <w:rFonts w:cs="Arial"/>
          <w:i/>
        </w:rPr>
        <w:t>lower</w:t>
      </w:r>
      <w:r w:rsidRPr="001B7DE7">
        <w:rPr>
          <w:rFonts w:cs="Arial"/>
        </w:rPr>
        <w:t xml:space="preserve"> (p&lt;0.05) WBC at week 108. In the differential WBC, significantly higher (p&lt;0.01) neutrophils and lower (p&lt;0.01) lymphocytes were determined in high-dose males at week 15 only. Due to the inconsistent nature of these findings (over time and between doses and sexes), these significant differences in males are not considered treatment-related. Some significant differences in absolute or relative organ weights were noted but were considered to be incidental findings due to their inconsistent occurrence and the lack of corroboration with any clinical chemistry or histopathological findings. There were no treatment-related non-neoplastic or neoplastic lesions.</w:t>
      </w:r>
    </w:p>
    <w:p w:rsidR="001B7DE7" w:rsidRPr="001B7DE7" w:rsidRDefault="001B7DE7" w:rsidP="001B7DE7">
      <w:pPr>
        <w:widowControl/>
        <w:rPr>
          <w:rFonts w:cs="Arial"/>
        </w:rPr>
      </w:pPr>
    </w:p>
    <w:p w:rsidR="001B7DE7" w:rsidRDefault="001B7DE7" w:rsidP="001B7DE7">
      <w:pPr>
        <w:widowControl/>
        <w:rPr>
          <w:rFonts w:cs="Arial"/>
        </w:rPr>
      </w:pPr>
      <w:r w:rsidRPr="001B7DE7">
        <w:rPr>
          <w:rFonts w:cs="Arial"/>
        </w:rPr>
        <w:t xml:space="preserve">The NOAEL of the </w:t>
      </w:r>
      <w:r w:rsidR="00C613F0">
        <w:rPr>
          <w:rFonts w:cs="Arial"/>
        </w:rPr>
        <w:t>t</w:t>
      </w:r>
      <w:r w:rsidR="00C613F0" w:rsidRPr="001B7DE7">
        <w:rPr>
          <w:rFonts w:cs="Arial"/>
        </w:rPr>
        <w:t xml:space="preserve">ype </w:t>
      </w:r>
      <w:r w:rsidRPr="001B7DE7">
        <w:rPr>
          <w:rFonts w:cs="Arial"/>
        </w:rPr>
        <w:t xml:space="preserve">I </w:t>
      </w:r>
      <w:r w:rsidR="00E3403B">
        <w:rPr>
          <w:rFonts w:cs="Arial"/>
        </w:rPr>
        <w:t>quillaia</w:t>
      </w:r>
      <w:r w:rsidRPr="001B7DE7">
        <w:rPr>
          <w:rFonts w:cs="Arial"/>
        </w:rPr>
        <w:t xml:space="preserve"> extract was 1% (500 mg/kg bw per day) based on reduced bodyweight gain in males at 3% (1174 mg/kg bw per day). There was no evidence that </w:t>
      </w:r>
      <w:r w:rsidR="00E3403B">
        <w:rPr>
          <w:rFonts w:cs="Arial"/>
          <w:szCs w:val="22"/>
        </w:rPr>
        <w:t>quillaia</w:t>
      </w:r>
      <w:r w:rsidRPr="001B7DE7">
        <w:rPr>
          <w:rFonts w:cs="Arial"/>
        </w:rPr>
        <w:t xml:space="preserve"> extract was carcinogenic up to a maximum dose of 1500 mg/kg bw per day.</w:t>
      </w:r>
    </w:p>
    <w:p w:rsidR="001F4BF5" w:rsidRPr="001B7DE7" w:rsidRDefault="001F4BF5" w:rsidP="001B7DE7">
      <w:pPr>
        <w:widowControl/>
        <w:rPr>
          <w:rFonts w:cs="Arial"/>
        </w:rPr>
      </w:pPr>
    </w:p>
    <w:p w:rsidR="001B7DE7" w:rsidRDefault="001B7DE7" w:rsidP="00AF18AD">
      <w:pPr>
        <w:pStyle w:val="Heading3"/>
      </w:pPr>
      <w:bookmarkStart w:id="60" w:name="_Toc360028610"/>
      <w:r w:rsidRPr="001B7DE7">
        <w:t>3.</w:t>
      </w:r>
      <w:r w:rsidR="00730D84">
        <w:t>2.5</w:t>
      </w:r>
      <w:r w:rsidRPr="001B7DE7">
        <w:tab/>
        <w:t>Growth performance study</w:t>
      </w:r>
      <w:bookmarkEnd w:id="60"/>
      <w:r w:rsidRPr="001B7DE7">
        <w:t xml:space="preserve"> </w:t>
      </w:r>
    </w:p>
    <w:p w:rsidR="001F4BF5" w:rsidRPr="00AF18AD" w:rsidRDefault="001F4BF5" w:rsidP="00AF18AD"/>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numPr>
                <w:ilvl w:val="1"/>
                <w:numId w:val="0"/>
              </w:numPr>
              <w:ind w:left="851" w:hanging="851"/>
              <w:outlineLvl w:val="1"/>
              <w:rPr>
                <w:rFonts w:eastAsiaTheme="majorEastAsia" w:cs="Arial"/>
                <w:b/>
                <w:bCs/>
                <w:szCs w:val="22"/>
              </w:rPr>
            </w:pPr>
            <w:r w:rsidRPr="001B7DE7">
              <w:rPr>
                <w:rFonts w:eastAsiaTheme="majorEastAsia" w:cs="Arial"/>
                <w:b/>
                <w:bCs/>
                <w:szCs w:val="22"/>
              </w:rPr>
              <w:t xml:space="preserve">Ilsley SE, Miller HM &amp; Kamel C (2005) Effects of dietary </w:t>
            </w:r>
            <w:r w:rsidR="00E3403B">
              <w:rPr>
                <w:rFonts w:eastAsiaTheme="majorEastAsia" w:cs="Arial"/>
                <w:b/>
                <w:bCs/>
                <w:szCs w:val="22"/>
              </w:rPr>
              <w:t>quillaia</w:t>
            </w:r>
            <w:r w:rsidRPr="001B7DE7">
              <w:rPr>
                <w:rFonts w:eastAsiaTheme="majorEastAsia" w:cs="Arial"/>
                <w:b/>
                <w:bCs/>
                <w:szCs w:val="22"/>
              </w:rPr>
              <w:t xml:space="preserve"> saponin and curcumin on the performance and immune status of weaned piglets.  J. Anim. Sci. 83:82-88</w:t>
            </w:r>
          </w:p>
        </w:tc>
      </w:tr>
    </w:tbl>
    <w:p w:rsidR="001B7DE7" w:rsidRPr="001B7DE7" w:rsidRDefault="001B7DE7" w:rsidP="002D67B0">
      <w:pPr>
        <w:rPr>
          <w:rFonts w:eastAsiaTheme="majorEastAsia"/>
        </w:rPr>
      </w:pPr>
    </w:p>
    <w:p w:rsidR="001B7DE7" w:rsidRPr="001B7DE7" w:rsidRDefault="001B7DE7" w:rsidP="002D67B0">
      <w:pPr>
        <w:rPr>
          <w:rFonts w:eastAsiaTheme="majorEastAsia"/>
        </w:rPr>
      </w:pPr>
      <w:r w:rsidRPr="001B7DE7">
        <w:rPr>
          <w:rFonts w:eastAsiaTheme="majorEastAsia"/>
        </w:rPr>
        <w:t xml:space="preserve">The objective of this study was to determine whether dietary </w:t>
      </w:r>
      <w:r w:rsidR="00E3403B">
        <w:rPr>
          <w:rFonts w:eastAsiaTheme="majorEastAsia"/>
        </w:rPr>
        <w:t>quillaia</w:t>
      </w:r>
      <w:r w:rsidRPr="001B7DE7">
        <w:rPr>
          <w:rFonts w:eastAsiaTheme="majorEastAsia"/>
        </w:rPr>
        <w:t xml:space="preserve"> saponin and curcumin (an extract of turmeric) would modulate weaned piglet growth characteristics and their immune status, as measured by changes in serum immunoglobulins G and A, C-reactive protein, and interferon-γ concentrations immediately after weaning. As investigations into the effects of curcumin are not the focus of this review no results from this aspect of the study are reported here. </w:t>
      </w:r>
      <w:r w:rsidR="00E3403B">
        <w:rPr>
          <w:rFonts w:eastAsiaTheme="majorEastAsia"/>
        </w:rPr>
        <w:t>Quillaia</w:t>
      </w:r>
      <w:r w:rsidRPr="001B7DE7">
        <w:rPr>
          <w:rFonts w:eastAsiaTheme="majorEastAsia"/>
        </w:rPr>
        <w:t xml:space="preserve"> </w:t>
      </w:r>
      <w:r w:rsidR="00B0666D">
        <w:rPr>
          <w:rFonts w:eastAsiaTheme="majorEastAsia"/>
        </w:rPr>
        <w:t>extract</w:t>
      </w:r>
      <w:r w:rsidRPr="001B7DE7">
        <w:rPr>
          <w:rFonts w:eastAsiaTheme="majorEastAsia"/>
        </w:rPr>
        <w:t xml:space="preserve"> (</w:t>
      </w:r>
      <w:r w:rsidR="00B0666D">
        <w:rPr>
          <w:rFonts w:eastAsiaTheme="majorEastAsia"/>
        </w:rPr>
        <w:t>t</w:t>
      </w:r>
      <w:r w:rsidR="00F11A0B">
        <w:rPr>
          <w:rFonts w:eastAsiaTheme="majorEastAsia"/>
        </w:rPr>
        <w:t xml:space="preserve">ype I; </w:t>
      </w:r>
      <w:r w:rsidRPr="001B7DE7">
        <w:rPr>
          <w:rFonts w:eastAsiaTheme="majorEastAsia"/>
        </w:rPr>
        <w:t xml:space="preserve">Acros Organics, Geel, Belgium) was admixed in the diet at 0 or 750 mg/kg for one week then 300 mg/kg from day 8 to 20. Water and the respective diets were available ad libitum to groups (48/group; matched by weight, litter, and gender) of weaned 29-day old piglets (62.5% Large White, 25% Landrace, 12.5% Duroc).  Feed intake was measured daily and the piglets were weighed on day 7, 14, and 20 after weaning.  On day 6 and 20 after weaning, eight pigs per treatment were sacrificed for blood and small intestine collection. Villus and crypt lengths of the small intestine were measured. </w:t>
      </w:r>
    </w:p>
    <w:p w:rsidR="001B7DE7" w:rsidRPr="001B7DE7" w:rsidRDefault="001B7DE7" w:rsidP="002D67B0">
      <w:pPr>
        <w:rPr>
          <w:rFonts w:eastAsiaTheme="majorEastAsia"/>
        </w:rPr>
      </w:pPr>
    </w:p>
    <w:p w:rsidR="001B7DE7" w:rsidRPr="001B7DE7" w:rsidRDefault="001B7DE7" w:rsidP="002D67B0">
      <w:pPr>
        <w:rPr>
          <w:rFonts w:eastAsiaTheme="majorEastAsia"/>
        </w:rPr>
      </w:pPr>
      <w:r w:rsidRPr="001B7DE7">
        <w:rPr>
          <w:rFonts w:eastAsiaTheme="majorEastAsia"/>
        </w:rPr>
        <w:t xml:space="preserve">Feed supplementation with </w:t>
      </w:r>
      <w:r w:rsidR="00E3403B">
        <w:rPr>
          <w:rFonts w:eastAsiaTheme="majorEastAsia"/>
        </w:rPr>
        <w:t>quillaia</w:t>
      </w:r>
      <w:r w:rsidRPr="001B7DE7">
        <w:rPr>
          <w:rFonts w:eastAsiaTheme="majorEastAsia"/>
        </w:rPr>
        <w:t xml:space="preserve"> saponin had no effect on piglet growth (Control v treatment group on day 0; 7.7 kg v 7.7 kg; day 7, 9.1 kg v 9.2 kg; day 14, 11.7 kg v11.9 kg; day 20, 14.6 kg v 14.7 kg). Table 3.3 shows that the average daily feed intake (ADFI) and growth to feed intake ratio (G:F) were similar between days 0 and 14 of the trial. However, </w:t>
      </w:r>
      <w:r w:rsidRPr="001B7DE7">
        <w:rPr>
          <w:rFonts w:eastAsiaTheme="majorEastAsia"/>
        </w:rPr>
        <w:lastRenderedPageBreak/>
        <w:t xml:space="preserve">between days 15 and 20, ADFI and G:F were lower in </w:t>
      </w:r>
      <w:r w:rsidR="00E3403B">
        <w:rPr>
          <w:rFonts w:eastAsiaTheme="majorEastAsia"/>
        </w:rPr>
        <w:t>quillaia</w:t>
      </w:r>
      <w:r w:rsidRPr="001B7DE7">
        <w:rPr>
          <w:rFonts w:eastAsiaTheme="majorEastAsia"/>
        </w:rPr>
        <w:t xml:space="preserve"> saponin-supplemented piglets (ADFI = 621 vs. 572 g/d; P &lt; 0.05; G:F = 0.75 vs. 0.85). Serum immunoglobulin IgG, IgA, interferon-γ, and C-reactive protein (CRP) did not differ on</w:t>
      </w:r>
      <w:r w:rsidRPr="001B7DE7">
        <w:rPr>
          <w:rFonts w:eastAsiaTheme="majorEastAsia"/>
          <w:b/>
        </w:rPr>
        <w:t xml:space="preserve"> </w:t>
      </w:r>
      <w:r w:rsidRPr="001B7DE7">
        <w:rPr>
          <w:rFonts w:eastAsiaTheme="majorEastAsia"/>
        </w:rPr>
        <w:t>day 6 after weaning. On day 20, IgG and CRP concentrations were greater (IgG = 18.2 vs. 12.1 mg/mL; CRP = 26.7 vs. 12.3 mg/ mL; P &lt; 0.05). Small intestine villus and crypt measurements did not differ on either day 6 or 2</w:t>
      </w:r>
      <w:r w:rsidR="002D67B0">
        <w:rPr>
          <w:rFonts w:eastAsiaTheme="majorEastAsia"/>
        </w:rPr>
        <w:t>0.</w:t>
      </w:r>
    </w:p>
    <w:p w:rsidR="001B7DE7" w:rsidRPr="001B7DE7" w:rsidRDefault="001B7DE7" w:rsidP="002D67B0">
      <w:pPr>
        <w:rPr>
          <w:rFonts w:eastAsiaTheme="majorEastAsia"/>
        </w:rPr>
      </w:pPr>
    </w:p>
    <w:p w:rsidR="001B7DE7" w:rsidRPr="001B7DE7" w:rsidRDefault="001B7DE7" w:rsidP="001B7DE7">
      <w:pPr>
        <w:widowControl/>
        <w:ind w:left="1134" w:hanging="1134"/>
        <w:rPr>
          <w:rFonts w:cs="Arial"/>
          <w:b/>
          <w:i/>
        </w:rPr>
      </w:pPr>
      <w:r w:rsidRPr="001B7DE7">
        <w:rPr>
          <w:rFonts w:cs="Arial"/>
          <w:b/>
          <w:i/>
        </w:rPr>
        <w:t>Table 3.3.</w:t>
      </w:r>
      <w:r w:rsidRPr="001B7DE7">
        <w:rPr>
          <w:rFonts w:cs="Arial"/>
          <w:b/>
          <w:i/>
        </w:rPr>
        <w:tab/>
        <w:t xml:space="preserve">Bodyweight and food consumption in weaned piglets exposed to </w:t>
      </w:r>
      <w:r w:rsidR="00E3403B">
        <w:rPr>
          <w:rFonts w:cs="Arial"/>
          <w:b/>
          <w:i/>
        </w:rPr>
        <w:t>quillaia</w:t>
      </w:r>
      <w:r w:rsidRPr="001B7DE7">
        <w:rPr>
          <w:rFonts w:cs="Arial"/>
          <w:b/>
          <w:i/>
        </w:rPr>
        <w:t xml:space="preserve"> saponin for 3 weeks</w:t>
      </w:r>
    </w:p>
    <w:tbl>
      <w:tblPr>
        <w:tblStyle w:val="TableGrid"/>
        <w:tblW w:w="0" w:type="auto"/>
        <w:tblInd w:w="108" w:type="dxa"/>
        <w:tblLook w:val="04A0" w:firstRow="1" w:lastRow="0" w:firstColumn="1" w:lastColumn="0" w:noHBand="0" w:noVBand="1"/>
      </w:tblPr>
      <w:tblGrid>
        <w:gridCol w:w="2250"/>
        <w:gridCol w:w="1800"/>
        <w:gridCol w:w="1890"/>
        <w:gridCol w:w="2790"/>
      </w:tblGrid>
      <w:tr w:rsidR="001B7DE7" w:rsidRPr="001B7DE7" w:rsidTr="004129E6">
        <w:trPr>
          <w:tblHeader/>
        </w:trPr>
        <w:tc>
          <w:tcPr>
            <w:tcW w:w="2250" w:type="dxa"/>
            <w:vMerge w:val="restart"/>
            <w:shd w:val="clear" w:color="auto" w:fill="EEECE1" w:themeFill="background2"/>
            <w:vAlign w:val="center"/>
          </w:tcPr>
          <w:p w:rsidR="001B7DE7" w:rsidRPr="001B7DE7" w:rsidRDefault="001B7DE7" w:rsidP="001B7DE7">
            <w:pPr>
              <w:widowControl/>
              <w:rPr>
                <w:rFonts w:cs="Arial"/>
                <w:b/>
                <w:sz w:val="20"/>
                <w:szCs w:val="20"/>
              </w:rPr>
            </w:pPr>
          </w:p>
        </w:tc>
        <w:tc>
          <w:tcPr>
            <w:tcW w:w="6480" w:type="dxa"/>
            <w:gridSpan w:val="3"/>
            <w:tcBorders>
              <w:right w:val="single" w:sz="4" w:space="0" w:color="auto"/>
            </w:tcBorders>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 xml:space="preserve">Dietary </w:t>
            </w:r>
            <w:r w:rsidR="00E3403B">
              <w:rPr>
                <w:rFonts w:cs="Arial"/>
                <w:b/>
                <w:sz w:val="20"/>
                <w:szCs w:val="20"/>
              </w:rPr>
              <w:t>quillaia</w:t>
            </w:r>
            <w:r w:rsidRPr="001B7DE7">
              <w:rPr>
                <w:rFonts w:cs="Arial"/>
                <w:b/>
                <w:sz w:val="20"/>
                <w:szCs w:val="20"/>
              </w:rPr>
              <w:t xml:space="preserve"> saponin concentration </w:t>
            </w:r>
          </w:p>
        </w:tc>
      </w:tr>
      <w:tr w:rsidR="001B7DE7" w:rsidRPr="001B7DE7" w:rsidTr="004129E6">
        <w:trPr>
          <w:trHeight w:val="700"/>
          <w:tblHeader/>
        </w:trPr>
        <w:tc>
          <w:tcPr>
            <w:tcW w:w="2250" w:type="dxa"/>
            <w:vMerge/>
            <w:tcBorders>
              <w:bottom w:val="single" w:sz="4" w:space="0" w:color="000000"/>
            </w:tcBorders>
            <w:shd w:val="clear" w:color="auto" w:fill="EEECE1" w:themeFill="background2"/>
          </w:tcPr>
          <w:p w:rsidR="001B7DE7" w:rsidRPr="001B7DE7" w:rsidRDefault="001B7DE7" w:rsidP="001B7DE7">
            <w:pPr>
              <w:widowControl/>
              <w:rPr>
                <w:rFonts w:cs="Arial"/>
                <w:b/>
                <w:sz w:val="20"/>
                <w:szCs w:val="20"/>
              </w:rPr>
            </w:pPr>
          </w:p>
        </w:tc>
        <w:tc>
          <w:tcPr>
            <w:tcW w:w="1800" w:type="dxa"/>
            <w:tcBorders>
              <w:bottom w:val="single" w:sz="4" w:space="0" w:color="000000"/>
            </w:tcBorders>
            <w:shd w:val="clear" w:color="auto" w:fill="EEECE1" w:themeFill="background2"/>
          </w:tcPr>
          <w:p w:rsidR="001B7DE7" w:rsidRPr="001B7DE7" w:rsidRDefault="001B7DE7" w:rsidP="001B7DE7">
            <w:pPr>
              <w:widowControl/>
              <w:jc w:val="center"/>
              <w:rPr>
                <w:rFonts w:cs="Arial"/>
                <w:sz w:val="20"/>
                <w:szCs w:val="20"/>
              </w:rPr>
            </w:pPr>
            <w:r w:rsidRPr="001B7DE7">
              <w:rPr>
                <w:rFonts w:cs="Arial"/>
                <w:sz w:val="20"/>
                <w:szCs w:val="20"/>
              </w:rPr>
              <w:t>0</w:t>
            </w:r>
          </w:p>
          <w:p w:rsidR="001B7DE7" w:rsidRPr="001B7DE7" w:rsidRDefault="001B7DE7" w:rsidP="001B7DE7">
            <w:pPr>
              <w:jc w:val="center"/>
              <w:rPr>
                <w:rFonts w:cs="Arial"/>
                <w:sz w:val="20"/>
                <w:szCs w:val="20"/>
              </w:rPr>
            </w:pPr>
          </w:p>
        </w:tc>
        <w:tc>
          <w:tcPr>
            <w:tcW w:w="1890" w:type="dxa"/>
            <w:tcBorders>
              <w:bottom w:val="single" w:sz="4" w:space="0" w:color="000000"/>
            </w:tcBorders>
            <w:shd w:val="clear" w:color="auto" w:fill="EEECE1" w:themeFill="background2"/>
          </w:tcPr>
          <w:p w:rsidR="001B7DE7" w:rsidRPr="001B7DE7" w:rsidRDefault="001B7DE7" w:rsidP="001B7DE7">
            <w:pPr>
              <w:widowControl/>
              <w:jc w:val="center"/>
              <w:rPr>
                <w:rFonts w:cs="Arial"/>
                <w:sz w:val="20"/>
                <w:szCs w:val="20"/>
              </w:rPr>
            </w:pPr>
            <w:r w:rsidRPr="001B7DE7">
              <w:rPr>
                <w:rFonts w:cs="Arial"/>
                <w:sz w:val="20"/>
                <w:szCs w:val="20"/>
              </w:rPr>
              <w:t>750 mg/kg week1</w:t>
            </w:r>
          </w:p>
          <w:p w:rsidR="001B7DE7" w:rsidRPr="001B7DE7" w:rsidRDefault="001B7DE7" w:rsidP="001B7DE7">
            <w:pPr>
              <w:jc w:val="center"/>
              <w:rPr>
                <w:rFonts w:cs="Arial"/>
                <w:sz w:val="20"/>
                <w:szCs w:val="20"/>
              </w:rPr>
            </w:pPr>
            <w:r w:rsidRPr="001B7DE7">
              <w:rPr>
                <w:rFonts w:cs="Arial"/>
                <w:sz w:val="20"/>
                <w:szCs w:val="20"/>
              </w:rPr>
              <w:t>300 mg/kg thereafter</w:t>
            </w:r>
          </w:p>
        </w:tc>
        <w:tc>
          <w:tcPr>
            <w:tcW w:w="2790" w:type="dxa"/>
            <w:tcBorders>
              <w:bottom w:val="single" w:sz="4" w:space="0" w:color="000000"/>
              <w:right w:val="single" w:sz="4" w:space="0" w:color="auto"/>
            </w:tcBorders>
            <w:shd w:val="clear" w:color="auto" w:fill="EEECE1" w:themeFill="background2"/>
          </w:tcPr>
          <w:p w:rsidR="001B7DE7" w:rsidRPr="001B7DE7" w:rsidRDefault="001B7DE7" w:rsidP="001B7DE7">
            <w:pPr>
              <w:widowControl/>
              <w:jc w:val="center"/>
              <w:rPr>
                <w:rFonts w:cs="Arial"/>
                <w:sz w:val="20"/>
                <w:szCs w:val="20"/>
              </w:rPr>
            </w:pPr>
            <w:r w:rsidRPr="001B7DE7">
              <w:rPr>
                <w:rFonts w:cs="Arial"/>
                <w:sz w:val="20"/>
                <w:szCs w:val="20"/>
              </w:rPr>
              <w:t>p-</w:t>
            </w:r>
            <w:r w:rsidR="00D632A4">
              <w:rPr>
                <w:rFonts w:cs="Arial"/>
                <w:sz w:val="20"/>
                <w:szCs w:val="20"/>
              </w:rPr>
              <w:t>v</w:t>
            </w:r>
            <w:r w:rsidRPr="001B7DE7">
              <w:rPr>
                <w:rFonts w:cs="Arial"/>
                <w:sz w:val="20"/>
                <w:szCs w:val="20"/>
              </w:rPr>
              <w:t>alue*</w:t>
            </w:r>
          </w:p>
        </w:tc>
      </w:tr>
      <w:tr w:rsidR="001B7DE7" w:rsidRPr="001B7DE7" w:rsidTr="004129E6">
        <w:tc>
          <w:tcPr>
            <w:tcW w:w="2250" w:type="dxa"/>
          </w:tcPr>
          <w:p w:rsidR="001B7DE7" w:rsidRPr="001B7DE7" w:rsidRDefault="001B7DE7" w:rsidP="001B7DE7">
            <w:pPr>
              <w:widowControl/>
              <w:rPr>
                <w:rFonts w:cs="Arial"/>
                <w:sz w:val="20"/>
                <w:szCs w:val="20"/>
              </w:rPr>
            </w:pPr>
            <w:r w:rsidRPr="001B7DE7">
              <w:rPr>
                <w:rFonts w:cs="Arial"/>
                <w:sz w:val="20"/>
                <w:szCs w:val="20"/>
              </w:rPr>
              <w:t>Average Daily Feed Consumption (g/day)</w:t>
            </w:r>
          </w:p>
          <w:p w:rsidR="001B7DE7" w:rsidRPr="001B7DE7" w:rsidRDefault="001B7DE7" w:rsidP="001B7DE7">
            <w:pPr>
              <w:widowControl/>
              <w:rPr>
                <w:rFonts w:cs="Arial"/>
                <w:sz w:val="20"/>
                <w:szCs w:val="20"/>
              </w:rPr>
            </w:pPr>
            <w:r w:rsidRPr="001B7DE7">
              <w:rPr>
                <w:rFonts w:cs="Arial"/>
                <w:sz w:val="20"/>
                <w:szCs w:val="20"/>
              </w:rPr>
              <w:t xml:space="preserve">   </w:t>
            </w:r>
          </w:p>
          <w:p w:rsidR="001B7DE7" w:rsidRPr="001B7DE7" w:rsidRDefault="001B7DE7" w:rsidP="001B7DE7">
            <w:pPr>
              <w:widowControl/>
              <w:rPr>
                <w:rFonts w:cs="Arial"/>
                <w:sz w:val="20"/>
                <w:szCs w:val="20"/>
              </w:rPr>
            </w:pPr>
            <w:r w:rsidRPr="001B7DE7">
              <w:rPr>
                <w:rFonts w:cs="Arial"/>
                <w:sz w:val="20"/>
                <w:szCs w:val="20"/>
              </w:rPr>
              <w:t xml:space="preserve">   d 0-7</w:t>
            </w:r>
          </w:p>
          <w:p w:rsidR="001B7DE7" w:rsidRPr="001B7DE7" w:rsidRDefault="001B7DE7" w:rsidP="001B7DE7">
            <w:pPr>
              <w:widowControl/>
              <w:rPr>
                <w:rFonts w:cs="Arial"/>
                <w:sz w:val="20"/>
                <w:szCs w:val="20"/>
              </w:rPr>
            </w:pPr>
            <w:r w:rsidRPr="001B7DE7">
              <w:rPr>
                <w:rFonts w:cs="Arial"/>
                <w:sz w:val="20"/>
                <w:szCs w:val="20"/>
              </w:rPr>
              <w:t xml:space="preserve">   d 8-14</w:t>
            </w:r>
          </w:p>
          <w:p w:rsidR="001B7DE7" w:rsidRPr="001B7DE7" w:rsidRDefault="001B7DE7" w:rsidP="001B7DE7">
            <w:pPr>
              <w:widowControl/>
              <w:rPr>
                <w:rFonts w:cs="Arial"/>
                <w:sz w:val="20"/>
                <w:szCs w:val="20"/>
              </w:rPr>
            </w:pPr>
            <w:r w:rsidRPr="001B7DE7">
              <w:rPr>
                <w:rFonts w:cs="Arial"/>
                <w:sz w:val="20"/>
                <w:szCs w:val="20"/>
              </w:rPr>
              <w:t xml:space="preserve">   d 15-20</w:t>
            </w:r>
          </w:p>
          <w:p w:rsidR="001B7DE7" w:rsidRPr="001B7DE7" w:rsidRDefault="001B7DE7" w:rsidP="001B7DE7">
            <w:pPr>
              <w:widowControl/>
              <w:rPr>
                <w:rFonts w:cs="Arial"/>
                <w:sz w:val="20"/>
                <w:szCs w:val="20"/>
              </w:rPr>
            </w:pPr>
            <w:r w:rsidRPr="001B7DE7">
              <w:rPr>
                <w:rFonts w:cs="Arial"/>
                <w:sz w:val="20"/>
                <w:szCs w:val="20"/>
              </w:rPr>
              <w:t xml:space="preserve">   d 0-20</w:t>
            </w:r>
          </w:p>
        </w:tc>
        <w:tc>
          <w:tcPr>
            <w:tcW w:w="180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200</w:t>
            </w:r>
          </w:p>
          <w:p w:rsidR="001B7DE7" w:rsidRPr="001B7DE7" w:rsidRDefault="001B7DE7" w:rsidP="001B7DE7">
            <w:pPr>
              <w:widowControl/>
              <w:jc w:val="center"/>
              <w:rPr>
                <w:rFonts w:cs="Arial"/>
                <w:sz w:val="20"/>
                <w:szCs w:val="20"/>
              </w:rPr>
            </w:pPr>
            <w:r w:rsidRPr="001B7DE7">
              <w:rPr>
                <w:rFonts w:cs="Arial"/>
                <w:sz w:val="20"/>
                <w:szCs w:val="20"/>
              </w:rPr>
              <w:t>429</w:t>
            </w:r>
          </w:p>
          <w:p w:rsidR="001B7DE7" w:rsidRPr="001B7DE7" w:rsidRDefault="001B7DE7" w:rsidP="001B7DE7">
            <w:pPr>
              <w:widowControl/>
              <w:jc w:val="center"/>
              <w:rPr>
                <w:rFonts w:cs="Arial"/>
                <w:sz w:val="20"/>
                <w:szCs w:val="20"/>
              </w:rPr>
            </w:pPr>
            <w:r w:rsidRPr="001B7DE7">
              <w:rPr>
                <w:rFonts w:cs="Arial"/>
                <w:sz w:val="20"/>
                <w:szCs w:val="20"/>
              </w:rPr>
              <w:t>572</w:t>
            </w:r>
          </w:p>
          <w:p w:rsidR="001B7DE7" w:rsidRPr="001B7DE7" w:rsidRDefault="001B7DE7" w:rsidP="001B7DE7">
            <w:pPr>
              <w:widowControl/>
              <w:jc w:val="center"/>
              <w:rPr>
                <w:rFonts w:cs="Arial"/>
                <w:sz w:val="20"/>
                <w:szCs w:val="20"/>
              </w:rPr>
            </w:pPr>
            <w:r w:rsidRPr="001B7DE7">
              <w:rPr>
                <w:rFonts w:cs="Arial"/>
                <w:sz w:val="20"/>
                <w:szCs w:val="20"/>
              </w:rPr>
              <w:t>388</w:t>
            </w:r>
          </w:p>
        </w:tc>
        <w:tc>
          <w:tcPr>
            <w:tcW w:w="189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212</w:t>
            </w:r>
          </w:p>
          <w:p w:rsidR="001B7DE7" w:rsidRPr="001B7DE7" w:rsidRDefault="001B7DE7" w:rsidP="001B7DE7">
            <w:pPr>
              <w:widowControl/>
              <w:jc w:val="center"/>
              <w:rPr>
                <w:rFonts w:cs="Arial"/>
                <w:sz w:val="20"/>
                <w:szCs w:val="20"/>
              </w:rPr>
            </w:pPr>
            <w:r w:rsidRPr="001B7DE7">
              <w:rPr>
                <w:rFonts w:cs="Arial"/>
                <w:sz w:val="20"/>
                <w:szCs w:val="20"/>
              </w:rPr>
              <w:t>456</w:t>
            </w:r>
          </w:p>
          <w:p w:rsidR="001B7DE7" w:rsidRPr="001B7DE7" w:rsidRDefault="001B7DE7" w:rsidP="001B7DE7">
            <w:pPr>
              <w:widowControl/>
              <w:jc w:val="center"/>
              <w:rPr>
                <w:rFonts w:cs="Arial"/>
                <w:sz w:val="20"/>
                <w:szCs w:val="20"/>
              </w:rPr>
            </w:pPr>
            <w:r w:rsidRPr="001B7DE7">
              <w:rPr>
                <w:rFonts w:cs="Arial"/>
                <w:sz w:val="20"/>
                <w:szCs w:val="20"/>
              </w:rPr>
              <w:t>621</w:t>
            </w:r>
          </w:p>
          <w:p w:rsidR="001B7DE7" w:rsidRPr="001B7DE7" w:rsidRDefault="001B7DE7" w:rsidP="001B7DE7">
            <w:pPr>
              <w:widowControl/>
              <w:jc w:val="center"/>
              <w:rPr>
                <w:rFonts w:cs="Arial"/>
                <w:sz w:val="20"/>
                <w:szCs w:val="20"/>
              </w:rPr>
            </w:pPr>
            <w:r w:rsidRPr="001B7DE7">
              <w:rPr>
                <w:rFonts w:cs="Arial"/>
                <w:sz w:val="20"/>
                <w:szCs w:val="20"/>
              </w:rPr>
              <w:t>420</w:t>
            </w:r>
          </w:p>
        </w:tc>
        <w:tc>
          <w:tcPr>
            <w:tcW w:w="279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0.565</w:t>
            </w:r>
          </w:p>
          <w:p w:rsidR="001B7DE7" w:rsidRPr="001B7DE7" w:rsidRDefault="001B7DE7" w:rsidP="001B7DE7">
            <w:pPr>
              <w:widowControl/>
              <w:jc w:val="center"/>
              <w:rPr>
                <w:rFonts w:cs="Arial"/>
                <w:sz w:val="20"/>
                <w:szCs w:val="20"/>
              </w:rPr>
            </w:pPr>
            <w:r w:rsidRPr="001B7DE7">
              <w:rPr>
                <w:rFonts w:cs="Arial"/>
                <w:sz w:val="20"/>
                <w:szCs w:val="20"/>
              </w:rPr>
              <w:t>0.366</w:t>
            </w:r>
          </w:p>
          <w:p w:rsidR="001B7DE7" w:rsidRPr="001B7DE7" w:rsidRDefault="001B7DE7" w:rsidP="001B7DE7">
            <w:pPr>
              <w:widowControl/>
              <w:jc w:val="center"/>
              <w:rPr>
                <w:rFonts w:cs="Arial"/>
                <w:sz w:val="20"/>
                <w:szCs w:val="20"/>
              </w:rPr>
            </w:pPr>
            <w:r w:rsidRPr="001B7DE7">
              <w:rPr>
                <w:rFonts w:cs="Arial"/>
                <w:sz w:val="20"/>
                <w:szCs w:val="20"/>
              </w:rPr>
              <w:t>0.044</w:t>
            </w:r>
          </w:p>
          <w:p w:rsidR="001B7DE7" w:rsidRPr="001B7DE7" w:rsidRDefault="001B7DE7" w:rsidP="001B7DE7">
            <w:pPr>
              <w:widowControl/>
              <w:jc w:val="center"/>
              <w:rPr>
                <w:rFonts w:cs="Arial"/>
                <w:sz w:val="20"/>
                <w:szCs w:val="20"/>
              </w:rPr>
            </w:pPr>
            <w:r w:rsidRPr="001B7DE7">
              <w:rPr>
                <w:rFonts w:cs="Arial"/>
                <w:sz w:val="20"/>
                <w:szCs w:val="20"/>
              </w:rPr>
              <w:t>0.098</w:t>
            </w:r>
          </w:p>
        </w:tc>
      </w:tr>
      <w:tr w:rsidR="001B7DE7" w:rsidRPr="001B7DE7" w:rsidTr="004129E6">
        <w:tc>
          <w:tcPr>
            <w:tcW w:w="2250" w:type="dxa"/>
          </w:tcPr>
          <w:p w:rsidR="001B7DE7" w:rsidRPr="001B7DE7" w:rsidRDefault="001B7DE7" w:rsidP="001B7DE7">
            <w:pPr>
              <w:widowControl/>
              <w:rPr>
                <w:rFonts w:cs="Arial"/>
                <w:sz w:val="20"/>
                <w:szCs w:val="20"/>
              </w:rPr>
            </w:pPr>
            <w:r w:rsidRPr="001B7DE7">
              <w:rPr>
                <w:rFonts w:cs="Arial"/>
                <w:sz w:val="20"/>
                <w:szCs w:val="20"/>
              </w:rPr>
              <w:t>Bodyweight gain</w:t>
            </w:r>
            <w:r w:rsidRPr="001B7DE7">
              <w:rPr>
                <w:rFonts w:cs="Arial"/>
                <w:b/>
                <w:sz w:val="20"/>
                <w:szCs w:val="20"/>
              </w:rPr>
              <w:t>:</w:t>
            </w:r>
            <w:r w:rsidRPr="001B7DE7">
              <w:rPr>
                <w:rFonts w:cs="Arial"/>
                <w:sz w:val="20"/>
                <w:szCs w:val="20"/>
              </w:rPr>
              <w:t xml:space="preserve">Feed ratio  </w:t>
            </w:r>
          </w:p>
          <w:p w:rsidR="001B7DE7" w:rsidRPr="001B7DE7" w:rsidRDefault="001B7DE7" w:rsidP="001B7DE7">
            <w:pPr>
              <w:widowControl/>
              <w:rPr>
                <w:rFonts w:cs="Arial"/>
                <w:sz w:val="20"/>
                <w:szCs w:val="20"/>
              </w:rPr>
            </w:pPr>
            <w:r w:rsidRPr="001B7DE7">
              <w:rPr>
                <w:rFonts w:cs="Arial"/>
                <w:sz w:val="20"/>
                <w:szCs w:val="20"/>
              </w:rPr>
              <w:t xml:space="preserve">   d 0-7</w:t>
            </w:r>
          </w:p>
          <w:p w:rsidR="001B7DE7" w:rsidRPr="001B7DE7" w:rsidRDefault="001B7DE7" w:rsidP="001B7DE7">
            <w:pPr>
              <w:widowControl/>
              <w:rPr>
                <w:rFonts w:cs="Arial"/>
                <w:sz w:val="20"/>
                <w:szCs w:val="20"/>
              </w:rPr>
            </w:pPr>
            <w:r w:rsidRPr="001B7DE7">
              <w:rPr>
                <w:rFonts w:cs="Arial"/>
                <w:sz w:val="20"/>
                <w:szCs w:val="20"/>
              </w:rPr>
              <w:t xml:space="preserve">   d 8-14</w:t>
            </w:r>
          </w:p>
          <w:p w:rsidR="001B7DE7" w:rsidRPr="001B7DE7" w:rsidRDefault="001B7DE7" w:rsidP="001B7DE7">
            <w:pPr>
              <w:widowControl/>
              <w:rPr>
                <w:rFonts w:cs="Arial"/>
                <w:sz w:val="20"/>
                <w:szCs w:val="20"/>
              </w:rPr>
            </w:pPr>
            <w:r w:rsidRPr="001B7DE7">
              <w:rPr>
                <w:rFonts w:cs="Arial"/>
                <w:sz w:val="20"/>
                <w:szCs w:val="20"/>
              </w:rPr>
              <w:t xml:space="preserve">   d 15-20</w:t>
            </w:r>
          </w:p>
          <w:p w:rsidR="001B7DE7" w:rsidRPr="001B7DE7" w:rsidRDefault="001B7DE7" w:rsidP="001B7DE7">
            <w:pPr>
              <w:widowControl/>
              <w:rPr>
                <w:rFonts w:cs="Arial"/>
                <w:sz w:val="20"/>
                <w:szCs w:val="20"/>
              </w:rPr>
            </w:pPr>
            <w:r w:rsidRPr="001B7DE7">
              <w:rPr>
                <w:rFonts w:cs="Arial"/>
                <w:sz w:val="20"/>
                <w:szCs w:val="20"/>
              </w:rPr>
              <w:t xml:space="preserve">   d 0-20</w:t>
            </w:r>
          </w:p>
        </w:tc>
        <w:tc>
          <w:tcPr>
            <w:tcW w:w="180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1.00</w:t>
            </w:r>
          </w:p>
          <w:p w:rsidR="001B7DE7" w:rsidRPr="001B7DE7" w:rsidRDefault="001B7DE7" w:rsidP="001B7DE7">
            <w:pPr>
              <w:widowControl/>
              <w:jc w:val="center"/>
              <w:rPr>
                <w:rFonts w:cs="Arial"/>
                <w:sz w:val="20"/>
                <w:szCs w:val="20"/>
              </w:rPr>
            </w:pPr>
            <w:r w:rsidRPr="001B7DE7">
              <w:rPr>
                <w:rFonts w:cs="Arial"/>
                <w:sz w:val="20"/>
                <w:szCs w:val="20"/>
              </w:rPr>
              <w:t>0.87</w:t>
            </w:r>
          </w:p>
          <w:p w:rsidR="001B7DE7" w:rsidRPr="001B7DE7" w:rsidRDefault="001B7DE7" w:rsidP="001B7DE7">
            <w:pPr>
              <w:widowControl/>
              <w:jc w:val="center"/>
              <w:rPr>
                <w:rFonts w:cs="Arial"/>
                <w:sz w:val="20"/>
                <w:szCs w:val="20"/>
              </w:rPr>
            </w:pPr>
            <w:r w:rsidRPr="001B7DE7">
              <w:rPr>
                <w:rFonts w:cs="Arial"/>
                <w:sz w:val="20"/>
                <w:szCs w:val="20"/>
              </w:rPr>
              <w:t>0.85</w:t>
            </w:r>
          </w:p>
          <w:p w:rsidR="001B7DE7" w:rsidRPr="001B7DE7" w:rsidRDefault="001B7DE7" w:rsidP="001B7DE7">
            <w:pPr>
              <w:widowControl/>
              <w:jc w:val="center"/>
              <w:rPr>
                <w:rFonts w:cs="Arial"/>
                <w:sz w:val="20"/>
                <w:szCs w:val="20"/>
              </w:rPr>
            </w:pPr>
            <w:r w:rsidRPr="001B7DE7">
              <w:rPr>
                <w:rFonts w:cs="Arial"/>
                <w:sz w:val="20"/>
                <w:szCs w:val="20"/>
              </w:rPr>
              <w:t>0.89</w:t>
            </w:r>
          </w:p>
        </w:tc>
        <w:tc>
          <w:tcPr>
            <w:tcW w:w="189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1.04</w:t>
            </w:r>
          </w:p>
          <w:p w:rsidR="001B7DE7" w:rsidRPr="001B7DE7" w:rsidRDefault="001B7DE7" w:rsidP="001B7DE7">
            <w:pPr>
              <w:widowControl/>
              <w:jc w:val="center"/>
              <w:rPr>
                <w:rFonts w:cs="Arial"/>
                <w:sz w:val="20"/>
                <w:szCs w:val="20"/>
              </w:rPr>
            </w:pPr>
            <w:r w:rsidRPr="001B7DE7">
              <w:rPr>
                <w:rFonts w:cs="Arial"/>
                <w:sz w:val="20"/>
                <w:szCs w:val="20"/>
              </w:rPr>
              <w:t>0.85</w:t>
            </w:r>
          </w:p>
          <w:p w:rsidR="001B7DE7" w:rsidRPr="001B7DE7" w:rsidRDefault="001B7DE7" w:rsidP="001B7DE7">
            <w:pPr>
              <w:widowControl/>
              <w:jc w:val="center"/>
              <w:rPr>
                <w:rFonts w:cs="Arial"/>
                <w:sz w:val="20"/>
                <w:szCs w:val="20"/>
              </w:rPr>
            </w:pPr>
            <w:r w:rsidRPr="001B7DE7">
              <w:rPr>
                <w:rFonts w:cs="Arial"/>
                <w:sz w:val="20"/>
                <w:szCs w:val="20"/>
              </w:rPr>
              <w:t>0.75</w:t>
            </w:r>
          </w:p>
          <w:p w:rsidR="001B7DE7" w:rsidRPr="001B7DE7" w:rsidRDefault="001B7DE7" w:rsidP="001B7DE7">
            <w:pPr>
              <w:widowControl/>
              <w:jc w:val="center"/>
              <w:rPr>
                <w:rFonts w:cs="Arial"/>
                <w:sz w:val="20"/>
                <w:szCs w:val="20"/>
              </w:rPr>
            </w:pPr>
            <w:r w:rsidRPr="001B7DE7">
              <w:rPr>
                <w:rFonts w:cs="Arial"/>
                <w:sz w:val="20"/>
                <w:szCs w:val="20"/>
              </w:rPr>
              <w:t>0.84</w:t>
            </w:r>
          </w:p>
          <w:p w:rsidR="001B7DE7" w:rsidRPr="001B7DE7" w:rsidRDefault="001B7DE7" w:rsidP="001B7DE7">
            <w:pPr>
              <w:widowControl/>
              <w:jc w:val="center"/>
              <w:rPr>
                <w:rFonts w:cs="Arial"/>
                <w:sz w:val="20"/>
                <w:szCs w:val="20"/>
              </w:rPr>
            </w:pPr>
          </w:p>
        </w:tc>
        <w:tc>
          <w:tcPr>
            <w:tcW w:w="279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0.521</w:t>
            </w:r>
          </w:p>
          <w:p w:rsidR="001B7DE7" w:rsidRPr="001B7DE7" w:rsidRDefault="001B7DE7" w:rsidP="001B7DE7">
            <w:pPr>
              <w:widowControl/>
              <w:jc w:val="center"/>
              <w:rPr>
                <w:rFonts w:cs="Arial"/>
                <w:sz w:val="20"/>
                <w:szCs w:val="20"/>
              </w:rPr>
            </w:pPr>
            <w:r w:rsidRPr="001B7DE7">
              <w:rPr>
                <w:rFonts w:cs="Arial"/>
                <w:sz w:val="20"/>
                <w:szCs w:val="20"/>
              </w:rPr>
              <w:t>0.309</w:t>
            </w:r>
          </w:p>
          <w:p w:rsidR="001B7DE7" w:rsidRPr="001B7DE7" w:rsidRDefault="001B7DE7" w:rsidP="001B7DE7">
            <w:pPr>
              <w:widowControl/>
              <w:jc w:val="center"/>
              <w:rPr>
                <w:rFonts w:cs="Arial"/>
                <w:sz w:val="20"/>
                <w:szCs w:val="20"/>
              </w:rPr>
            </w:pPr>
            <w:r w:rsidRPr="001B7DE7">
              <w:rPr>
                <w:rFonts w:cs="Arial"/>
                <w:sz w:val="20"/>
                <w:szCs w:val="20"/>
              </w:rPr>
              <w:t>0.072</w:t>
            </w:r>
          </w:p>
          <w:p w:rsidR="001B7DE7" w:rsidRPr="001B7DE7" w:rsidRDefault="001B7DE7" w:rsidP="001B7DE7">
            <w:pPr>
              <w:widowControl/>
              <w:jc w:val="center"/>
              <w:rPr>
                <w:rFonts w:cs="Arial"/>
                <w:sz w:val="20"/>
                <w:szCs w:val="20"/>
              </w:rPr>
            </w:pPr>
            <w:r w:rsidRPr="001B7DE7">
              <w:rPr>
                <w:rFonts w:cs="Arial"/>
                <w:sz w:val="20"/>
                <w:szCs w:val="20"/>
              </w:rPr>
              <w:t>0.056</w:t>
            </w:r>
          </w:p>
          <w:p w:rsidR="001B7DE7" w:rsidRPr="001B7DE7" w:rsidRDefault="001B7DE7" w:rsidP="001B7DE7">
            <w:pPr>
              <w:widowControl/>
              <w:jc w:val="center"/>
              <w:rPr>
                <w:rFonts w:cs="Arial"/>
                <w:sz w:val="20"/>
                <w:szCs w:val="20"/>
              </w:rPr>
            </w:pPr>
          </w:p>
        </w:tc>
      </w:tr>
    </w:tbl>
    <w:p w:rsidR="001B7DE7" w:rsidRPr="001B7DE7" w:rsidRDefault="001B7DE7" w:rsidP="001B7DE7">
      <w:pPr>
        <w:widowControl/>
        <w:spacing w:before="120"/>
        <w:rPr>
          <w:rFonts w:cs="Arial"/>
          <w:sz w:val="18"/>
          <w:szCs w:val="18"/>
        </w:rPr>
      </w:pPr>
      <w:r w:rsidRPr="001B7DE7">
        <w:rPr>
          <w:rFonts w:cs="Arial"/>
          <w:sz w:val="18"/>
          <w:szCs w:val="18"/>
        </w:rPr>
        <w:t xml:space="preserve">*Piglet weaning weight and age used as covariates in the statistical analysis. </w:t>
      </w:r>
    </w:p>
    <w:p w:rsidR="001B7DE7" w:rsidRPr="001B7DE7" w:rsidRDefault="001B7DE7" w:rsidP="002D67B0">
      <w:pPr>
        <w:rPr>
          <w:rFonts w:eastAsiaTheme="majorEastAsia"/>
        </w:rPr>
      </w:pPr>
    </w:p>
    <w:p w:rsidR="001B7DE7" w:rsidRPr="001B7DE7" w:rsidRDefault="001B7DE7" w:rsidP="00435E22">
      <w:pPr>
        <w:pStyle w:val="Two"/>
      </w:pPr>
      <w:bookmarkStart w:id="61" w:name="_Toc360028611"/>
      <w:r w:rsidRPr="001B7DE7">
        <w:t>3.</w:t>
      </w:r>
      <w:r w:rsidR="00730D84">
        <w:t>3</w:t>
      </w:r>
      <w:r w:rsidRPr="001B7DE7">
        <w:tab/>
        <w:t>Discussion</w:t>
      </w:r>
      <w:bookmarkEnd w:id="61"/>
    </w:p>
    <w:p w:rsidR="001B7DE7" w:rsidRPr="001B7DE7" w:rsidRDefault="001B7DE7" w:rsidP="001B7DE7">
      <w:pPr>
        <w:widowControl/>
        <w:rPr>
          <w:rFonts w:cs="Arial"/>
        </w:rPr>
      </w:pPr>
      <w:r w:rsidRPr="001B7DE7">
        <w:rPr>
          <w:rFonts w:cs="Arial"/>
        </w:rPr>
        <w:t xml:space="preserve">In general saponins, as a consequence of their chemistry, have poor membrane permeability capacity because of their large molecular mass, high hydrogen-bonding capacity and molecular flexibility (Yu et al 2012). While no pharmacokinetic data were available for the saponins from </w:t>
      </w:r>
      <w:r w:rsidR="00E3403B">
        <w:rPr>
          <w:rFonts w:cs="Arial"/>
        </w:rPr>
        <w:t>quillaia</w:t>
      </w:r>
      <w:r w:rsidRPr="001B7DE7">
        <w:rPr>
          <w:rFonts w:cs="Arial"/>
        </w:rPr>
        <w:t xml:space="preserve"> it is likely that intestinal absorption of unchanged saponins will be poor. Since many saponins are enzymatically cleaved by microflora</w:t>
      </w:r>
      <w:r w:rsidRPr="001B7DE7">
        <w:t xml:space="preserve"> </w:t>
      </w:r>
      <w:r w:rsidRPr="001B7DE7">
        <w:rPr>
          <w:rFonts w:cs="Arial"/>
        </w:rPr>
        <w:t>in the gastrointestinal tract to form deglycosylated aglycones it is less certain such metabolites will not</w:t>
      </w:r>
      <w:r w:rsidR="003B2426">
        <w:rPr>
          <w:rFonts w:cs="Arial"/>
        </w:rPr>
        <w:t xml:space="preserve"> be</w:t>
      </w:r>
      <w:r w:rsidRPr="001B7DE7">
        <w:rPr>
          <w:rFonts w:cs="Arial"/>
        </w:rPr>
        <w:t xml:space="preserve"> absorbed. </w:t>
      </w:r>
    </w:p>
    <w:p w:rsidR="001B7DE7" w:rsidRPr="001B7DE7" w:rsidRDefault="001B7DE7" w:rsidP="001B7DE7">
      <w:pPr>
        <w:widowControl/>
        <w:rPr>
          <w:rFonts w:cs="Arial"/>
        </w:rPr>
      </w:pPr>
    </w:p>
    <w:p w:rsidR="001B7DE7" w:rsidRPr="001B7DE7" w:rsidRDefault="00E3403B" w:rsidP="001B7DE7">
      <w:pPr>
        <w:widowControl/>
        <w:rPr>
          <w:rFonts w:cs="Arial"/>
        </w:rPr>
      </w:pPr>
      <w:r>
        <w:rPr>
          <w:rFonts w:cs="Arial"/>
        </w:rPr>
        <w:t>Quillaia</w:t>
      </w:r>
      <w:r w:rsidR="001B7DE7" w:rsidRPr="00BE355C">
        <w:rPr>
          <w:rFonts w:cs="Arial"/>
        </w:rPr>
        <w:t xml:space="preserve"> saponins administered orally to rabbits with experimental atherosclerosis have resulted in an increased ratio of plasma lecithin to cholesterol, normalized blood cholesterol levels, and decreased elevated blood pressure. It is unclear whether </w:t>
      </w:r>
      <w:r>
        <w:rPr>
          <w:rFonts w:cs="Arial"/>
        </w:rPr>
        <w:t>quillaia</w:t>
      </w:r>
      <w:r w:rsidR="001B7DE7" w:rsidRPr="00BE355C">
        <w:rPr>
          <w:rFonts w:cs="Arial"/>
        </w:rPr>
        <w:t xml:space="preserve"> extract would also affect cholesterol levels in normal animals. The</w:t>
      </w:r>
      <w:r w:rsidR="001B7DE7" w:rsidRPr="001B7DE7">
        <w:rPr>
          <w:rFonts w:cs="Arial"/>
        </w:rPr>
        <w:t xml:space="preserve"> data from repeat dose oral administration in mice and rats showed no evidence </w:t>
      </w:r>
      <w:r w:rsidR="00D449F6">
        <w:rPr>
          <w:rFonts w:cs="Arial"/>
        </w:rPr>
        <w:t xml:space="preserve">of </w:t>
      </w:r>
      <w:r w:rsidR="001B7DE7" w:rsidRPr="001B7DE7">
        <w:rPr>
          <w:rFonts w:cs="Arial"/>
        </w:rPr>
        <w:t>any change in plasma cholesterol levels. A consistent toxicological finding in all animal studies (mice</w:t>
      </w:r>
      <w:r w:rsidR="0043530C">
        <w:rPr>
          <w:rFonts w:cs="Arial"/>
        </w:rPr>
        <w:t>,</w:t>
      </w:r>
      <w:r w:rsidR="001B7DE7" w:rsidRPr="001B7DE7">
        <w:rPr>
          <w:rFonts w:cs="Arial"/>
        </w:rPr>
        <w:t xml:space="preserve"> rats and weaned piglets) was an appreciable reduction in the food:bodyweight conversion ratio that was especially apparent during the fast growing stages in juvenile animals. In some cases a reduction in bodyweight gain correlated with a slightly reduced feed intake but this relationship became less consistent as the duration of dosing increased. For example weaned piglets needed to consume more feed over twenty days to maintain their bodyweight</w:t>
      </w:r>
      <w:r w:rsidR="001B7DE7" w:rsidRPr="001B7DE7">
        <w:t xml:space="preserve"> </w:t>
      </w:r>
      <w:r w:rsidR="001B7DE7" w:rsidRPr="001B7DE7">
        <w:rPr>
          <w:rFonts w:cs="Arial"/>
        </w:rPr>
        <w:t xml:space="preserve">when their diet was admixed with 300 mg/kg of </w:t>
      </w:r>
      <w:r>
        <w:rPr>
          <w:rFonts w:cs="Arial"/>
        </w:rPr>
        <w:t>quillaia</w:t>
      </w:r>
      <w:r w:rsidR="001B7DE7" w:rsidRPr="001B7DE7">
        <w:rPr>
          <w:rFonts w:cs="Arial"/>
        </w:rPr>
        <w:t xml:space="preserve"> derived saponins (effect level is equivalent to 126 mg/kg bw/day). Similarly, in young male rats fed 2% or 4% </w:t>
      </w:r>
      <w:r>
        <w:rPr>
          <w:rFonts w:cs="Arial"/>
        </w:rPr>
        <w:t>quillaia</w:t>
      </w:r>
      <w:r w:rsidR="001B7DE7" w:rsidRPr="001B7DE7">
        <w:rPr>
          <w:rFonts w:cs="Arial"/>
        </w:rPr>
        <w:t xml:space="preserve"> extract there was a marked reduction in bodyweight at days 29 and 57 that was not accompanied by a corresponding reduction in feed intake. However, by day 92 the reduction in bodyweight was no longer as marked but nevertheless by week 106 the bodyweight of male rats fed 3% </w:t>
      </w:r>
      <w:r>
        <w:rPr>
          <w:rFonts w:cs="Arial"/>
        </w:rPr>
        <w:t>quillaia</w:t>
      </w:r>
      <w:r w:rsidR="001B7DE7" w:rsidRPr="001B7DE7">
        <w:rPr>
          <w:rFonts w:cs="Arial"/>
        </w:rPr>
        <w:t xml:space="preserve"> extract </w:t>
      </w:r>
      <w:r w:rsidR="001B7DE7" w:rsidRPr="001B7DE7">
        <w:rPr>
          <w:rFonts w:cs="Arial"/>
        </w:rPr>
        <w:lastRenderedPageBreak/>
        <w:t>was still significantly less than control. There are no data available to consider a possible mode of action for the reduction in the food</w:t>
      </w:r>
      <w:r w:rsidR="00B879C9">
        <w:rPr>
          <w:rFonts w:cs="Arial"/>
        </w:rPr>
        <w:t>:</w:t>
      </w:r>
      <w:r w:rsidR="001B7DE7" w:rsidRPr="001B7DE7">
        <w:rPr>
          <w:rFonts w:cs="Arial"/>
        </w:rPr>
        <w:t xml:space="preserve">bodyweight conversion ratio in juvenile animals although impaired uptake of essential nutrients cannot be excluded.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Following a re-evaluation of the repeat-dose dietary studies considered previously by JECFA</w:t>
      </w:r>
      <w:r w:rsidR="003B7B24">
        <w:rPr>
          <w:rFonts w:cs="Arial"/>
        </w:rPr>
        <w:t xml:space="preserve"> and a recent published study in piglets</w:t>
      </w:r>
      <w:r w:rsidRPr="001B7DE7">
        <w:rPr>
          <w:rFonts w:cs="Arial"/>
        </w:rPr>
        <w:t>, FSANZ considers that the NOAELs established in rodent studies (750 mg/kg bw per day in mice and 500 mg/kg bw per day in rats) are suitable to derive a</w:t>
      </w:r>
      <w:r w:rsidR="003B7B24">
        <w:rPr>
          <w:rFonts w:cs="Arial"/>
        </w:rPr>
        <w:t xml:space="preserve"> group</w:t>
      </w:r>
      <w:r w:rsidRPr="001B7DE7">
        <w:rPr>
          <w:rFonts w:cs="Arial"/>
        </w:rPr>
        <w:t xml:space="preserve"> ADI. Since the amount of </w:t>
      </w:r>
      <w:r w:rsidR="00E3403B">
        <w:rPr>
          <w:rFonts w:cs="Arial"/>
        </w:rPr>
        <w:t>quillaia</w:t>
      </w:r>
      <w:r w:rsidRPr="001B7DE7">
        <w:rPr>
          <w:rFonts w:cs="Arial"/>
        </w:rPr>
        <w:t xml:space="preserve"> saponins in type I extract is around 20%, the NOAEL can be calculated to be 100 mg</w:t>
      </w:r>
      <w:r w:rsidRPr="001B7DE7">
        <w:t xml:space="preserve"> </w:t>
      </w:r>
      <w:r w:rsidR="00E3403B">
        <w:rPr>
          <w:rFonts w:cs="Arial"/>
        </w:rPr>
        <w:t>quillaia</w:t>
      </w:r>
      <w:r w:rsidRPr="001B7DE7">
        <w:rPr>
          <w:rFonts w:cs="Arial"/>
        </w:rPr>
        <w:t xml:space="preserve"> saponins/kg bw per day in rats, leading to a group ADI of 0-1 mg</w:t>
      </w:r>
      <w:r w:rsidRPr="001B7DE7">
        <w:t xml:space="preserve"> </w:t>
      </w:r>
      <w:r w:rsidR="00E3403B">
        <w:rPr>
          <w:rFonts w:cs="Arial"/>
        </w:rPr>
        <w:t>quillaia</w:t>
      </w:r>
      <w:r w:rsidRPr="001B7DE7">
        <w:rPr>
          <w:rFonts w:cs="Arial"/>
        </w:rPr>
        <w:t xml:space="preserve"> saponins/kg bw. A group ADI is established to permit the use of </w:t>
      </w:r>
      <w:r w:rsidR="00C613F0">
        <w:rPr>
          <w:rFonts w:cs="Arial"/>
        </w:rPr>
        <w:t>t</w:t>
      </w:r>
      <w:r w:rsidR="00C613F0" w:rsidRPr="001B7DE7">
        <w:rPr>
          <w:rFonts w:cs="Arial"/>
        </w:rPr>
        <w:t xml:space="preserve">ype </w:t>
      </w:r>
      <w:r w:rsidR="00B879C9">
        <w:rPr>
          <w:rFonts w:cs="Arial"/>
        </w:rPr>
        <w:t>1</w:t>
      </w:r>
      <w:r w:rsidRPr="001B7DE7">
        <w:rPr>
          <w:rFonts w:cs="Arial"/>
        </w:rPr>
        <w:t xml:space="preserve"> (unpurified) and </w:t>
      </w:r>
      <w:r w:rsidR="00C613F0">
        <w:rPr>
          <w:rFonts w:cs="Arial"/>
        </w:rPr>
        <w:t>t</w:t>
      </w:r>
      <w:r w:rsidR="00C613F0" w:rsidRPr="001B7DE7">
        <w:rPr>
          <w:rFonts w:cs="Arial"/>
        </w:rPr>
        <w:t xml:space="preserve">ype </w:t>
      </w:r>
      <w:r w:rsidR="00B879C9">
        <w:rPr>
          <w:rFonts w:cs="Arial"/>
        </w:rPr>
        <w:t>2</w:t>
      </w:r>
      <w:r w:rsidRPr="001B7DE7">
        <w:rPr>
          <w:rFonts w:cs="Arial"/>
        </w:rPr>
        <w:t xml:space="preserve"> (saponin enriched) extracts.    </w:t>
      </w:r>
    </w:p>
    <w:p w:rsidR="001B7DE7" w:rsidRPr="001B7DE7" w:rsidRDefault="001B7DE7" w:rsidP="00435E22">
      <w:pPr>
        <w:pStyle w:val="Two"/>
      </w:pPr>
      <w:bookmarkStart w:id="62" w:name="_Toc360028612"/>
      <w:r w:rsidRPr="001B7DE7">
        <w:t>3.</w:t>
      </w:r>
      <w:r w:rsidR="00730D84">
        <w:t>4</w:t>
      </w:r>
      <w:r w:rsidRPr="001B7DE7">
        <w:tab/>
        <w:t>Conclusion</w:t>
      </w:r>
      <w:bookmarkEnd w:id="62"/>
    </w:p>
    <w:p w:rsidR="001B7DE7" w:rsidRPr="001B7DE7" w:rsidRDefault="00494F2D" w:rsidP="001B7DE7">
      <w:pPr>
        <w:widowControl/>
        <w:rPr>
          <w:rFonts w:cs="Arial"/>
        </w:rPr>
      </w:pPr>
      <w:r>
        <w:rPr>
          <w:rFonts w:cs="Arial"/>
        </w:rPr>
        <w:t xml:space="preserve">Data relevant to the hazard </w:t>
      </w:r>
      <w:r w:rsidR="00C3679B">
        <w:rPr>
          <w:rFonts w:cs="Arial"/>
        </w:rPr>
        <w:t>assessment</w:t>
      </w:r>
      <w:r>
        <w:rPr>
          <w:rFonts w:cs="Arial"/>
        </w:rPr>
        <w:t xml:space="preserve"> of </w:t>
      </w:r>
      <w:r w:rsidR="00E3403B">
        <w:rPr>
          <w:rFonts w:cs="Arial"/>
        </w:rPr>
        <w:t>quillaia</w:t>
      </w:r>
      <w:r>
        <w:rPr>
          <w:rFonts w:cs="Arial"/>
        </w:rPr>
        <w:t xml:space="preserve"> extract have been evaluated. </w:t>
      </w:r>
      <w:r w:rsidR="001B7DE7" w:rsidRPr="001B7DE7">
        <w:rPr>
          <w:rFonts w:cs="Arial"/>
        </w:rPr>
        <w:t>A group ADI of 0-1 mg</w:t>
      </w:r>
      <w:r w:rsidR="001B7DE7" w:rsidRPr="001B7DE7">
        <w:t xml:space="preserve"> </w:t>
      </w:r>
      <w:r w:rsidR="00E3403B">
        <w:rPr>
          <w:rFonts w:cs="Arial"/>
        </w:rPr>
        <w:t>quillaia</w:t>
      </w:r>
      <w:r w:rsidR="001B7DE7" w:rsidRPr="001B7DE7">
        <w:rPr>
          <w:rFonts w:cs="Arial"/>
        </w:rPr>
        <w:t xml:space="preserve"> saponins/kg bw has been established.</w:t>
      </w:r>
    </w:p>
    <w:p w:rsidR="001B7DE7" w:rsidRPr="001B7DE7" w:rsidRDefault="001B7DE7" w:rsidP="001B7DE7">
      <w:pPr>
        <w:widowControl/>
        <w:rPr>
          <w:rFonts w:cs="Arial"/>
        </w:rPr>
      </w:pPr>
    </w:p>
    <w:p w:rsidR="001B7DE7" w:rsidRPr="001B7DE7" w:rsidRDefault="001B7DE7" w:rsidP="001B7DE7">
      <w:pPr>
        <w:widowControl/>
        <w:rPr>
          <w:bCs/>
          <w:lang w:val="en-AU"/>
        </w:rPr>
      </w:pPr>
    </w:p>
    <w:p w:rsidR="0010297D" w:rsidRPr="00435E22" w:rsidRDefault="001B7DE7" w:rsidP="00435E22">
      <w:pPr>
        <w:pStyle w:val="Heading1"/>
        <w:rPr>
          <w:u w:val="none"/>
        </w:rPr>
      </w:pPr>
      <w:r>
        <w:br w:type="column"/>
      </w:r>
      <w:bookmarkStart w:id="63" w:name="_Toc269201837"/>
      <w:bookmarkStart w:id="64" w:name="_Toc360028613"/>
      <w:r w:rsidR="00404090" w:rsidRPr="00435E22">
        <w:rPr>
          <w:u w:val="none"/>
        </w:rPr>
        <w:lastRenderedPageBreak/>
        <w:t>4.</w:t>
      </w:r>
      <w:r w:rsidR="00404090" w:rsidRPr="00435E22">
        <w:rPr>
          <w:u w:val="none"/>
        </w:rPr>
        <w:tab/>
        <w:t>DIETARY EXPOSURE ASSESSMENT</w:t>
      </w:r>
      <w:bookmarkEnd w:id="63"/>
      <w:bookmarkEnd w:id="64"/>
    </w:p>
    <w:p w:rsidR="0010297D" w:rsidRPr="006A20E5" w:rsidRDefault="0010297D" w:rsidP="00435E22">
      <w:pPr>
        <w:pStyle w:val="Two"/>
      </w:pPr>
      <w:bookmarkStart w:id="65" w:name="_Toc120358588"/>
      <w:bookmarkStart w:id="66" w:name="_Toc247509482"/>
      <w:bookmarkStart w:id="67" w:name="_Toc256582703"/>
      <w:bookmarkStart w:id="68" w:name="_Toc269201838"/>
      <w:bookmarkStart w:id="69" w:name="_Toc360028614"/>
      <w:bookmarkStart w:id="70" w:name="_Toc244577300"/>
      <w:bookmarkStart w:id="71" w:name="_Toc246221071"/>
      <w:bookmarkStart w:id="72" w:name="_Toc246407790"/>
      <w:r w:rsidRPr="006A20E5">
        <w:t>4.1</w:t>
      </w:r>
      <w:r w:rsidRPr="006A20E5">
        <w:tab/>
      </w:r>
      <w:bookmarkEnd w:id="65"/>
      <w:r w:rsidRPr="006A20E5">
        <w:t xml:space="preserve">Approach to </w:t>
      </w:r>
      <w:r w:rsidR="00C613F0">
        <w:t>predicting</w:t>
      </w:r>
      <w:r w:rsidR="00C613F0" w:rsidRPr="006A20E5">
        <w:t xml:space="preserve"> </w:t>
      </w:r>
      <w:r w:rsidRPr="006A20E5">
        <w:t xml:space="preserve">dietary exposure to </w:t>
      </w:r>
      <w:bookmarkEnd w:id="66"/>
      <w:bookmarkEnd w:id="67"/>
      <w:bookmarkEnd w:id="68"/>
      <w:r w:rsidR="00E3403B">
        <w:t>quillaia</w:t>
      </w:r>
      <w:r w:rsidRPr="006A20E5">
        <w:t xml:space="preserve"> saponins</w:t>
      </w:r>
      <w:bookmarkEnd w:id="69"/>
    </w:p>
    <w:p w:rsidR="0010297D" w:rsidRDefault="0010297D" w:rsidP="0010297D">
      <w:r w:rsidRPr="00423836">
        <w:t xml:space="preserve">Dietary exposure assessments (DEAs) require data on concentrations of the chemical of interest in </w:t>
      </w:r>
      <w:r>
        <w:t xml:space="preserve">the </w:t>
      </w:r>
      <w:r w:rsidRPr="00423836">
        <w:t>food</w:t>
      </w:r>
      <w:r>
        <w:t xml:space="preserve">s requested, and </w:t>
      </w:r>
      <w:r w:rsidRPr="00423836">
        <w:t>consumption data</w:t>
      </w:r>
      <w:r>
        <w:t xml:space="preserve"> for the foods </w:t>
      </w:r>
      <w:r w:rsidR="00644337">
        <w:t>that have</w:t>
      </w:r>
      <w:r w:rsidR="0024087A">
        <w:t xml:space="preserve"> been </w:t>
      </w:r>
      <w:r>
        <w:t>collected through a national nutrition survey.</w:t>
      </w:r>
    </w:p>
    <w:p w:rsidR="0010297D" w:rsidRDefault="0010297D" w:rsidP="0010297D"/>
    <w:p w:rsidR="00861464" w:rsidRPr="00673D7C" w:rsidRDefault="00861464" w:rsidP="00861464">
      <w:pPr>
        <w:rPr>
          <w:rFonts w:cs="Arial"/>
          <w:szCs w:val="22"/>
        </w:rPr>
      </w:pPr>
      <w:r w:rsidRPr="00673D7C">
        <w:t>The Application requested MPL</w:t>
      </w:r>
      <w:r w:rsidR="005630C5" w:rsidRPr="00673D7C">
        <w:t>s</w:t>
      </w:r>
      <w:r w:rsidRPr="00673D7C">
        <w:t xml:space="preserve"> of 50 mg quillaia saponins/kg for a variety of beverages. </w:t>
      </w:r>
      <w:r w:rsidR="005630C5" w:rsidRPr="00673D7C">
        <w:t>These</w:t>
      </w:r>
      <w:r w:rsidRPr="00673D7C">
        <w:t xml:space="preserve"> MPLs were subsequently revised down with the Applicant’s agreement to a range between 30 to 40 mg quillaia saponins/kg, along with a reduced list of beverage types to ensure </w:t>
      </w:r>
      <w:r w:rsidR="005630C5" w:rsidRPr="00673D7C">
        <w:t xml:space="preserve">predicted dietary </w:t>
      </w:r>
      <w:r w:rsidRPr="00673D7C">
        <w:t>exposure to quillaia saponins for all population groups did not raise any public health and safety concerns</w:t>
      </w:r>
      <w:r w:rsidR="005630C5" w:rsidRPr="00673D7C">
        <w:t xml:space="preserve"> when compared with the ADI</w:t>
      </w:r>
      <w:r w:rsidRPr="00673D7C">
        <w:t>.</w:t>
      </w:r>
    </w:p>
    <w:p w:rsidR="00861464" w:rsidRDefault="00861464" w:rsidP="00861464">
      <w:pPr>
        <w:rPr>
          <w:rFonts w:cs="Arial"/>
          <w:szCs w:val="22"/>
        </w:rPr>
      </w:pPr>
    </w:p>
    <w:p w:rsidR="004D1041" w:rsidRDefault="0067690A" w:rsidP="004D1041">
      <w:r>
        <w:t>I</w:t>
      </w:r>
      <w:r w:rsidR="00416F90">
        <w:t xml:space="preserve">nformation </w:t>
      </w:r>
      <w:r>
        <w:t xml:space="preserve">was </w:t>
      </w:r>
      <w:r w:rsidR="002D67B0">
        <w:t>provided</w:t>
      </w:r>
      <w:r w:rsidR="002D67B0" w:rsidRPr="004129E6">
        <w:t xml:space="preserve"> </w:t>
      </w:r>
      <w:r w:rsidR="00416F90">
        <w:t>by the Applicant</w:t>
      </w:r>
      <w:r>
        <w:t xml:space="preserve"> on t</w:t>
      </w:r>
      <w:r w:rsidR="0010297D">
        <w:t xml:space="preserve">he </w:t>
      </w:r>
      <w:r w:rsidR="00EE4E49">
        <w:t>pro</w:t>
      </w:r>
      <w:r w:rsidR="000F0DEB">
        <w:t xml:space="preserve">posed food categories to which </w:t>
      </w:r>
      <w:r w:rsidR="00E3403B">
        <w:t>quillaia</w:t>
      </w:r>
      <w:r w:rsidR="00EE4E49">
        <w:t xml:space="preserve"> saponins would be added</w:t>
      </w:r>
      <w:r>
        <w:t>,</w:t>
      </w:r>
      <w:r w:rsidR="002D67B0">
        <w:t xml:space="preserve"> </w:t>
      </w:r>
      <w:r w:rsidR="00EE4E49">
        <w:t xml:space="preserve">the </w:t>
      </w:r>
      <w:r>
        <w:t xml:space="preserve">proposed </w:t>
      </w:r>
      <w:r w:rsidR="00EE4E49">
        <w:t>MPLs and</w:t>
      </w:r>
      <w:r w:rsidR="004129E6">
        <w:t xml:space="preserve"> </w:t>
      </w:r>
      <w:r w:rsidR="00EE4E49">
        <w:t xml:space="preserve">the </w:t>
      </w:r>
      <w:r>
        <w:t>proportion</w:t>
      </w:r>
      <w:r w:rsidR="00EE4E49">
        <w:t xml:space="preserve"> </w:t>
      </w:r>
      <w:r w:rsidR="004129E6">
        <w:t xml:space="preserve">of the food product categories listed </w:t>
      </w:r>
      <w:r w:rsidR="00EE4E49">
        <w:t xml:space="preserve">that </w:t>
      </w:r>
      <w:r w:rsidR="004D1041">
        <w:t>were</w:t>
      </w:r>
      <w:r w:rsidR="004129E6">
        <w:t xml:space="preserve"> likely to include </w:t>
      </w:r>
      <w:r w:rsidR="00E3403B">
        <w:t>quillaia</w:t>
      </w:r>
      <w:r w:rsidR="004129E6">
        <w:t xml:space="preserve"> </w:t>
      </w:r>
      <w:r w:rsidR="00EE4E49">
        <w:t>saponins</w:t>
      </w:r>
      <w:r w:rsidR="004129E6">
        <w:t xml:space="preserve">. The </w:t>
      </w:r>
      <w:r w:rsidR="00EE4E49">
        <w:t xml:space="preserve">dietary </w:t>
      </w:r>
      <w:r w:rsidR="004129E6">
        <w:t>exposure w</w:t>
      </w:r>
      <w:r w:rsidR="00EB6025">
        <w:t>as</w:t>
      </w:r>
      <w:r w:rsidR="004129E6">
        <w:t xml:space="preserve"> </w:t>
      </w:r>
      <w:r w:rsidR="00C613F0">
        <w:t xml:space="preserve">predicted </w:t>
      </w:r>
      <w:r w:rsidR="004D1041">
        <w:t xml:space="preserve">using a </w:t>
      </w:r>
      <w:r w:rsidR="0005400B">
        <w:t xml:space="preserve">calculated </w:t>
      </w:r>
      <w:r w:rsidR="004D1041">
        <w:t xml:space="preserve">proxy </w:t>
      </w:r>
      <w:r w:rsidR="00EE4E49">
        <w:t xml:space="preserve">MPL </w:t>
      </w:r>
      <w:r w:rsidR="0005400B">
        <w:t xml:space="preserve">value </w:t>
      </w:r>
      <w:r w:rsidR="004D1041">
        <w:t xml:space="preserve">for the concentration of </w:t>
      </w:r>
      <w:r w:rsidR="00E3403B">
        <w:t>quillaia</w:t>
      </w:r>
      <w:r w:rsidR="004D1041">
        <w:t xml:space="preserve"> saponins in the food</w:t>
      </w:r>
      <w:r w:rsidR="00EE4E49">
        <w:t xml:space="preserve"> categories</w:t>
      </w:r>
      <w:r w:rsidR="00416F90">
        <w:t xml:space="preserve"> requested</w:t>
      </w:r>
      <w:r w:rsidR="00EE4E49">
        <w:t xml:space="preserve">. </w:t>
      </w:r>
      <w:r w:rsidR="004D1041">
        <w:t xml:space="preserve">The proxy </w:t>
      </w:r>
      <w:r w:rsidR="00EE4E49">
        <w:t>MPL value</w:t>
      </w:r>
      <w:r w:rsidR="0024087A">
        <w:t xml:space="preserve"> (</w:t>
      </w:r>
      <w:r w:rsidR="0024087A" w:rsidRPr="0024087A">
        <w:rPr>
          <w:i/>
        </w:rPr>
        <w:t>proxy concentration</w:t>
      </w:r>
      <w:r w:rsidR="0024087A">
        <w:t>)</w:t>
      </w:r>
      <w:r w:rsidR="004D1041">
        <w:t xml:space="preserve"> used for the modelling was calculated by multiplying the </w:t>
      </w:r>
      <w:r w:rsidR="00EE4E49">
        <w:t>MPL provided</w:t>
      </w:r>
      <w:r w:rsidR="004D1041">
        <w:t xml:space="preserve"> </w:t>
      </w:r>
      <w:r w:rsidR="00EE4E49">
        <w:t>for</w:t>
      </w:r>
      <w:r w:rsidR="004D1041">
        <w:t xml:space="preserve"> each food category </w:t>
      </w:r>
      <w:r w:rsidR="003074F7">
        <w:t xml:space="preserve">by </w:t>
      </w:r>
      <w:r w:rsidR="004D1041">
        <w:t xml:space="preserve">0.2 </w:t>
      </w:r>
      <w:r w:rsidR="000E102D">
        <w:t xml:space="preserve">to account for a </w:t>
      </w:r>
      <w:r w:rsidR="004D1041">
        <w:t xml:space="preserve">20% market uptake after 10 </w:t>
      </w:r>
      <w:r w:rsidR="002D67B0">
        <w:t>years</w:t>
      </w:r>
      <w:r w:rsidR="003074F7">
        <w:t xml:space="preserve">, as </w:t>
      </w:r>
      <w:r w:rsidR="00DB68DE">
        <w:t>predicted</w:t>
      </w:r>
      <w:r w:rsidR="003074F7">
        <w:t xml:space="preserve"> by the Applicant</w:t>
      </w:r>
      <w:r w:rsidR="002D67B0">
        <w:t xml:space="preserve">. Market share data were used in order to obtain a more refined </w:t>
      </w:r>
      <w:r w:rsidR="00DB68DE">
        <w:t>predicted</w:t>
      </w:r>
      <w:r w:rsidR="002D67B0">
        <w:t xml:space="preserve"> of likely population exposures over time.</w:t>
      </w:r>
    </w:p>
    <w:p w:rsidR="004D1041" w:rsidRDefault="004D1041" w:rsidP="0010297D"/>
    <w:p w:rsidR="0010297D" w:rsidRPr="00423836" w:rsidRDefault="00416F90" w:rsidP="0010297D">
      <w:r>
        <w:t xml:space="preserve">The proxy concentration </w:t>
      </w:r>
      <w:r w:rsidR="0010297D">
        <w:t>data together</w:t>
      </w:r>
      <w:r w:rsidR="0010297D" w:rsidRPr="00423836">
        <w:t xml:space="preserve"> with food consumption data from the </w:t>
      </w:r>
      <w:r w:rsidR="0010297D">
        <w:t>available</w:t>
      </w:r>
      <w:r w:rsidR="0010297D" w:rsidRPr="00423836">
        <w:t xml:space="preserve"> Australian and New Zealand national nutrition surveys</w:t>
      </w:r>
      <w:r>
        <w:t xml:space="preserve"> were then used to </w:t>
      </w:r>
      <w:r w:rsidR="00C613F0">
        <w:t xml:space="preserve">predict </w:t>
      </w:r>
      <w:r>
        <w:t xml:space="preserve">the </w:t>
      </w:r>
      <w:r w:rsidR="0024087A">
        <w:t xml:space="preserve">populations’ </w:t>
      </w:r>
      <w:r>
        <w:t xml:space="preserve">exposure to </w:t>
      </w:r>
      <w:r w:rsidR="00E3403B">
        <w:t>quillaia</w:t>
      </w:r>
      <w:r>
        <w:t xml:space="preserve"> saponins</w:t>
      </w:r>
      <w:r w:rsidR="0010297D" w:rsidRPr="00423836">
        <w:t>.</w:t>
      </w:r>
      <w:r w:rsidR="0010297D" w:rsidRPr="00423836">
        <w:rPr>
          <w:rFonts w:cs="Arial"/>
          <w:color w:val="E36C0A"/>
        </w:rPr>
        <w:t xml:space="preserve"> </w:t>
      </w:r>
      <w:r w:rsidR="0010297D" w:rsidRPr="00423836">
        <w:t xml:space="preserve">The dietary exposure assessment was </w:t>
      </w:r>
      <w:r>
        <w:t>undertaken</w:t>
      </w:r>
      <w:r w:rsidRPr="00423836">
        <w:t xml:space="preserve"> </w:t>
      </w:r>
      <w:r w:rsidR="0010297D" w:rsidRPr="00423836">
        <w:t>using FSANZ’s dietary modelling computer program, DIAMOND.</w:t>
      </w:r>
    </w:p>
    <w:p w:rsidR="0010297D" w:rsidRPr="00423836" w:rsidRDefault="0010297D" w:rsidP="0010297D"/>
    <w:p w:rsidR="0010297D" w:rsidRPr="00423836" w:rsidRDefault="0010297D" w:rsidP="0010297D">
      <w:pPr>
        <w:rPr>
          <w:rFonts w:cs="Arial"/>
        </w:rPr>
      </w:pPr>
      <w:r w:rsidRPr="00423836">
        <w:rPr>
          <w:rFonts w:cs="Arial"/>
        </w:rPr>
        <w:t xml:space="preserve">A summary of the </w:t>
      </w:r>
      <w:r>
        <w:rPr>
          <w:rFonts w:cs="Arial"/>
        </w:rPr>
        <w:t xml:space="preserve">general </w:t>
      </w:r>
      <w:r w:rsidRPr="00423836">
        <w:rPr>
          <w:rFonts w:cs="Arial"/>
        </w:rPr>
        <w:t xml:space="preserve">FSANZ approach to conducting </w:t>
      </w:r>
      <w:r>
        <w:rPr>
          <w:rFonts w:cs="Arial"/>
        </w:rPr>
        <w:t xml:space="preserve">the </w:t>
      </w:r>
      <w:r w:rsidRPr="00423836">
        <w:rPr>
          <w:rFonts w:cs="Arial"/>
        </w:rPr>
        <w:t>dietary exposure assessment</w:t>
      </w:r>
      <w:r>
        <w:rPr>
          <w:rFonts w:cs="Arial"/>
        </w:rPr>
        <w:t xml:space="preserve"> for this Application</w:t>
      </w:r>
      <w:r w:rsidRPr="00423836">
        <w:rPr>
          <w:rFonts w:cs="Arial"/>
        </w:rPr>
        <w:t xml:space="preserve"> is </w:t>
      </w:r>
      <w:r w:rsidRPr="004A2E5F">
        <w:rPr>
          <w:rFonts w:cs="Arial"/>
        </w:rPr>
        <w:t xml:space="preserve">at Appendix </w:t>
      </w:r>
      <w:r w:rsidR="003C0925" w:rsidRPr="004A2E5F">
        <w:rPr>
          <w:rFonts w:cs="Arial"/>
        </w:rPr>
        <w:t>1</w:t>
      </w:r>
      <w:r w:rsidRPr="00423836">
        <w:rPr>
          <w:rFonts w:cs="Arial"/>
        </w:rPr>
        <w:t xml:space="preserve">. A detailed discussion of the FSANZ methodology and approach to conducting dietary exposure assessments is set out in the </w:t>
      </w:r>
      <w:r w:rsidRPr="00423836">
        <w:rPr>
          <w:rFonts w:cs="Arial"/>
          <w:i/>
        </w:rPr>
        <w:t xml:space="preserve">Principles and Practices of Dietary Exposure Assessment for Food Regulatory Purposes </w:t>
      </w:r>
      <w:r w:rsidRPr="00423836">
        <w:rPr>
          <w:rFonts w:cs="Arial"/>
        </w:rPr>
        <w:t>(FSANZ 2009).</w:t>
      </w:r>
    </w:p>
    <w:p w:rsidR="0010297D" w:rsidRPr="00423836" w:rsidRDefault="0010297D" w:rsidP="0010297D">
      <w:pPr>
        <w:rPr>
          <w:rFonts w:cs="Arial"/>
        </w:rPr>
      </w:pPr>
    </w:p>
    <w:p w:rsidR="0010297D" w:rsidRPr="00423836" w:rsidRDefault="0010297D" w:rsidP="0010297D">
      <w:pPr>
        <w:pStyle w:val="Heading3"/>
      </w:pPr>
      <w:bookmarkStart w:id="73" w:name="_Toc269201840"/>
      <w:bookmarkStart w:id="74" w:name="_Toc360028615"/>
      <w:r w:rsidRPr="00423836">
        <w:t>4.1.</w:t>
      </w:r>
      <w:r>
        <w:t>1</w:t>
      </w:r>
      <w:r w:rsidRPr="00423836">
        <w:tab/>
        <w:t>Consumption data used</w:t>
      </w:r>
      <w:bookmarkEnd w:id="73"/>
      <w:bookmarkEnd w:id="74"/>
    </w:p>
    <w:p w:rsidR="003C0925" w:rsidRDefault="003C0925" w:rsidP="0010297D">
      <w:pPr>
        <w:rPr>
          <w:rFonts w:cs="Arial"/>
        </w:rPr>
      </w:pPr>
    </w:p>
    <w:p w:rsidR="0010297D" w:rsidRPr="00423836" w:rsidRDefault="0010297D" w:rsidP="0010297D">
      <w:pPr>
        <w:rPr>
          <w:rFonts w:cs="Arial"/>
        </w:rPr>
      </w:pPr>
      <w:r>
        <w:rPr>
          <w:rFonts w:cs="Arial"/>
        </w:rPr>
        <w:t>The f</w:t>
      </w:r>
      <w:r w:rsidRPr="00423836">
        <w:rPr>
          <w:rFonts w:cs="Arial"/>
        </w:rPr>
        <w:t>ood additive permissions contained in the Code apply to food</w:t>
      </w:r>
      <w:r>
        <w:rPr>
          <w:rFonts w:cs="Arial"/>
        </w:rPr>
        <w:t>s</w:t>
      </w:r>
      <w:r w:rsidRPr="00423836">
        <w:rPr>
          <w:rFonts w:cs="Arial"/>
        </w:rPr>
        <w:t xml:space="preserve"> produced or sold in both Australia</w:t>
      </w:r>
      <w:r>
        <w:rPr>
          <w:rFonts w:cs="Arial"/>
        </w:rPr>
        <w:t xml:space="preserve"> and New Zealand. Therefore the</w:t>
      </w:r>
      <w:r w:rsidRPr="00423836">
        <w:rPr>
          <w:rFonts w:cs="Arial"/>
        </w:rPr>
        <w:t xml:space="preserve"> dietary exposure assessment </w:t>
      </w:r>
      <w:r>
        <w:rPr>
          <w:rFonts w:cs="Arial"/>
        </w:rPr>
        <w:t>was</w:t>
      </w:r>
      <w:r w:rsidRPr="00423836">
        <w:rPr>
          <w:rFonts w:cs="Arial"/>
        </w:rPr>
        <w:t xml:space="preserve"> </w:t>
      </w:r>
      <w:r>
        <w:rPr>
          <w:rFonts w:cs="Arial"/>
        </w:rPr>
        <w:t>undertaken</w:t>
      </w:r>
      <w:r w:rsidRPr="00423836">
        <w:rPr>
          <w:rFonts w:cs="Arial"/>
        </w:rPr>
        <w:t xml:space="preserve"> for both countries.</w:t>
      </w:r>
    </w:p>
    <w:p w:rsidR="0010297D" w:rsidRPr="00423836" w:rsidRDefault="0010297D" w:rsidP="0010297D">
      <w:pPr>
        <w:rPr>
          <w:rFonts w:cs="Arial"/>
        </w:rPr>
      </w:pPr>
    </w:p>
    <w:p w:rsidR="0010297D" w:rsidRPr="00423836" w:rsidRDefault="0010297D" w:rsidP="0010297D">
      <w:pPr>
        <w:rPr>
          <w:rFonts w:cs="Arial"/>
        </w:rPr>
      </w:pPr>
      <w:r>
        <w:rPr>
          <w:rFonts w:cs="Arial"/>
        </w:rPr>
        <w:t>The f</w:t>
      </w:r>
      <w:r w:rsidRPr="00423836">
        <w:rPr>
          <w:rFonts w:cs="Arial"/>
        </w:rPr>
        <w:t>ood</w:t>
      </w:r>
      <w:r>
        <w:rPr>
          <w:rFonts w:cs="Arial"/>
        </w:rPr>
        <w:t xml:space="preserve"> consumption data used for the</w:t>
      </w:r>
      <w:r w:rsidRPr="00423836">
        <w:rPr>
          <w:rFonts w:cs="Arial"/>
        </w:rPr>
        <w:t xml:space="preserve"> </w:t>
      </w:r>
      <w:r w:rsidR="00416F90">
        <w:rPr>
          <w:rFonts w:cs="Arial"/>
        </w:rPr>
        <w:t xml:space="preserve">exposure </w:t>
      </w:r>
      <w:r w:rsidRPr="00423836">
        <w:rPr>
          <w:rFonts w:cs="Arial"/>
        </w:rPr>
        <w:t xml:space="preserve">assessment </w:t>
      </w:r>
      <w:r w:rsidR="0067690A">
        <w:rPr>
          <w:rFonts w:cs="Arial"/>
        </w:rPr>
        <w:t>we</w:t>
      </w:r>
      <w:r>
        <w:rPr>
          <w:rFonts w:cs="Arial"/>
        </w:rPr>
        <w:t>re</w:t>
      </w:r>
      <w:r w:rsidRPr="00423836">
        <w:rPr>
          <w:rFonts w:cs="Arial"/>
        </w:rPr>
        <w:t>:</w:t>
      </w:r>
    </w:p>
    <w:p w:rsidR="0010297D" w:rsidRPr="00423836" w:rsidRDefault="0010297D" w:rsidP="0010297D">
      <w:pPr>
        <w:pStyle w:val="FSBullet"/>
        <w:spacing w:before="120"/>
        <w:ind w:left="714" w:hanging="357"/>
      </w:pPr>
      <w:r w:rsidRPr="00423836">
        <w:t>1995 Australian National Nutrition Survey (1995 AusNNS), one 24 hour food recall covering 13,858 Australians aged 2 years and above</w:t>
      </w:r>
      <w:r>
        <w:t xml:space="preserve">, however, only the data for respondents aged 17 years and above were used for this </w:t>
      </w:r>
      <w:r w:rsidR="00927694">
        <w:t xml:space="preserve">assessment </w:t>
      </w:r>
      <w:r>
        <w:t>(n=11,129).</w:t>
      </w:r>
    </w:p>
    <w:p w:rsidR="0010297D" w:rsidRDefault="0010297D" w:rsidP="0010297D">
      <w:pPr>
        <w:pStyle w:val="FSBullet"/>
        <w:spacing w:before="120"/>
        <w:ind w:left="714" w:hanging="357"/>
      </w:pPr>
      <w:r w:rsidRPr="00423836">
        <w:t>1997 New Zealand National Nutrition Survey (1997 NZNNS), one 24 hour food recall covering 4,636 New Zealanders aged 15 years and above</w:t>
      </w:r>
      <w:r>
        <w:t>.</w:t>
      </w:r>
    </w:p>
    <w:p w:rsidR="0010297D" w:rsidRPr="00423836" w:rsidRDefault="0010297D" w:rsidP="0010297D">
      <w:pPr>
        <w:pStyle w:val="FSBullet"/>
        <w:spacing w:before="120"/>
        <w:ind w:left="714" w:hanging="357"/>
      </w:pPr>
      <w:r>
        <w:t>2002 New Zealand National Children’s Nutrition Survey (2002 NZCNS), one 24-hour food recall covering 3,275 New Zealand school children aged 5-14 years.</w:t>
      </w:r>
    </w:p>
    <w:p w:rsidR="0010297D" w:rsidRPr="00423836" w:rsidRDefault="0010297D" w:rsidP="0010297D">
      <w:pPr>
        <w:pStyle w:val="FSBullet"/>
        <w:spacing w:before="120"/>
        <w:ind w:left="714" w:hanging="357"/>
      </w:pPr>
      <w:r w:rsidRPr="00423836">
        <w:t xml:space="preserve">2007 Australian National Children’s Nutrition and Physical Activity Survey (also known as ‘Kids Eat Kids Play’) (2007 </w:t>
      </w:r>
      <w:r>
        <w:t>ANCNPAS</w:t>
      </w:r>
      <w:r w:rsidRPr="00423836">
        <w:t>)</w:t>
      </w:r>
      <w:r w:rsidR="009D7CD5">
        <w:t>,</w:t>
      </w:r>
      <w:r w:rsidRPr="00423836">
        <w:t xml:space="preserve"> two non-consecutive 24 hour food recall</w:t>
      </w:r>
      <w:r>
        <w:t>s</w:t>
      </w:r>
      <w:r w:rsidRPr="00423836">
        <w:t xml:space="preserve"> covering 4,487 Australian children aged 2-16 years.</w:t>
      </w:r>
    </w:p>
    <w:p w:rsidR="0010297D" w:rsidRPr="00423836" w:rsidRDefault="0010297D" w:rsidP="0010297D">
      <w:pPr>
        <w:pStyle w:val="FSBullet"/>
        <w:numPr>
          <w:ilvl w:val="0"/>
          <w:numId w:val="0"/>
        </w:numPr>
      </w:pPr>
    </w:p>
    <w:p w:rsidR="0010297D" w:rsidRPr="0010297D" w:rsidRDefault="0010297D" w:rsidP="0010297D">
      <w:r w:rsidRPr="0010297D">
        <w:lastRenderedPageBreak/>
        <w:t xml:space="preserve">The design of these </w:t>
      </w:r>
      <w:r w:rsidR="00EE4E49">
        <w:t xml:space="preserve">nutrition </w:t>
      </w:r>
      <w:r w:rsidRPr="0010297D">
        <w:t>surveys var</w:t>
      </w:r>
      <w:r w:rsidR="00416F90">
        <w:t>y</w:t>
      </w:r>
      <w:r w:rsidRPr="0010297D">
        <w:t xml:space="preserve"> and the key attributes of each, including survey limitations, are set out in Appendix </w:t>
      </w:r>
      <w:r w:rsidR="009D7CD5">
        <w:t>1</w:t>
      </w:r>
      <w:r w:rsidRPr="0010297D">
        <w:t>.</w:t>
      </w:r>
    </w:p>
    <w:p w:rsidR="0010297D" w:rsidRPr="00423836" w:rsidRDefault="0010297D" w:rsidP="0010297D">
      <w:pPr>
        <w:rPr>
          <w:szCs w:val="22"/>
        </w:rPr>
      </w:pPr>
    </w:p>
    <w:p w:rsidR="0010297D" w:rsidRPr="00423836" w:rsidRDefault="0010297D" w:rsidP="0010297D">
      <w:r w:rsidRPr="00423836">
        <w:rPr>
          <w:rFonts w:cs="Arial"/>
        </w:rPr>
        <w:t>The hazard iden</w:t>
      </w:r>
      <w:r>
        <w:rPr>
          <w:rFonts w:cs="Arial"/>
        </w:rPr>
        <w:t xml:space="preserve">tification and characterisation </w:t>
      </w:r>
      <w:r w:rsidRPr="00423836">
        <w:rPr>
          <w:rFonts w:cs="Arial"/>
        </w:rPr>
        <w:t xml:space="preserve">(Section 3) did not identify any population sub-groups for which there were specific safety considerations in relation to </w:t>
      </w:r>
      <w:r>
        <w:rPr>
          <w:rFonts w:cs="Arial"/>
        </w:rPr>
        <w:t xml:space="preserve">exposure to </w:t>
      </w:r>
      <w:r w:rsidR="00E3403B">
        <w:rPr>
          <w:rFonts w:cs="Arial"/>
        </w:rPr>
        <w:t>quillaia</w:t>
      </w:r>
      <w:r>
        <w:rPr>
          <w:rFonts w:cs="Arial"/>
        </w:rPr>
        <w:t xml:space="preserve"> saponins</w:t>
      </w:r>
      <w:r w:rsidRPr="00423836">
        <w:rPr>
          <w:rFonts w:cs="Arial"/>
        </w:rPr>
        <w:t xml:space="preserve">. </w:t>
      </w:r>
      <w:r w:rsidR="00EE4E49">
        <w:rPr>
          <w:rFonts w:cs="Arial"/>
        </w:rPr>
        <w:t>In addition</w:t>
      </w:r>
      <w:r>
        <w:rPr>
          <w:rFonts w:cs="Arial"/>
        </w:rPr>
        <w:t xml:space="preserve">, </w:t>
      </w:r>
      <w:r>
        <w:t xml:space="preserve">the food </w:t>
      </w:r>
      <w:r w:rsidR="003C0926">
        <w:t>categories</w:t>
      </w:r>
      <w:r>
        <w:t xml:space="preserve"> requested in the application </w:t>
      </w:r>
      <w:r w:rsidR="000F0DEB">
        <w:t xml:space="preserve">for addition of </w:t>
      </w:r>
      <w:r w:rsidR="00E3403B">
        <w:t>quillaia</w:t>
      </w:r>
      <w:r w:rsidR="003C0926">
        <w:t xml:space="preserve"> saponins, </w:t>
      </w:r>
      <w:r>
        <w:t>are consumed by all sectors of the Australian and New Zealand population</w:t>
      </w:r>
      <w:r w:rsidR="00927694">
        <w:t>s</w:t>
      </w:r>
      <w:r>
        <w:t>.</w:t>
      </w:r>
      <w:r w:rsidRPr="00423836">
        <w:rPr>
          <w:rFonts w:cs="Arial"/>
        </w:rPr>
        <w:t xml:space="preserve"> Therefore, </w:t>
      </w:r>
      <w:r w:rsidR="003C0926" w:rsidRPr="00423836">
        <w:t>for the DEA</w:t>
      </w:r>
      <w:r w:rsidR="003C0926">
        <w:t>,</w:t>
      </w:r>
      <w:r w:rsidR="003C0926" w:rsidRPr="00423836">
        <w:t xml:space="preserve"> </w:t>
      </w:r>
      <w:r w:rsidR="00416F90" w:rsidRPr="00423836">
        <w:t xml:space="preserve">the </w:t>
      </w:r>
      <w:r w:rsidR="00837046" w:rsidRPr="00423836">
        <w:t xml:space="preserve">available </w:t>
      </w:r>
      <w:r w:rsidR="00416F90" w:rsidRPr="00423836">
        <w:t>food consumption data were matched with</w:t>
      </w:r>
      <w:r w:rsidR="00416F90" w:rsidRPr="00423836">
        <w:rPr>
          <w:szCs w:val="22"/>
        </w:rPr>
        <w:t xml:space="preserve"> </w:t>
      </w:r>
      <w:r w:rsidR="003C0926">
        <w:rPr>
          <w:szCs w:val="22"/>
        </w:rPr>
        <w:t xml:space="preserve">the </w:t>
      </w:r>
      <w:r w:rsidR="00A72987">
        <w:rPr>
          <w:szCs w:val="22"/>
        </w:rPr>
        <w:t xml:space="preserve">proxy </w:t>
      </w:r>
      <w:r w:rsidR="003C0926">
        <w:rPr>
          <w:szCs w:val="22"/>
        </w:rPr>
        <w:t xml:space="preserve">concentration values for the </w:t>
      </w:r>
      <w:r w:rsidR="00A72987">
        <w:rPr>
          <w:szCs w:val="22"/>
        </w:rPr>
        <w:t xml:space="preserve">requested </w:t>
      </w:r>
      <w:r w:rsidR="003C0926">
        <w:rPr>
          <w:szCs w:val="22"/>
        </w:rPr>
        <w:t xml:space="preserve">food categories for </w:t>
      </w:r>
      <w:r w:rsidRPr="00423836">
        <w:rPr>
          <w:szCs w:val="22"/>
        </w:rPr>
        <w:t>the</w:t>
      </w:r>
      <w:r w:rsidRPr="00423836">
        <w:t xml:space="preserve"> </w:t>
      </w:r>
      <w:r w:rsidR="00927694">
        <w:t>following</w:t>
      </w:r>
      <w:r w:rsidR="00927694" w:rsidRPr="00423836">
        <w:t xml:space="preserve"> </w:t>
      </w:r>
      <w:r w:rsidRPr="00423836">
        <w:t>population groups</w:t>
      </w:r>
      <w:r w:rsidR="0005400B">
        <w:t>:</w:t>
      </w:r>
      <w:r w:rsidRPr="00423836">
        <w:t xml:space="preserve"> </w:t>
      </w:r>
    </w:p>
    <w:p w:rsidR="0010297D" w:rsidRDefault="0010297D" w:rsidP="003C0925">
      <w:pPr>
        <w:pStyle w:val="ListParagraph"/>
        <w:widowControl/>
        <w:numPr>
          <w:ilvl w:val="0"/>
          <w:numId w:val="7"/>
        </w:numPr>
        <w:spacing w:before="120" w:line="276" w:lineRule="auto"/>
        <w:ind w:left="714" w:hanging="357"/>
        <w:rPr>
          <w:rFonts w:cs="Arial"/>
        </w:rPr>
      </w:pPr>
      <w:r w:rsidRPr="00423836">
        <w:rPr>
          <w:rFonts w:cs="Arial"/>
        </w:rPr>
        <w:t>Australians aged 2-</w:t>
      </w:r>
      <w:r>
        <w:rPr>
          <w:rFonts w:cs="Arial"/>
        </w:rPr>
        <w:t>1</w:t>
      </w:r>
      <w:r w:rsidRPr="00423836">
        <w:rPr>
          <w:rFonts w:cs="Arial"/>
        </w:rPr>
        <w:t>6 years</w:t>
      </w:r>
    </w:p>
    <w:p w:rsidR="0010297D" w:rsidRPr="00423836" w:rsidRDefault="0010297D" w:rsidP="003C0925">
      <w:pPr>
        <w:pStyle w:val="ListParagraph"/>
        <w:widowControl/>
        <w:numPr>
          <w:ilvl w:val="0"/>
          <w:numId w:val="7"/>
        </w:numPr>
        <w:spacing w:before="120" w:line="276" w:lineRule="auto"/>
        <w:ind w:left="714" w:hanging="357"/>
        <w:rPr>
          <w:rFonts w:cs="Arial"/>
        </w:rPr>
      </w:pPr>
      <w:r>
        <w:rPr>
          <w:rFonts w:cs="Arial"/>
        </w:rPr>
        <w:t>Australians aged</w:t>
      </w:r>
      <w:r w:rsidR="00A72987">
        <w:rPr>
          <w:rFonts w:cs="Arial"/>
        </w:rPr>
        <w:t xml:space="preserve"> </w:t>
      </w:r>
      <w:r w:rsidRPr="00423836">
        <w:rPr>
          <w:rFonts w:cs="Arial"/>
        </w:rPr>
        <w:t xml:space="preserve">17 years and above </w:t>
      </w:r>
    </w:p>
    <w:p w:rsidR="0010297D" w:rsidRDefault="0010297D" w:rsidP="003C0925">
      <w:pPr>
        <w:pStyle w:val="ListParagraph"/>
        <w:widowControl/>
        <w:numPr>
          <w:ilvl w:val="0"/>
          <w:numId w:val="7"/>
        </w:numPr>
        <w:spacing w:before="120" w:line="276" w:lineRule="auto"/>
        <w:ind w:left="714" w:hanging="357"/>
        <w:rPr>
          <w:rFonts w:cs="Arial"/>
        </w:rPr>
      </w:pPr>
      <w:r w:rsidRPr="00423836">
        <w:rPr>
          <w:rFonts w:cs="Arial"/>
        </w:rPr>
        <w:t>New Zealand</w:t>
      </w:r>
      <w:r w:rsidR="00A72987">
        <w:rPr>
          <w:rFonts w:cs="Arial"/>
        </w:rPr>
        <w:t>er</w:t>
      </w:r>
      <w:r w:rsidR="00927694">
        <w:rPr>
          <w:rFonts w:cs="Arial"/>
        </w:rPr>
        <w:t>s</w:t>
      </w:r>
      <w:r w:rsidR="00A72987">
        <w:rPr>
          <w:rFonts w:cs="Arial"/>
        </w:rPr>
        <w:t xml:space="preserve"> </w:t>
      </w:r>
      <w:r w:rsidRPr="00423836">
        <w:rPr>
          <w:rFonts w:cs="Arial"/>
        </w:rPr>
        <w:t>aged</w:t>
      </w:r>
      <w:r>
        <w:rPr>
          <w:rFonts w:cs="Arial"/>
        </w:rPr>
        <w:t xml:space="preserve"> 5-14 years</w:t>
      </w:r>
      <w:r w:rsidR="00A72987">
        <w:rPr>
          <w:rFonts w:cs="Arial"/>
        </w:rPr>
        <w:t>,</w:t>
      </w:r>
      <w:r>
        <w:rPr>
          <w:rFonts w:cs="Arial"/>
        </w:rPr>
        <w:t xml:space="preserve"> and</w:t>
      </w:r>
      <w:r w:rsidRPr="00423836">
        <w:rPr>
          <w:rFonts w:cs="Arial"/>
        </w:rPr>
        <w:t xml:space="preserve"> </w:t>
      </w:r>
    </w:p>
    <w:p w:rsidR="0010297D" w:rsidRPr="00423836" w:rsidRDefault="0010297D" w:rsidP="003C0925">
      <w:pPr>
        <w:pStyle w:val="ListParagraph"/>
        <w:widowControl/>
        <w:numPr>
          <w:ilvl w:val="0"/>
          <w:numId w:val="7"/>
        </w:numPr>
        <w:spacing w:before="120" w:line="276" w:lineRule="auto"/>
        <w:ind w:left="714" w:hanging="357"/>
        <w:rPr>
          <w:rFonts w:cs="Arial"/>
        </w:rPr>
      </w:pPr>
      <w:r>
        <w:rPr>
          <w:rFonts w:cs="Arial"/>
        </w:rPr>
        <w:t>New Zealander</w:t>
      </w:r>
      <w:r w:rsidR="00927694">
        <w:rPr>
          <w:rFonts w:cs="Arial"/>
        </w:rPr>
        <w:t>s</w:t>
      </w:r>
      <w:r w:rsidR="00A72987">
        <w:rPr>
          <w:rFonts w:cs="Arial"/>
        </w:rPr>
        <w:t xml:space="preserve"> </w:t>
      </w:r>
      <w:r>
        <w:rPr>
          <w:rFonts w:cs="Arial"/>
        </w:rPr>
        <w:t xml:space="preserve">aged </w:t>
      </w:r>
      <w:r w:rsidRPr="00423836">
        <w:rPr>
          <w:rFonts w:cs="Arial"/>
        </w:rPr>
        <w:t xml:space="preserve">15 years and above. </w:t>
      </w:r>
    </w:p>
    <w:p w:rsidR="0010297D" w:rsidRDefault="0010297D" w:rsidP="0010297D">
      <w:pPr>
        <w:rPr>
          <w:rFonts w:cs="Arial"/>
        </w:rPr>
      </w:pPr>
    </w:p>
    <w:p w:rsidR="0010297D" w:rsidRPr="00BD2CDE" w:rsidRDefault="0010297D" w:rsidP="0010297D">
      <w:pPr>
        <w:pStyle w:val="Heading3"/>
      </w:pPr>
      <w:bookmarkStart w:id="75" w:name="_Toc360028616"/>
      <w:r w:rsidRPr="00BD2CDE">
        <w:t>4.1.</w:t>
      </w:r>
      <w:r>
        <w:t>2</w:t>
      </w:r>
      <w:r w:rsidRPr="00BD2CDE">
        <w:tab/>
      </w:r>
      <w:r>
        <w:t>Proposed f</w:t>
      </w:r>
      <w:r w:rsidRPr="00BD2CDE">
        <w:t>ood</w:t>
      </w:r>
      <w:r>
        <w:t xml:space="preserve"> categories and concentrations of </w:t>
      </w:r>
      <w:r w:rsidR="00E3403B">
        <w:t>quillaia</w:t>
      </w:r>
      <w:r>
        <w:t xml:space="preserve"> saponins used</w:t>
      </w:r>
      <w:bookmarkEnd w:id="75"/>
    </w:p>
    <w:p w:rsidR="003C0925" w:rsidRDefault="003C0925" w:rsidP="0010297D">
      <w:pPr>
        <w:rPr>
          <w:rFonts w:cs="Arial"/>
        </w:rPr>
      </w:pPr>
    </w:p>
    <w:p w:rsidR="0010297D" w:rsidRDefault="0010297D" w:rsidP="0010297D">
      <w:pPr>
        <w:rPr>
          <w:rFonts w:cs="Arial"/>
        </w:rPr>
      </w:pPr>
      <w:r w:rsidRPr="00423836">
        <w:rPr>
          <w:rFonts w:cs="Arial"/>
        </w:rPr>
        <w:t xml:space="preserve">The Applicant provided the </w:t>
      </w:r>
      <w:r>
        <w:rPr>
          <w:rFonts w:cs="Arial"/>
        </w:rPr>
        <w:t xml:space="preserve">list of </w:t>
      </w:r>
      <w:r w:rsidRPr="00423836">
        <w:rPr>
          <w:rFonts w:cs="Arial"/>
        </w:rPr>
        <w:t>food</w:t>
      </w:r>
      <w:r>
        <w:rPr>
          <w:rFonts w:cs="Arial"/>
        </w:rPr>
        <w:t xml:space="preserve"> categories</w:t>
      </w:r>
      <w:r w:rsidRPr="00423836">
        <w:rPr>
          <w:rFonts w:cs="Arial"/>
        </w:rPr>
        <w:t xml:space="preserve"> </w:t>
      </w:r>
      <w:r>
        <w:rPr>
          <w:rFonts w:cs="Arial"/>
        </w:rPr>
        <w:t xml:space="preserve">within which the </w:t>
      </w:r>
      <w:r w:rsidR="00E3403B">
        <w:rPr>
          <w:rFonts w:cs="Arial"/>
        </w:rPr>
        <w:t>quillaia</w:t>
      </w:r>
      <w:r>
        <w:rPr>
          <w:rFonts w:cs="Arial"/>
        </w:rPr>
        <w:t xml:space="preserve"> saponins are proposed to be used</w:t>
      </w:r>
      <w:r w:rsidR="003C0926">
        <w:rPr>
          <w:rFonts w:cs="Arial"/>
        </w:rPr>
        <w:t>,</w:t>
      </w:r>
      <w:r w:rsidRPr="00423836">
        <w:rPr>
          <w:rFonts w:cs="Arial"/>
        </w:rPr>
        <w:t xml:space="preserve"> </w:t>
      </w:r>
      <w:r w:rsidR="00644337">
        <w:rPr>
          <w:rFonts w:cs="Arial"/>
        </w:rPr>
        <w:t xml:space="preserve">the </w:t>
      </w:r>
      <w:r>
        <w:rPr>
          <w:rFonts w:cs="Arial"/>
        </w:rPr>
        <w:t>proposed MPLs</w:t>
      </w:r>
      <w:r w:rsidRPr="00423836">
        <w:rPr>
          <w:rFonts w:cs="Arial"/>
        </w:rPr>
        <w:t xml:space="preserve"> in Australia and New Zealand</w:t>
      </w:r>
      <w:r w:rsidR="00837046">
        <w:rPr>
          <w:rFonts w:cs="Arial"/>
        </w:rPr>
        <w:t>,</w:t>
      </w:r>
      <w:r w:rsidR="0005400B">
        <w:rPr>
          <w:rFonts w:cs="Arial"/>
        </w:rPr>
        <w:t xml:space="preserve"> </w:t>
      </w:r>
      <w:r w:rsidR="007A56C5">
        <w:rPr>
          <w:rFonts w:cs="Arial"/>
        </w:rPr>
        <w:t>and</w:t>
      </w:r>
      <w:r w:rsidR="0005400B">
        <w:rPr>
          <w:rFonts w:cs="Arial"/>
        </w:rPr>
        <w:t xml:space="preserve"> the </w:t>
      </w:r>
      <w:r w:rsidR="007A56C5">
        <w:rPr>
          <w:rFonts w:cs="Arial"/>
        </w:rPr>
        <w:t>proportion</w:t>
      </w:r>
      <w:r w:rsidR="0005400B">
        <w:rPr>
          <w:rFonts w:cs="Arial"/>
        </w:rPr>
        <w:t xml:space="preserve"> of the prod</w:t>
      </w:r>
      <w:r w:rsidR="00830B26">
        <w:rPr>
          <w:rFonts w:cs="Arial"/>
        </w:rPr>
        <w:t xml:space="preserve">uct category likely to include </w:t>
      </w:r>
      <w:r w:rsidR="00E3403B">
        <w:rPr>
          <w:rFonts w:cs="Arial"/>
        </w:rPr>
        <w:t>quillaia</w:t>
      </w:r>
      <w:r w:rsidR="0005400B">
        <w:rPr>
          <w:rFonts w:cs="Arial"/>
        </w:rPr>
        <w:t xml:space="preserve"> saponins</w:t>
      </w:r>
      <w:r>
        <w:rPr>
          <w:rFonts w:cs="Arial"/>
        </w:rPr>
        <w:t>.</w:t>
      </w:r>
      <w:r w:rsidRPr="005E789A">
        <w:rPr>
          <w:rFonts w:cs="Arial"/>
        </w:rPr>
        <w:t xml:space="preserve"> </w:t>
      </w:r>
      <w:r>
        <w:rPr>
          <w:rFonts w:cs="Arial"/>
        </w:rPr>
        <w:t>The food category</w:t>
      </w:r>
      <w:r w:rsidRPr="00423836">
        <w:rPr>
          <w:rFonts w:cs="Arial"/>
        </w:rPr>
        <w:t xml:space="preserve"> codes </w:t>
      </w:r>
      <w:r>
        <w:rPr>
          <w:rFonts w:cs="Arial"/>
        </w:rPr>
        <w:t xml:space="preserve">used by the Applicant </w:t>
      </w:r>
      <w:r w:rsidR="007A56C5">
        <w:rPr>
          <w:rFonts w:cs="Arial"/>
        </w:rPr>
        <w:t>we</w:t>
      </w:r>
      <w:r w:rsidRPr="00423836">
        <w:rPr>
          <w:rFonts w:cs="Arial"/>
        </w:rPr>
        <w:t>re based on the Australia New Zealand Food Classification System (ANZFCS) in Standa</w:t>
      </w:r>
      <w:r>
        <w:rPr>
          <w:rFonts w:cs="Arial"/>
        </w:rPr>
        <w:t xml:space="preserve">rd 1.3.1 – Food Additives in </w:t>
      </w:r>
      <w:r w:rsidRPr="00423836">
        <w:rPr>
          <w:rFonts w:cs="Arial"/>
        </w:rPr>
        <w:t xml:space="preserve">the Code </w:t>
      </w:r>
      <w:r>
        <w:rPr>
          <w:rFonts w:cs="Arial"/>
        </w:rPr>
        <w:t xml:space="preserve">and its related </w:t>
      </w:r>
      <w:r w:rsidRPr="00423836">
        <w:rPr>
          <w:rFonts w:cs="Arial"/>
        </w:rPr>
        <w:t>Schedule</w:t>
      </w:r>
      <w:r>
        <w:rPr>
          <w:rFonts w:cs="Arial"/>
        </w:rPr>
        <w:t xml:space="preserve">s. However, the food classification codes in DIAMOND do vary slightly depending on the </w:t>
      </w:r>
      <w:r w:rsidR="00190EC0">
        <w:rPr>
          <w:rFonts w:cs="Arial"/>
        </w:rPr>
        <w:t xml:space="preserve">date </w:t>
      </w:r>
      <w:r>
        <w:rPr>
          <w:rFonts w:cs="Arial"/>
        </w:rPr>
        <w:t xml:space="preserve">of collection of the nutrition survey data, and may also </w:t>
      </w:r>
      <w:r w:rsidR="00A72987">
        <w:rPr>
          <w:rFonts w:cs="Arial"/>
        </w:rPr>
        <w:t xml:space="preserve">be </w:t>
      </w:r>
      <w:r>
        <w:rPr>
          <w:rFonts w:cs="Arial"/>
        </w:rPr>
        <w:t xml:space="preserve">split into sub-groups. </w:t>
      </w:r>
      <w:r w:rsidR="00A72987">
        <w:rPr>
          <w:rFonts w:cs="Arial"/>
        </w:rPr>
        <w:t>T</w:t>
      </w:r>
      <w:r>
        <w:rPr>
          <w:rFonts w:cs="Arial"/>
        </w:rPr>
        <w:t xml:space="preserve">o </w:t>
      </w:r>
      <w:r w:rsidR="00A72987">
        <w:rPr>
          <w:rFonts w:cs="Arial"/>
        </w:rPr>
        <w:t>assess</w:t>
      </w:r>
      <w:r>
        <w:rPr>
          <w:rFonts w:cs="Arial"/>
        </w:rPr>
        <w:t xml:space="preserve"> the populations’</w:t>
      </w:r>
      <w:r w:rsidRPr="00423836">
        <w:rPr>
          <w:rFonts w:cs="Arial"/>
        </w:rPr>
        <w:t xml:space="preserve"> dietary exposure to </w:t>
      </w:r>
      <w:r w:rsidR="00E3403B">
        <w:rPr>
          <w:rFonts w:cs="Arial"/>
        </w:rPr>
        <w:t>quillaia</w:t>
      </w:r>
      <w:r>
        <w:rPr>
          <w:rFonts w:cs="Arial"/>
        </w:rPr>
        <w:t xml:space="preserve"> saponins</w:t>
      </w:r>
      <w:r w:rsidRPr="00423836">
        <w:rPr>
          <w:rFonts w:cs="Arial"/>
        </w:rPr>
        <w:t xml:space="preserve">, the food categories proposed by the Applicant were assigned </w:t>
      </w:r>
      <w:r>
        <w:rPr>
          <w:rFonts w:cs="Arial"/>
        </w:rPr>
        <w:t xml:space="preserve">to the relevant </w:t>
      </w:r>
      <w:r w:rsidRPr="00423836">
        <w:rPr>
          <w:rFonts w:cs="Arial"/>
        </w:rPr>
        <w:t>DIAM</w:t>
      </w:r>
      <w:r>
        <w:rPr>
          <w:rFonts w:cs="Arial"/>
        </w:rPr>
        <w:t xml:space="preserve">OND food classification codes. </w:t>
      </w:r>
    </w:p>
    <w:p w:rsidR="0010297D" w:rsidRDefault="0010297D" w:rsidP="0010297D">
      <w:pPr>
        <w:rPr>
          <w:rFonts w:cs="Arial"/>
        </w:rPr>
      </w:pPr>
    </w:p>
    <w:p w:rsidR="0010297D" w:rsidRDefault="0010297D" w:rsidP="0010297D">
      <w:pPr>
        <w:rPr>
          <w:rFonts w:cs="Arial"/>
        </w:rPr>
      </w:pPr>
      <w:r>
        <w:rPr>
          <w:rFonts w:cs="Arial"/>
        </w:rPr>
        <w:t>W</w:t>
      </w:r>
      <w:r w:rsidRPr="00423836">
        <w:rPr>
          <w:rFonts w:cs="Arial"/>
        </w:rPr>
        <w:t xml:space="preserve">here </w:t>
      </w:r>
      <w:r>
        <w:rPr>
          <w:rFonts w:cs="Arial"/>
        </w:rPr>
        <w:t xml:space="preserve">a specific food category had been listed by the Applicant and no sub-groups of foods within the category had been specified as excluded, the </w:t>
      </w:r>
      <w:r w:rsidR="00837046">
        <w:rPr>
          <w:rFonts w:cs="Arial"/>
        </w:rPr>
        <w:t xml:space="preserve">calculated proxy </w:t>
      </w:r>
      <w:r w:rsidR="00A72987">
        <w:rPr>
          <w:rFonts w:cs="Arial"/>
        </w:rPr>
        <w:t>concentration</w:t>
      </w:r>
      <w:r>
        <w:rPr>
          <w:rFonts w:cs="Arial"/>
        </w:rPr>
        <w:t xml:space="preserve"> of </w:t>
      </w:r>
      <w:r w:rsidR="00E3403B">
        <w:rPr>
          <w:rFonts w:cs="Arial"/>
        </w:rPr>
        <w:t>quillaia</w:t>
      </w:r>
      <w:r>
        <w:rPr>
          <w:rFonts w:cs="Arial"/>
        </w:rPr>
        <w:t xml:space="preserve"> saponins was applied to all the sub-groups within the food category. </w:t>
      </w:r>
      <w:r w:rsidRPr="00423836">
        <w:rPr>
          <w:rFonts w:cs="Arial"/>
        </w:rPr>
        <w:t xml:space="preserve">For example, permission to add </w:t>
      </w:r>
      <w:r w:rsidR="00E3403B">
        <w:rPr>
          <w:rFonts w:cs="Arial"/>
        </w:rPr>
        <w:t>quillaia</w:t>
      </w:r>
      <w:r>
        <w:rPr>
          <w:rFonts w:cs="Arial"/>
        </w:rPr>
        <w:t xml:space="preserve"> saponins to </w:t>
      </w:r>
      <w:r w:rsidRPr="00A749EC">
        <w:rPr>
          <w:rFonts w:cs="Arial"/>
          <w:i/>
        </w:rPr>
        <w:t>fruit and vegetable juice products</w:t>
      </w:r>
      <w:r w:rsidR="000002E0">
        <w:rPr>
          <w:rFonts w:cs="Arial"/>
        </w:rPr>
        <w:t xml:space="preserve"> was requested</w:t>
      </w:r>
      <w:r>
        <w:rPr>
          <w:rFonts w:cs="Arial"/>
        </w:rPr>
        <w:t>,</w:t>
      </w:r>
      <w:r w:rsidRPr="00423836">
        <w:rPr>
          <w:rFonts w:cs="Arial"/>
        </w:rPr>
        <w:t xml:space="preserve"> </w:t>
      </w:r>
      <w:r>
        <w:rPr>
          <w:rFonts w:cs="Arial"/>
        </w:rPr>
        <w:t xml:space="preserve">therefore all foods under this </w:t>
      </w:r>
      <w:r w:rsidR="00A72987">
        <w:rPr>
          <w:rFonts w:cs="Arial"/>
        </w:rPr>
        <w:t xml:space="preserve">main </w:t>
      </w:r>
      <w:r>
        <w:rPr>
          <w:rFonts w:cs="Arial"/>
        </w:rPr>
        <w:t xml:space="preserve">category </w:t>
      </w:r>
      <w:r w:rsidR="000002E0">
        <w:rPr>
          <w:rFonts w:cs="Arial"/>
        </w:rPr>
        <w:t>were</w:t>
      </w:r>
      <w:r>
        <w:rPr>
          <w:rFonts w:cs="Arial"/>
        </w:rPr>
        <w:t xml:space="preserve"> included</w:t>
      </w:r>
      <w:r w:rsidRPr="00423836">
        <w:rPr>
          <w:rFonts w:cs="Arial"/>
        </w:rPr>
        <w:t xml:space="preserve"> in the </w:t>
      </w:r>
      <w:r w:rsidR="0058420F">
        <w:rPr>
          <w:rFonts w:cs="Arial"/>
        </w:rPr>
        <w:t>DEA</w:t>
      </w:r>
      <w:r w:rsidR="000002E0">
        <w:rPr>
          <w:rFonts w:cs="Arial"/>
        </w:rPr>
        <w:t>.</w:t>
      </w:r>
      <w:r>
        <w:rPr>
          <w:rFonts w:cs="Arial"/>
        </w:rPr>
        <w:t xml:space="preserve"> </w:t>
      </w:r>
      <w:r w:rsidRPr="00423836">
        <w:rPr>
          <w:rFonts w:cs="Arial"/>
        </w:rPr>
        <w:t>Overall</w:t>
      </w:r>
      <w:r>
        <w:rPr>
          <w:rFonts w:cs="Arial"/>
        </w:rPr>
        <w:t>,</w:t>
      </w:r>
      <w:r w:rsidRPr="00423836">
        <w:rPr>
          <w:rFonts w:cs="Arial"/>
        </w:rPr>
        <w:t xml:space="preserve"> this </w:t>
      </w:r>
      <w:r w:rsidR="003C0926">
        <w:rPr>
          <w:rFonts w:cs="Arial"/>
        </w:rPr>
        <w:t>result</w:t>
      </w:r>
      <w:r w:rsidR="000002E0">
        <w:rPr>
          <w:rFonts w:cs="Arial"/>
        </w:rPr>
        <w:t>s</w:t>
      </w:r>
      <w:r w:rsidR="003C0926">
        <w:rPr>
          <w:rFonts w:cs="Arial"/>
        </w:rPr>
        <w:t xml:space="preserve"> in </w:t>
      </w:r>
      <w:r w:rsidRPr="00423836">
        <w:rPr>
          <w:rFonts w:cs="Arial"/>
        </w:rPr>
        <w:t xml:space="preserve">a conservative </w:t>
      </w:r>
      <w:r w:rsidR="00DB68DE">
        <w:rPr>
          <w:rFonts w:cs="Arial"/>
        </w:rPr>
        <w:t>prediction</w:t>
      </w:r>
      <w:r w:rsidRPr="00423836">
        <w:rPr>
          <w:rFonts w:cs="Arial"/>
        </w:rPr>
        <w:t xml:space="preserve"> of dietary exposure</w:t>
      </w:r>
      <w:r w:rsidR="00830B26">
        <w:rPr>
          <w:rFonts w:cs="Arial"/>
        </w:rPr>
        <w:t xml:space="preserve"> to </w:t>
      </w:r>
      <w:r w:rsidR="00E3403B">
        <w:rPr>
          <w:rFonts w:cs="Arial"/>
        </w:rPr>
        <w:t>quillaia</w:t>
      </w:r>
      <w:r w:rsidR="003C0926">
        <w:rPr>
          <w:rFonts w:cs="Arial"/>
        </w:rPr>
        <w:t xml:space="preserve"> saponins</w:t>
      </w:r>
      <w:r w:rsidR="00A72987">
        <w:rPr>
          <w:rFonts w:cs="Arial"/>
        </w:rPr>
        <w:t xml:space="preserve">, </w:t>
      </w:r>
      <w:r>
        <w:rPr>
          <w:rFonts w:cs="Arial"/>
        </w:rPr>
        <w:t>in line with the tiered approach to DEAs usually used by FSANZ</w:t>
      </w:r>
      <w:r w:rsidRPr="00423836">
        <w:rPr>
          <w:rFonts w:cs="Arial"/>
        </w:rPr>
        <w:t xml:space="preserve">. </w:t>
      </w:r>
    </w:p>
    <w:p w:rsidR="0010297D" w:rsidRDefault="0010297D" w:rsidP="0010297D">
      <w:pPr>
        <w:rPr>
          <w:rFonts w:cs="Arial"/>
        </w:rPr>
      </w:pPr>
    </w:p>
    <w:p w:rsidR="0010297D" w:rsidRDefault="0010297D" w:rsidP="0010297D">
      <w:pPr>
        <w:rPr>
          <w:rFonts w:cs="Arial"/>
        </w:rPr>
      </w:pPr>
      <w:r>
        <w:rPr>
          <w:rFonts w:cs="Arial"/>
        </w:rPr>
        <w:t>The f</w:t>
      </w:r>
      <w:r w:rsidRPr="00423836">
        <w:rPr>
          <w:rFonts w:cs="Arial"/>
        </w:rPr>
        <w:t>ood</w:t>
      </w:r>
      <w:r>
        <w:rPr>
          <w:rFonts w:cs="Arial"/>
        </w:rPr>
        <w:t xml:space="preserve"> categories</w:t>
      </w:r>
      <w:r w:rsidRPr="00423836">
        <w:rPr>
          <w:rFonts w:cs="Arial"/>
        </w:rPr>
        <w:t xml:space="preserve"> for which permission to add </w:t>
      </w:r>
      <w:r w:rsidR="00E3403B">
        <w:rPr>
          <w:rFonts w:cs="Arial"/>
        </w:rPr>
        <w:t>quillaia</w:t>
      </w:r>
      <w:r>
        <w:rPr>
          <w:rFonts w:cs="Arial"/>
        </w:rPr>
        <w:t xml:space="preserve"> saponins</w:t>
      </w:r>
      <w:r w:rsidR="000002E0">
        <w:rPr>
          <w:rFonts w:cs="Arial"/>
        </w:rPr>
        <w:t xml:space="preserve"> was requested</w:t>
      </w:r>
      <w:r w:rsidRPr="00423836">
        <w:rPr>
          <w:rFonts w:cs="Arial"/>
        </w:rPr>
        <w:t xml:space="preserve">, </w:t>
      </w:r>
      <w:r>
        <w:rPr>
          <w:rFonts w:cs="Arial"/>
        </w:rPr>
        <w:t>the corresponding</w:t>
      </w:r>
      <w:r w:rsidRPr="00423836">
        <w:rPr>
          <w:rFonts w:cs="Arial"/>
        </w:rPr>
        <w:t xml:space="preserve"> ANZFCS food groups </w:t>
      </w:r>
      <w:r>
        <w:rPr>
          <w:rFonts w:cs="Arial"/>
        </w:rPr>
        <w:t>used</w:t>
      </w:r>
      <w:r w:rsidRPr="00423836">
        <w:rPr>
          <w:rFonts w:cs="Arial"/>
        </w:rPr>
        <w:t xml:space="preserve"> in the DEA</w:t>
      </w:r>
      <w:r>
        <w:rPr>
          <w:rFonts w:cs="Arial"/>
        </w:rPr>
        <w:t>,</w:t>
      </w:r>
      <w:r w:rsidRPr="00423836">
        <w:rPr>
          <w:rFonts w:cs="Arial"/>
        </w:rPr>
        <w:t xml:space="preserve"> the </w:t>
      </w:r>
      <w:r>
        <w:rPr>
          <w:rFonts w:cs="Arial"/>
        </w:rPr>
        <w:t xml:space="preserve">maximum </w:t>
      </w:r>
      <w:r w:rsidRPr="00423836">
        <w:rPr>
          <w:rFonts w:cs="Arial"/>
        </w:rPr>
        <w:t>proposed</w:t>
      </w:r>
      <w:r>
        <w:rPr>
          <w:rFonts w:cs="Arial"/>
        </w:rPr>
        <w:t xml:space="preserve"> </w:t>
      </w:r>
      <w:r w:rsidRPr="00423836">
        <w:rPr>
          <w:rFonts w:cs="Arial"/>
        </w:rPr>
        <w:t>concentration</w:t>
      </w:r>
      <w:r>
        <w:rPr>
          <w:rFonts w:cs="Arial"/>
        </w:rPr>
        <w:t>s</w:t>
      </w:r>
      <w:r w:rsidRPr="00423836">
        <w:rPr>
          <w:rFonts w:cs="Arial"/>
        </w:rPr>
        <w:t xml:space="preserve"> of </w:t>
      </w:r>
      <w:r w:rsidR="00E3403B">
        <w:rPr>
          <w:rFonts w:cs="Arial"/>
        </w:rPr>
        <w:t>quillaia</w:t>
      </w:r>
      <w:r>
        <w:rPr>
          <w:rFonts w:cs="Arial"/>
        </w:rPr>
        <w:t xml:space="preserve"> saponins</w:t>
      </w:r>
      <w:r w:rsidRPr="00423836">
        <w:rPr>
          <w:rFonts w:cs="Arial"/>
        </w:rPr>
        <w:t xml:space="preserve"> </w:t>
      </w:r>
      <w:r w:rsidR="005C0181" w:rsidRPr="00423836">
        <w:rPr>
          <w:rFonts w:cs="Arial"/>
        </w:rPr>
        <w:t>and</w:t>
      </w:r>
      <w:r w:rsidR="005C0181">
        <w:rPr>
          <w:rFonts w:cs="Arial"/>
        </w:rPr>
        <w:t xml:space="preserve"> the </w:t>
      </w:r>
      <w:r w:rsidR="000002E0">
        <w:rPr>
          <w:rFonts w:cs="Arial"/>
        </w:rPr>
        <w:t>proportion</w:t>
      </w:r>
      <w:r w:rsidR="005C0181">
        <w:rPr>
          <w:rFonts w:cs="Arial"/>
        </w:rPr>
        <w:t xml:space="preserve"> of the product likely to include </w:t>
      </w:r>
      <w:r w:rsidR="00E3403B">
        <w:rPr>
          <w:rFonts w:cs="Arial"/>
        </w:rPr>
        <w:t>quillaia</w:t>
      </w:r>
      <w:r w:rsidR="005C0181">
        <w:rPr>
          <w:rFonts w:cs="Arial"/>
        </w:rPr>
        <w:t xml:space="preserve"> saponins</w:t>
      </w:r>
      <w:r w:rsidR="00BB4A1F">
        <w:rPr>
          <w:rFonts w:cs="Arial"/>
        </w:rPr>
        <w:t>,</w:t>
      </w:r>
      <w:r w:rsidR="005C0181">
        <w:rPr>
          <w:rFonts w:cs="Arial"/>
        </w:rPr>
        <w:t xml:space="preserve"> as </w:t>
      </w:r>
      <w:r>
        <w:rPr>
          <w:rFonts w:cs="Arial"/>
        </w:rPr>
        <w:t>specified by the Applicant</w:t>
      </w:r>
      <w:r w:rsidR="00467257">
        <w:rPr>
          <w:rFonts w:cs="Arial"/>
        </w:rPr>
        <w:t>,</w:t>
      </w:r>
      <w:r>
        <w:rPr>
          <w:rFonts w:cs="Arial"/>
        </w:rPr>
        <w:t xml:space="preserve"> </w:t>
      </w:r>
      <w:r w:rsidRPr="00983A0E">
        <w:rPr>
          <w:rFonts w:cs="Arial"/>
        </w:rPr>
        <w:t>are set out in Table 4.</w:t>
      </w:r>
      <w:r>
        <w:rPr>
          <w:rFonts w:cs="Arial"/>
        </w:rPr>
        <w:t>1</w:t>
      </w:r>
      <w:r w:rsidRPr="00983A0E">
        <w:rPr>
          <w:rFonts w:cs="Arial"/>
        </w:rPr>
        <w:t>.</w:t>
      </w:r>
      <w:r w:rsidRPr="00983A0E">
        <w:t xml:space="preserve"> </w:t>
      </w:r>
      <w:r w:rsidR="00467257">
        <w:t xml:space="preserve">The </w:t>
      </w:r>
      <w:r>
        <w:rPr>
          <w:rFonts w:cs="Arial"/>
        </w:rPr>
        <w:t xml:space="preserve">Table also shows the </w:t>
      </w:r>
      <w:r w:rsidR="004E765A">
        <w:rPr>
          <w:rFonts w:cs="Arial"/>
        </w:rPr>
        <w:t xml:space="preserve">calculated proxy </w:t>
      </w:r>
      <w:r>
        <w:rPr>
          <w:rFonts w:cs="Arial"/>
        </w:rPr>
        <w:t xml:space="preserve">concentrations used </w:t>
      </w:r>
      <w:r w:rsidR="00777860">
        <w:rPr>
          <w:rFonts w:cs="Arial"/>
        </w:rPr>
        <w:t xml:space="preserve">in the dietary </w:t>
      </w:r>
      <w:r w:rsidR="0058420F">
        <w:rPr>
          <w:rFonts w:cs="Arial"/>
        </w:rPr>
        <w:t xml:space="preserve">exposure assessment </w:t>
      </w:r>
      <w:r>
        <w:rPr>
          <w:rFonts w:cs="Arial"/>
        </w:rPr>
        <w:t xml:space="preserve">for the </w:t>
      </w:r>
      <w:r w:rsidR="000002E0">
        <w:rPr>
          <w:rFonts w:cs="Arial"/>
        </w:rPr>
        <w:t xml:space="preserve">relevant </w:t>
      </w:r>
      <w:r>
        <w:rPr>
          <w:rFonts w:cs="Arial"/>
        </w:rPr>
        <w:t xml:space="preserve">DIAMOND food categories.  </w:t>
      </w:r>
    </w:p>
    <w:p w:rsidR="0010297D" w:rsidRDefault="0010297D" w:rsidP="0010297D">
      <w:pPr>
        <w:rPr>
          <w:rFonts w:cs="Arial"/>
        </w:rPr>
      </w:pPr>
    </w:p>
    <w:p w:rsidR="0010297D" w:rsidRDefault="0010297D" w:rsidP="0010297D">
      <w:pPr>
        <w:pStyle w:val="Heading3"/>
        <w:ind w:left="0" w:firstLine="0"/>
      </w:pPr>
      <w:bookmarkStart w:id="76" w:name="_Toc360028617"/>
      <w:r>
        <w:t>4.1.3</w:t>
      </w:r>
      <w:r>
        <w:tab/>
      </w:r>
      <w:r w:rsidRPr="00AB459B">
        <w:t xml:space="preserve">Dietary modelling approach used for assessing exposure to </w:t>
      </w:r>
      <w:r w:rsidR="00E3403B">
        <w:t>quillaia</w:t>
      </w:r>
      <w:r w:rsidRPr="00AB459B">
        <w:t xml:space="preserve"> </w:t>
      </w:r>
      <w:r>
        <w:t>saponins</w:t>
      </w:r>
      <w:bookmarkEnd w:id="76"/>
    </w:p>
    <w:p w:rsidR="003C0925" w:rsidRDefault="003C0925" w:rsidP="0010297D">
      <w:pPr>
        <w:rPr>
          <w:rFonts w:cs="Arial"/>
        </w:rPr>
      </w:pPr>
    </w:p>
    <w:p w:rsidR="00157086" w:rsidRDefault="00777860" w:rsidP="0010297D">
      <w:pPr>
        <w:rPr>
          <w:rFonts w:cs="Arial"/>
        </w:rPr>
      </w:pPr>
      <w:r>
        <w:rPr>
          <w:rFonts w:cs="Arial"/>
        </w:rPr>
        <w:t>T</w:t>
      </w:r>
      <w:r w:rsidR="0010297D">
        <w:rPr>
          <w:rFonts w:cs="Arial"/>
        </w:rPr>
        <w:t xml:space="preserve">he dietary modelling approach </w:t>
      </w:r>
      <w:r>
        <w:rPr>
          <w:rFonts w:cs="Arial"/>
        </w:rPr>
        <w:t xml:space="preserve">used </w:t>
      </w:r>
      <w:r w:rsidR="0010297D">
        <w:rPr>
          <w:rFonts w:cs="Arial"/>
        </w:rPr>
        <w:t>for this assessment is summarised in Figure 4.1.</w:t>
      </w:r>
      <w:r w:rsidR="00157086">
        <w:rPr>
          <w:rFonts w:cs="Arial"/>
        </w:rPr>
        <w:t xml:space="preserve"> </w:t>
      </w:r>
      <w:r w:rsidR="00467257">
        <w:rPr>
          <w:rFonts w:cs="Arial"/>
        </w:rPr>
        <w:t xml:space="preserve">Where the nutrition surveys had captured foods from all the food categories listed by the Applicant, the population approach was used with no modifications. </w:t>
      </w:r>
      <w:r w:rsidR="00157086">
        <w:rPr>
          <w:rFonts w:cs="Arial"/>
        </w:rPr>
        <w:t xml:space="preserve">For these foods, </w:t>
      </w:r>
      <w:r>
        <w:rPr>
          <w:rFonts w:cs="Arial"/>
        </w:rPr>
        <w:t xml:space="preserve">the calculated proxy MPL concentration was directly determined from </w:t>
      </w:r>
      <w:r w:rsidR="00157086">
        <w:rPr>
          <w:rFonts w:cs="Arial"/>
        </w:rPr>
        <w:t xml:space="preserve">the provided MPL </w:t>
      </w:r>
      <w:r w:rsidR="00467257">
        <w:rPr>
          <w:rFonts w:cs="Arial"/>
        </w:rPr>
        <w:t>and</w:t>
      </w:r>
      <w:r w:rsidR="00157086">
        <w:rPr>
          <w:rFonts w:cs="Arial"/>
        </w:rPr>
        <w:t xml:space="preserve"> the </w:t>
      </w:r>
      <w:r w:rsidR="009079D8">
        <w:rPr>
          <w:rFonts w:cs="Arial"/>
        </w:rPr>
        <w:t>proportion</w:t>
      </w:r>
      <w:r w:rsidR="00157086">
        <w:rPr>
          <w:rFonts w:cs="Arial"/>
        </w:rPr>
        <w:t xml:space="preserve"> of each food c</w:t>
      </w:r>
      <w:r w:rsidR="00830B26">
        <w:rPr>
          <w:rFonts w:cs="Arial"/>
        </w:rPr>
        <w:t xml:space="preserve">ategory likely to contain </w:t>
      </w:r>
      <w:r w:rsidR="00E3403B">
        <w:rPr>
          <w:rFonts w:cs="Arial"/>
        </w:rPr>
        <w:t>quillaia</w:t>
      </w:r>
      <w:r w:rsidR="00157086">
        <w:rPr>
          <w:rFonts w:cs="Arial"/>
        </w:rPr>
        <w:t xml:space="preserve"> sapon</w:t>
      </w:r>
      <w:r w:rsidR="00467257">
        <w:rPr>
          <w:rFonts w:cs="Arial"/>
        </w:rPr>
        <w:t>ins</w:t>
      </w:r>
      <w:r w:rsidR="00157086">
        <w:rPr>
          <w:rFonts w:cs="Arial"/>
        </w:rPr>
        <w:t xml:space="preserve">. The proxy </w:t>
      </w:r>
      <w:r>
        <w:rPr>
          <w:rFonts w:cs="Arial"/>
        </w:rPr>
        <w:t>concentrations</w:t>
      </w:r>
      <w:r w:rsidR="00157086">
        <w:rPr>
          <w:rFonts w:cs="Arial"/>
        </w:rPr>
        <w:t xml:space="preserve"> were t</w:t>
      </w:r>
      <w:r w:rsidR="00467257">
        <w:rPr>
          <w:rFonts w:cs="Arial"/>
        </w:rPr>
        <w:t>h</w:t>
      </w:r>
      <w:r w:rsidR="00157086">
        <w:rPr>
          <w:rFonts w:cs="Arial"/>
        </w:rPr>
        <w:t xml:space="preserve">en used </w:t>
      </w:r>
      <w:r w:rsidR="00467257">
        <w:rPr>
          <w:rFonts w:cs="Arial"/>
        </w:rPr>
        <w:t xml:space="preserve">in the dietary modelling </w:t>
      </w:r>
      <w:r w:rsidR="00157086">
        <w:rPr>
          <w:rFonts w:cs="Arial"/>
        </w:rPr>
        <w:t xml:space="preserve">to </w:t>
      </w:r>
      <w:r w:rsidR="00DB68DE">
        <w:rPr>
          <w:rFonts w:cs="Arial"/>
        </w:rPr>
        <w:t>predict</w:t>
      </w:r>
      <w:r w:rsidR="00157086">
        <w:rPr>
          <w:rFonts w:cs="Arial"/>
        </w:rPr>
        <w:t xml:space="preserve"> </w:t>
      </w:r>
      <w:r w:rsidR="00315416">
        <w:rPr>
          <w:rFonts w:cs="Arial"/>
        </w:rPr>
        <w:t xml:space="preserve">the Australian and New Zealand populations’ </w:t>
      </w:r>
      <w:r w:rsidR="00830B26">
        <w:rPr>
          <w:rFonts w:cs="Arial"/>
        </w:rPr>
        <w:t xml:space="preserve">dietary exposure to </w:t>
      </w:r>
      <w:r w:rsidR="00E3403B">
        <w:rPr>
          <w:rFonts w:cs="Arial"/>
        </w:rPr>
        <w:t>quillaia</w:t>
      </w:r>
      <w:r w:rsidR="00157086">
        <w:rPr>
          <w:rFonts w:cs="Arial"/>
        </w:rPr>
        <w:t xml:space="preserve"> saponins. </w:t>
      </w:r>
    </w:p>
    <w:p w:rsidR="0010297D" w:rsidRPr="00CD1725" w:rsidRDefault="0010297D" w:rsidP="0010297D">
      <w:pPr>
        <w:rPr>
          <w:b/>
        </w:rPr>
        <w:sectPr w:rsidR="0010297D" w:rsidRPr="00CD1725" w:rsidSect="00C831D5">
          <w:footerReference w:type="default" r:id="rId16"/>
          <w:pgSz w:w="11906" w:h="16838"/>
          <w:pgMar w:top="1418" w:right="1418" w:bottom="1418" w:left="1418" w:header="708" w:footer="708" w:gutter="0"/>
          <w:cols w:space="708"/>
          <w:docGrid w:linePitch="360"/>
        </w:sectPr>
      </w:pPr>
    </w:p>
    <w:p w:rsidR="004A61A8" w:rsidRDefault="00BA0FD9" w:rsidP="0010297D">
      <w:pPr>
        <w:tabs>
          <w:tab w:val="left" w:pos="13092"/>
        </w:tabs>
        <w:rPr>
          <w:b/>
        </w:rPr>
      </w:pPr>
      <w:r w:rsidRPr="00BA0FD9">
        <w:rPr>
          <w:noProof/>
          <w:lang w:eastAsia="en-GB" w:bidi="ar-SA"/>
        </w:rPr>
        <w:lastRenderedPageBreak/>
        <w:drawing>
          <wp:inline distT="0" distB="0" distL="0" distR="0" wp14:anchorId="0A675572" wp14:editId="3945B6EE">
            <wp:extent cx="9669780" cy="474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79489" cy="4752026"/>
                    </a:xfrm>
                    <a:prstGeom prst="rect">
                      <a:avLst/>
                    </a:prstGeom>
                    <a:noFill/>
                    <a:ln>
                      <a:noFill/>
                    </a:ln>
                  </pic:spPr>
                </pic:pic>
              </a:graphicData>
            </a:graphic>
          </wp:inline>
        </w:drawing>
      </w:r>
    </w:p>
    <w:p w:rsidR="004A61A8" w:rsidRDefault="004A61A8" w:rsidP="0010297D">
      <w:pPr>
        <w:tabs>
          <w:tab w:val="left" w:pos="13092"/>
        </w:tabs>
        <w:rPr>
          <w:b/>
        </w:rPr>
      </w:pPr>
    </w:p>
    <w:p w:rsidR="0010297D" w:rsidRPr="00AB459B" w:rsidRDefault="0010297D" w:rsidP="0010297D">
      <w:pPr>
        <w:tabs>
          <w:tab w:val="left" w:pos="13092"/>
        </w:tabs>
        <w:rPr>
          <w:b/>
        </w:rPr>
      </w:pPr>
      <w:r>
        <w:rPr>
          <w:b/>
        </w:rPr>
        <w:t xml:space="preserve">Figure 4.1 </w:t>
      </w:r>
      <w:r w:rsidRPr="00AB459B">
        <w:rPr>
          <w:b/>
        </w:rPr>
        <w:t>Dietary modelling approach used for</w:t>
      </w:r>
      <w:r>
        <w:rPr>
          <w:b/>
        </w:rPr>
        <w:t xml:space="preserve"> assessing exposure to </w:t>
      </w:r>
      <w:r w:rsidR="00E3403B">
        <w:rPr>
          <w:b/>
        </w:rPr>
        <w:t>quillaia</w:t>
      </w:r>
      <w:r>
        <w:rPr>
          <w:b/>
        </w:rPr>
        <w:t xml:space="preserve"> saponins</w:t>
      </w:r>
      <w:r w:rsidRPr="00AB459B">
        <w:rPr>
          <w:b/>
        </w:rPr>
        <w:t xml:space="preserve"> for Australia and New Zealand</w:t>
      </w:r>
    </w:p>
    <w:p w:rsidR="0010297D" w:rsidRPr="00452654" w:rsidRDefault="0010297D" w:rsidP="0010297D">
      <w:pPr>
        <w:rPr>
          <w:rFonts w:cs="Arial"/>
        </w:rPr>
        <w:sectPr w:rsidR="0010297D" w:rsidRPr="00452654" w:rsidSect="0010297D">
          <w:pgSz w:w="16838" w:h="11906" w:orient="landscape"/>
          <w:pgMar w:top="1440" w:right="1440" w:bottom="1440" w:left="1440" w:header="708" w:footer="708" w:gutter="0"/>
          <w:cols w:space="708"/>
          <w:docGrid w:linePitch="360"/>
        </w:sectPr>
      </w:pPr>
    </w:p>
    <w:p w:rsidR="0010297D" w:rsidRPr="00B645A2" w:rsidRDefault="0010297D" w:rsidP="0010297D">
      <w:pPr>
        <w:rPr>
          <w:rFonts w:cs="Arial"/>
          <w:b/>
          <w:szCs w:val="22"/>
        </w:rPr>
      </w:pPr>
      <w:r w:rsidRPr="00B645A2">
        <w:rPr>
          <w:rFonts w:cs="Arial"/>
          <w:b/>
          <w:szCs w:val="22"/>
        </w:rPr>
        <w:lastRenderedPageBreak/>
        <w:t>Table 4.</w:t>
      </w:r>
      <w:r>
        <w:rPr>
          <w:rFonts w:cs="Arial"/>
          <w:b/>
          <w:szCs w:val="22"/>
        </w:rPr>
        <w:t>1</w:t>
      </w:r>
      <w:r w:rsidRPr="00B645A2">
        <w:rPr>
          <w:rFonts w:cs="Arial"/>
          <w:b/>
          <w:szCs w:val="22"/>
        </w:rPr>
        <w:t>: Requested food categories, corresponding DIAMOND food classification</w:t>
      </w:r>
      <w:r>
        <w:rPr>
          <w:rFonts w:cs="Arial"/>
          <w:b/>
          <w:szCs w:val="22"/>
        </w:rPr>
        <w:t xml:space="preserve"> codes</w:t>
      </w:r>
      <w:r w:rsidRPr="00B645A2">
        <w:rPr>
          <w:rFonts w:cs="Arial"/>
          <w:b/>
          <w:szCs w:val="22"/>
        </w:rPr>
        <w:t xml:space="preserve">, proposed </w:t>
      </w:r>
      <w:r w:rsidR="00602360">
        <w:rPr>
          <w:rFonts w:cs="Arial"/>
          <w:b/>
          <w:szCs w:val="22"/>
        </w:rPr>
        <w:t>MPLs</w:t>
      </w:r>
      <w:r w:rsidRPr="00B645A2">
        <w:rPr>
          <w:rFonts w:cs="Arial"/>
          <w:b/>
          <w:szCs w:val="22"/>
        </w:rPr>
        <w:t xml:space="preserve"> of </w:t>
      </w:r>
      <w:r w:rsidR="00E3403B">
        <w:rPr>
          <w:rFonts w:cs="Arial"/>
          <w:b/>
          <w:szCs w:val="22"/>
        </w:rPr>
        <w:t>quillaia</w:t>
      </w:r>
      <w:r w:rsidRPr="00B645A2">
        <w:rPr>
          <w:rFonts w:cs="Arial"/>
          <w:b/>
          <w:szCs w:val="22"/>
        </w:rPr>
        <w:t xml:space="preserve"> saponins</w:t>
      </w:r>
      <w:r w:rsidR="00602360">
        <w:rPr>
          <w:rFonts w:cs="Arial"/>
          <w:b/>
          <w:szCs w:val="22"/>
        </w:rPr>
        <w:t>,</w:t>
      </w:r>
      <w:r w:rsidRPr="00B645A2">
        <w:rPr>
          <w:rFonts w:cs="Arial"/>
          <w:b/>
          <w:szCs w:val="22"/>
        </w:rPr>
        <w:t xml:space="preserve"> </w:t>
      </w:r>
      <w:r w:rsidR="005D56FD">
        <w:rPr>
          <w:rFonts w:cs="Arial"/>
          <w:b/>
          <w:szCs w:val="22"/>
        </w:rPr>
        <w:t xml:space="preserve">the </w:t>
      </w:r>
      <w:r w:rsidR="00BB797A">
        <w:rPr>
          <w:rFonts w:cs="Arial"/>
          <w:b/>
          <w:szCs w:val="22"/>
        </w:rPr>
        <w:t>proportion</w:t>
      </w:r>
      <w:r w:rsidR="00830B26">
        <w:rPr>
          <w:rFonts w:cs="Arial"/>
          <w:b/>
          <w:szCs w:val="22"/>
        </w:rPr>
        <w:t xml:space="preserve"> </w:t>
      </w:r>
      <w:r w:rsidR="00602360">
        <w:rPr>
          <w:rFonts w:cs="Arial"/>
          <w:b/>
          <w:szCs w:val="22"/>
        </w:rPr>
        <w:t xml:space="preserve">of the food category </w:t>
      </w:r>
      <w:r w:rsidR="00830B26">
        <w:rPr>
          <w:rFonts w:cs="Arial"/>
          <w:b/>
          <w:szCs w:val="22"/>
        </w:rPr>
        <w:t xml:space="preserve">likely to contain </w:t>
      </w:r>
      <w:r w:rsidR="00E3403B">
        <w:rPr>
          <w:rFonts w:cs="Arial"/>
          <w:b/>
          <w:szCs w:val="22"/>
        </w:rPr>
        <w:t>quillaia</w:t>
      </w:r>
      <w:r w:rsidR="005D56FD">
        <w:rPr>
          <w:rFonts w:cs="Arial"/>
          <w:b/>
          <w:szCs w:val="22"/>
        </w:rPr>
        <w:t xml:space="preserve"> saponins</w:t>
      </w:r>
      <w:r w:rsidR="0040756E">
        <w:rPr>
          <w:rFonts w:cs="Arial"/>
          <w:b/>
          <w:szCs w:val="22"/>
        </w:rPr>
        <w:t>;</w:t>
      </w:r>
      <w:r w:rsidRPr="00B645A2">
        <w:rPr>
          <w:rFonts w:cs="Arial"/>
          <w:b/>
          <w:szCs w:val="22"/>
        </w:rPr>
        <w:t xml:space="preserve"> and the levels used for </w:t>
      </w:r>
      <w:r w:rsidR="00602360">
        <w:rPr>
          <w:rFonts w:cs="Arial"/>
          <w:b/>
          <w:szCs w:val="22"/>
        </w:rPr>
        <w:t>the DEA</w:t>
      </w:r>
      <w:r w:rsidRPr="00B645A2">
        <w:rPr>
          <w:rFonts w:cs="Arial"/>
          <w:b/>
          <w:szCs w:val="22"/>
        </w:rPr>
        <w:t xml:space="preserve"> </w:t>
      </w:r>
    </w:p>
    <w:p w:rsidR="0010297D" w:rsidRDefault="0010297D" w:rsidP="0010297D"/>
    <w:tbl>
      <w:tblPr>
        <w:tblStyle w:val="TableGrid"/>
        <w:tblW w:w="14392" w:type="dxa"/>
        <w:tblLayout w:type="fixed"/>
        <w:tblLook w:val="04A0" w:firstRow="1" w:lastRow="0" w:firstColumn="1" w:lastColumn="0" w:noHBand="0" w:noVBand="1"/>
      </w:tblPr>
      <w:tblGrid>
        <w:gridCol w:w="2049"/>
        <w:gridCol w:w="1320"/>
        <w:gridCol w:w="2837"/>
        <w:gridCol w:w="1560"/>
        <w:gridCol w:w="1517"/>
        <w:gridCol w:w="1471"/>
        <w:gridCol w:w="1429"/>
        <w:gridCol w:w="1197"/>
        <w:gridCol w:w="1012"/>
      </w:tblGrid>
      <w:tr w:rsidR="00BF6371" w:rsidTr="00B13F64">
        <w:trPr>
          <w:cantSplit/>
          <w:trHeight w:val="640"/>
          <w:tblHeader/>
        </w:trPr>
        <w:tc>
          <w:tcPr>
            <w:tcW w:w="2049" w:type="dxa"/>
            <w:vMerge w:val="restart"/>
          </w:tcPr>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5D56FD" w:rsidRPr="002B05FF" w:rsidRDefault="005D56FD" w:rsidP="00AD4AF2">
            <w:pPr>
              <w:rPr>
                <w:rFonts w:cs="Arial"/>
                <w:b/>
                <w:sz w:val="20"/>
                <w:szCs w:val="20"/>
              </w:rPr>
            </w:pPr>
            <w:r w:rsidRPr="002B05FF">
              <w:rPr>
                <w:rFonts w:cs="Arial"/>
                <w:b/>
                <w:sz w:val="20"/>
                <w:szCs w:val="20"/>
              </w:rPr>
              <w:t xml:space="preserve">Requested food </w:t>
            </w:r>
            <w:r>
              <w:rPr>
                <w:rFonts w:cs="Arial"/>
                <w:b/>
                <w:sz w:val="20"/>
                <w:szCs w:val="20"/>
              </w:rPr>
              <w:t>categories</w:t>
            </w:r>
            <w:r w:rsidRPr="002B05FF">
              <w:rPr>
                <w:rFonts w:cs="Arial"/>
                <w:b/>
                <w:sz w:val="20"/>
                <w:szCs w:val="20"/>
              </w:rPr>
              <w:t xml:space="preserve"> to contain </w:t>
            </w:r>
            <w:r w:rsidR="00E3403B">
              <w:rPr>
                <w:rFonts w:cs="Arial"/>
                <w:b/>
                <w:sz w:val="20"/>
                <w:szCs w:val="20"/>
              </w:rPr>
              <w:t>quillaia</w:t>
            </w:r>
            <w:r w:rsidRPr="002B05FF">
              <w:rPr>
                <w:rFonts w:cs="Arial"/>
                <w:b/>
                <w:sz w:val="20"/>
                <w:szCs w:val="20"/>
              </w:rPr>
              <w:t xml:space="preserve"> </w:t>
            </w:r>
            <w:r w:rsidR="00A72E4C">
              <w:rPr>
                <w:rFonts w:cs="Arial"/>
                <w:b/>
                <w:sz w:val="20"/>
                <w:szCs w:val="20"/>
              </w:rPr>
              <w:t>e</w:t>
            </w:r>
            <w:r w:rsidRPr="002B05FF">
              <w:rPr>
                <w:rFonts w:cs="Arial"/>
                <w:b/>
                <w:sz w:val="20"/>
                <w:szCs w:val="20"/>
              </w:rPr>
              <w:t>xtract</w:t>
            </w:r>
          </w:p>
        </w:tc>
        <w:tc>
          <w:tcPr>
            <w:tcW w:w="1320" w:type="dxa"/>
            <w:vMerge w:val="restart"/>
          </w:tcPr>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5D56FD" w:rsidRPr="002B05FF" w:rsidRDefault="005D56FD" w:rsidP="00AD4AF2">
            <w:pPr>
              <w:rPr>
                <w:rFonts w:cs="Arial"/>
                <w:b/>
                <w:sz w:val="20"/>
                <w:szCs w:val="20"/>
              </w:rPr>
            </w:pPr>
            <w:r w:rsidRPr="002B05FF">
              <w:rPr>
                <w:rFonts w:cs="Arial"/>
                <w:b/>
                <w:sz w:val="20"/>
                <w:szCs w:val="20"/>
              </w:rPr>
              <w:t>DIAMOND Food Code</w:t>
            </w:r>
          </w:p>
        </w:tc>
        <w:tc>
          <w:tcPr>
            <w:tcW w:w="2837" w:type="dxa"/>
            <w:vMerge w:val="restart"/>
          </w:tcPr>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5D56FD" w:rsidRPr="002B05FF" w:rsidRDefault="005D56FD" w:rsidP="00AD4AF2">
            <w:pPr>
              <w:rPr>
                <w:rFonts w:cs="Arial"/>
                <w:b/>
                <w:sz w:val="20"/>
                <w:szCs w:val="20"/>
              </w:rPr>
            </w:pPr>
            <w:r w:rsidRPr="002B05FF">
              <w:rPr>
                <w:rFonts w:cs="Arial"/>
                <w:b/>
                <w:sz w:val="20"/>
                <w:szCs w:val="20"/>
              </w:rPr>
              <w:t>DIAMOND main food group</w:t>
            </w:r>
            <w:r>
              <w:rPr>
                <w:rFonts w:cs="Arial"/>
                <w:b/>
                <w:sz w:val="20"/>
                <w:szCs w:val="20"/>
              </w:rPr>
              <w:t>s</w:t>
            </w:r>
            <w:r w:rsidRPr="002B05FF">
              <w:rPr>
                <w:rFonts w:cs="Arial"/>
                <w:b/>
                <w:sz w:val="20"/>
                <w:szCs w:val="20"/>
              </w:rPr>
              <w:t xml:space="preserve"> and sub-group names</w:t>
            </w:r>
          </w:p>
        </w:tc>
        <w:tc>
          <w:tcPr>
            <w:tcW w:w="1560" w:type="dxa"/>
            <w:vMerge w:val="restart"/>
          </w:tcPr>
          <w:p w:rsidR="005D56FD" w:rsidRPr="002B05FF" w:rsidRDefault="005D56FD" w:rsidP="00602360">
            <w:pPr>
              <w:rPr>
                <w:rFonts w:cs="Arial"/>
                <w:b/>
                <w:sz w:val="20"/>
                <w:szCs w:val="20"/>
              </w:rPr>
            </w:pPr>
            <w:r w:rsidRPr="002B05FF">
              <w:rPr>
                <w:rFonts w:cs="Arial"/>
                <w:b/>
                <w:sz w:val="20"/>
                <w:szCs w:val="20"/>
              </w:rPr>
              <w:t xml:space="preserve">Applicant’s </w:t>
            </w:r>
            <w:r w:rsidR="00590B52">
              <w:rPr>
                <w:rFonts w:cs="Arial"/>
                <w:b/>
                <w:sz w:val="20"/>
                <w:szCs w:val="20"/>
              </w:rPr>
              <w:t xml:space="preserve">proposed </w:t>
            </w:r>
            <w:r w:rsidR="00602360">
              <w:rPr>
                <w:rFonts w:cs="Arial"/>
                <w:b/>
                <w:sz w:val="20"/>
                <w:szCs w:val="20"/>
              </w:rPr>
              <w:t>MPL</w:t>
            </w:r>
            <w:r w:rsidR="00A37409">
              <w:rPr>
                <w:rFonts w:cs="Arial"/>
                <w:b/>
                <w:sz w:val="20"/>
                <w:szCs w:val="20"/>
              </w:rPr>
              <w:t xml:space="preserve"> </w:t>
            </w:r>
            <w:r w:rsidRPr="002B05FF">
              <w:rPr>
                <w:rFonts w:cs="Arial"/>
                <w:b/>
                <w:sz w:val="20"/>
                <w:szCs w:val="20"/>
              </w:rPr>
              <w:t xml:space="preserve">of </w:t>
            </w:r>
            <w:r w:rsidR="00E3403B">
              <w:rPr>
                <w:rFonts w:cs="Arial"/>
                <w:b/>
                <w:sz w:val="20"/>
                <w:szCs w:val="20"/>
              </w:rPr>
              <w:t>quillaia</w:t>
            </w:r>
            <w:r w:rsidRPr="002B05FF">
              <w:rPr>
                <w:rFonts w:cs="Arial"/>
                <w:b/>
                <w:sz w:val="20"/>
                <w:szCs w:val="20"/>
              </w:rPr>
              <w:t xml:space="preserve"> saponins – dry basis (</w:t>
            </w:r>
            <w:r>
              <w:rPr>
                <w:rFonts w:cs="Arial"/>
                <w:b/>
                <w:sz w:val="20"/>
                <w:szCs w:val="20"/>
              </w:rPr>
              <w:t>ppm</w:t>
            </w:r>
            <w:r w:rsidRPr="002B05FF">
              <w:rPr>
                <w:rFonts w:cs="Arial"/>
                <w:b/>
                <w:sz w:val="20"/>
                <w:szCs w:val="20"/>
              </w:rPr>
              <w:t>)</w:t>
            </w:r>
          </w:p>
        </w:tc>
        <w:tc>
          <w:tcPr>
            <w:tcW w:w="1517" w:type="dxa"/>
            <w:vMerge w:val="restart"/>
          </w:tcPr>
          <w:p w:rsidR="005D56FD" w:rsidRDefault="005D56FD" w:rsidP="005D56FD">
            <w:pPr>
              <w:jc w:val="center"/>
              <w:rPr>
                <w:rFonts w:cs="Arial"/>
                <w:b/>
                <w:sz w:val="20"/>
                <w:szCs w:val="20"/>
              </w:rPr>
            </w:pPr>
            <w:r>
              <w:rPr>
                <w:rFonts w:cs="Arial"/>
                <w:b/>
                <w:sz w:val="20"/>
                <w:szCs w:val="20"/>
              </w:rPr>
              <w:t xml:space="preserve">Uptake after 10 years - % of food category likely to include </w:t>
            </w:r>
            <w:r w:rsidR="00E3403B">
              <w:rPr>
                <w:rFonts w:cs="Arial"/>
                <w:b/>
                <w:sz w:val="20"/>
                <w:szCs w:val="20"/>
              </w:rPr>
              <w:t>quillaia</w:t>
            </w:r>
            <w:r>
              <w:rPr>
                <w:rFonts w:cs="Arial"/>
                <w:b/>
                <w:sz w:val="20"/>
                <w:szCs w:val="20"/>
              </w:rPr>
              <w:t xml:space="preserve"> saponins</w:t>
            </w:r>
          </w:p>
          <w:p w:rsidR="005D56FD" w:rsidRPr="002B05FF" w:rsidRDefault="005D56FD" w:rsidP="005D56FD">
            <w:pPr>
              <w:jc w:val="center"/>
              <w:rPr>
                <w:rFonts w:cs="Arial"/>
                <w:b/>
                <w:sz w:val="20"/>
                <w:szCs w:val="20"/>
              </w:rPr>
            </w:pPr>
          </w:p>
        </w:tc>
        <w:tc>
          <w:tcPr>
            <w:tcW w:w="5109" w:type="dxa"/>
            <w:gridSpan w:val="4"/>
          </w:tcPr>
          <w:p w:rsidR="008D2673" w:rsidRDefault="005D56FD" w:rsidP="00235241">
            <w:pPr>
              <w:jc w:val="center"/>
              <w:rPr>
                <w:rFonts w:cs="Arial"/>
                <w:b/>
                <w:sz w:val="20"/>
                <w:szCs w:val="20"/>
              </w:rPr>
            </w:pPr>
            <w:r>
              <w:rPr>
                <w:rFonts w:cs="Arial"/>
                <w:b/>
                <w:sz w:val="20"/>
                <w:szCs w:val="20"/>
              </w:rPr>
              <w:t xml:space="preserve">Calculated proxy values </w:t>
            </w:r>
            <w:r w:rsidRPr="002B05FF">
              <w:rPr>
                <w:rFonts w:cs="Arial"/>
                <w:b/>
                <w:sz w:val="20"/>
                <w:szCs w:val="20"/>
              </w:rPr>
              <w:t xml:space="preserve">of </w:t>
            </w:r>
            <w:r w:rsidR="00E3403B">
              <w:rPr>
                <w:rFonts w:cs="Arial"/>
                <w:b/>
                <w:sz w:val="20"/>
                <w:szCs w:val="20"/>
              </w:rPr>
              <w:t>quillaia</w:t>
            </w:r>
            <w:r w:rsidRPr="002B05FF">
              <w:rPr>
                <w:rFonts w:cs="Arial"/>
                <w:b/>
                <w:sz w:val="20"/>
                <w:szCs w:val="20"/>
              </w:rPr>
              <w:t xml:space="preserve"> saponins used for </w:t>
            </w:r>
            <w:r w:rsidR="00602360">
              <w:rPr>
                <w:rFonts w:cs="Arial"/>
                <w:b/>
                <w:sz w:val="20"/>
                <w:szCs w:val="20"/>
              </w:rPr>
              <w:t>DEA</w:t>
            </w:r>
            <w:r w:rsidR="008D2673">
              <w:rPr>
                <w:rFonts w:cs="Arial"/>
                <w:b/>
                <w:sz w:val="20"/>
                <w:szCs w:val="20"/>
              </w:rPr>
              <w:t xml:space="preserve"> </w:t>
            </w:r>
          </w:p>
          <w:p w:rsidR="005D56FD" w:rsidRDefault="005D56FD" w:rsidP="00235241">
            <w:pPr>
              <w:jc w:val="center"/>
              <w:rPr>
                <w:rFonts w:cs="Arial"/>
                <w:b/>
                <w:sz w:val="20"/>
                <w:szCs w:val="20"/>
              </w:rPr>
            </w:pPr>
          </w:p>
        </w:tc>
      </w:tr>
      <w:tr w:rsidR="00BF6371" w:rsidTr="00B13F64">
        <w:trPr>
          <w:cantSplit/>
          <w:trHeight w:val="640"/>
          <w:tblHeader/>
        </w:trPr>
        <w:tc>
          <w:tcPr>
            <w:tcW w:w="2049" w:type="dxa"/>
            <w:vMerge/>
          </w:tcPr>
          <w:p w:rsidR="008D2673" w:rsidRPr="002B05FF" w:rsidRDefault="008D2673" w:rsidP="0010297D">
            <w:pPr>
              <w:jc w:val="center"/>
              <w:rPr>
                <w:rFonts w:cs="Arial"/>
                <w:b/>
                <w:sz w:val="20"/>
                <w:szCs w:val="20"/>
              </w:rPr>
            </w:pPr>
          </w:p>
        </w:tc>
        <w:tc>
          <w:tcPr>
            <w:tcW w:w="1320" w:type="dxa"/>
            <w:vMerge/>
          </w:tcPr>
          <w:p w:rsidR="008D2673" w:rsidRPr="002B05FF" w:rsidRDefault="008D2673" w:rsidP="0010297D">
            <w:pPr>
              <w:jc w:val="center"/>
              <w:rPr>
                <w:rFonts w:cs="Arial"/>
                <w:b/>
                <w:sz w:val="20"/>
                <w:szCs w:val="20"/>
              </w:rPr>
            </w:pPr>
          </w:p>
        </w:tc>
        <w:tc>
          <w:tcPr>
            <w:tcW w:w="2837" w:type="dxa"/>
            <w:vMerge/>
          </w:tcPr>
          <w:p w:rsidR="008D2673" w:rsidRPr="002B05FF" w:rsidRDefault="008D2673" w:rsidP="0010297D">
            <w:pPr>
              <w:jc w:val="center"/>
              <w:rPr>
                <w:rFonts w:cs="Arial"/>
                <w:b/>
                <w:sz w:val="20"/>
                <w:szCs w:val="20"/>
              </w:rPr>
            </w:pPr>
          </w:p>
        </w:tc>
        <w:tc>
          <w:tcPr>
            <w:tcW w:w="1560" w:type="dxa"/>
            <w:vMerge/>
          </w:tcPr>
          <w:p w:rsidR="008D2673" w:rsidRPr="002B05FF" w:rsidRDefault="008D2673" w:rsidP="0010297D">
            <w:pPr>
              <w:jc w:val="center"/>
              <w:rPr>
                <w:rFonts w:cs="Arial"/>
                <w:b/>
                <w:sz w:val="20"/>
                <w:szCs w:val="20"/>
              </w:rPr>
            </w:pPr>
          </w:p>
        </w:tc>
        <w:tc>
          <w:tcPr>
            <w:tcW w:w="1517" w:type="dxa"/>
            <w:vMerge/>
          </w:tcPr>
          <w:p w:rsidR="008D2673" w:rsidRDefault="008D2673" w:rsidP="005D56FD">
            <w:pPr>
              <w:jc w:val="center"/>
              <w:rPr>
                <w:rFonts w:cs="Arial"/>
                <w:b/>
                <w:sz w:val="20"/>
                <w:szCs w:val="20"/>
              </w:rPr>
            </w:pPr>
          </w:p>
        </w:tc>
        <w:tc>
          <w:tcPr>
            <w:tcW w:w="2900" w:type="dxa"/>
            <w:gridSpan w:val="2"/>
          </w:tcPr>
          <w:p w:rsidR="008D2673" w:rsidRDefault="008D2673" w:rsidP="00AD4AF2">
            <w:pPr>
              <w:jc w:val="center"/>
              <w:rPr>
                <w:rFonts w:cs="Arial"/>
                <w:b/>
                <w:sz w:val="20"/>
                <w:szCs w:val="20"/>
                <w:lang w:eastAsia="en-GB"/>
              </w:rPr>
            </w:pPr>
            <w:r w:rsidRPr="00280A20">
              <w:rPr>
                <w:rFonts w:cs="Arial"/>
                <w:b/>
                <w:sz w:val="20"/>
                <w:szCs w:val="20"/>
                <w:lang w:eastAsia="en-GB"/>
              </w:rPr>
              <w:t xml:space="preserve">Population </w:t>
            </w:r>
            <w:r w:rsidR="00BB797A">
              <w:rPr>
                <w:rFonts w:cs="Arial"/>
                <w:b/>
                <w:sz w:val="20"/>
                <w:szCs w:val="20"/>
                <w:lang w:eastAsia="en-GB"/>
              </w:rPr>
              <w:t>approach</w:t>
            </w:r>
          </w:p>
          <w:p w:rsidR="00602360" w:rsidRPr="0058420F" w:rsidRDefault="00602360" w:rsidP="00AD4AF2">
            <w:pPr>
              <w:jc w:val="center"/>
              <w:rPr>
                <w:rFonts w:cs="Arial"/>
                <w:b/>
                <w:sz w:val="20"/>
                <w:szCs w:val="20"/>
                <w:lang w:eastAsia="en-GB"/>
              </w:rPr>
            </w:pPr>
            <w:r>
              <w:rPr>
                <w:rFonts w:cs="Arial"/>
                <w:b/>
                <w:sz w:val="20"/>
                <w:szCs w:val="20"/>
              </w:rPr>
              <w:t>(concentration in mg/kg x market uptake percentage)</w:t>
            </w:r>
          </w:p>
          <w:p w:rsidR="008D2673" w:rsidRPr="0058420F" w:rsidRDefault="008D2673" w:rsidP="008F0512">
            <w:pPr>
              <w:jc w:val="center"/>
              <w:rPr>
                <w:rFonts w:cs="Arial"/>
                <w:b/>
                <w:sz w:val="20"/>
                <w:szCs w:val="20"/>
              </w:rPr>
            </w:pPr>
          </w:p>
        </w:tc>
        <w:tc>
          <w:tcPr>
            <w:tcW w:w="2209" w:type="dxa"/>
            <w:gridSpan w:val="2"/>
          </w:tcPr>
          <w:p w:rsidR="008D2673" w:rsidRPr="0058420F" w:rsidRDefault="00602360" w:rsidP="00AD4AF2">
            <w:pPr>
              <w:jc w:val="center"/>
              <w:rPr>
                <w:rFonts w:cs="Arial"/>
                <w:b/>
                <w:sz w:val="20"/>
                <w:szCs w:val="20"/>
              </w:rPr>
            </w:pPr>
            <w:r>
              <w:rPr>
                <w:rFonts w:cs="Arial"/>
                <w:b/>
                <w:sz w:val="20"/>
                <w:szCs w:val="20"/>
              </w:rPr>
              <w:t>Modified c</w:t>
            </w:r>
            <w:r w:rsidRPr="00280A20">
              <w:rPr>
                <w:rFonts w:cs="Arial"/>
                <w:b/>
                <w:sz w:val="20"/>
                <w:szCs w:val="20"/>
              </w:rPr>
              <w:t xml:space="preserve">onsumer </w:t>
            </w:r>
            <w:r>
              <w:rPr>
                <w:rFonts w:cs="Arial"/>
                <w:b/>
                <w:sz w:val="20"/>
                <w:szCs w:val="20"/>
              </w:rPr>
              <w:t>b</w:t>
            </w:r>
            <w:r w:rsidRPr="00280A20">
              <w:rPr>
                <w:rFonts w:cs="Arial"/>
                <w:b/>
                <w:sz w:val="20"/>
                <w:szCs w:val="20"/>
              </w:rPr>
              <w:t xml:space="preserve">ehaviour </w:t>
            </w:r>
            <w:r w:rsidR="00BB797A">
              <w:rPr>
                <w:rFonts w:cs="Arial"/>
                <w:b/>
                <w:sz w:val="20"/>
                <w:szCs w:val="20"/>
              </w:rPr>
              <w:t>approach</w:t>
            </w:r>
            <w:r w:rsidR="008D2673" w:rsidRPr="00280A20">
              <w:rPr>
                <w:rFonts w:cs="Arial"/>
                <w:b/>
                <w:sz w:val="20"/>
                <w:szCs w:val="20"/>
              </w:rPr>
              <w:t xml:space="preserve"> </w:t>
            </w:r>
          </w:p>
          <w:p w:rsidR="008D2673" w:rsidRPr="0058420F" w:rsidRDefault="008D2673" w:rsidP="008F0512">
            <w:pPr>
              <w:jc w:val="center"/>
              <w:rPr>
                <w:rFonts w:cs="Arial"/>
                <w:b/>
                <w:sz w:val="20"/>
                <w:szCs w:val="20"/>
              </w:rPr>
            </w:pPr>
            <w:r w:rsidRPr="00280A20">
              <w:rPr>
                <w:rFonts w:cs="Arial"/>
                <w:b/>
                <w:sz w:val="20"/>
                <w:szCs w:val="20"/>
              </w:rPr>
              <w:t>1995 and 1997 NNS</w:t>
            </w:r>
            <w:r w:rsidR="00602360">
              <w:rPr>
                <w:rFonts w:cs="Arial"/>
                <w:b/>
                <w:sz w:val="20"/>
                <w:szCs w:val="20"/>
              </w:rPr>
              <w:t>**</w:t>
            </w:r>
          </w:p>
        </w:tc>
      </w:tr>
      <w:tr w:rsidR="00BF6371" w:rsidTr="00B13F64">
        <w:trPr>
          <w:cantSplit/>
          <w:trHeight w:val="200"/>
          <w:tblHeader/>
        </w:trPr>
        <w:tc>
          <w:tcPr>
            <w:tcW w:w="2049" w:type="dxa"/>
            <w:vMerge/>
          </w:tcPr>
          <w:p w:rsidR="005D56FD" w:rsidRPr="002B05FF" w:rsidRDefault="005D56FD" w:rsidP="0010297D">
            <w:pPr>
              <w:jc w:val="center"/>
              <w:rPr>
                <w:rFonts w:cs="Arial"/>
                <w:b/>
                <w:sz w:val="20"/>
                <w:szCs w:val="20"/>
              </w:rPr>
            </w:pPr>
          </w:p>
        </w:tc>
        <w:tc>
          <w:tcPr>
            <w:tcW w:w="1320" w:type="dxa"/>
            <w:vMerge/>
          </w:tcPr>
          <w:p w:rsidR="005D56FD" w:rsidRPr="002B05FF" w:rsidRDefault="005D56FD" w:rsidP="0010297D">
            <w:pPr>
              <w:jc w:val="center"/>
              <w:rPr>
                <w:rFonts w:cs="Arial"/>
                <w:b/>
                <w:sz w:val="20"/>
                <w:szCs w:val="20"/>
              </w:rPr>
            </w:pPr>
          </w:p>
        </w:tc>
        <w:tc>
          <w:tcPr>
            <w:tcW w:w="2837" w:type="dxa"/>
            <w:vMerge/>
          </w:tcPr>
          <w:p w:rsidR="005D56FD" w:rsidRPr="002B05FF" w:rsidRDefault="005D56FD" w:rsidP="0010297D">
            <w:pPr>
              <w:jc w:val="center"/>
              <w:rPr>
                <w:rFonts w:cs="Arial"/>
                <w:b/>
                <w:sz w:val="20"/>
                <w:szCs w:val="20"/>
              </w:rPr>
            </w:pPr>
          </w:p>
        </w:tc>
        <w:tc>
          <w:tcPr>
            <w:tcW w:w="1560" w:type="dxa"/>
            <w:vMerge/>
          </w:tcPr>
          <w:p w:rsidR="005D56FD" w:rsidRPr="002B05FF" w:rsidRDefault="005D56FD" w:rsidP="0010297D">
            <w:pPr>
              <w:rPr>
                <w:rFonts w:cs="Arial"/>
                <w:b/>
                <w:sz w:val="20"/>
                <w:szCs w:val="20"/>
              </w:rPr>
            </w:pPr>
          </w:p>
        </w:tc>
        <w:tc>
          <w:tcPr>
            <w:tcW w:w="1517" w:type="dxa"/>
            <w:vMerge/>
          </w:tcPr>
          <w:p w:rsidR="005D56FD" w:rsidRPr="002B05FF" w:rsidRDefault="005D56FD" w:rsidP="0010297D">
            <w:pPr>
              <w:jc w:val="center"/>
              <w:rPr>
                <w:rFonts w:cs="Arial"/>
                <w:b/>
                <w:sz w:val="20"/>
                <w:szCs w:val="20"/>
                <w:lang w:eastAsia="en-GB"/>
              </w:rPr>
            </w:pPr>
          </w:p>
        </w:tc>
        <w:tc>
          <w:tcPr>
            <w:tcW w:w="1471" w:type="dxa"/>
          </w:tcPr>
          <w:p w:rsidR="005D56FD" w:rsidRPr="0058420F" w:rsidRDefault="005D56FD" w:rsidP="0010297D">
            <w:pPr>
              <w:jc w:val="center"/>
              <w:rPr>
                <w:rFonts w:cs="Arial"/>
                <w:b/>
                <w:sz w:val="20"/>
                <w:szCs w:val="20"/>
              </w:rPr>
            </w:pPr>
            <w:r w:rsidRPr="00280A20">
              <w:rPr>
                <w:rFonts w:cs="Arial"/>
                <w:b/>
                <w:sz w:val="20"/>
                <w:szCs w:val="20"/>
                <w:lang w:eastAsia="en-GB"/>
              </w:rPr>
              <w:t>2002 and 2007 NNS</w:t>
            </w:r>
          </w:p>
        </w:tc>
        <w:tc>
          <w:tcPr>
            <w:tcW w:w="1429" w:type="dxa"/>
          </w:tcPr>
          <w:p w:rsidR="005D56FD" w:rsidRPr="0058420F" w:rsidRDefault="005D56FD" w:rsidP="0010297D">
            <w:pPr>
              <w:jc w:val="center"/>
              <w:rPr>
                <w:rFonts w:cs="Arial"/>
                <w:b/>
                <w:sz w:val="20"/>
                <w:szCs w:val="20"/>
              </w:rPr>
            </w:pPr>
            <w:r w:rsidRPr="00280A20">
              <w:rPr>
                <w:rFonts w:cs="Arial"/>
                <w:b/>
                <w:sz w:val="20"/>
                <w:szCs w:val="20"/>
                <w:lang w:eastAsia="en-GB"/>
              </w:rPr>
              <w:t>1995 and 1997 NNS</w:t>
            </w:r>
          </w:p>
        </w:tc>
        <w:tc>
          <w:tcPr>
            <w:tcW w:w="1197" w:type="dxa"/>
          </w:tcPr>
          <w:p w:rsidR="005D56FD" w:rsidRPr="0058420F" w:rsidDel="005D56FD" w:rsidRDefault="00AD4AF2" w:rsidP="005D56FD">
            <w:pPr>
              <w:jc w:val="center"/>
              <w:rPr>
                <w:rFonts w:cs="Arial"/>
                <w:b/>
                <w:sz w:val="20"/>
                <w:szCs w:val="20"/>
                <w:lang w:eastAsia="en-GB"/>
              </w:rPr>
            </w:pPr>
            <w:r w:rsidRPr="00280A20">
              <w:rPr>
                <w:rFonts w:cs="Arial"/>
                <w:b/>
                <w:sz w:val="20"/>
                <w:szCs w:val="20"/>
                <w:lang w:eastAsia="en-GB"/>
              </w:rPr>
              <w:t>Maximum MPL</w:t>
            </w:r>
          </w:p>
        </w:tc>
        <w:tc>
          <w:tcPr>
            <w:tcW w:w="1012" w:type="dxa"/>
          </w:tcPr>
          <w:p w:rsidR="00235241" w:rsidRPr="00280A20" w:rsidRDefault="00AD4AF2" w:rsidP="005D56FD">
            <w:pPr>
              <w:jc w:val="center"/>
              <w:rPr>
                <w:rFonts w:cs="Arial"/>
                <w:b/>
                <w:sz w:val="20"/>
                <w:szCs w:val="20"/>
                <w:lang w:eastAsia="en-GB"/>
              </w:rPr>
            </w:pPr>
            <w:r w:rsidRPr="00280A20">
              <w:rPr>
                <w:rFonts w:cs="Arial"/>
                <w:b/>
                <w:sz w:val="20"/>
                <w:szCs w:val="20"/>
                <w:lang w:eastAsia="en-GB"/>
              </w:rPr>
              <w:t xml:space="preserve">Zero </w:t>
            </w:r>
          </w:p>
          <w:p w:rsidR="005D56FD" w:rsidRPr="00280A20" w:rsidDel="005D56FD" w:rsidRDefault="00AD4AF2" w:rsidP="005D56FD">
            <w:pPr>
              <w:jc w:val="center"/>
              <w:rPr>
                <w:rFonts w:cs="Arial"/>
                <w:b/>
                <w:sz w:val="20"/>
                <w:szCs w:val="20"/>
                <w:lang w:eastAsia="en-GB"/>
              </w:rPr>
            </w:pPr>
            <w:r w:rsidRPr="00280A20">
              <w:rPr>
                <w:rFonts w:cs="Arial"/>
                <w:b/>
                <w:sz w:val="20"/>
                <w:szCs w:val="20"/>
                <w:lang w:eastAsia="en-GB"/>
              </w:rPr>
              <w:t>MPL</w:t>
            </w:r>
          </w:p>
        </w:tc>
      </w:tr>
      <w:tr w:rsidR="00BF6371" w:rsidTr="00B13F64">
        <w:trPr>
          <w:cantSplit/>
          <w:trHeight w:val="964"/>
        </w:trPr>
        <w:tc>
          <w:tcPr>
            <w:tcW w:w="2049" w:type="dxa"/>
          </w:tcPr>
          <w:p w:rsidR="005D56FD" w:rsidRPr="002B05FF" w:rsidRDefault="005D56FD" w:rsidP="0010297D">
            <w:pPr>
              <w:rPr>
                <w:rFonts w:cs="Arial"/>
                <w:sz w:val="20"/>
                <w:szCs w:val="20"/>
              </w:rPr>
            </w:pPr>
            <w:r w:rsidRPr="002B05FF">
              <w:rPr>
                <w:rFonts w:cs="Arial"/>
                <w:sz w:val="20"/>
                <w:szCs w:val="20"/>
              </w:rPr>
              <w:t>Carbonated, mineralised and soda waters</w:t>
            </w:r>
          </w:p>
        </w:tc>
        <w:tc>
          <w:tcPr>
            <w:tcW w:w="1320" w:type="dxa"/>
          </w:tcPr>
          <w:p w:rsidR="005D56FD" w:rsidRPr="002B05FF" w:rsidRDefault="005D56FD" w:rsidP="0010297D">
            <w:pPr>
              <w:rPr>
                <w:rFonts w:cs="Arial"/>
                <w:sz w:val="20"/>
                <w:szCs w:val="20"/>
              </w:rPr>
            </w:pPr>
            <w:r w:rsidRPr="002B05FF">
              <w:rPr>
                <w:rFonts w:cs="Arial"/>
                <w:sz w:val="20"/>
                <w:szCs w:val="20"/>
              </w:rPr>
              <w:t>14.1.1.2</w:t>
            </w:r>
          </w:p>
        </w:tc>
        <w:tc>
          <w:tcPr>
            <w:tcW w:w="2837" w:type="dxa"/>
          </w:tcPr>
          <w:p w:rsidR="005D56FD" w:rsidRPr="002B05FF" w:rsidRDefault="005D56FD" w:rsidP="0010297D">
            <w:pPr>
              <w:rPr>
                <w:rFonts w:cs="Arial"/>
                <w:sz w:val="20"/>
                <w:szCs w:val="20"/>
              </w:rPr>
            </w:pPr>
            <w:r w:rsidRPr="002B05FF">
              <w:rPr>
                <w:rFonts w:cs="Arial"/>
                <w:sz w:val="20"/>
                <w:szCs w:val="20"/>
              </w:rPr>
              <w:t>Carbonated, mineralised and soda waters</w:t>
            </w:r>
          </w:p>
        </w:tc>
        <w:tc>
          <w:tcPr>
            <w:tcW w:w="1560" w:type="dxa"/>
          </w:tcPr>
          <w:p w:rsidR="005D56FD" w:rsidRPr="002B05FF" w:rsidRDefault="005D56FD" w:rsidP="0010297D">
            <w:pPr>
              <w:jc w:val="right"/>
              <w:rPr>
                <w:rFonts w:cs="Arial"/>
                <w:sz w:val="20"/>
                <w:szCs w:val="20"/>
              </w:rPr>
            </w:pPr>
            <w:r w:rsidRPr="002B05FF">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5D56FD" w:rsidRPr="002B05FF" w:rsidRDefault="00425523"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5D56FD" w:rsidRPr="002B05FF" w:rsidRDefault="00F4587A" w:rsidP="0010297D">
            <w:pPr>
              <w:jc w:val="right"/>
              <w:rPr>
                <w:rFonts w:cs="Arial"/>
                <w:sz w:val="20"/>
                <w:szCs w:val="20"/>
              </w:rPr>
            </w:pPr>
            <w:r>
              <w:rPr>
                <w:rFonts w:cs="Arial"/>
                <w:sz w:val="20"/>
                <w:szCs w:val="20"/>
              </w:rPr>
              <w:t>40 x 0.2</w:t>
            </w:r>
          </w:p>
        </w:tc>
      </w:tr>
      <w:tr w:rsidR="00BF6371" w:rsidTr="00B13F64">
        <w:trPr>
          <w:cantSplit/>
          <w:trHeight w:val="836"/>
        </w:trPr>
        <w:tc>
          <w:tcPr>
            <w:tcW w:w="2049" w:type="dxa"/>
          </w:tcPr>
          <w:p w:rsidR="005D56FD" w:rsidRPr="002B05FF" w:rsidRDefault="005D56FD" w:rsidP="0010297D">
            <w:pPr>
              <w:rPr>
                <w:rFonts w:cs="Arial"/>
                <w:sz w:val="20"/>
                <w:szCs w:val="20"/>
              </w:rPr>
            </w:pPr>
            <w:r w:rsidRPr="002B05FF">
              <w:rPr>
                <w:rFonts w:cs="Arial"/>
                <w:sz w:val="20"/>
                <w:szCs w:val="20"/>
              </w:rPr>
              <w:t>Fruit and vegetable juice products</w:t>
            </w:r>
          </w:p>
        </w:tc>
        <w:tc>
          <w:tcPr>
            <w:tcW w:w="1320" w:type="dxa"/>
          </w:tcPr>
          <w:p w:rsidR="005D56FD" w:rsidRPr="002B05FF" w:rsidRDefault="005D56FD" w:rsidP="0010297D">
            <w:pPr>
              <w:rPr>
                <w:rFonts w:cs="Arial"/>
                <w:sz w:val="20"/>
                <w:szCs w:val="20"/>
              </w:rPr>
            </w:pPr>
            <w:r w:rsidRPr="002B05FF">
              <w:rPr>
                <w:rFonts w:cs="Arial"/>
                <w:sz w:val="20"/>
                <w:szCs w:val="20"/>
              </w:rPr>
              <w:t>14.1.2.2</w:t>
            </w:r>
          </w:p>
        </w:tc>
        <w:tc>
          <w:tcPr>
            <w:tcW w:w="2837" w:type="dxa"/>
          </w:tcPr>
          <w:p w:rsidR="005D56FD" w:rsidRPr="002B05FF" w:rsidRDefault="005D56FD" w:rsidP="0010297D">
            <w:pPr>
              <w:rPr>
                <w:rFonts w:cs="Arial"/>
                <w:sz w:val="20"/>
                <w:szCs w:val="20"/>
              </w:rPr>
            </w:pPr>
            <w:r w:rsidRPr="002B05FF">
              <w:rPr>
                <w:rFonts w:cs="Arial"/>
                <w:sz w:val="20"/>
                <w:szCs w:val="20"/>
              </w:rPr>
              <w:t>Fruit and vegetable juice products</w:t>
            </w:r>
          </w:p>
        </w:tc>
        <w:tc>
          <w:tcPr>
            <w:tcW w:w="1560" w:type="dxa"/>
          </w:tcPr>
          <w:p w:rsidR="005D56FD" w:rsidRPr="002B05FF" w:rsidRDefault="005D56FD" w:rsidP="0010297D">
            <w:pPr>
              <w:jc w:val="right"/>
              <w:rPr>
                <w:rFonts w:cs="Arial"/>
                <w:sz w:val="20"/>
                <w:szCs w:val="20"/>
              </w:rPr>
            </w:pPr>
            <w:r w:rsidRPr="002B05FF">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5D56FD" w:rsidRPr="002B05FF" w:rsidRDefault="00425523"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5D56FD" w:rsidRPr="002B05FF" w:rsidRDefault="00F4587A" w:rsidP="0010297D">
            <w:pPr>
              <w:jc w:val="right"/>
              <w:rPr>
                <w:rFonts w:cs="Arial"/>
                <w:sz w:val="20"/>
                <w:szCs w:val="20"/>
              </w:rPr>
            </w:pPr>
            <w:r>
              <w:rPr>
                <w:rFonts w:cs="Arial"/>
                <w:sz w:val="20"/>
                <w:szCs w:val="20"/>
              </w:rPr>
              <w:t>40 x 0.2</w:t>
            </w:r>
          </w:p>
        </w:tc>
      </w:tr>
      <w:tr w:rsidR="00BF6371" w:rsidTr="00B13F64">
        <w:trPr>
          <w:cantSplit/>
          <w:trHeight w:val="1162"/>
        </w:trPr>
        <w:tc>
          <w:tcPr>
            <w:tcW w:w="2049" w:type="dxa"/>
          </w:tcPr>
          <w:p w:rsidR="005D56FD" w:rsidRPr="00235241" w:rsidRDefault="005D56FD" w:rsidP="00590B52">
            <w:pPr>
              <w:rPr>
                <w:rFonts w:cs="Arial"/>
                <w:sz w:val="20"/>
                <w:szCs w:val="20"/>
              </w:rPr>
            </w:pPr>
            <w:r>
              <w:rPr>
                <w:rFonts w:cs="Arial"/>
                <w:sz w:val="20"/>
                <w:szCs w:val="20"/>
              </w:rPr>
              <w:t xml:space="preserve">Water based flavoured drinks </w:t>
            </w:r>
          </w:p>
        </w:tc>
        <w:tc>
          <w:tcPr>
            <w:tcW w:w="1320" w:type="dxa"/>
          </w:tcPr>
          <w:p w:rsidR="005D56FD" w:rsidRPr="002B05FF" w:rsidRDefault="005D56FD" w:rsidP="0010297D">
            <w:pPr>
              <w:rPr>
                <w:rFonts w:cs="Arial"/>
                <w:sz w:val="20"/>
                <w:szCs w:val="20"/>
              </w:rPr>
            </w:pPr>
            <w:r w:rsidRPr="002B05FF">
              <w:rPr>
                <w:rFonts w:cs="Arial"/>
                <w:sz w:val="20"/>
                <w:szCs w:val="20"/>
              </w:rPr>
              <w:t>14.1.3</w:t>
            </w:r>
          </w:p>
        </w:tc>
        <w:tc>
          <w:tcPr>
            <w:tcW w:w="2837" w:type="dxa"/>
          </w:tcPr>
          <w:p w:rsidR="005D56FD" w:rsidRPr="002B05FF" w:rsidRDefault="005D56FD" w:rsidP="0010297D">
            <w:pPr>
              <w:rPr>
                <w:rFonts w:cs="Arial"/>
                <w:sz w:val="20"/>
                <w:szCs w:val="20"/>
              </w:rPr>
            </w:pPr>
            <w:r w:rsidRPr="002B05FF">
              <w:rPr>
                <w:rFonts w:cs="Arial"/>
                <w:sz w:val="20"/>
                <w:szCs w:val="20"/>
              </w:rPr>
              <w:t>Water based flavoured drinks</w:t>
            </w:r>
          </w:p>
        </w:tc>
        <w:tc>
          <w:tcPr>
            <w:tcW w:w="1560" w:type="dxa"/>
          </w:tcPr>
          <w:p w:rsidR="005D56FD" w:rsidRPr="002B05FF" w:rsidRDefault="005D56FD" w:rsidP="0010297D">
            <w:pPr>
              <w:jc w:val="right"/>
              <w:rPr>
                <w:rFonts w:cs="Arial"/>
                <w:sz w:val="20"/>
                <w:szCs w:val="20"/>
              </w:rPr>
            </w:pPr>
            <w:r w:rsidRPr="002B05FF">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5D56FD" w:rsidRPr="002B05FF" w:rsidRDefault="008D2673" w:rsidP="0010297D">
            <w:pPr>
              <w:jc w:val="right"/>
              <w:rPr>
                <w:rFonts w:cs="Arial"/>
                <w:sz w:val="20"/>
                <w:szCs w:val="20"/>
              </w:rPr>
            </w:pPr>
            <w:r>
              <w:rPr>
                <w:rFonts w:cs="Arial"/>
                <w:sz w:val="20"/>
                <w:szCs w:val="20"/>
              </w:rPr>
              <w:t>40</w:t>
            </w:r>
            <w:r w:rsidR="005D56FD" w:rsidRPr="002B05FF">
              <w:rPr>
                <w:rFonts w:cs="Arial"/>
                <w:sz w:val="20"/>
                <w:szCs w:val="20"/>
              </w:rPr>
              <w:t>*</w:t>
            </w:r>
            <w:r w:rsidR="005D56FD">
              <w:rPr>
                <w:rFonts w:cs="Arial"/>
                <w:sz w:val="20"/>
                <w:szCs w:val="20"/>
              </w:rPr>
              <w:t xml:space="preserve"> x 0.2</w:t>
            </w:r>
          </w:p>
        </w:tc>
        <w:tc>
          <w:tcPr>
            <w:tcW w:w="1197" w:type="dxa"/>
          </w:tcPr>
          <w:p w:rsidR="005D56FD" w:rsidRPr="002B05FF" w:rsidRDefault="00425523" w:rsidP="0010297D">
            <w:pPr>
              <w:jc w:val="right"/>
              <w:rPr>
                <w:rFonts w:cs="Arial"/>
                <w:sz w:val="20"/>
                <w:szCs w:val="20"/>
              </w:rPr>
            </w:pPr>
            <w:r>
              <w:rPr>
                <w:rFonts w:cs="Arial"/>
                <w:sz w:val="20"/>
                <w:szCs w:val="20"/>
              </w:rPr>
              <w:t>40</w:t>
            </w:r>
          </w:p>
        </w:tc>
        <w:tc>
          <w:tcPr>
            <w:tcW w:w="1012" w:type="dxa"/>
          </w:tcPr>
          <w:p w:rsidR="005D56FD" w:rsidRPr="002B05FF" w:rsidRDefault="00425523" w:rsidP="0010297D">
            <w:pPr>
              <w:jc w:val="right"/>
              <w:rPr>
                <w:rFonts w:cs="Arial"/>
                <w:sz w:val="20"/>
                <w:szCs w:val="20"/>
              </w:rPr>
            </w:pPr>
            <w:r>
              <w:rPr>
                <w:rFonts w:cs="Arial"/>
                <w:sz w:val="20"/>
                <w:szCs w:val="20"/>
              </w:rPr>
              <w:t>0</w:t>
            </w:r>
          </w:p>
        </w:tc>
      </w:tr>
      <w:tr w:rsidR="00BF6371" w:rsidTr="00B13F64">
        <w:trPr>
          <w:cantSplit/>
          <w:trHeight w:val="647"/>
        </w:trPr>
        <w:tc>
          <w:tcPr>
            <w:tcW w:w="2049" w:type="dxa"/>
          </w:tcPr>
          <w:p w:rsidR="005D56FD" w:rsidRPr="002B05FF" w:rsidRDefault="005D56FD" w:rsidP="0010297D">
            <w:pPr>
              <w:rPr>
                <w:rFonts w:cs="Arial"/>
                <w:sz w:val="20"/>
                <w:szCs w:val="20"/>
              </w:rPr>
            </w:pPr>
            <w:r w:rsidRPr="002B05FF">
              <w:rPr>
                <w:rFonts w:cs="Arial"/>
                <w:sz w:val="20"/>
                <w:szCs w:val="20"/>
              </w:rPr>
              <w:t>Formulated beverages</w:t>
            </w:r>
          </w:p>
        </w:tc>
        <w:tc>
          <w:tcPr>
            <w:tcW w:w="1320" w:type="dxa"/>
          </w:tcPr>
          <w:p w:rsidR="005D56FD" w:rsidRPr="002B05FF" w:rsidRDefault="005D56FD" w:rsidP="0010297D">
            <w:pPr>
              <w:rPr>
                <w:rFonts w:cs="Arial"/>
                <w:sz w:val="20"/>
                <w:szCs w:val="20"/>
              </w:rPr>
            </w:pPr>
            <w:r w:rsidRPr="002B05FF">
              <w:rPr>
                <w:rFonts w:cs="Arial"/>
                <w:sz w:val="20"/>
                <w:szCs w:val="20"/>
              </w:rPr>
              <w:t>14.1.4</w:t>
            </w:r>
          </w:p>
        </w:tc>
        <w:tc>
          <w:tcPr>
            <w:tcW w:w="2837" w:type="dxa"/>
          </w:tcPr>
          <w:p w:rsidR="005D56FD" w:rsidRPr="002B05FF" w:rsidRDefault="005D56FD" w:rsidP="0010297D">
            <w:pPr>
              <w:rPr>
                <w:rFonts w:cs="Arial"/>
                <w:sz w:val="20"/>
                <w:szCs w:val="20"/>
              </w:rPr>
            </w:pPr>
            <w:r w:rsidRPr="002B05FF">
              <w:rPr>
                <w:rFonts w:cs="Arial"/>
                <w:sz w:val="20"/>
                <w:szCs w:val="20"/>
              </w:rPr>
              <w:t>Formulated beverages</w:t>
            </w:r>
          </w:p>
        </w:tc>
        <w:tc>
          <w:tcPr>
            <w:tcW w:w="1560" w:type="dxa"/>
          </w:tcPr>
          <w:p w:rsidR="005D56FD" w:rsidRPr="002B05FF" w:rsidRDefault="005D56FD" w:rsidP="0010297D">
            <w:pPr>
              <w:jc w:val="right"/>
              <w:rPr>
                <w:rFonts w:cs="Arial"/>
                <w:sz w:val="20"/>
                <w:szCs w:val="20"/>
              </w:rPr>
            </w:pPr>
            <w:r>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Pr>
                <w:rFonts w:cs="Arial"/>
                <w:sz w:val="20"/>
                <w:szCs w:val="20"/>
              </w:rPr>
              <w:t>4</w:t>
            </w:r>
            <w:r w:rsidRPr="002B05FF">
              <w:rPr>
                <w:rFonts w:cs="Arial"/>
                <w:sz w:val="20"/>
                <w:szCs w:val="20"/>
              </w:rPr>
              <w:t>0</w:t>
            </w:r>
            <w:r w:rsidR="004253A4">
              <w:rPr>
                <w:rFonts w:cs="Arial"/>
                <w:sz w:val="20"/>
                <w:szCs w:val="20"/>
              </w:rPr>
              <w:t xml:space="preserve"> x 0.</w:t>
            </w:r>
            <w:r>
              <w:rPr>
                <w:rFonts w:cs="Arial"/>
                <w:sz w:val="20"/>
                <w:szCs w:val="20"/>
              </w:rPr>
              <w:t>2</w:t>
            </w:r>
          </w:p>
        </w:tc>
        <w:tc>
          <w:tcPr>
            <w:tcW w:w="1429" w:type="dxa"/>
          </w:tcPr>
          <w:p w:rsidR="005D56FD" w:rsidRPr="002B05FF" w:rsidRDefault="008D2673" w:rsidP="0010297D">
            <w:pPr>
              <w:jc w:val="right"/>
              <w:rPr>
                <w:rFonts w:cs="Arial"/>
                <w:sz w:val="20"/>
                <w:szCs w:val="20"/>
              </w:rPr>
            </w:pPr>
            <w:r>
              <w:rPr>
                <w:rFonts w:cs="Arial"/>
                <w:sz w:val="20"/>
                <w:szCs w:val="20"/>
              </w:rPr>
              <w:t>N/A</w:t>
            </w:r>
            <w:r w:rsidR="005D56FD" w:rsidRPr="002B05FF">
              <w:rPr>
                <w:rFonts w:cs="Arial"/>
                <w:sz w:val="20"/>
                <w:szCs w:val="20"/>
                <w:vertAlign w:val="superscript"/>
              </w:rPr>
              <w:t>#</w:t>
            </w:r>
          </w:p>
        </w:tc>
        <w:tc>
          <w:tcPr>
            <w:tcW w:w="1197" w:type="dxa"/>
          </w:tcPr>
          <w:p w:rsidR="005D56FD" w:rsidRPr="002B05FF" w:rsidRDefault="008D2673" w:rsidP="0010297D">
            <w:pPr>
              <w:jc w:val="right"/>
              <w:rPr>
                <w:rFonts w:cs="Arial"/>
                <w:sz w:val="20"/>
                <w:szCs w:val="20"/>
              </w:rPr>
            </w:pPr>
            <w:r>
              <w:rPr>
                <w:rFonts w:cs="Arial"/>
                <w:sz w:val="20"/>
                <w:szCs w:val="20"/>
              </w:rPr>
              <w:t>N/A</w:t>
            </w:r>
            <w:r w:rsidRPr="002B05FF">
              <w:rPr>
                <w:rFonts w:cs="Arial"/>
                <w:sz w:val="20"/>
                <w:szCs w:val="20"/>
                <w:vertAlign w:val="superscript"/>
              </w:rPr>
              <w:t>#</w:t>
            </w:r>
          </w:p>
        </w:tc>
        <w:tc>
          <w:tcPr>
            <w:tcW w:w="1012" w:type="dxa"/>
          </w:tcPr>
          <w:p w:rsidR="005D56FD" w:rsidRPr="002B05FF" w:rsidRDefault="008D2673" w:rsidP="0010297D">
            <w:pPr>
              <w:jc w:val="right"/>
              <w:rPr>
                <w:rFonts w:cs="Arial"/>
                <w:sz w:val="20"/>
                <w:szCs w:val="20"/>
              </w:rPr>
            </w:pPr>
            <w:r>
              <w:rPr>
                <w:rFonts w:cs="Arial"/>
                <w:sz w:val="20"/>
                <w:szCs w:val="20"/>
              </w:rPr>
              <w:t>N/A</w:t>
            </w:r>
            <w:r w:rsidRPr="002B05FF">
              <w:rPr>
                <w:rFonts w:cs="Arial"/>
                <w:sz w:val="20"/>
                <w:szCs w:val="20"/>
                <w:vertAlign w:val="superscript"/>
              </w:rPr>
              <w:t>#</w:t>
            </w:r>
          </w:p>
        </w:tc>
      </w:tr>
      <w:tr w:rsidR="00BF6371" w:rsidTr="00B13F64">
        <w:trPr>
          <w:cantSplit/>
          <w:trHeight w:val="200"/>
        </w:trPr>
        <w:tc>
          <w:tcPr>
            <w:tcW w:w="2049" w:type="dxa"/>
            <w:vMerge w:val="restart"/>
          </w:tcPr>
          <w:p w:rsidR="00235241" w:rsidRPr="002B05FF" w:rsidRDefault="00235241" w:rsidP="0010297D">
            <w:pPr>
              <w:rPr>
                <w:rFonts w:cs="Arial"/>
                <w:sz w:val="20"/>
                <w:szCs w:val="20"/>
              </w:rPr>
            </w:pPr>
            <w:r w:rsidRPr="002B05FF">
              <w:rPr>
                <w:rFonts w:cs="Arial"/>
                <w:sz w:val="20"/>
                <w:szCs w:val="20"/>
              </w:rPr>
              <w:t>Coffee (or substitute), tea, herbal infusion and similar products (</w:t>
            </w:r>
            <w:r w:rsidRPr="002B05FF">
              <w:rPr>
                <w:rFonts w:cs="Arial"/>
                <w:b/>
                <w:sz w:val="20"/>
                <w:szCs w:val="20"/>
              </w:rPr>
              <w:t>include only flavoured coffee and tea</w:t>
            </w:r>
            <w:r w:rsidRPr="002B05FF">
              <w:rPr>
                <w:rFonts w:cs="Arial"/>
                <w:sz w:val="20"/>
                <w:szCs w:val="20"/>
              </w:rPr>
              <w:t>)</w:t>
            </w:r>
          </w:p>
        </w:tc>
        <w:tc>
          <w:tcPr>
            <w:tcW w:w="1320" w:type="dxa"/>
            <w:vMerge w:val="restart"/>
          </w:tcPr>
          <w:p w:rsidR="00235241" w:rsidRPr="002B05FF" w:rsidRDefault="00235241" w:rsidP="0010297D">
            <w:pPr>
              <w:rPr>
                <w:rFonts w:cs="Arial"/>
                <w:sz w:val="20"/>
                <w:szCs w:val="20"/>
              </w:rPr>
            </w:pPr>
            <w:r w:rsidRPr="002B05FF">
              <w:rPr>
                <w:rFonts w:cs="Arial"/>
                <w:sz w:val="20"/>
                <w:szCs w:val="20"/>
              </w:rPr>
              <w:t>14.1.5</w:t>
            </w:r>
          </w:p>
        </w:tc>
        <w:tc>
          <w:tcPr>
            <w:tcW w:w="2837" w:type="dxa"/>
          </w:tcPr>
          <w:p w:rsidR="00235241" w:rsidRPr="00235241" w:rsidRDefault="00235241" w:rsidP="0010297D">
            <w:pPr>
              <w:rPr>
                <w:rFonts w:cs="Arial"/>
                <w:b/>
                <w:sz w:val="20"/>
                <w:szCs w:val="20"/>
              </w:rPr>
            </w:pPr>
            <w:r w:rsidRPr="00235241">
              <w:rPr>
                <w:rFonts w:cs="Arial"/>
                <w:b/>
                <w:sz w:val="20"/>
                <w:szCs w:val="20"/>
                <w:lang w:eastAsia="en-GB"/>
              </w:rPr>
              <w:t>Coffee substitute beverages, coffee-based mixes and instant coffee powders/granules including decaffeinated</w:t>
            </w:r>
          </w:p>
        </w:tc>
        <w:tc>
          <w:tcPr>
            <w:tcW w:w="1560" w:type="dxa"/>
          </w:tcPr>
          <w:p w:rsidR="00235241" w:rsidRPr="00F24508" w:rsidRDefault="00235241" w:rsidP="0010297D">
            <w:pPr>
              <w:jc w:val="right"/>
              <w:rPr>
                <w:rFonts w:cs="Arial"/>
                <w:b/>
                <w:sz w:val="20"/>
                <w:szCs w:val="20"/>
              </w:rPr>
            </w:pPr>
            <w:r w:rsidRPr="00F24508">
              <w:rPr>
                <w:rFonts w:cs="Arial"/>
                <w:b/>
                <w:sz w:val="20"/>
                <w:szCs w:val="20"/>
              </w:rPr>
              <w:t>30</w:t>
            </w:r>
          </w:p>
        </w:tc>
        <w:tc>
          <w:tcPr>
            <w:tcW w:w="1517" w:type="dxa"/>
          </w:tcPr>
          <w:p w:rsidR="00235241" w:rsidRPr="00F24508" w:rsidRDefault="00235241" w:rsidP="0010297D">
            <w:pPr>
              <w:jc w:val="right"/>
              <w:rPr>
                <w:rFonts w:cs="Arial"/>
                <w:b/>
                <w:sz w:val="20"/>
                <w:szCs w:val="20"/>
              </w:rPr>
            </w:pPr>
            <w:r w:rsidRPr="00F24508">
              <w:rPr>
                <w:rFonts w:cs="Arial"/>
                <w:b/>
                <w:sz w:val="20"/>
                <w:szCs w:val="20"/>
              </w:rPr>
              <w:t>20</w:t>
            </w:r>
          </w:p>
        </w:tc>
        <w:tc>
          <w:tcPr>
            <w:tcW w:w="1471" w:type="dxa"/>
          </w:tcPr>
          <w:p w:rsidR="00235241" w:rsidRPr="002B05FF" w:rsidRDefault="00235241" w:rsidP="0010297D">
            <w:pPr>
              <w:jc w:val="right"/>
              <w:rPr>
                <w:rFonts w:cs="Arial"/>
                <w:sz w:val="20"/>
                <w:szCs w:val="20"/>
              </w:rPr>
            </w:pPr>
          </w:p>
        </w:tc>
        <w:tc>
          <w:tcPr>
            <w:tcW w:w="1429" w:type="dxa"/>
          </w:tcPr>
          <w:p w:rsidR="00235241" w:rsidRPr="002B05FF" w:rsidRDefault="00235241" w:rsidP="0010297D">
            <w:pPr>
              <w:jc w:val="right"/>
              <w:rPr>
                <w:rFonts w:cs="Arial"/>
                <w:sz w:val="20"/>
                <w:szCs w:val="20"/>
              </w:rPr>
            </w:pPr>
          </w:p>
        </w:tc>
        <w:tc>
          <w:tcPr>
            <w:tcW w:w="1197" w:type="dxa"/>
          </w:tcPr>
          <w:p w:rsidR="00235241" w:rsidRPr="002B05FF" w:rsidRDefault="00235241" w:rsidP="0010297D">
            <w:pPr>
              <w:jc w:val="right"/>
              <w:rPr>
                <w:rFonts w:cs="Arial"/>
                <w:sz w:val="20"/>
                <w:szCs w:val="20"/>
              </w:rPr>
            </w:pPr>
          </w:p>
        </w:tc>
        <w:tc>
          <w:tcPr>
            <w:tcW w:w="1012" w:type="dxa"/>
          </w:tcPr>
          <w:p w:rsidR="00235241" w:rsidRPr="002B05FF" w:rsidRDefault="00235241" w:rsidP="0010297D">
            <w:pPr>
              <w:jc w:val="right"/>
              <w:rPr>
                <w:rFonts w:cs="Arial"/>
                <w:sz w:val="20"/>
                <w:szCs w:val="20"/>
              </w:rPr>
            </w:pP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2B05FF" w:rsidRDefault="00BF6371" w:rsidP="00BF6371">
            <w:pPr>
              <w:rPr>
                <w:rFonts w:cs="Arial"/>
                <w:sz w:val="20"/>
                <w:szCs w:val="20"/>
                <w:lang w:eastAsia="en-GB"/>
              </w:rPr>
            </w:pPr>
            <w:r>
              <w:rPr>
                <w:rFonts w:cs="Arial"/>
                <w:sz w:val="20"/>
                <w:szCs w:val="20"/>
                <w:lang w:eastAsia="en-GB"/>
              </w:rPr>
              <w:t>Coffee beverage, caffeine, instant powder/granules (includes flavoured coffee)</w:t>
            </w:r>
          </w:p>
        </w:tc>
        <w:tc>
          <w:tcPr>
            <w:tcW w:w="1560" w:type="dxa"/>
          </w:tcPr>
          <w:p w:rsidR="00BF6371" w:rsidRPr="002B05FF" w:rsidRDefault="00BF6371" w:rsidP="0010297D">
            <w:pPr>
              <w:jc w:val="right"/>
              <w:rPr>
                <w:rFonts w:cs="Arial"/>
                <w:sz w:val="20"/>
                <w:szCs w:val="20"/>
              </w:rPr>
            </w:pPr>
            <w:r>
              <w:rPr>
                <w:rFonts w:cs="Arial"/>
                <w:sz w:val="20"/>
                <w:szCs w:val="20"/>
              </w:rPr>
              <w:t>30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2B05FF" w:rsidRDefault="00BF6371" w:rsidP="00BF6371">
            <w:pPr>
              <w:rPr>
                <w:rFonts w:cs="Arial"/>
                <w:sz w:val="20"/>
                <w:szCs w:val="20"/>
                <w:lang w:eastAsia="en-GB"/>
              </w:rPr>
            </w:pPr>
            <w:r>
              <w:rPr>
                <w:rFonts w:cs="Arial"/>
                <w:sz w:val="20"/>
                <w:szCs w:val="20"/>
                <w:lang w:eastAsia="en-GB"/>
              </w:rPr>
              <w:t>Coffee beverage, decaffeinated, instant powder/granules (includes flavoured coffee)</w:t>
            </w:r>
          </w:p>
        </w:tc>
        <w:tc>
          <w:tcPr>
            <w:tcW w:w="1560" w:type="dxa"/>
          </w:tcPr>
          <w:p w:rsidR="00BF6371" w:rsidRPr="002B05FF" w:rsidRDefault="00BF6371" w:rsidP="00BF6371">
            <w:pPr>
              <w:jc w:val="right"/>
              <w:rPr>
                <w:rFonts w:cs="Arial"/>
                <w:sz w:val="20"/>
                <w:szCs w:val="20"/>
              </w:rPr>
            </w:pPr>
            <w:r>
              <w:rPr>
                <w:rFonts w:cs="Arial"/>
                <w:sz w:val="20"/>
                <w:szCs w:val="20"/>
              </w:rPr>
              <w:t>30</w:t>
            </w:r>
          </w:p>
        </w:tc>
        <w:tc>
          <w:tcPr>
            <w:tcW w:w="1517" w:type="dxa"/>
          </w:tcPr>
          <w:p w:rsidR="00BF6371" w:rsidRPr="002B05FF" w:rsidRDefault="00BF6371" w:rsidP="00BF6371">
            <w:pPr>
              <w:jc w:val="right"/>
              <w:rPr>
                <w:rFonts w:cs="Arial"/>
                <w:sz w:val="20"/>
                <w:szCs w:val="20"/>
              </w:rPr>
            </w:pPr>
            <w:r>
              <w:rPr>
                <w:rFonts w:cs="Arial"/>
                <w:sz w:val="20"/>
                <w:szCs w:val="20"/>
              </w:rPr>
              <w:t>20</w:t>
            </w:r>
          </w:p>
        </w:tc>
        <w:tc>
          <w:tcPr>
            <w:tcW w:w="1471"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2B05FF" w:rsidRDefault="00BF6371" w:rsidP="00BF6371">
            <w:pPr>
              <w:rPr>
                <w:rFonts w:cs="Arial"/>
                <w:sz w:val="20"/>
                <w:szCs w:val="20"/>
                <w:lang w:eastAsia="en-GB"/>
              </w:rPr>
            </w:pPr>
            <w:r w:rsidRPr="002B05FF">
              <w:rPr>
                <w:rFonts w:cs="Arial"/>
                <w:sz w:val="20"/>
                <w:szCs w:val="20"/>
                <w:lang w:eastAsia="en-GB"/>
              </w:rPr>
              <w:t>Coffee substitutes beverage</w:t>
            </w:r>
          </w:p>
        </w:tc>
        <w:tc>
          <w:tcPr>
            <w:tcW w:w="1560" w:type="dxa"/>
          </w:tcPr>
          <w:p w:rsidR="00BF6371" w:rsidRPr="002B05FF" w:rsidRDefault="00BF6371" w:rsidP="00BF6371">
            <w:pPr>
              <w:jc w:val="right"/>
              <w:rPr>
                <w:rFonts w:cs="Arial"/>
                <w:sz w:val="20"/>
                <w:szCs w:val="20"/>
              </w:rPr>
            </w:pPr>
            <w:r>
              <w:rPr>
                <w:rFonts w:cs="Arial"/>
                <w:sz w:val="20"/>
                <w:szCs w:val="20"/>
              </w:rPr>
              <w:t>30</w:t>
            </w:r>
          </w:p>
        </w:tc>
        <w:tc>
          <w:tcPr>
            <w:tcW w:w="1517" w:type="dxa"/>
          </w:tcPr>
          <w:p w:rsidR="00BF6371" w:rsidRPr="002B05FF" w:rsidRDefault="00BF6371" w:rsidP="00BF6371">
            <w:pPr>
              <w:jc w:val="right"/>
              <w:rPr>
                <w:rFonts w:cs="Arial"/>
                <w:sz w:val="20"/>
                <w:szCs w:val="20"/>
              </w:rPr>
            </w:pPr>
            <w:r>
              <w:rPr>
                <w:rFonts w:cs="Arial"/>
                <w:sz w:val="20"/>
                <w:szCs w:val="20"/>
              </w:rPr>
              <w:t>20</w:t>
            </w:r>
          </w:p>
        </w:tc>
        <w:tc>
          <w:tcPr>
            <w:tcW w:w="1471"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F24508" w:rsidRDefault="00BF6371" w:rsidP="0010297D">
            <w:pPr>
              <w:rPr>
                <w:rFonts w:cs="Arial"/>
                <w:sz w:val="20"/>
                <w:szCs w:val="20"/>
                <w:lang w:eastAsia="en-GB"/>
              </w:rPr>
            </w:pPr>
            <w:r w:rsidRPr="00F24508">
              <w:rPr>
                <w:rFonts w:cs="Arial"/>
                <w:sz w:val="20"/>
                <w:szCs w:val="20"/>
                <w:lang w:eastAsia="en-GB"/>
              </w:rPr>
              <w:t>Coffee-based mixes beverage</w:t>
            </w:r>
          </w:p>
        </w:tc>
        <w:tc>
          <w:tcPr>
            <w:tcW w:w="1560" w:type="dxa"/>
          </w:tcPr>
          <w:p w:rsidR="00BF6371" w:rsidRPr="00F24508" w:rsidRDefault="00BF6371" w:rsidP="0010297D">
            <w:pPr>
              <w:jc w:val="right"/>
              <w:rPr>
                <w:rFonts w:cs="Arial"/>
                <w:sz w:val="20"/>
                <w:szCs w:val="20"/>
              </w:rPr>
            </w:pPr>
            <w:r w:rsidRPr="00F24508">
              <w:rPr>
                <w:rFonts w:cs="Arial"/>
                <w:sz w:val="20"/>
                <w:szCs w:val="20"/>
              </w:rPr>
              <w:t>30</w:t>
            </w:r>
          </w:p>
        </w:tc>
        <w:tc>
          <w:tcPr>
            <w:tcW w:w="1517" w:type="dxa"/>
          </w:tcPr>
          <w:p w:rsidR="00BF6371" w:rsidRPr="00F24508" w:rsidRDefault="00BF6371" w:rsidP="0010297D">
            <w:pPr>
              <w:jc w:val="right"/>
              <w:rPr>
                <w:rFonts w:cs="Arial"/>
                <w:sz w:val="20"/>
                <w:szCs w:val="20"/>
              </w:rPr>
            </w:pPr>
            <w:r w:rsidRPr="00F24508">
              <w:rPr>
                <w:rFonts w:cs="Arial"/>
                <w:sz w:val="20"/>
                <w:szCs w:val="20"/>
              </w:rPr>
              <w:t>20</w:t>
            </w:r>
          </w:p>
        </w:tc>
        <w:tc>
          <w:tcPr>
            <w:tcW w:w="1471" w:type="dxa"/>
          </w:tcPr>
          <w:p w:rsidR="00BF6371" w:rsidRPr="00F24508" w:rsidRDefault="00BF6371" w:rsidP="0010297D">
            <w:pPr>
              <w:jc w:val="right"/>
              <w:rPr>
                <w:rFonts w:cs="Arial"/>
                <w:sz w:val="20"/>
                <w:szCs w:val="20"/>
              </w:rPr>
            </w:pPr>
            <w:r w:rsidRPr="00F24508">
              <w:rPr>
                <w:rFonts w:cs="Arial"/>
                <w:sz w:val="20"/>
                <w:szCs w:val="20"/>
              </w:rPr>
              <w:t>30 x 0.2</w:t>
            </w:r>
          </w:p>
        </w:tc>
        <w:tc>
          <w:tcPr>
            <w:tcW w:w="1429" w:type="dxa"/>
          </w:tcPr>
          <w:p w:rsidR="00BF6371" w:rsidRPr="00F24508" w:rsidRDefault="00BF6371" w:rsidP="0010297D">
            <w:pPr>
              <w:jc w:val="right"/>
              <w:rPr>
                <w:rFonts w:cs="Arial"/>
                <w:sz w:val="20"/>
                <w:szCs w:val="20"/>
              </w:rPr>
            </w:pPr>
            <w:r w:rsidRPr="00F24508">
              <w:rPr>
                <w:rFonts w:cs="Arial"/>
                <w:sz w:val="20"/>
                <w:szCs w:val="20"/>
              </w:rPr>
              <w:t>30 x 0.2</w:t>
            </w:r>
          </w:p>
        </w:tc>
        <w:tc>
          <w:tcPr>
            <w:tcW w:w="1197" w:type="dxa"/>
          </w:tcPr>
          <w:p w:rsidR="00BF6371" w:rsidRPr="00F24508" w:rsidRDefault="00BF6371" w:rsidP="0010297D">
            <w:pPr>
              <w:jc w:val="right"/>
              <w:rPr>
                <w:rFonts w:cs="Arial"/>
                <w:sz w:val="20"/>
                <w:szCs w:val="20"/>
              </w:rPr>
            </w:pPr>
            <w:r w:rsidRPr="00F24508">
              <w:rPr>
                <w:rFonts w:cs="Arial"/>
                <w:sz w:val="20"/>
                <w:szCs w:val="20"/>
              </w:rPr>
              <w:t>30 x 0.2</w:t>
            </w:r>
          </w:p>
        </w:tc>
        <w:tc>
          <w:tcPr>
            <w:tcW w:w="1012" w:type="dxa"/>
          </w:tcPr>
          <w:p w:rsidR="00BF6371" w:rsidRPr="00F24508" w:rsidRDefault="00BF6371" w:rsidP="0010297D">
            <w:pPr>
              <w:jc w:val="right"/>
              <w:rPr>
                <w:rFonts w:cs="Arial"/>
                <w:sz w:val="20"/>
                <w:szCs w:val="20"/>
              </w:rPr>
            </w:pPr>
            <w:r w:rsidRPr="00F24508">
              <w:rPr>
                <w:rFonts w:cs="Arial"/>
                <w:sz w:val="20"/>
                <w:szCs w:val="20"/>
              </w:rPr>
              <w:t>30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lang w:eastAsia="en-GB"/>
              </w:rPr>
            </w:pPr>
            <w:r w:rsidRPr="002B05FF">
              <w:rPr>
                <w:rFonts w:cs="Arial"/>
                <w:sz w:val="20"/>
                <w:szCs w:val="20"/>
                <w:lang w:eastAsia="en-GB"/>
              </w:rPr>
              <w:t>Tea</w:t>
            </w:r>
            <w:r>
              <w:rPr>
                <w:rFonts w:cs="Arial"/>
                <w:sz w:val="20"/>
                <w:szCs w:val="20"/>
                <w:lang w:eastAsia="en-GB"/>
              </w:rPr>
              <w:t>s</w:t>
            </w:r>
            <w:r w:rsidRPr="002B05FF">
              <w:rPr>
                <w:rFonts w:cs="Arial"/>
                <w:sz w:val="20"/>
                <w:szCs w:val="20"/>
                <w:lang w:eastAsia="en-GB"/>
              </w:rPr>
              <w:t xml:space="preserve"> (including flavoured</w:t>
            </w:r>
            <w:r>
              <w:rPr>
                <w:rFonts w:cs="Arial"/>
                <w:sz w:val="20"/>
                <w:szCs w:val="20"/>
                <w:lang w:eastAsia="en-GB"/>
              </w:rPr>
              <w:t xml:space="preserve"> tea</w:t>
            </w:r>
            <w:r w:rsidRPr="002B05FF">
              <w:rPr>
                <w:rFonts w:cs="Arial"/>
                <w:sz w:val="20"/>
                <w:szCs w:val="20"/>
                <w:lang w:eastAsia="en-GB"/>
              </w:rPr>
              <w:t>)</w:t>
            </w:r>
          </w:p>
        </w:tc>
        <w:tc>
          <w:tcPr>
            <w:tcW w:w="1560" w:type="dxa"/>
          </w:tcPr>
          <w:p w:rsidR="00BF6371" w:rsidRPr="002B05FF" w:rsidRDefault="00BF6371" w:rsidP="0010297D">
            <w:pPr>
              <w:jc w:val="right"/>
              <w:rPr>
                <w:rFonts w:cs="Arial"/>
                <w:sz w:val="20"/>
                <w:szCs w:val="20"/>
              </w:rPr>
            </w:pPr>
            <w:r>
              <w:rPr>
                <w:rFonts w:cs="Arial"/>
                <w:sz w:val="20"/>
                <w:szCs w:val="20"/>
              </w:rPr>
              <w:t>30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11.3*</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Pr>
                <w:rFonts w:cs="Arial"/>
                <w:sz w:val="20"/>
                <w:szCs w:val="20"/>
              </w:rPr>
              <w:t>30</w:t>
            </w:r>
          </w:p>
        </w:tc>
        <w:tc>
          <w:tcPr>
            <w:tcW w:w="1012" w:type="dxa"/>
          </w:tcPr>
          <w:p w:rsidR="00BF6371" w:rsidRPr="002B05FF" w:rsidRDefault="00BF6371" w:rsidP="0010297D">
            <w:pPr>
              <w:jc w:val="right"/>
              <w:rPr>
                <w:rFonts w:cs="Arial"/>
                <w:sz w:val="20"/>
                <w:szCs w:val="20"/>
              </w:rPr>
            </w:pPr>
            <w:r>
              <w:rPr>
                <w:rFonts w:cs="Arial"/>
                <w:sz w:val="20"/>
                <w:szCs w:val="20"/>
              </w:rPr>
              <w:t>0</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rPr>
            </w:pPr>
            <w:r w:rsidRPr="002B05FF">
              <w:rPr>
                <w:rFonts w:cs="Arial"/>
                <w:sz w:val="20"/>
                <w:szCs w:val="20"/>
                <w:lang w:eastAsia="en-GB"/>
              </w:rPr>
              <w:t>Herbal tea</w:t>
            </w:r>
          </w:p>
        </w:tc>
        <w:tc>
          <w:tcPr>
            <w:tcW w:w="1560" w:type="dxa"/>
          </w:tcPr>
          <w:p w:rsidR="00BF6371" w:rsidRPr="002B05FF" w:rsidRDefault="00BF6371" w:rsidP="0010297D">
            <w:pPr>
              <w:jc w:val="right"/>
              <w:rPr>
                <w:rFonts w:cs="Arial"/>
                <w:sz w:val="20"/>
                <w:szCs w:val="20"/>
              </w:rPr>
            </w:pPr>
            <w:r>
              <w:rPr>
                <w:rFonts w:cs="Arial"/>
                <w:sz w:val="20"/>
                <w:szCs w:val="20"/>
              </w:rPr>
              <w:t>30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E55308" w:rsidP="0010297D">
            <w:pPr>
              <w:jc w:val="right"/>
              <w:rPr>
                <w:rFonts w:cs="Arial"/>
                <w:sz w:val="20"/>
                <w:szCs w:val="20"/>
              </w:rPr>
            </w:pPr>
            <w:r>
              <w:rPr>
                <w:rFonts w:cs="Arial"/>
                <w:sz w:val="20"/>
                <w:szCs w:val="20"/>
              </w:rPr>
              <w:t xml:space="preserve">30 x </w:t>
            </w:r>
            <w:r w:rsidR="00BF6371">
              <w:rPr>
                <w:rFonts w:cs="Arial"/>
                <w:sz w:val="20"/>
                <w:szCs w:val="20"/>
              </w:rPr>
              <w:t>0</w:t>
            </w:r>
            <w:r>
              <w:rPr>
                <w:rFonts w:cs="Arial"/>
                <w:sz w:val="20"/>
                <w:szCs w:val="20"/>
              </w:rPr>
              <w:t>.2</w:t>
            </w:r>
          </w:p>
        </w:tc>
      </w:tr>
      <w:tr w:rsidR="00BF6371" w:rsidTr="00B13F64">
        <w:trPr>
          <w:cantSplit/>
          <w:trHeight w:val="200"/>
        </w:trPr>
        <w:tc>
          <w:tcPr>
            <w:tcW w:w="2049" w:type="dxa"/>
            <w:vMerge w:val="restart"/>
          </w:tcPr>
          <w:p w:rsidR="00BF6371" w:rsidRDefault="00BF6371" w:rsidP="00C30F0A">
            <w:pPr>
              <w:rPr>
                <w:rFonts w:cs="Arial"/>
                <w:sz w:val="20"/>
                <w:szCs w:val="20"/>
              </w:rPr>
            </w:pPr>
            <w:r w:rsidRPr="002B05FF">
              <w:rPr>
                <w:rFonts w:cs="Arial"/>
                <w:sz w:val="20"/>
                <w:szCs w:val="20"/>
              </w:rPr>
              <w:t>Alcoholic beverages (including no and low alcohol</w:t>
            </w:r>
            <w:r w:rsidRPr="00166724">
              <w:rPr>
                <w:rFonts w:cs="Arial"/>
                <w:sz w:val="20"/>
                <w:szCs w:val="20"/>
              </w:rPr>
              <w:t>)</w:t>
            </w:r>
          </w:p>
          <w:p w:rsidR="00BF6371" w:rsidRPr="002B05FF" w:rsidRDefault="00BF6371" w:rsidP="00C30F0A">
            <w:pPr>
              <w:rPr>
                <w:rFonts w:cs="Arial"/>
                <w:sz w:val="20"/>
                <w:szCs w:val="20"/>
              </w:rPr>
            </w:pPr>
            <w:r>
              <w:rPr>
                <w:rFonts w:cs="Arial"/>
                <w:sz w:val="20"/>
                <w:szCs w:val="20"/>
              </w:rPr>
              <w:t xml:space="preserve"> </w:t>
            </w:r>
          </w:p>
        </w:tc>
        <w:tc>
          <w:tcPr>
            <w:tcW w:w="1320" w:type="dxa"/>
            <w:vMerge w:val="restart"/>
          </w:tcPr>
          <w:p w:rsidR="00BF6371" w:rsidRPr="002B05FF" w:rsidRDefault="00BF6371" w:rsidP="0010297D">
            <w:pPr>
              <w:rPr>
                <w:rFonts w:cs="Arial"/>
                <w:sz w:val="20"/>
                <w:szCs w:val="20"/>
              </w:rPr>
            </w:pPr>
            <w:r w:rsidRPr="002B05FF">
              <w:rPr>
                <w:rFonts w:cs="Arial"/>
                <w:sz w:val="20"/>
                <w:szCs w:val="20"/>
              </w:rPr>
              <w:t>14.2</w:t>
            </w:r>
          </w:p>
        </w:tc>
        <w:tc>
          <w:tcPr>
            <w:tcW w:w="2837" w:type="dxa"/>
          </w:tcPr>
          <w:p w:rsidR="00BF6371" w:rsidRPr="00235241" w:rsidRDefault="00BF6371" w:rsidP="0010297D">
            <w:pPr>
              <w:rPr>
                <w:rFonts w:cs="Arial"/>
                <w:b/>
                <w:sz w:val="20"/>
                <w:szCs w:val="20"/>
              </w:rPr>
            </w:pPr>
            <w:r w:rsidRPr="00235241">
              <w:rPr>
                <w:rFonts w:cs="Arial"/>
                <w:b/>
                <w:sz w:val="20"/>
                <w:szCs w:val="20"/>
              </w:rPr>
              <w:t>Alcoholic beverages (including no and low alcohol)</w:t>
            </w:r>
          </w:p>
        </w:tc>
        <w:tc>
          <w:tcPr>
            <w:tcW w:w="1560" w:type="dxa"/>
          </w:tcPr>
          <w:p w:rsidR="00BF6371" w:rsidRPr="00F24508" w:rsidRDefault="00F24508" w:rsidP="0010297D">
            <w:pPr>
              <w:jc w:val="right"/>
              <w:rPr>
                <w:rFonts w:cs="Arial"/>
                <w:b/>
                <w:sz w:val="20"/>
                <w:szCs w:val="20"/>
              </w:rPr>
            </w:pPr>
            <w:r w:rsidRPr="00F24508">
              <w:rPr>
                <w:rFonts w:cs="Arial"/>
                <w:b/>
                <w:sz w:val="20"/>
                <w:szCs w:val="20"/>
              </w:rPr>
              <w:t>40</w:t>
            </w:r>
          </w:p>
        </w:tc>
        <w:tc>
          <w:tcPr>
            <w:tcW w:w="1517" w:type="dxa"/>
          </w:tcPr>
          <w:p w:rsidR="00BF6371" w:rsidRPr="00F24508" w:rsidRDefault="00F24508" w:rsidP="0010297D">
            <w:pPr>
              <w:jc w:val="right"/>
              <w:rPr>
                <w:rFonts w:cs="Arial"/>
                <w:b/>
                <w:sz w:val="20"/>
                <w:szCs w:val="20"/>
              </w:rPr>
            </w:pPr>
            <w:r w:rsidRPr="00F24508">
              <w:rPr>
                <w:rFonts w:cs="Arial"/>
                <w:b/>
                <w:sz w:val="20"/>
                <w:szCs w:val="20"/>
              </w:rPr>
              <w:t>20</w:t>
            </w:r>
          </w:p>
        </w:tc>
        <w:tc>
          <w:tcPr>
            <w:tcW w:w="1471" w:type="dxa"/>
          </w:tcPr>
          <w:p w:rsidR="00BF6371" w:rsidRPr="002B05FF" w:rsidRDefault="00BF6371" w:rsidP="0010297D">
            <w:pPr>
              <w:jc w:val="right"/>
              <w:rPr>
                <w:rFonts w:cs="Arial"/>
                <w:sz w:val="20"/>
                <w:szCs w:val="20"/>
              </w:rPr>
            </w:pPr>
          </w:p>
        </w:tc>
        <w:tc>
          <w:tcPr>
            <w:tcW w:w="1429" w:type="dxa"/>
          </w:tcPr>
          <w:p w:rsidR="00BF6371" w:rsidRPr="002B05FF" w:rsidRDefault="00BF6371" w:rsidP="0010297D">
            <w:pPr>
              <w:jc w:val="right"/>
              <w:rPr>
                <w:rFonts w:cs="Arial"/>
                <w:sz w:val="20"/>
                <w:szCs w:val="20"/>
              </w:rPr>
            </w:pPr>
          </w:p>
        </w:tc>
        <w:tc>
          <w:tcPr>
            <w:tcW w:w="1197" w:type="dxa"/>
          </w:tcPr>
          <w:p w:rsidR="00BF6371" w:rsidRPr="002B05FF" w:rsidRDefault="00BF6371" w:rsidP="0010297D">
            <w:pPr>
              <w:jc w:val="right"/>
              <w:rPr>
                <w:rFonts w:cs="Arial"/>
                <w:sz w:val="20"/>
                <w:szCs w:val="20"/>
              </w:rPr>
            </w:pPr>
          </w:p>
        </w:tc>
        <w:tc>
          <w:tcPr>
            <w:tcW w:w="1012" w:type="dxa"/>
          </w:tcPr>
          <w:p w:rsidR="00BF6371" w:rsidRPr="002B05FF" w:rsidRDefault="00BF6371" w:rsidP="0010297D">
            <w:pPr>
              <w:jc w:val="right"/>
              <w:rPr>
                <w:rFonts w:cs="Arial"/>
                <w:sz w:val="20"/>
                <w:szCs w:val="20"/>
              </w:rPr>
            </w:pP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lang w:eastAsia="en-GB"/>
              </w:rPr>
            </w:pPr>
            <w:r w:rsidRPr="002B05FF">
              <w:rPr>
                <w:rFonts w:cs="Arial"/>
                <w:sz w:val="20"/>
                <w:szCs w:val="20"/>
                <w:lang w:eastAsia="en-GB"/>
              </w:rPr>
              <w:t>Beer and related products</w:t>
            </w:r>
          </w:p>
        </w:tc>
        <w:tc>
          <w:tcPr>
            <w:tcW w:w="1560" w:type="dxa"/>
          </w:tcPr>
          <w:p w:rsidR="00BF6371" w:rsidRPr="002B05FF" w:rsidRDefault="00BF6371" w:rsidP="0010297D">
            <w:pPr>
              <w:jc w:val="right"/>
              <w:rPr>
                <w:rFonts w:cs="Arial"/>
                <w:sz w:val="20"/>
                <w:szCs w:val="20"/>
              </w:rPr>
            </w:pPr>
            <w:r w:rsidRPr="002B05FF">
              <w:rPr>
                <w:rFonts w:cs="Arial"/>
                <w:sz w:val="20"/>
                <w:szCs w:val="20"/>
              </w:rPr>
              <w:t>40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lang w:eastAsia="en-GB"/>
              </w:rPr>
            </w:pPr>
            <w:r w:rsidRPr="002B05FF">
              <w:rPr>
                <w:rFonts w:cs="Arial"/>
                <w:sz w:val="20"/>
                <w:szCs w:val="20"/>
                <w:lang w:eastAsia="en-GB"/>
              </w:rPr>
              <w:t>Wine based drinks and reduced alcohol wines</w:t>
            </w:r>
            <w:r w:rsidRPr="00B13F64">
              <w:rPr>
                <w:rFonts w:cs="Arial"/>
                <w:sz w:val="20"/>
                <w:szCs w:val="20"/>
                <w:vertAlign w:val="superscript"/>
                <w:lang w:eastAsia="en-GB"/>
              </w:rPr>
              <w:t>@</w:t>
            </w:r>
          </w:p>
        </w:tc>
        <w:tc>
          <w:tcPr>
            <w:tcW w:w="1560" w:type="dxa"/>
          </w:tcPr>
          <w:p w:rsidR="00BF6371" w:rsidRPr="002B05FF" w:rsidRDefault="00BF6371" w:rsidP="0010297D">
            <w:pPr>
              <w:jc w:val="right"/>
              <w:rPr>
                <w:rFonts w:cs="Arial"/>
                <w:sz w:val="20"/>
                <w:szCs w:val="20"/>
              </w:rPr>
            </w:pPr>
            <w:r w:rsidRPr="002B05FF">
              <w:rPr>
                <w:rFonts w:cs="Arial"/>
                <w:sz w:val="20"/>
                <w:szCs w:val="20"/>
              </w:rPr>
              <w:t>40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r>
      <w:tr w:rsidR="00BF6371" w:rsidTr="00B13F64">
        <w:trPr>
          <w:cantSplit/>
          <w:trHeight w:val="765"/>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rPr>
            </w:pPr>
            <w:r w:rsidRPr="002B05FF">
              <w:rPr>
                <w:rFonts w:cs="Arial"/>
                <w:sz w:val="20"/>
                <w:szCs w:val="20"/>
                <w:lang w:eastAsia="en-GB"/>
              </w:rPr>
              <w:t>Spirits and Liqueurs</w:t>
            </w:r>
          </w:p>
        </w:tc>
        <w:tc>
          <w:tcPr>
            <w:tcW w:w="1560" w:type="dxa"/>
          </w:tcPr>
          <w:p w:rsidR="00BF6371" w:rsidRPr="002B05FF" w:rsidRDefault="00BF6371" w:rsidP="0010297D">
            <w:pPr>
              <w:jc w:val="right"/>
              <w:rPr>
                <w:rFonts w:cs="Arial"/>
                <w:sz w:val="20"/>
                <w:szCs w:val="20"/>
              </w:rPr>
            </w:pPr>
            <w:r>
              <w:rPr>
                <w:rFonts w:cs="Arial"/>
                <w:sz w:val="20"/>
                <w:szCs w:val="20"/>
              </w:rPr>
              <w:t>4</w:t>
            </w:r>
            <w:r w:rsidRPr="002B05FF">
              <w:rPr>
                <w:rFonts w:cs="Arial"/>
                <w:sz w:val="20"/>
                <w:szCs w:val="20"/>
              </w:rPr>
              <w:t>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 </w:t>
            </w:r>
          </w:p>
        </w:tc>
        <w:tc>
          <w:tcPr>
            <w:tcW w:w="1429"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 </w:t>
            </w:r>
          </w:p>
        </w:tc>
        <w:tc>
          <w:tcPr>
            <w:tcW w:w="1197"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w:t>
            </w:r>
          </w:p>
        </w:tc>
      </w:tr>
      <w:tr w:rsidR="00BF6371" w:rsidTr="00B13F64">
        <w:trPr>
          <w:cantSplit/>
          <w:trHeight w:val="200"/>
        </w:trPr>
        <w:tc>
          <w:tcPr>
            <w:tcW w:w="2049" w:type="dxa"/>
          </w:tcPr>
          <w:p w:rsidR="00BF6371" w:rsidRPr="002B05FF" w:rsidRDefault="00BF6371" w:rsidP="00C30F0A">
            <w:pPr>
              <w:rPr>
                <w:rFonts w:cs="Arial"/>
                <w:sz w:val="20"/>
                <w:szCs w:val="20"/>
              </w:rPr>
            </w:pPr>
            <w:r>
              <w:rPr>
                <w:rFonts w:cs="Arial"/>
                <w:sz w:val="20"/>
                <w:szCs w:val="20"/>
              </w:rPr>
              <w:t xml:space="preserve">Alcoholic beverages not included in item 14.2 </w:t>
            </w:r>
            <w:r w:rsidRPr="002B05FF">
              <w:rPr>
                <w:rFonts w:cs="Arial"/>
                <w:sz w:val="20"/>
                <w:szCs w:val="20"/>
              </w:rPr>
              <w:t xml:space="preserve"> </w:t>
            </w:r>
            <w:r w:rsidR="00106C20">
              <w:rPr>
                <w:rFonts w:cs="Arial"/>
                <w:sz w:val="20"/>
                <w:szCs w:val="20"/>
              </w:rPr>
              <w:t>(Include blend of a cider with other drinks</w:t>
            </w:r>
          </w:p>
        </w:tc>
        <w:tc>
          <w:tcPr>
            <w:tcW w:w="1320" w:type="dxa"/>
          </w:tcPr>
          <w:p w:rsidR="00BF6371" w:rsidRPr="002B05FF" w:rsidRDefault="00BF6371" w:rsidP="0010297D">
            <w:pPr>
              <w:rPr>
                <w:rFonts w:cs="Arial"/>
                <w:sz w:val="20"/>
                <w:szCs w:val="20"/>
              </w:rPr>
            </w:pPr>
            <w:r w:rsidRPr="002B05FF">
              <w:rPr>
                <w:rFonts w:cs="Arial"/>
                <w:sz w:val="20"/>
                <w:szCs w:val="20"/>
              </w:rPr>
              <w:t>14.3</w:t>
            </w:r>
          </w:p>
        </w:tc>
        <w:tc>
          <w:tcPr>
            <w:tcW w:w="2837" w:type="dxa"/>
          </w:tcPr>
          <w:p w:rsidR="00BF6371" w:rsidRPr="002B05FF" w:rsidRDefault="00BF6371" w:rsidP="0010297D">
            <w:pPr>
              <w:rPr>
                <w:rFonts w:cs="Arial"/>
                <w:sz w:val="20"/>
                <w:szCs w:val="20"/>
              </w:rPr>
            </w:pPr>
            <w:r w:rsidRPr="002B05FF">
              <w:rPr>
                <w:rFonts w:cs="Arial"/>
                <w:sz w:val="20"/>
                <w:szCs w:val="20"/>
              </w:rPr>
              <w:t>Alcoholic beverages not included in item 14.2</w:t>
            </w:r>
          </w:p>
        </w:tc>
        <w:tc>
          <w:tcPr>
            <w:tcW w:w="1560" w:type="dxa"/>
          </w:tcPr>
          <w:p w:rsidR="00BF6371" w:rsidRPr="002B05FF" w:rsidRDefault="00BF6371" w:rsidP="0010297D">
            <w:pPr>
              <w:jc w:val="right"/>
              <w:rPr>
                <w:rFonts w:cs="Arial"/>
                <w:sz w:val="20"/>
                <w:szCs w:val="20"/>
              </w:rPr>
            </w:pPr>
            <w:r w:rsidRPr="002B05FF">
              <w:rPr>
                <w:rFonts w:cs="Arial"/>
                <w:sz w:val="20"/>
                <w:szCs w:val="20"/>
              </w:rPr>
              <w:t>40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r>
    </w:tbl>
    <w:p w:rsidR="0010297D" w:rsidRPr="00280A20" w:rsidRDefault="0010297D" w:rsidP="0010297D">
      <w:pPr>
        <w:rPr>
          <w:rFonts w:cs="Arial"/>
          <w:sz w:val="18"/>
          <w:szCs w:val="20"/>
        </w:rPr>
      </w:pPr>
      <w:r w:rsidRPr="00280A20">
        <w:rPr>
          <w:rFonts w:cs="Arial"/>
          <w:sz w:val="18"/>
          <w:szCs w:val="20"/>
        </w:rPr>
        <w:t xml:space="preserve">* Calculated MPL value based on market share of the beverage type in the food category using the </w:t>
      </w:r>
      <w:r w:rsidR="00590B52">
        <w:rPr>
          <w:rFonts w:cs="Arial"/>
          <w:sz w:val="18"/>
          <w:szCs w:val="20"/>
        </w:rPr>
        <w:t xml:space="preserve">proposed </w:t>
      </w:r>
      <w:r w:rsidRPr="00280A20">
        <w:rPr>
          <w:rFonts w:cs="Arial"/>
          <w:sz w:val="18"/>
          <w:szCs w:val="20"/>
        </w:rPr>
        <w:t xml:space="preserve">maximum </w:t>
      </w:r>
      <w:r w:rsidR="00590B52">
        <w:rPr>
          <w:rFonts w:cs="Arial"/>
          <w:sz w:val="18"/>
          <w:szCs w:val="20"/>
        </w:rPr>
        <w:t>permitted</w:t>
      </w:r>
      <w:r w:rsidR="00590B52" w:rsidRPr="00280A20">
        <w:rPr>
          <w:rFonts w:cs="Arial"/>
          <w:sz w:val="18"/>
          <w:szCs w:val="20"/>
        </w:rPr>
        <w:t xml:space="preserve"> </w:t>
      </w:r>
      <w:r w:rsidRPr="00280A20">
        <w:rPr>
          <w:rFonts w:cs="Arial"/>
          <w:sz w:val="18"/>
          <w:szCs w:val="20"/>
        </w:rPr>
        <w:t xml:space="preserve">levels given by the Applicant. </w:t>
      </w:r>
    </w:p>
    <w:p w:rsidR="0010297D" w:rsidRPr="00280A20" w:rsidRDefault="0010297D" w:rsidP="0010297D">
      <w:pPr>
        <w:rPr>
          <w:rFonts w:cs="Arial"/>
          <w:sz w:val="18"/>
          <w:szCs w:val="20"/>
        </w:rPr>
      </w:pPr>
      <w:r w:rsidRPr="00B13F64">
        <w:rPr>
          <w:rFonts w:cs="Arial"/>
          <w:sz w:val="18"/>
          <w:szCs w:val="20"/>
          <w:vertAlign w:val="superscript"/>
        </w:rPr>
        <w:t>#</w:t>
      </w:r>
      <w:r w:rsidRPr="00280A20">
        <w:rPr>
          <w:rFonts w:cs="Arial"/>
          <w:sz w:val="18"/>
          <w:szCs w:val="20"/>
        </w:rPr>
        <w:t xml:space="preserve"> Food group was not categorised or consumed in the 1995 and 1997 nutrition surveys.</w:t>
      </w:r>
    </w:p>
    <w:p w:rsidR="0010297D" w:rsidRDefault="0010297D" w:rsidP="0010297D">
      <w:pPr>
        <w:rPr>
          <w:rFonts w:cs="Arial"/>
          <w:sz w:val="18"/>
          <w:szCs w:val="20"/>
        </w:rPr>
      </w:pPr>
      <w:r w:rsidRPr="00B13F64">
        <w:rPr>
          <w:rFonts w:cs="Arial"/>
          <w:sz w:val="18"/>
          <w:szCs w:val="20"/>
          <w:vertAlign w:val="superscript"/>
        </w:rPr>
        <w:t>@</w:t>
      </w:r>
      <w:r w:rsidRPr="00280A20">
        <w:rPr>
          <w:rFonts w:cs="Arial"/>
          <w:sz w:val="18"/>
          <w:szCs w:val="20"/>
        </w:rPr>
        <w:t xml:space="preserve"> </w:t>
      </w:r>
      <w:r w:rsidR="006365D9" w:rsidRPr="00280A20">
        <w:rPr>
          <w:rFonts w:cs="Arial"/>
          <w:sz w:val="18"/>
          <w:szCs w:val="20"/>
        </w:rPr>
        <w:t>This food category</w:t>
      </w:r>
      <w:r w:rsidR="008F0512" w:rsidRPr="00280A20">
        <w:rPr>
          <w:rFonts w:cs="Arial"/>
          <w:sz w:val="18"/>
          <w:szCs w:val="20"/>
        </w:rPr>
        <w:t xml:space="preserve"> not listed by </w:t>
      </w:r>
      <w:r w:rsidR="00106C20" w:rsidRPr="00280A20">
        <w:rPr>
          <w:rFonts w:cs="Arial"/>
          <w:sz w:val="18"/>
          <w:szCs w:val="20"/>
        </w:rPr>
        <w:t>A</w:t>
      </w:r>
      <w:r w:rsidR="008F0512" w:rsidRPr="00280A20">
        <w:rPr>
          <w:rFonts w:cs="Arial"/>
          <w:sz w:val="18"/>
          <w:szCs w:val="20"/>
        </w:rPr>
        <w:t xml:space="preserve">pplicant but </w:t>
      </w:r>
      <w:r w:rsidR="00406BE1">
        <w:rPr>
          <w:rFonts w:cs="Arial"/>
          <w:sz w:val="18"/>
          <w:szCs w:val="20"/>
        </w:rPr>
        <w:t xml:space="preserve">was </w:t>
      </w:r>
      <w:r w:rsidR="008F0512" w:rsidRPr="00280A20">
        <w:rPr>
          <w:rFonts w:cs="Arial"/>
          <w:sz w:val="18"/>
          <w:szCs w:val="20"/>
        </w:rPr>
        <w:t xml:space="preserve">included in modelling because of request to include </w:t>
      </w:r>
      <w:r w:rsidR="00106C20" w:rsidRPr="00280A20">
        <w:rPr>
          <w:rFonts w:cs="Arial"/>
          <w:sz w:val="18"/>
          <w:szCs w:val="20"/>
        </w:rPr>
        <w:t xml:space="preserve">a </w:t>
      </w:r>
      <w:r w:rsidR="008F0512" w:rsidRPr="00280A20">
        <w:rPr>
          <w:rFonts w:cs="Arial"/>
          <w:sz w:val="18"/>
          <w:szCs w:val="20"/>
        </w:rPr>
        <w:t>blend of cider with other drinks.</w:t>
      </w:r>
    </w:p>
    <w:p w:rsidR="00590B52" w:rsidRPr="008536D6" w:rsidRDefault="00602360" w:rsidP="0010297D">
      <w:pPr>
        <w:rPr>
          <w:rFonts w:cs="Arial"/>
          <w:sz w:val="18"/>
          <w:szCs w:val="20"/>
        </w:rPr>
      </w:pPr>
      <w:r>
        <w:rPr>
          <w:rFonts w:cs="Arial"/>
          <w:sz w:val="18"/>
          <w:szCs w:val="20"/>
        </w:rPr>
        <w:t xml:space="preserve">** Modified consumer behaviour model in that only water based flavoured beverages and teas were assumed to contain </w:t>
      </w:r>
      <w:r w:rsidR="00E3403B">
        <w:rPr>
          <w:rFonts w:cs="Arial"/>
          <w:sz w:val="18"/>
          <w:szCs w:val="20"/>
        </w:rPr>
        <w:t>quillaia</w:t>
      </w:r>
      <w:r>
        <w:rPr>
          <w:rFonts w:cs="Arial"/>
          <w:sz w:val="18"/>
          <w:szCs w:val="20"/>
        </w:rPr>
        <w:t xml:space="preserve"> extract at either the MPL or zero concentration levels, proxy co</w:t>
      </w:r>
      <w:r w:rsidR="008536D6">
        <w:rPr>
          <w:rFonts w:cs="Arial"/>
          <w:sz w:val="18"/>
          <w:szCs w:val="20"/>
        </w:rPr>
        <w:t>n</w:t>
      </w:r>
      <w:r>
        <w:rPr>
          <w:rFonts w:cs="Arial"/>
          <w:sz w:val="18"/>
          <w:szCs w:val="20"/>
        </w:rPr>
        <w:t>c</w:t>
      </w:r>
      <w:r w:rsidR="008536D6">
        <w:rPr>
          <w:rFonts w:cs="Arial"/>
          <w:sz w:val="18"/>
          <w:szCs w:val="20"/>
        </w:rPr>
        <w:t>entratio</w:t>
      </w:r>
      <w:r>
        <w:rPr>
          <w:rFonts w:cs="Arial"/>
          <w:sz w:val="18"/>
          <w:szCs w:val="20"/>
        </w:rPr>
        <w:t>n used for all other beverages</w:t>
      </w:r>
      <w:r w:rsidR="00393501">
        <w:rPr>
          <w:rFonts w:cs="Arial"/>
          <w:sz w:val="18"/>
          <w:szCs w:val="20"/>
        </w:rPr>
        <w:t>.</w:t>
      </w:r>
      <w:r>
        <w:rPr>
          <w:rFonts w:cs="Arial"/>
          <w:sz w:val="18"/>
          <w:szCs w:val="20"/>
        </w:rPr>
        <w:t xml:space="preserve"> </w:t>
      </w:r>
    </w:p>
    <w:p w:rsidR="0010297D" w:rsidRPr="00590B52" w:rsidRDefault="0010297D" w:rsidP="0010297D">
      <w:pPr>
        <w:widowControl/>
        <w:spacing w:after="200" w:line="276" w:lineRule="auto"/>
        <w:rPr>
          <w:rFonts w:cs="Arial"/>
          <w:b/>
        </w:rPr>
        <w:sectPr w:rsidR="0010297D" w:rsidRPr="00590B52" w:rsidSect="0010297D">
          <w:pgSz w:w="16838" w:h="11906" w:orient="landscape"/>
          <w:pgMar w:top="1440" w:right="1440" w:bottom="1440" w:left="1440" w:header="708" w:footer="708" w:gutter="0"/>
          <w:cols w:space="708"/>
          <w:docGrid w:linePitch="360"/>
        </w:sectPr>
      </w:pPr>
    </w:p>
    <w:p w:rsidR="0010297D" w:rsidRPr="00B07ABD" w:rsidRDefault="0010297D" w:rsidP="0010297D">
      <w:pPr>
        <w:pStyle w:val="Heading4"/>
      </w:pPr>
      <w:r w:rsidRPr="00B07ABD">
        <w:lastRenderedPageBreak/>
        <w:t>4.1.</w:t>
      </w:r>
      <w:r w:rsidR="001F4B6E">
        <w:t>3.1</w:t>
      </w:r>
      <w:r w:rsidRPr="00B07ABD">
        <w:tab/>
      </w:r>
      <w:r w:rsidR="00190EC0">
        <w:t>Inclusion of foods</w:t>
      </w:r>
      <w:r w:rsidR="00CD1725">
        <w:t xml:space="preserve"> not available at time of </w:t>
      </w:r>
      <w:r w:rsidR="00531E25">
        <w:t xml:space="preserve">nutrition </w:t>
      </w:r>
      <w:r w:rsidR="00CD1725">
        <w:t>survey</w:t>
      </w:r>
      <w:r w:rsidR="00190EC0">
        <w:t xml:space="preserve"> in the predicted dietary exposures</w:t>
      </w:r>
    </w:p>
    <w:p w:rsidR="0010297D" w:rsidRDefault="0010297D" w:rsidP="0010297D">
      <w:pPr>
        <w:rPr>
          <w:b/>
        </w:rPr>
      </w:pPr>
    </w:p>
    <w:p w:rsidR="0010297D" w:rsidRDefault="0010297D" w:rsidP="0010297D">
      <w:pPr>
        <w:rPr>
          <w:rFonts w:cs="Arial"/>
        </w:rPr>
      </w:pPr>
      <w:r>
        <w:rPr>
          <w:rFonts w:cs="Arial"/>
        </w:rPr>
        <w:t xml:space="preserve">The Applicant had requested the use of </w:t>
      </w:r>
      <w:r w:rsidR="00E3403B">
        <w:rPr>
          <w:rFonts w:cs="Arial"/>
        </w:rPr>
        <w:t>quillaia</w:t>
      </w:r>
      <w:r>
        <w:rPr>
          <w:rFonts w:cs="Arial"/>
        </w:rPr>
        <w:t xml:space="preserve"> saponins in formulated beverages and flavoured teas</w:t>
      </w:r>
      <w:r w:rsidR="00CB036A">
        <w:rPr>
          <w:rFonts w:cs="Arial"/>
        </w:rPr>
        <w:t xml:space="preserve"> in addition to other</w:t>
      </w:r>
      <w:r w:rsidR="00106C20">
        <w:rPr>
          <w:rFonts w:cs="Arial"/>
        </w:rPr>
        <w:t xml:space="preserve"> </w:t>
      </w:r>
      <w:r w:rsidR="00CB036A">
        <w:rPr>
          <w:rFonts w:cs="Arial"/>
        </w:rPr>
        <w:t>food categories</w:t>
      </w:r>
      <w:r>
        <w:rPr>
          <w:rFonts w:cs="Arial"/>
        </w:rPr>
        <w:t xml:space="preserve">. </w:t>
      </w:r>
      <w:r w:rsidR="007F1D47">
        <w:rPr>
          <w:rFonts w:cs="Arial"/>
        </w:rPr>
        <w:t>Although now available for purchase, t</w:t>
      </w:r>
      <w:r>
        <w:rPr>
          <w:rFonts w:cs="Arial"/>
        </w:rPr>
        <w:t xml:space="preserve">hese </w:t>
      </w:r>
      <w:r w:rsidR="00106C20">
        <w:rPr>
          <w:rFonts w:cs="Arial"/>
        </w:rPr>
        <w:t xml:space="preserve">two </w:t>
      </w:r>
      <w:r>
        <w:rPr>
          <w:rFonts w:cs="Arial"/>
        </w:rPr>
        <w:t>foods were not commonly available on the markets in either Australia or New Zealand in 1995 and 1997 when</w:t>
      </w:r>
      <w:r w:rsidR="00852170">
        <w:rPr>
          <w:rFonts w:cs="Arial"/>
        </w:rPr>
        <w:t xml:space="preserve"> these</w:t>
      </w:r>
      <w:r>
        <w:rPr>
          <w:rFonts w:cs="Arial"/>
        </w:rPr>
        <w:t xml:space="preserve"> two nutrition surveys were conducted</w:t>
      </w:r>
      <w:r w:rsidR="00106C20">
        <w:rPr>
          <w:rFonts w:cs="Arial"/>
        </w:rPr>
        <w:t>,</w:t>
      </w:r>
      <w:r>
        <w:rPr>
          <w:rFonts w:cs="Arial"/>
        </w:rPr>
        <w:t xml:space="preserve"> therefore, </w:t>
      </w:r>
      <w:r w:rsidR="00740E4A">
        <w:rPr>
          <w:rFonts w:cs="Arial"/>
        </w:rPr>
        <w:t>consumption of these foods w</w:t>
      </w:r>
      <w:r w:rsidR="0043530C">
        <w:rPr>
          <w:rFonts w:cs="Arial"/>
        </w:rPr>
        <w:t>as</w:t>
      </w:r>
      <w:r w:rsidR="00740E4A">
        <w:rPr>
          <w:rFonts w:cs="Arial"/>
        </w:rPr>
        <w:t xml:space="preserve"> not</w:t>
      </w:r>
      <w:r>
        <w:rPr>
          <w:rFonts w:cs="Arial"/>
        </w:rPr>
        <w:t xml:space="preserve"> reported. </w:t>
      </w:r>
    </w:p>
    <w:p w:rsidR="007F1D47" w:rsidRDefault="007F1D47" w:rsidP="0010297D">
      <w:pPr>
        <w:rPr>
          <w:rFonts w:cs="Arial"/>
        </w:rPr>
      </w:pPr>
    </w:p>
    <w:p w:rsidR="00E26E6B" w:rsidRDefault="0010297D" w:rsidP="0010297D">
      <w:r>
        <w:rPr>
          <w:rFonts w:cs="Arial"/>
        </w:rPr>
        <w:t xml:space="preserve">To take account of this, market weighted concentrations were calculated </w:t>
      </w:r>
      <w:r w:rsidR="007F1D47">
        <w:rPr>
          <w:rFonts w:cs="Arial"/>
        </w:rPr>
        <w:t xml:space="preserve">for the food categories </w:t>
      </w:r>
      <w:r>
        <w:rPr>
          <w:rFonts w:cs="Arial"/>
        </w:rPr>
        <w:t>of which they are components</w:t>
      </w:r>
      <w:r w:rsidR="00644337">
        <w:rPr>
          <w:rFonts w:cs="Arial"/>
        </w:rPr>
        <w:t>,</w:t>
      </w:r>
      <w:r w:rsidR="007F1D47">
        <w:rPr>
          <w:rFonts w:cs="Arial"/>
        </w:rPr>
        <w:t xml:space="preserve"> based on current market share data obtained from the </w:t>
      </w:r>
      <w:r w:rsidR="007F1D47" w:rsidRPr="00E16F07">
        <w:rPr>
          <w:i/>
        </w:rPr>
        <w:t>RetailWorld Annual Report</w:t>
      </w:r>
      <w:r w:rsidR="007F1D47">
        <w:rPr>
          <w:i/>
        </w:rPr>
        <w:t xml:space="preserve">, </w:t>
      </w:r>
      <w:r w:rsidR="007F1D47" w:rsidRPr="00E16F07">
        <w:rPr>
          <w:i/>
        </w:rPr>
        <w:t>December 2011</w:t>
      </w:r>
      <w:r>
        <w:rPr>
          <w:rFonts w:cs="Arial"/>
        </w:rPr>
        <w:t xml:space="preserve">. The calculated values were then </w:t>
      </w:r>
      <w:r w:rsidR="00D60C26">
        <w:rPr>
          <w:rFonts w:cs="Arial"/>
        </w:rPr>
        <w:t xml:space="preserve">used together with the </w:t>
      </w:r>
      <w:r w:rsidR="007F1D47">
        <w:rPr>
          <w:rFonts w:cs="Arial"/>
        </w:rPr>
        <w:t>proportion</w:t>
      </w:r>
      <w:r w:rsidR="00D60C26">
        <w:rPr>
          <w:rFonts w:cs="Arial"/>
        </w:rPr>
        <w:t xml:space="preserve"> of </w:t>
      </w:r>
      <w:r w:rsidR="00B33F29">
        <w:rPr>
          <w:rFonts w:cs="Arial"/>
        </w:rPr>
        <w:t xml:space="preserve">the products likely to include </w:t>
      </w:r>
      <w:r w:rsidR="00E3403B">
        <w:rPr>
          <w:rFonts w:cs="Arial"/>
        </w:rPr>
        <w:t>quillaia</w:t>
      </w:r>
      <w:r w:rsidR="00D60C26">
        <w:rPr>
          <w:rFonts w:cs="Arial"/>
        </w:rPr>
        <w:t xml:space="preserve"> saponins</w:t>
      </w:r>
      <w:r w:rsidR="006216A6">
        <w:rPr>
          <w:rFonts w:cs="Arial"/>
        </w:rPr>
        <w:t>,</w:t>
      </w:r>
      <w:r w:rsidR="00897E33">
        <w:rPr>
          <w:rFonts w:cs="Arial"/>
        </w:rPr>
        <w:t xml:space="preserve"> to provide the proxy </w:t>
      </w:r>
      <w:r w:rsidR="00740E4A">
        <w:rPr>
          <w:rFonts w:cs="Arial"/>
        </w:rPr>
        <w:t xml:space="preserve">MPL </w:t>
      </w:r>
      <w:r w:rsidR="00531E25">
        <w:rPr>
          <w:rFonts w:cs="Arial"/>
        </w:rPr>
        <w:t>concentration</w:t>
      </w:r>
      <w:r w:rsidR="00B33F29">
        <w:rPr>
          <w:rFonts w:cs="Arial"/>
        </w:rPr>
        <w:t xml:space="preserve"> of </w:t>
      </w:r>
      <w:r w:rsidR="00E3403B">
        <w:rPr>
          <w:rFonts w:cs="Arial"/>
        </w:rPr>
        <w:t>quillaia</w:t>
      </w:r>
      <w:r w:rsidR="00897E33">
        <w:rPr>
          <w:rFonts w:cs="Arial"/>
        </w:rPr>
        <w:t xml:space="preserve"> saponins in these foods</w:t>
      </w:r>
      <w:r>
        <w:rPr>
          <w:rFonts w:cs="Arial"/>
        </w:rPr>
        <w:t xml:space="preserve">. </w:t>
      </w:r>
      <w:r w:rsidR="007F1D47">
        <w:t xml:space="preserve">The details of how the calculations were done and the values obtained for use in the exposure assessments are shown in section </w:t>
      </w:r>
      <w:r w:rsidR="007F1D47" w:rsidRPr="00277AD0">
        <w:t>A1.4 of</w:t>
      </w:r>
      <w:r w:rsidR="007F1D47" w:rsidRPr="00277AD0">
        <w:rPr>
          <w:b/>
        </w:rPr>
        <w:t xml:space="preserve"> </w:t>
      </w:r>
      <w:r w:rsidR="007F1D47" w:rsidRPr="00277AD0">
        <w:t>Appendix 1</w:t>
      </w:r>
      <w:r w:rsidR="00E26E6B">
        <w:t xml:space="preserve"> with the final values summarised in Table 4.1</w:t>
      </w:r>
      <w:r w:rsidR="007F1D47">
        <w:t xml:space="preserve">. </w:t>
      </w:r>
    </w:p>
    <w:p w:rsidR="00E26E6B" w:rsidRDefault="00E26E6B" w:rsidP="0010297D"/>
    <w:p w:rsidR="0010297D" w:rsidRDefault="0010297D" w:rsidP="0010297D">
      <w:pPr>
        <w:rPr>
          <w:rFonts w:cs="Arial"/>
        </w:rPr>
      </w:pPr>
      <w:r>
        <w:rPr>
          <w:rFonts w:cs="Arial"/>
        </w:rPr>
        <w:t>Because weighted concentrations</w:t>
      </w:r>
      <w:r w:rsidR="006216A6">
        <w:rPr>
          <w:rFonts w:cs="Arial"/>
        </w:rPr>
        <w:t xml:space="preserve"> were used in the calculations</w:t>
      </w:r>
      <w:r>
        <w:rPr>
          <w:rFonts w:cs="Arial"/>
        </w:rPr>
        <w:t xml:space="preserve">, the </w:t>
      </w:r>
      <w:r w:rsidR="00A37409">
        <w:rPr>
          <w:rFonts w:cs="Arial"/>
        </w:rPr>
        <w:t>predicted</w:t>
      </w:r>
      <w:r>
        <w:rPr>
          <w:rFonts w:cs="Arial"/>
        </w:rPr>
        <w:t xml:space="preserve"> dietary exposures </w:t>
      </w:r>
      <w:r w:rsidR="00740E4A">
        <w:rPr>
          <w:rFonts w:cs="Arial"/>
        </w:rPr>
        <w:t xml:space="preserve">can only </w:t>
      </w:r>
      <w:r w:rsidR="006216A6">
        <w:rPr>
          <w:rFonts w:cs="Arial"/>
        </w:rPr>
        <w:t xml:space="preserve">infer </w:t>
      </w:r>
      <w:r w:rsidR="00740E4A">
        <w:rPr>
          <w:rFonts w:cs="Arial"/>
        </w:rPr>
        <w:t xml:space="preserve">the </w:t>
      </w:r>
      <w:r>
        <w:rPr>
          <w:rFonts w:cs="Arial"/>
        </w:rPr>
        <w:t>long term dietary exposures for the population</w:t>
      </w:r>
      <w:r w:rsidR="00531E25">
        <w:rPr>
          <w:rFonts w:cs="Arial"/>
        </w:rPr>
        <w:t>s</w:t>
      </w:r>
      <w:r w:rsidR="00740E4A">
        <w:rPr>
          <w:rFonts w:cs="Arial"/>
        </w:rPr>
        <w:t xml:space="preserve"> </w:t>
      </w:r>
      <w:r>
        <w:rPr>
          <w:rFonts w:cs="Arial"/>
        </w:rPr>
        <w:t>as a whole.</w:t>
      </w:r>
      <w:r w:rsidR="007F1D47" w:rsidRPr="007F1D47">
        <w:t xml:space="preserve"> </w:t>
      </w:r>
    </w:p>
    <w:p w:rsidR="00740E4A" w:rsidRDefault="00740E4A" w:rsidP="00740E4A">
      <w:pPr>
        <w:rPr>
          <w:rFonts w:cs="Arial"/>
        </w:rPr>
      </w:pPr>
    </w:p>
    <w:p w:rsidR="00195EA3" w:rsidRDefault="00195EA3" w:rsidP="0010297D">
      <w:pPr>
        <w:rPr>
          <w:rFonts w:cs="Arial"/>
        </w:rPr>
      </w:pPr>
    </w:p>
    <w:p w:rsidR="0010297D" w:rsidRPr="006A3FB3" w:rsidRDefault="001F4B6E" w:rsidP="0010297D">
      <w:pPr>
        <w:pStyle w:val="Heading4"/>
      </w:pPr>
      <w:r w:rsidRPr="006A3FB3">
        <w:t>4.1.3.2</w:t>
      </w:r>
      <w:r w:rsidR="0010297D" w:rsidRPr="006A3FB3">
        <w:tab/>
      </w:r>
      <w:r w:rsidR="00422890">
        <w:t>Modified c</w:t>
      </w:r>
      <w:r w:rsidR="0010297D" w:rsidRPr="006A3FB3">
        <w:t xml:space="preserve">onsumer behaviour </w:t>
      </w:r>
      <w:r w:rsidR="000B6A5B">
        <w:t>model</w:t>
      </w:r>
      <w:r w:rsidR="009E0A06" w:rsidRPr="006A3FB3">
        <w:t xml:space="preserve"> </w:t>
      </w:r>
    </w:p>
    <w:p w:rsidR="003C0925" w:rsidRDefault="003C0925" w:rsidP="0010297D">
      <w:pPr>
        <w:rPr>
          <w:rFonts w:cs="Arial"/>
        </w:rPr>
      </w:pPr>
    </w:p>
    <w:p w:rsidR="00B11BF2" w:rsidRPr="00DF09F2" w:rsidRDefault="0010297D" w:rsidP="00B11BF2">
      <w:pPr>
        <w:rPr>
          <w:rFonts w:cs="Arial"/>
        </w:rPr>
      </w:pPr>
      <w:r>
        <w:rPr>
          <w:rFonts w:cs="Arial"/>
        </w:rPr>
        <w:t xml:space="preserve">The use of market weighted concentrations in </w:t>
      </w:r>
      <w:r w:rsidR="001F4B6E">
        <w:rPr>
          <w:rFonts w:cs="Arial"/>
        </w:rPr>
        <w:t>the</w:t>
      </w:r>
      <w:r>
        <w:rPr>
          <w:rFonts w:cs="Arial"/>
        </w:rPr>
        <w:t xml:space="preserve"> exposure assessment</w:t>
      </w:r>
      <w:r w:rsidR="001F4B6E" w:rsidRPr="001F4B6E">
        <w:rPr>
          <w:rFonts w:cs="Arial"/>
        </w:rPr>
        <w:t xml:space="preserve"> </w:t>
      </w:r>
      <w:r w:rsidR="001F4B6E">
        <w:rPr>
          <w:rFonts w:cs="Arial"/>
        </w:rPr>
        <w:t xml:space="preserve">for </w:t>
      </w:r>
      <w:r w:rsidR="00CB1E4C">
        <w:rPr>
          <w:rFonts w:cs="Arial"/>
        </w:rPr>
        <w:t xml:space="preserve">Australians aged 17 years and above (1995 NNS) and for the New Zealand population aged 15 years  and above (1997 NNS), </w:t>
      </w:r>
      <w:r>
        <w:rPr>
          <w:rFonts w:cs="Arial"/>
        </w:rPr>
        <w:t xml:space="preserve">does not give an indication of potential dietary exposure for specific consumers </w:t>
      </w:r>
      <w:r w:rsidR="00CB1E4C">
        <w:rPr>
          <w:rFonts w:cs="Arial"/>
        </w:rPr>
        <w:t xml:space="preserve">in these populations </w:t>
      </w:r>
      <w:r>
        <w:rPr>
          <w:rFonts w:cs="Arial"/>
        </w:rPr>
        <w:t>who may be brand or product loyal</w:t>
      </w:r>
      <w:r w:rsidR="00DF09F2">
        <w:rPr>
          <w:rFonts w:cs="Arial"/>
        </w:rPr>
        <w:t>. These consumers may choose to</w:t>
      </w:r>
      <w:r>
        <w:rPr>
          <w:rFonts w:cs="Arial"/>
        </w:rPr>
        <w:t xml:space="preserve"> always</w:t>
      </w:r>
      <w:r w:rsidR="00852170">
        <w:rPr>
          <w:rFonts w:cs="Arial"/>
        </w:rPr>
        <w:t>, or never,</w:t>
      </w:r>
      <w:r>
        <w:rPr>
          <w:rFonts w:cs="Arial"/>
        </w:rPr>
        <w:t xml:space="preserve"> consume </w:t>
      </w:r>
      <w:r w:rsidR="00DF09F2">
        <w:rPr>
          <w:rFonts w:cs="Arial"/>
        </w:rPr>
        <w:t xml:space="preserve">the </w:t>
      </w:r>
      <w:r>
        <w:rPr>
          <w:rFonts w:cs="Arial"/>
        </w:rPr>
        <w:t xml:space="preserve">specific type of food. Therefore, for </w:t>
      </w:r>
      <w:r w:rsidR="00CB1E4C">
        <w:rPr>
          <w:rFonts w:cs="Arial"/>
        </w:rPr>
        <w:t>these population groups</w:t>
      </w:r>
      <w:r w:rsidR="00190EC0">
        <w:rPr>
          <w:rFonts w:cs="Arial"/>
        </w:rPr>
        <w:t xml:space="preserve">, a </w:t>
      </w:r>
      <w:r w:rsidR="00E62AA4">
        <w:rPr>
          <w:rFonts w:cs="Arial"/>
        </w:rPr>
        <w:t>m</w:t>
      </w:r>
      <w:r w:rsidR="00422890">
        <w:rPr>
          <w:rFonts w:cs="Arial"/>
        </w:rPr>
        <w:t xml:space="preserve">odified </w:t>
      </w:r>
      <w:r w:rsidR="00190EC0">
        <w:rPr>
          <w:rFonts w:cs="Arial"/>
        </w:rPr>
        <w:t>‘</w:t>
      </w:r>
      <w:r w:rsidR="00422890">
        <w:rPr>
          <w:rFonts w:cs="Arial"/>
        </w:rPr>
        <w:t>c</w:t>
      </w:r>
      <w:r>
        <w:rPr>
          <w:rFonts w:cs="Arial"/>
        </w:rPr>
        <w:t>onsumer behaviour’ dietary exposure assessment was also conducted</w:t>
      </w:r>
      <w:r w:rsidR="000B6A5B">
        <w:rPr>
          <w:rFonts w:cs="Arial"/>
        </w:rPr>
        <w:t xml:space="preserve"> for the 1995 and 1997 NNSs only</w:t>
      </w:r>
      <w:r>
        <w:rPr>
          <w:rFonts w:cs="Arial"/>
        </w:rPr>
        <w:t>.</w:t>
      </w:r>
      <w:r w:rsidR="00B11BF2">
        <w:rPr>
          <w:rFonts w:cs="Arial"/>
        </w:rPr>
        <w:t xml:space="preserve"> As food consumption records were available for beverages other than formulated beverages and flavoured teas in these two surveys, the consumer behaviour m</w:t>
      </w:r>
      <w:r w:rsidR="008536D6">
        <w:rPr>
          <w:rFonts w:cs="Arial"/>
        </w:rPr>
        <w:t>o</w:t>
      </w:r>
      <w:r w:rsidR="00B11BF2">
        <w:rPr>
          <w:rFonts w:cs="Arial"/>
        </w:rPr>
        <w:t>del was modif</w:t>
      </w:r>
      <w:r w:rsidR="008536D6">
        <w:rPr>
          <w:rFonts w:cs="Arial"/>
        </w:rPr>
        <w:t>i</w:t>
      </w:r>
      <w:r w:rsidR="00B11BF2">
        <w:rPr>
          <w:rFonts w:cs="Arial"/>
        </w:rPr>
        <w:t>ed to include these two categories only, rather than all foods.</w:t>
      </w:r>
    </w:p>
    <w:p w:rsidR="0010297D" w:rsidRDefault="0010297D" w:rsidP="0010297D">
      <w:pPr>
        <w:rPr>
          <w:rFonts w:cs="Arial"/>
        </w:rPr>
      </w:pPr>
    </w:p>
    <w:p w:rsidR="0010297D" w:rsidRDefault="0010297D" w:rsidP="0010297D">
      <w:pPr>
        <w:rPr>
          <w:rFonts w:cs="Arial"/>
        </w:rPr>
      </w:pPr>
      <w:r w:rsidRPr="00DF09F2">
        <w:rPr>
          <w:rFonts w:cs="Arial"/>
        </w:rPr>
        <w:t xml:space="preserve">The assessment used two models to </w:t>
      </w:r>
      <w:r w:rsidR="00DF09F2">
        <w:rPr>
          <w:rFonts w:cs="Arial"/>
        </w:rPr>
        <w:t>determine</w:t>
      </w:r>
      <w:r w:rsidRPr="00DF09F2">
        <w:rPr>
          <w:rFonts w:cs="Arial"/>
        </w:rPr>
        <w:t xml:space="preserve"> the two possible extremes of consumer behaviour</w:t>
      </w:r>
      <w:r w:rsidR="00DF09F2">
        <w:rPr>
          <w:rFonts w:cs="Arial"/>
        </w:rPr>
        <w:t xml:space="preserve"> in such a situation</w:t>
      </w:r>
      <w:r w:rsidRPr="00DF09F2">
        <w:rPr>
          <w:rFonts w:cs="Arial"/>
        </w:rPr>
        <w:t xml:space="preserve">. </w:t>
      </w:r>
      <w:r w:rsidR="00BA374C">
        <w:rPr>
          <w:rFonts w:cs="Arial"/>
        </w:rPr>
        <w:t xml:space="preserve">In </w:t>
      </w:r>
      <w:r w:rsidRPr="00DF09F2">
        <w:rPr>
          <w:rFonts w:cs="Arial"/>
        </w:rPr>
        <w:t>Model 1</w:t>
      </w:r>
      <w:r w:rsidR="00150B88" w:rsidRPr="00DF09F2">
        <w:rPr>
          <w:rFonts w:cs="Arial"/>
        </w:rPr>
        <w:t xml:space="preserve"> (40-30)</w:t>
      </w:r>
      <w:r w:rsidRPr="00DF09F2">
        <w:rPr>
          <w:rFonts w:cs="Arial"/>
        </w:rPr>
        <w:t xml:space="preserve"> all the food groups in the </w:t>
      </w:r>
      <w:r w:rsidRPr="00DF09F2">
        <w:rPr>
          <w:rFonts w:cs="Arial"/>
          <w:i/>
        </w:rPr>
        <w:t xml:space="preserve">Water based flavoured drinks </w:t>
      </w:r>
      <w:r w:rsidRPr="00DF09F2">
        <w:rPr>
          <w:rFonts w:cs="Arial"/>
        </w:rPr>
        <w:t>category</w:t>
      </w:r>
      <w:r w:rsidRPr="00DF09F2">
        <w:rPr>
          <w:rFonts w:cs="Arial"/>
          <w:i/>
        </w:rPr>
        <w:t xml:space="preserve"> (</w:t>
      </w:r>
      <w:r w:rsidRPr="00DF09F2">
        <w:rPr>
          <w:rFonts w:cs="Arial"/>
        </w:rPr>
        <w:t>WBFD)</w:t>
      </w:r>
      <w:r w:rsidR="00BA374C">
        <w:rPr>
          <w:rFonts w:cs="Arial"/>
        </w:rPr>
        <w:t xml:space="preserve"> were</w:t>
      </w:r>
      <w:r w:rsidRPr="00DF09F2">
        <w:rPr>
          <w:rFonts w:cs="Arial"/>
        </w:rPr>
        <w:t xml:space="preserve"> </w:t>
      </w:r>
      <w:r w:rsidR="00BA374C" w:rsidRPr="00DF09F2">
        <w:rPr>
          <w:rFonts w:cs="Arial"/>
        </w:rPr>
        <w:t xml:space="preserve">assigned </w:t>
      </w:r>
      <w:r w:rsidRPr="00DF09F2">
        <w:rPr>
          <w:rFonts w:cs="Arial"/>
        </w:rPr>
        <w:t xml:space="preserve">the Applicant’s proposed </w:t>
      </w:r>
      <w:r w:rsidR="00BA374C">
        <w:rPr>
          <w:rFonts w:cs="Arial"/>
        </w:rPr>
        <w:t>MPL</w:t>
      </w:r>
      <w:r w:rsidRPr="00DF09F2">
        <w:rPr>
          <w:rFonts w:cs="Arial"/>
        </w:rPr>
        <w:t xml:space="preserve"> of </w:t>
      </w:r>
      <w:r w:rsidR="001D3A13" w:rsidRPr="00DF09F2">
        <w:rPr>
          <w:rFonts w:cs="Arial"/>
        </w:rPr>
        <w:t xml:space="preserve">40 </w:t>
      </w:r>
      <w:r w:rsidRPr="00DF09F2">
        <w:rPr>
          <w:rFonts w:cs="Arial"/>
        </w:rPr>
        <w:t>mg/kg for formulated beverages. All teas in this model were assigned an MPL of 30 mg/kg. This model assumes a brand or product loyal consumer always selects formulated</w:t>
      </w:r>
      <w:r w:rsidR="00150B88" w:rsidRPr="00DF09F2">
        <w:rPr>
          <w:rFonts w:cs="Arial"/>
        </w:rPr>
        <w:t xml:space="preserve"> beverages </w:t>
      </w:r>
      <w:r w:rsidR="00CB1E4C">
        <w:rPr>
          <w:rFonts w:cs="Arial"/>
        </w:rPr>
        <w:t xml:space="preserve">which contain </w:t>
      </w:r>
      <w:r w:rsidR="00E3403B">
        <w:rPr>
          <w:rFonts w:cs="Arial"/>
        </w:rPr>
        <w:t>quillaia</w:t>
      </w:r>
      <w:r w:rsidR="00CB1E4C">
        <w:rPr>
          <w:rFonts w:cs="Arial"/>
        </w:rPr>
        <w:t xml:space="preserve"> saponins </w:t>
      </w:r>
      <w:r w:rsidR="00150B88" w:rsidRPr="00DF09F2">
        <w:rPr>
          <w:rFonts w:cs="Arial"/>
        </w:rPr>
        <w:t xml:space="preserve">whenever they have </w:t>
      </w:r>
      <w:r w:rsidRPr="00DF09F2">
        <w:rPr>
          <w:rFonts w:cs="Arial"/>
        </w:rPr>
        <w:t>water based flavoured drink</w:t>
      </w:r>
      <w:r w:rsidR="00150B88" w:rsidRPr="00DF09F2">
        <w:rPr>
          <w:rFonts w:cs="Arial"/>
        </w:rPr>
        <w:t>,</w:t>
      </w:r>
      <w:r w:rsidRPr="00DF09F2">
        <w:rPr>
          <w:rFonts w:cs="Arial"/>
        </w:rPr>
        <w:t xml:space="preserve"> and always selects flavoured teas </w:t>
      </w:r>
      <w:r w:rsidR="00150B88" w:rsidRPr="00DF09F2">
        <w:rPr>
          <w:rFonts w:cs="Arial"/>
        </w:rPr>
        <w:t xml:space="preserve">which contain </w:t>
      </w:r>
      <w:r w:rsidR="00E3403B">
        <w:rPr>
          <w:rFonts w:cs="Arial"/>
        </w:rPr>
        <w:t>quillaia</w:t>
      </w:r>
      <w:r w:rsidR="00150B88" w:rsidRPr="00DF09F2">
        <w:rPr>
          <w:rFonts w:cs="Arial"/>
        </w:rPr>
        <w:t xml:space="preserve"> saponins when having tea</w:t>
      </w:r>
      <w:r w:rsidRPr="00DF09F2">
        <w:rPr>
          <w:rFonts w:cs="Arial"/>
        </w:rPr>
        <w:t>.</w:t>
      </w:r>
      <w:r w:rsidR="00B11BF2">
        <w:rPr>
          <w:rFonts w:cs="Arial"/>
        </w:rPr>
        <w:t xml:space="preserve"> </w:t>
      </w:r>
      <w:r w:rsidRPr="00DF09F2">
        <w:rPr>
          <w:rFonts w:cs="Arial"/>
        </w:rPr>
        <w:t>In Model 2</w:t>
      </w:r>
      <w:r w:rsidR="00150B88" w:rsidRPr="00DF09F2">
        <w:rPr>
          <w:rFonts w:cs="Arial"/>
        </w:rPr>
        <w:t xml:space="preserve"> (0-0)</w:t>
      </w:r>
      <w:r w:rsidRPr="00DF09F2">
        <w:rPr>
          <w:rFonts w:cs="Arial"/>
        </w:rPr>
        <w:t xml:space="preserve"> all WBFD</w:t>
      </w:r>
      <w:r w:rsidR="00D65772">
        <w:rPr>
          <w:rFonts w:cs="Arial"/>
        </w:rPr>
        <w:t>s</w:t>
      </w:r>
      <w:r w:rsidRPr="00DF09F2">
        <w:rPr>
          <w:rFonts w:cs="Arial"/>
        </w:rPr>
        <w:t xml:space="preserve"> </w:t>
      </w:r>
      <w:r w:rsidR="0054540D" w:rsidRPr="00DF09F2">
        <w:rPr>
          <w:rFonts w:cs="Arial"/>
        </w:rPr>
        <w:t xml:space="preserve">and all teas </w:t>
      </w:r>
      <w:r w:rsidRPr="00DF09F2">
        <w:rPr>
          <w:rFonts w:cs="Arial"/>
        </w:rPr>
        <w:t xml:space="preserve">were </w:t>
      </w:r>
      <w:r w:rsidR="0054540D">
        <w:rPr>
          <w:rFonts w:cs="Arial"/>
        </w:rPr>
        <w:t xml:space="preserve">each </w:t>
      </w:r>
      <w:r w:rsidRPr="00DF09F2">
        <w:rPr>
          <w:rFonts w:cs="Arial"/>
        </w:rPr>
        <w:t xml:space="preserve">assigned an MPL of 0 mg/kg. This assumes a brand or product loyal consumer selects </w:t>
      </w:r>
      <w:r w:rsidR="00B11BF2">
        <w:rPr>
          <w:rFonts w:cs="Arial"/>
        </w:rPr>
        <w:t xml:space="preserve">a </w:t>
      </w:r>
      <w:r w:rsidR="00B11BF2" w:rsidRPr="00DF09F2">
        <w:rPr>
          <w:rFonts w:cs="Arial"/>
        </w:rPr>
        <w:t xml:space="preserve">formulated beverages </w:t>
      </w:r>
      <w:r w:rsidR="00B11BF2">
        <w:rPr>
          <w:rFonts w:cs="Arial"/>
        </w:rPr>
        <w:t xml:space="preserve">which does not contain </w:t>
      </w:r>
      <w:r w:rsidR="00E3403B">
        <w:rPr>
          <w:rFonts w:cs="Arial"/>
        </w:rPr>
        <w:t>quillaia</w:t>
      </w:r>
      <w:r w:rsidR="00B11BF2">
        <w:rPr>
          <w:rFonts w:cs="Arial"/>
        </w:rPr>
        <w:t xml:space="preserve"> saponins </w:t>
      </w:r>
      <w:r w:rsidR="00B11BF2" w:rsidRPr="00DF09F2">
        <w:rPr>
          <w:rFonts w:cs="Arial"/>
        </w:rPr>
        <w:t>whenever they have water based flavoured drink</w:t>
      </w:r>
      <w:r w:rsidR="00B11BF2" w:rsidRPr="00DF09F2" w:rsidDel="00B11BF2">
        <w:rPr>
          <w:rFonts w:cs="Arial"/>
        </w:rPr>
        <w:t xml:space="preserve"> </w:t>
      </w:r>
      <w:r w:rsidRPr="00DF09F2">
        <w:rPr>
          <w:rFonts w:cs="Arial"/>
        </w:rPr>
        <w:t xml:space="preserve">or </w:t>
      </w:r>
      <w:r w:rsidR="00B11BF2">
        <w:rPr>
          <w:rFonts w:cs="Arial"/>
        </w:rPr>
        <w:t xml:space="preserve">selects </w:t>
      </w:r>
      <w:r w:rsidRPr="00DF09F2">
        <w:rPr>
          <w:rFonts w:cs="Arial"/>
        </w:rPr>
        <w:t xml:space="preserve">flavoured teas </w:t>
      </w:r>
      <w:r w:rsidR="00B11BF2">
        <w:rPr>
          <w:rFonts w:cs="Arial"/>
        </w:rPr>
        <w:t xml:space="preserve">that do not </w:t>
      </w:r>
      <w:r w:rsidRPr="00DF09F2">
        <w:rPr>
          <w:rFonts w:cs="Arial"/>
        </w:rPr>
        <w:t xml:space="preserve">contain </w:t>
      </w:r>
      <w:r w:rsidR="00E3403B">
        <w:rPr>
          <w:rFonts w:cs="Arial"/>
        </w:rPr>
        <w:t>quillaia</w:t>
      </w:r>
      <w:r w:rsidRPr="00DF09F2">
        <w:rPr>
          <w:rFonts w:cs="Arial"/>
        </w:rPr>
        <w:t xml:space="preserve"> saponins</w:t>
      </w:r>
      <w:r w:rsidR="00B11BF2">
        <w:rPr>
          <w:rFonts w:cs="Arial"/>
        </w:rPr>
        <w:t xml:space="preserve"> when having tea</w:t>
      </w:r>
      <w:r w:rsidRPr="00DF09F2">
        <w:rPr>
          <w:rFonts w:cs="Arial"/>
        </w:rPr>
        <w:t>.</w:t>
      </w:r>
    </w:p>
    <w:p w:rsidR="0010297D" w:rsidRDefault="0010297D" w:rsidP="0010297D">
      <w:pPr>
        <w:rPr>
          <w:rFonts w:cs="Arial"/>
        </w:rPr>
      </w:pPr>
    </w:p>
    <w:p w:rsidR="00836544" w:rsidRDefault="0010297D" w:rsidP="0010297D">
      <w:pPr>
        <w:rPr>
          <w:rFonts w:cs="Arial"/>
        </w:rPr>
      </w:pPr>
      <w:r>
        <w:rPr>
          <w:rFonts w:cs="Arial"/>
        </w:rPr>
        <w:t xml:space="preserve">There are other possible combinations of </w:t>
      </w:r>
      <w:r w:rsidR="00422890">
        <w:rPr>
          <w:rFonts w:cs="Arial"/>
        </w:rPr>
        <w:t xml:space="preserve">the modified </w:t>
      </w:r>
      <w:r>
        <w:rPr>
          <w:rFonts w:cs="Arial"/>
        </w:rPr>
        <w:t>consumer behaviour exposure</w:t>
      </w:r>
      <w:r w:rsidR="00452CA3">
        <w:rPr>
          <w:rFonts w:cs="Arial"/>
        </w:rPr>
        <w:t>s, such as</w:t>
      </w:r>
      <w:r>
        <w:rPr>
          <w:rFonts w:cs="Arial"/>
        </w:rPr>
        <w:t xml:space="preserve"> </w:t>
      </w:r>
      <w:r w:rsidR="00452CA3">
        <w:rPr>
          <w:rFonts w:cs="Arial"/>
        </w:rPr>
        <w:t>a consumer choosing</w:t>
      </w:r>
      <w:r>
        <w:rPr>
          <w:rFonts w:cs="Arial"/>
        </w:rPr>
        <w:t xml:space="preserve"> a </w:t>
      </w:r>
      <w:r w:rsidR="009B618A">
        <w:rPr>
          <w:rFonts w:cs="Arial"/>
        </w:rPr>
        <w:t>WBFD</w:t>
      </w:r>
      <w:r>
        <w:rPr>
          <w:rFonts w:cs="Arial"/>
        </w:rPr>
        <w:t xml:space="preserve"> with </w:t>
      </w:r>
      <w:r w:rsidR="00E3403B">
        <w:rPr>
          <w:rFonts w:cs="Arial"/>
        </w:rPr>
        <w:t>quillaia</w:t>
      </w:r>
      <w:r>
        <w:rPr>
          <w:rFonts w:cs="Arial"/>
        </w:rPr>
        <w:t xml:space="preserve"> saponins and a tea with no </w:t>
      </w:r>
      <w:r w:rsidR="00E3403B">
        <w:rPr>
          <w:rFonts w:cs="Arial"/>
        </w:rPr>
        <w:t>quillaia</w:t>
      </w:r>
      <w:r>
        <w:rPr>
          <w:rFonts w:cs="Arial"/>
        </w:rPr>
        <w:t xml:space="preserve"> saponins</w:t>
      </w:r>
      <w:r w:rsidR="009B618A">
        <w:rPr>
          <w:rFonts w:cs="Arial"/>
        </w:rPr>
        <w:t xml:space="preserve">, or </w:t>
      </w:r>
      <w:r w:rsidR="00CB1E4C">
        <w:rPr>
          <w:rFonts w:cs="Arial"/>
        </w:rPr>
        <w:t>vice versa</w:t>
      </w:r>
      <w:r>
        <w:rPr>
          <w:rFonts w:cs="Arial"/>
        </w:rPr>
        <w:t xml:space="preserve">. </w:t>
      </w:r>
      <w:r w:rsidR="00452CA3">
        <w:rPr>
          <w:rFonts w:cs="Arial"/>
        </w:rPr>
        <w:t xml:space="preserve">However, </w:t>
      </w:r>
      <w:r w:rsidR="00CB1E4C">
        <w:rPr>
          <w:rFonts w:cs="Arial"/>
        </w:rPr>
        <w:t xml:space="preserve">it </w:t>
      </w:r>
      <w:r w:rsidR="005152F8">
        <w:rPr>
          <w:rFonts w:cs="Arial"/>
        </w:rPr>
        <w:t>was</w:t>
      </w:r>
      <w:r w:rsidR="0054540D">
        <w:rPr>
          <w:rFonts w:cs="Arial"/>
        </w:rPr>
        <w:t xml:space="preserve"> assumed that all other combinations of consumer behaviour would fall somewhe</w:t>
      </w:r>
      <w:r w:rsidR="00277AD0">
        <w:rPr>
          <w:rFonts w:cs="Arial"/>
        </w:rPr>
        <w:t>re between the results for the</w:t>
      </w:r>
      <w:r w:rsidR="0054540D">
        <w:rPr>
          <w:rFonts w:cs="Arial"/>
        </w:rPr>
        <w:t xml:space="preserve"> two models</w:t>
      </w:r>
      <w:r w:rsidR="00277AD0">
        <w:rPr>
          <w:rFonts w:cs="Arial"/>
        </w:rPr>
        <w:t xml:space="preserve"> used for the </w:t>
      </w:r>
      <w:r w:rsidR="00E62AA4">
        <w:rPr>
          <w:rFonts w:cs="Arial"/>
        </w:rPr>
        <w:t xml:space="preserve">modified </w:t>
      </w:r>
      <w:r w:rsidR="00277AD0">
        <w:rPr>
          <w:rFonts w:cs="Arial"/>
        </w:rPr>
        <w:t>consumer behaviour exposure assessment</w:t>
      </w:r>
      <w:r w:rsidR="0054540D">
        <w:rPr>
          <w:rFonts w:cs="Arial"/>
        </w:rPr>
        <w:t>.</w:t>
      </w:r>
    </w:p>
    <w:p w:rsidR="00836544" w:rsidRDefault="00836544" w:rsidP="0010297D">
      <w:pPr>
        <w:rPr>
          <w:rFonts w:cs="Arial"/>
        </w:rPr>
      </w:pPr>
    </w:p>
    <w:p w:rsidR="00836544" w:rsidRDefault="00836544" w:rsidP="0010297D">
      <w:pPr>
        <w:rPr>
          <w:rFonts w:cs="Arial"/>
        </w:rPr>
      </w:pPr>
      <w:r>
        <w:rPr>
          <w:rFonts w:cs="Arial"/>
        </w:rPr>
        <w:t>All other food groups were also included in these models and were assigned the proxy market weighted concentrations as per the population based DEAs.</w:t>
      </w:r>
    </w:p>
    <w:p w:rsidR="00955317" w:rsidRDefault="00955317" w:rsidP="0010297D">
      <w:pPr>
        <w:rPr>
          <w:rFonts w:cs="Arial"/>
        </w:rPr>
      </w:pPr>
    </w:p>
    <w:p w:rsidR="0010297D" w:rsidRPr="00462E9E" w:rsidRDefault="0010297D" w:rsidP="0010297D">
      <w:pPr>
        <w:pStyle w:val="Heading3"/>
      </w:pPr>
      <w:bookmarkStart w:id="77" w:name="_Toc360028618"/>
      <w:r w:rsidRPr="00462E9E">
        <w:lastRenderedPageBreak/>
        <w:t>4.1.</w:t>
      </w:r>
      <w:r>
        <w:t>4</w:t>
      </w:r>
      <w:r w:rsidRPr="00462E9E">
        <w:tab/>
        <w:t xml:space="preserve">Naturally occurring </w:t>
      </w:r>
      <w:r w:rsidR="00CB1E4C">
        <w:t>saponins</w:t>
      </w:r>
      <w:bookmarkEnd w:id="77"/>
    </w:p>
    <w:p w:rsidR="003C0925" w:rsidRDefault="003C0925" w:rsidP="0010297D">
      <w:pPr>
        <w:rPr>
          <w:rFonts w:cs="Arial"/>
        </w:rPr>
      </w:pPr>
    </w:p>
    <w:p w:rsidR="0010297D" w:rsidRPr="00832D05" w:rsidRDefault="0010297D" w:rsidP="0010297D">
      <w:pPr>
        <w:rPr>
          <w:rFonts w:cs="Arial"/>
        </w:rPr>
      </w:pPr>
      <w:r w:rsidRPr="00832D05">
        <w:rPr>
          <w:rFonts w:cs="Arial"/>
        </w:rPr>
        <w:t xml:space="preserve">There are many different </w:t>
      </w:r>
      <w:r>
        <w:rPr>
          <w:rFonts w:cs="Arial"/>
        </w:rPr>
        <w:t>kinds</w:t>
      </w:r>
      <w:r w:rsidRPr="00832D05">
        <w:rPr>
          <w:rFonts w:cs="Arial"/>
        </w:rPr>
        <w:t xml:space="preserve"> of </w:t>
      </w:r>
      <w:r>
        <w:rPr>
          <w:rFonts w:cs="Arial"/>
        </w:rPr>
        <w:t>saponins</w:t>
      </w:r>
      <w:r w:rsidRPr="00832D05">
        <w:rPr>
          <w:rFonts w:cs="Arial"/>
        </w:rPr>
        <w:t xml:space="preserve"> depending on the </w:t>
      </w:r>
      <w:r>
        <w:rPr>
          <w:rFonts w:cs="Arial"/>
        </w:rPr>
        <w:t>type</w:t>
      </w:r>
      <w:r w:rsidRPr="00832D05">
        <w:rPr>
          <w:rFonts w:cs="Arial"/>
        </w:rPr>
        <w:t xml:space="preserve"> </w:t>
      </w:r>
      <w:r>
        <w:rPr>
          <w:rFonts w:cs="Arial"/>
        </w:rPr>
        <w:t xml:space="preserve">of </w:t>
      </w:r>
      <w:r w:rsidRPr="00832D05">
        <w:rPr>
          <w:rFonts w:cs="Arial"/>
        </w:rPr>
        <w:t>plant</w:t>
      </w:r>
      <w:r>
        <w:rPr>
          <w:rFonts w:cs="Arial"/>
        </w:rPr>
        <w:t>. S</w:t>
      </w:r>
      <w:r w:rsidRPr="00832D05">
        <w:rPr>
          <w:rFonts w:cs="Arial"/>
        </w:rPr>
        <w:t>ome</w:t>
      </w:r>
      <w:r>
        <w:rPr>
          <w:rFonts w:cs="Arial"/>
        </w:rPr>
        <w:t xml:space="preserve"> occur naturally in</w:t>
      </w:r>
      <w:r w:rsidRPr="00832D05">
        <w:rPr>
          <w:rFonts w:cs="Arial"/>
        </w:rPr>
        <w:t xml:space="preserve"> foods </w:t>
      </w:r>
      <w:r w:rsidRPr="00832D05">
        <w:rPr>
          <w:rFonts w:cs="Arial"/>
          <w:szCs w:val="22"/>
        </w:rPr>
        <w:t xml:space="preserve">such as legumes, onions, tea, ginger </w:t>
      </w:r>
      <w:r w:rsidRPr="00832D05">
        <w:t>beet, oats, capsicum, eggplant and asparagus</w:t>
      </w:r>
      <w:r>
        <w:t>, which are</w:t>
      </w:r>
      <w:r w:rsidRPr="00832D05">
        <w:rPr>
          <w:rFonts w:cs="Arial"/>
        </w:rPr>
        <w:t xml:space="preserve"> consumed by humans. However, the ones used as a food additive are not the </w:t>
      </w:r>
      <w:r>
        <w:rPr>
          <w:rFonts w:cs="Arial"/>
        </w:rPr>
        <w:t xml:space="preserve">same </w:t>
      </w:r>
      <w:r w:rsidRPr="00832D05">
        <w:rPr>
          <w:rFonts w:cs="Arial"/>
        </w:rPr>
        <w:t xml:space="preserve">as those consumed in the diet </w:t>
      </w:r>
      <w:r w:rsidRPr="00832D05">
        <w:rPr>
          <w:rFonts w:cs="Arial"/>
          <w:szCs w:val="22"/>
        </w:rPr>
        <w:t>through their natural occurrence in foods</w:t>
      </w:r>
      <w:r w:rsidRPr="00832D05">
        <w:rPr>
          <w:rFonts w:cs="Arial"/>
        </w:rPr>
        <w:t xml:space="preserve">. </w:t>
      </w:r>
    </w:p>
    <w:p w:rsidR="0010297D" w:rsidRDefault="0010297D" w:rsidP="0010297D">
      <w:pPr>
        <w:rPr>
          <w:rFonts w:cs="Arial"/>
        </w:rPr>
      </w:pPr>
    </w:p>
    <w:p w:rsidR="00A5033A" w:rsidRDefault="0010297D" w:rsidP="0010297D">
      <w:pPr>
        <w:rPr>
          <w:rFonts w:cs="Arial"/>
          <w:color w:val="1F497D"/>
          <w:szCs w:val="22"/>
        </w:rPr>
      </w:pPr>
      <w:r>
        <w:rPr>
          <w:rFonts w:cs="Arial"/>
        </w:rPr>
        <w:t xml:space="preserve">The ADI for </w:t>
      </w:r>
      <w:r w:rsidR="00E3403B">
        <w:rPr>
          <w:rFonts w:cs="Arial"/>
        </w:rPr>
        <w:t>quillaia</w:t>
      </w:r>
      <w:r>
        <w:rPr>
          <w:rFonts w:cs="Arial"/>
        </w:rPr>
        <w:t xml:space="preserve"> saponins is specific to the ones used as a food additive. Therefore, </w:t>
      </w:r>
      <w:r w:rsidR="00DF5370">
        <w:rPr>
          <w:rFonts w:cs="Arial"/>
        </w:rPr>
        <w:t xml:space="preserve">background </w:t>
      </w:r>
      <w:r>
        <w:rPr>
          <w:rFonts w:cs="Arial"/>
        </w:rPr>
        <w:t xml:space="preserve">dietary exposure to naturally occurring sources </w:t>
      </w:r>
      <w:r w:rsidR="00DF5370">
        <w:rPr>
          <w:rFonts w:cs="Arial"/>
        </w:rPr>
        <w:t>was not</w:t>
      </w:r>
      <w:r>
        <w:rPr>
          <w:rFonts w:cs="Arial"/>
        </w:rPr>
        <w:t xml:space="preserve"> included in the DEA.</w:t>
      </w:r>
      <w:r>
        <w:rPr>
          <w:rFonts w:cs="Arial"/>
          <w:color w:val="1F497D"/>
          <w:szCs w:val="22"/>
        </w:rPr>
        <w:t xml:space="preserve"> </w:t>
      </w:r>
    </w:p>
    <w:p w:rsidR="00DE6D63" w:rsidRDefault="00DE6D63" w:rsidP="0010297D">
      <w:pPr>
        <w:rPr>
          <w:rFonts w:cs="Arial"/>
        </w:rPr>
      </w:pPr>
    </w:p>
    <w:p w:rsidR="0010297D" w:rsidRPr="00423836" w:rsidRDefault="0010297D" w:rsidP="0010297D">
      <w:pPr>
        <w:pStyle w:val="Heading3"/>
      </w:pPr>
      <w:bookmarkStart w:id="78" w:name="_Toc269201841"/>
      <w:bookmarkStart w:id="79" w:name="_Toc360028619"/>
      <w:r w:rsidRPr="00423836">
        <w:t>4.1.</w:t>
      </w:r>
      <w:r>
        <w:t>5</w:t>
      </w:r>
      <w:r w:rsidRPr="00423836">
        <w:tab/>
        <w:t>Assumptions and limitations of the Dietary Exposure Assessment</w:t>
      </w:r>
      <w:bookmarkEnd w:id="78"/>
      <w:bookmarkEnd w:id="79"/>
      <w:r>
        <w:t xml:space="preserve"> </w:t>
      </w:r>
    </w:p>
    <w:p w:rsidR="003C0925" w:rsidRDefault="003C0925" w:rsidP="0010297D"/>
    <w:p w:rsidR="0010297D" w:rsidRDefault="0010297D" w:rsidP="0010297D">
      <w:r>
        <w:t xml:space="preserve">The aim of the </w:t>
      </w:r>
      <w:r w:rsidR="009B618A">
        <w:t>DEA</w:t>
      </w:r>
      <w:r>
        <w:t xml:space="preserve"> was to make </w:t>
      </w:r>
      <w:r w:rsidR="00E50721">
        <w:t>a realistic prediction</w:t>
      </w:r>
      <w:r>
        <w:t xml:space="preserve"> of dietary exposure </w:t>
      </w:r>
      <w:r w:rsidR="00A679CE">
        <w:t xml:space="preserve">to </w:t>
      </w:r>
      <w:r w:rsidR="00E3403B">
        <w:t>quillaia</w:t>
      </w:r>
      <w:r w:rsidR="00A679CE">
        <w:t xml:space="preserve"> saponins </w:t>
      </w:r>
      <w:r>
        <w:t xml:space="preserve">as possible. However, where significant uncertainties in the data existed, conservative assumptions were generally used to ensure that the </w:t>
      </w:r>
      <w:r w:rsidR="00F204F5">
        <w:t xml:space="preserve">predicted </w:t>
      </w:r>
      <w:r>
        <w:t xml:space="preserve">dietary exposure </w:t>
      </w:r>
      <w:r w:rsidR="00190EC0">
        <w:t>was</w:t>
      </w:r>
      <w:r>
        <w:t xml:space="preserve"> not </w:t>
      </w:r>
      <w:r w:rsidR="00F204F5">
        <w:t xml:space="preserve">an </w:t>
      </w:r>
      <w:r w:rsidR="00190EC0">
        <w:t>underestimate</w:t>
      </w:r>
      <w:r w:rsidR="00F204F5">
        <w:t xml:space="preserve"> of exposure</w:t>
      </w:r>
      <w:r>
        <w:t>.</w:t>
      </w:r>
    </w:p>
    <w:p w:rsidR="0010297D" w:rsidRPr="00423836" w:rsidRDefault="0010297D" w:rsidP="0010297D"/>
    <w:p w:rsidR="0010297D" w:rsidRPr="00423836" w:rsidRDefault="0010297D" w:rsidP="0010297D">
      <w:r w:rsidRPr="00423836">
        <w:t>Assumptions made in the dietary exposure assessment include</w:t>
      </w:r>
      <w:r>
        <w:t>d</w:t>
      </w:r>
      <w:r w:rsidRPr="00423836">
        <w:t>:</w:t>
      </w:r>
    </w:p>
    <w:p w:rsidR="0010297D" w:rsidRDefault="0010297D" w:rsidP="003C0925">
      <w:pPr>
        <w:widowControl/>
        <w:numPr>
          <w:ilvl w:val="0"/>
          <w:numId w:val="13"/>
        </w:numPr>
        <w:spacing w:before="120"/>
        <w:ind w:left="510"/>
        <w:rPr>
          <w:rFonts w:cs="Arial"/>
        </w:rPr>
      </w:pPr>
      <w:r w:rsidRPr="00423836">
        <w:rPr>
          <w:rFonts w:cs="Arial"/>
        </w:rPr>
        <w:t>unless otherwise specified</w:t>
      </w:r>
      <w:r>
        <w:rPr>
          <w:rFonts w:cs="Arial"/>
        </w:rPr>
        <w:t xml:space="preserve"> by the Applicant</w:t>
      </w:r>
      <w:r w:rsidRPr="00423836">
        <w:rPr>
          <w:rFonts w:cs="Arial"/>
        </w:rPr>
        <w:t xml:space="preserve">, all the foods within the </w:t>
      </w:r>
      <w:r w:rsidR="00A5033A">
        <w:rPr>
          <w:rFonts w:cs="Arial"/>
        </w:rPr>
        <w:t>category</w:t>
      </w:r>
      <w:r w:rsidR="00A5033A" w:rsidRPr="00423836">
        <w:rPr>
          <w:rFonts w:cs="Arial"/>
        </w:rPr>
        <w:t xml:space="preserve"> </w:t>
      </w:r>
      <w:r w:rsidRPr="00423836">
        <w:rPr>
          <w:rFonts w:cs="Arial"/>
        </w:rPr>
        <w:t xml:space="preserve">contained </w:t>
      </w:r>
      <w:r w:rsidR="00E3403B">
        <w:rPr>
          <w:rFonts w:cs="Arial"/>
        </w:rPr>
        <w:t>quillaia</w:t>
      </w:r>
      <w:r>
        <w:rPr>
          <w:rFonts w:cs="Arial"/>
        </w:rPr>
        <w:t xml:space="preserve"> saponins</w:t>
      </w:r>
      <w:r w:rsidRPr="00423836">
        <w:rPr>
          <w:rFonts w:cs="Arial"/>
        </w:rPr>
        <w:t xml:space="preserve"> at the </w:t>
      </w:r>
      <w:r w:rsidR="00A5033A">
        <w:rPr>
          <w:rFonts w:cs="Arial"/>
        </w:rPr>
        <w:t xml:space="preserve">calculated proxy </w:t>
      </w:r>
      <w:r w:rsidR="006A3FB3">
        <w:rPr>
          <w:rFonts w:cs="Arial"/>
        </w:rPr>
        <w:t>concentration</w:t>
      </w:r>
      <w:r w:rsidRPr="00423836">
        <w:rPr>
          <w:rFonts w:cs="Arial"/>
        </w:rPr>
        <w:t xml:space="preserve"> </w:t>
      </w:r>
      <w:r>
        <w:rPr>
          <w:rFonts w:cs="Arial"/>
        </w:rPr>
        <w:t xml:space="preserve">as </w:t>
      </w:r>
      <w:r w:rsidRPr="00423836">
        <w:rPr>
          <w:rFonts w:cs="Arial"/>
        </w:rPr>
        <w:t xml:space="preserve">specified in </w:t>
      </w:r>
      <w:r>
        <w:rPr>
          <w:rFonts w:cs="Arial"/>
        </w:rPr>
        <w:t xml:space="preserve">Table </w:t>
      </w:r>
      <w:r w:rsidRPr="00423836">
        <w:rPr>
          <w:rFonts w:cs="Arial"/>
        </w:rPr>
        <w:t>4.</w:t>
      </w:r>
      <w:r w:rsidR="00A5033A">
        <w:rPr>
          <w:rFonts w:cs="Arial"/>
        </w:rPr>
        <w:t>1</w:t>
      </w:r>
    </w:p>
    <w:p w:rsidR="0010297D" w:rsidRPr="00423836" w:rsidRDefault="0010297D" w:rsidP="003C0925">
      <w:pPr>
        <w:pStyle w:val="Bullet"/>
        <w:numPr>
          <w:ilvl w:val="0"/>
          <w:numId w:val="13"/>
        </w:numPr>
        <w:spacing w:before="120" w:after="0" w:line="240" w:lineRule="auto"/>
        <w:ind w:left="510"/>
        <w:rPr>
          <w:rFonts w:ascii="Arial" w:hAnsi="Arial" w:cs="Arial"/>
        </w:rPr>
      </w:pPr>
      <w:r w:rsidRPr="00423836">
        <w:rPr>
          <w:rFonts w:ascii="Arial" w:hAnsi="Arial" w:cs="Arial"/>
        </w:rPr>
        <w:t xml:space="preserve">where a food was not included in the exposure assessment, it was assumed to contain a zero concentration of </w:t>
      </w:r>
      <w:r w:rsidR="00E3403B">
        <w:rPr>
          <w:rFonts w:ascii="Arial" w:hAnsi="Arial" w:cs="Arial"/>
        </w:rPr>
        <w:t>quillaia</w:t>
      </w:r>
      <w:r>
        <w:rPr>
          <w:rFonts w:ascii="Arial" w:hAnsi="Arial" w:cs="Arial"/>
        </w:rPr>
        <w:t xml:space="preserve"> saponins</w:t>
      </w:r>
    </w:p>
    <w:p w:rsidR="0010297D" w:rsidRPr="000F39FB" w:rsidRDefault="0010297D" w:rsidP="003C0925">
      <w:pPr>
        <w:pStyle w:val="Bullet"/>
        <w:numPr>
          <w:ilvl w:val="0"/>
          <w:numId w:val="13"/>
        </w:numPr>
        <w:spacing w:before="120" w:after="0" w:line="240" w:lineRule="auto"/>
        <w:ind w:left="510"/>
        <w:rPr>
          <w:rFonts w:ascii="Arial" w:hAnsi="Arial" w:cs="Arial"/>
        </w:rPr>
      </w:pPr>
      <w:r w:rsidRPr="00423836">
        <w:rPr>
          <w:rFonts w:ascii="Arial" w:hAnsi="Arial" w:cs="Arial"/>
        </w:rPr>
        <w:t xml:space="preserve">where a food </w:t>
      </w:r>
      <w:r w:rsidR="00835124">
        <w:rPr>
          <w:rFonts w:ascii="Arial" w:hAnsi="Arial" w:cs="Arial"/>
        </w:rPr>
        <w:t xml:space="preserve">was assigned </w:t>
      </w:r>
      <w:r w:rsidRPr="00423836">
        <w:rPr>
          <w:rFonts w:ascii="Arial" w:hAnsi="Arial" w:cs="Arial"/>
        </w:rPr>
        <w:t xml:space="preserve">a </w:t>
      </w:r>
      <w:r w:rsidR="00835124">
        <w:rPr>
          <w:rFonts w:ascii="Arial" w:hAnsi="Arial" w:cs="Arial"/>
        </w:rPr>
        <w:t xml:space="preserve">calculated proxy </w:t>
      </w:r>
      <w:r w:rsidR="006A3FB3">
        <w:rPr>
          <w:rFonts w:ascii="Arial" w:hAnsi="Arial" w:cs="Arial"/>
        </w:rPr>
        <w:t>concentration</w:t>
      </w:r>
      <w:r w:rsidR="00835124">
        <w:rPr>
          <w:rFonts w:ascii="Arial" w:hAnsi="Arial" w:cs="Arial"/>
        </w:rPr>
        <w:t xml:space="preserve"> for</w:t>
      </w:r>
      <w:r w:rsidRPr="00423836">
        <w:rPr>
          <w:rFonts w:ascii="Arial" w:hAnsi="Arial" w:cs="Arial"/>
        </w:rPr>
        <w:t xml:space="preserve"> </w:t>
      </w:r>
      <w:r w:rsidR="00E3403B">
        <w:rPr>
          <w:rFonts w:ascii="Arial" w:hAnsi="Arial" w:cs="Arial"/>
        </w:rPr>
        <w:t>quillaia</w:t>
      </w:r>
      <w:r>
        <w:rPr>
          <w:rFonts w:ascii="Arial" w:hAnsi="Arial" w:cs="Arial"/>
        </w:rPr>
        <w:t xml:space="preserve"> saponins</w:t>
      </w:r>
      <w:r w:rsidR="00A679CE">
        <w:rPr>
          <w:rFonts w:ascii="Arial" w:hAnsi="Arial" w:cs="Arial"/>
        </w:rPr>
        <w:t>, this concentration wa</w:t>
      </w:r>
      <w:r w:rsidRPr="00423836">
        <w:rPr>
          <w:rFonts w:ascii="Arial" w:hAnsi="Arial" w:cs="Arial"/>
        </w:rPr>
        <w:t>s carried over t</w:t>
      </w:r>
      <w:r>
        <w:rPr>
          <w:rFonts w:ascii="Arial" w:hAnsi="Arial" w:cs="Arial"/>
        </w:rPr>
        <w:t>o mixed foods where the food had</w:t>
      </w:r>
      <w:r w:rsidRPr="00423836">
        <w:rPr>
          <w:rFonts w:ascii="Arial" w:hAnsi="Arial" w:cs="Arial"/>
        </w:rPr>
        <w:t xml:space="preserve"> been used as an ingredient</w:t>
      </w:r>
    </w:p>
    <w:p w:rsidR="0010297D" w:rsidRPr="00423836" w:rsidRDefault="00A679CE" w:rsidP="003C0925">
      <w:pPr>
        <w:widowControl/>
        <w:numPr>
          <w:ilvl w:val="0"/>
          <w:numId w:val="13"/>
        </w:numPr>
        <w:spacing w:before="120"/>
        <w:ind w:left="510"/>
      </w:pPr>
      <w:r>
        <w:rPr>
          <w:rFonts w:cs="Arial"/>
        </w:rPr>
        <w:t>there wa</w:t>
      </w:r>
      <w:r w:rsidR="0010297D" w:rsidRPr="00423836">
        <w:rPr>
          <w:rFonts w:cs="Arial"/>
        </w:rPr>
        <w:t xml:space="preserve">s no contribution to </w:t>
      </w:r>
      <w:r w:rsidR="00E3403B">
        <w:rPr>
          <w:rFonts w:cs="Arial"/>
        </w:rPr>
        <w:t>quillaia</w:t>
      </w:r>
      <w:r w:rsidR="0010297D">
        <w:rPr>
          <w:rFonts w:cs="Arial"/>
        </w:rPr>
        <w:t xml:space="preserve"> saponins</w:t>
      </w:r>
      <w:r w:rsidR="0010297D" w:rsidRPr="00423836">
        <w:rPr>
          <w:rFonts w:cs="Arial"/>
        </w:rPr>
        <w:t xml:space="preserve"> exposure through the use of </w:t>
      </w:r>
      <w:r w:rsidR="0010297D">
        <w:rPr>
          <w:rFonts w:cs="Arial"/>
        </w:rPr>
        <w:t>compl</w:t>
      </w:r>
      <w:r w:rsidR="0007691B">
        <w:rPr>
          <w:rFonts w:cs="Arial"/>
        </w:rPr>
        <w:t>e</w:t>
      </w:r>
      <w:r w:rsidR="0010297D">
        <w:rPr>
          <w:rFonts w:cs="Arial"/>
        </w:rPr>
        <w:t xml:space="preserve">mentary </w:t>
      </w:r>
      <w:r w:rsidR="0010297D" w:rsidRPr="00423836">
        <w:rPr>
          <w:rFonts w:cs="Arial"/>
        </w:rPr>
        <w:t>medicines</w:t>
      </w:r>
      <w:r w:rsidR="005850B3">
        <w:rPr>
          <w:rFonts w:cs="Arial"/>
        </w:rPr>
        <w:t xml:space="preserve"> or through natural occurrence of other saponins</w:t>
      </w:r>
      <w:r w:rsidR="0010297D" w:rsidRPr="00423836">
        <w:t>.</w:t>
      </w:r>
    </w:p>
    <w:p w:rsidR="0010297D" w:rsidRPr="00423836" w:rsidRDefault="0010297D" w:rsidP="0010297D">
      <w:pPr>
        <w:rPr>
          <w:rFonts w:cs="Arial"/>
        </w:rPr>
      </w:pPr>
    </w:p>
    <w:p w:rsidR="00EA023A" w:rsidRPr="005D0CE2" w:rsidRDefault="0010297D" w:rsidP="0010297D">
      <w:pPr>
        <w:rPr>
          <w:szCs w:val="22"/>
        </w:rPr>
      </w:pPr>
      <w:r w:rsidRPr="00423836">
        <w:t xml:space="preserve">In addition to the specific assumptions made in relation to this DEA, there are a number of limitations associated with the </w:t>
      </w:r>
      <w:r w:rsidR="00835124">
        <w:t>nutrition</w:t>
      </w:r>
      <w:r w:rsidR="00835124" w:rsidRPr="00423836">
        <w:t xml:space="preserve"> </w:t>
      </w:r>
      <w:r w:rsidRPr="00423836">
        <w:t>survey</w:t>
      </w:r>
      <w:r>
        <w:t>s</w:t>
      </w:r>
      <w:r w:rsidRPr="00423836">
        <w:t xml:space="preserve"> </w:t>
      </w:r>
      <w:r>
        <w:t xml:space="preserve">from which the food consumption data used for the DEA are based. </w:t>
      </w:r>
      <w:r w:rsidRPr="00423836">
        <w:t xml:space="preserve">A discussion of these limitations is included in </w:t>
      </w:r>
      <w:r w:rsidRPr="005A7818">
        <w:t xml:space="preserve">Section 6 of the </w:t>
      </w:r>
      <w:r w:rsidRPr="005D0CE2">
        <w:rPr>
          <w:i/>
          <w:szCs w:val="22"/>
        </w:rPr>
        <w:t>Principles and Practices of Dietary Exposure Assessment for Food Regulatory Purposes</w:t>
      </w:r>
      <w:r w:rsidRPr="005D0CE2">
        <w:rPr>
          <w:szCs w:val="22"/>
        </w:rPr>
        <w:t xml:space="preserve"> (FSANZ 2009).</w:t>
      </w:r>
    </w:p>
    <w:p w:rsidR="0010297D" w:rsidRDefault="0010297D" w:rsidP="00435E22">
      <w:pPr>
        <w:pStyle w:val="Two"/>
      </w:pPr>
      <w:bookmarkStart w:id="80" w:name="_Toc360028620"/>
      <w:bookmarkStart w:id="81" w:name="_Toc269201842"/>
      <w:r w:rsidRPr="00423836">
        <w:t>4.2</w:t>
      </w:r>
      <w:r w:rsidRPr="00423836">
        <w:tab/>
      </w:r>
      <w:r w:rsidR="007277B6">
        <w:t xml:space="preserve">Predicted </w:t>
      </w:r>
      <w:r w:rsidR="0060186D">
        <w:t xml:space="preserve">population </w:t>
      </w:r>
      <w:r>
        <w:t>dietary exposure</w:t>
      </w:r>
      <w:r w:rsidR="00B33F29">
        <w:t xml:space="preserve"> to </w:t>
      </w:r>
      <w:r w:rsidR="00E3403B">
        <w:t>quillaia</w:t>
      </w:r>
      <w:r w:rsidR="00A85216">
        <w:t xml:space="preserve"> saponins</w:t>
      </w:r>
      <w:bookmarkEnd w:id="80"/>
    </w:p>
    <w:bookmarkEnd w:id="81"/>
    <w:p w:rsidR="004C683A" w:rsidRDefault="0010297D" w:rsidP="0010297D">
      <w:pPr>
        <w:rPr>
          <w:rFonts w:cs="Arial"/>
        </w:rPr>
      </w:pPr>
      <w:r>
        <w:rPr>
          <w:rFonts w:cs="Arial"/>
        </w:rPr>
        <w:t xml:space="preserve">The </w:t>
      </w:r>
      <w:r w:rsidR="004C683A">
        <w:rPr>
          <w:rFonts w:cs="Arial"/>
        </w:rPr>
        <w:t xml:space="preserve">predicted </w:t>
      </w:r>
      <w:r>
        <w:rPr>
          <w:rFonts w:cs="Arial"/>
        </w:rPr>
        <w:t>dietary exposures to</w:t>
      </w:r>
      <w:r w:rsidRPr="00423836">
        <w:rPr>
          <w:rFonts w:cs="Arial"/>
        </w:rPr>
        <w:t xml:space="preserve"> </w:t>
      </w:r>
      <w:r w:rsidR="00E3403B">
        <w:rPr>
          <w:rFonts w:cs="Arial"/>
        </w:rPr>
        <w:t>quillaia</w:t>
      </w:r>
      <w:r>
        <w:rPr>
          <w:rFonts w:cs="Arial"/>
        </w:rPr>
        <w:t xml:space="preserve"> saponins</w:t>
      </w:r>
      <w:r w:rsidRPr="00423836">
        <w:rPr>
          <w:rFonts w:cs="Arial"/>
        </w:rPr>
        <w:t xml:space="preserve"> were </w:t>
      </w:r>
      <w:r>
        <w:rPr>
          <w:rFonts w:cs="Arial"/>
        </w:rPr>
        <w:t>calculated for ‘consumers’ only</w:t>
      </w:r>
      <w:r w:rsidR="00A17D69">
        <w:rPr>
          <w:rFonts w:cs="Arial"/>
        </w:rPr>
        <w:t xml:space="preserve"> and </w:t>
      </w:r>
      <w:r>
        <w:rPr>
          <w:rFonts w:cs="Arial"/>
        </w:rPr>
        <w:t>were reported in three ways</w:t>
      </w:r>
      <w:r w:rsidR="004C683A">
        <w:rPr>
          <w:rFonts w:cs="Arial"/>
        </w:rPr>
        <w:t>:</w:t>
      </w:r>
    </w:p>
    <w:p w:rsidR="004C683A" w:rsidRPr="00DE6D63" w:rsidRDefault="004C683A" w:rsidP="00DE6D63">
      <w:pPr>
        <w:pStyle w:val="ListParagraph"/>
        <w:numPr>
          <w:ilvl w:val="0"/>
          <w:numId w:val="19"/>
        </w:numPr>
        <w:rPr>
          <w:rFonts w:cs="Arial"/>
        </w:rPr>
      </w:pPr>
      <w:r w:rsidRPr="004C683A">
        <w:rPr>
          <w:rFonts w:cs="Arial"/>
        </w:rPr>
        <w:t>predicted</w:t>
      </w:r>
      <w:r w:rsidR="0010297D" w:rsidRPr="004C683A">
        <w:rPr>
          <w:rFonts w:cs="Arial"/>
        </w:rPr>
        <w:t xml:space="preserve"> mean and 90</w:t>
      </w:r>
      <w:r w:rsidR="0010297D" w:rsidRPr="004C683A">
        <w:rPr>
          <w:rFonts w:cs="Arial"/>
          <w:vertAlign w:val="superscript"/>
        </w:rPr>
        <w:t>th</w:t>
      </w:r>
      <w:r w:rsidR="0010297D" w:rsidRPr="004C683A">
        <w:rPr>
          <w:rFonts w:cs="Arial"/>
        </w:rPr>
        <w:t xml:space="preserve"> percentile dietary exposures in </w:t>
      </w:r>
      <w:r w:rsidR="0010297D" w:rsidRPr="00716C87">
        <w:rPr>
          <w:rFonts w:cs="Arial"/>
        </w:rPr>
        <w:t xml:space="preserve">milligrams of </w:t>
      </w:r>
      <w:r w:rsidR="00E3403B">
        <w:rPr>
          <w:rFonts w:cs="Arial"/>
        </w:rPr>
        <w:t>quillaia</w:t>
      </w:r>
      <w:r w:rsidR="0010297D" w:rsidRPr="00EB6025">
        <w:rPr>
          <w:rFonts w:cs="Arial"/>
        </w:rPr>
        <w:t xml:space="preserve"> saponins per day</w:t>
      </w:r>
      <w:r w:rsidR="00162832" w:rsidRPr="00393501">
        <w:rPr>
          <w:rFonts w:cs="Arial"/>
        </w:rPr>
        <w:t>,</w:t>
      </w:r>
      <w:r w:rsidR="0010297D" w:rsidRPr="008536D6">
        <w:rPr>
          <w:rFonts w:cs="Arial"/>
        </w:rPr>
        <w:t xml:space="preserve"> derived from each individual’s ranked daily exposures</w:t>
      </w:r>
    </w:p>
    <w:p w:rsidR="004C683A" w:rsidRPr="004C683A" w:rsidRDefault="004C683A" w:rsidP="00DE6D63">
      <w:pPr>
        <w:pStyle w:val="ListParagraph"/>
        <w:numPr>
          <w:ilvl w:val="0"/>
          <w:numId w:val="19"/>
        </w:numPr>
        <w:rPr>
          <w:rFonts w:cs="Arial"/>
        </w:rPr>
      </w:pPr>
      <w:r>
        <w:rPr>
          <w:rFonts w:cs="Arial"/>
        </w:rPr>
        <w:t xml:space="preserve">predicted </w:t>
      </w:r>
      <w:r w:rsidR="0010297D" w:rsidRPr="004C683A">
        <w:rPr>
          <w:rFonts w:cs="Arial"/>
        </w:rPr>
        <w:t>dietary exposures derived on a per kilogram body weight basis using each individual’s body weight</w:t>
      </w:r>
    </w:p>
    <w:p w:rsidR="0010297D" w:rsidRPr="004C683A" w:rsidRDefault="004C683A" w:rsidP="00DE6D63">
      <w:pPr>
        <w:pStyle w:val="ListParagraph"/>
        <w:numPr>
          <w:ilvl w:val="0"/>
          <w:numId w:val="19"/>
        </w:numPr>
        <w:rPr>
          <w:rFonts w:cs="Arial"/>
        </w:rPr>
      </w:pPr>
      <w:r>
        <w:rPr>
          <w:rFonts w:cs="Arial"/>
        </w:rPr>
        <w:t>p</w:t>
      </w:r>
      <w:r w:rsidRPr="004C683A">
        <w:rPr>
          <w:rFonts w:cs="Arial"/>
        </w:rPr>
        <w:t xml:space="preserve">redicted </w:t>
      </w:r>
      <w:r w:rsidR="0010297D" w:rsidRPr="004C683A">
        <w:rPr>
          <w:rFonts w:cs="Arial"/>
        </w:rPr>
        <w:t xml:space="preserve">exposures to </w:t>
      </w:r>
      <w:r w:rsidR="00E3403B">
        <w:rPr>
          <w:rFonts w:cs="Arial"/>
        </w:rPr>
        <w:t>quillaia</w:t>
      </w:r>
      <w:r w:rsidR="0010297D" w:rsidRPr="004C683A">
        <w:rPr>
          <w:rFonts w:cs="Arial"/>
        </w:rPr>
        <w:t xml:space="preserve"> saponins as a percentage of the ADI.</w:t>
      </w:r>
    </w:p>
    <w:p w:rsidR="0010297D" w:rsidRDefault="0010297D" w:rsidP="0010297D">
      <w:pPr>
        <w:rPr>
          <w:rFonts w:cs="Arial"/>
        </w:rPr>
      </w:pPr>
    </w:p>
    <w:p w:rsidR="0010297D" w:rsidRDefault="0010297D" w:rsidP="0010297D">
      <w:pPr>
        <w:rPr>
          <w:rFonts w:cs="Arial"/>
        </w:rPr>
      </w:pPr>
      <w:r>
        <w:rPr>
          <w:rFonts w:cs="Arial"/>
        </w:rPr>
        <w:t xml:space="preserve">The major </w:t>
      </w:r>
      <w:r w:rsidR="00DE095E">
        <w:rPr>
          <w:rFonts w:cs="Arial"/>
        </w:rPr>
        <w:t xml:space="preserve">food </w:t>
      </w:r>
      <w:r>
        <w:rPr>
          <w:rFonts w:cs="Arial"/>
        </w:rPr>
        <w:t xml:space="preserve">contributors to the </w:t>
      </w:r>
      <w:r w:rsidR="004C683A">
        <w:rPr>
          <w:rFonts w:cs="Arial"/>
        </w:rPr>
        <w:t xml:space="preserve">predicted </w:t>
      </w:r>
      <w:r>
        <w:rPr>
          <w:rFonts w:cs="Arial"/>
        </w:rPr>
        <w:t xml:space="preserve">total dietary exposure to </w:t>
      </w:r>
      <w:r w:rsidR="00E3403B">
        <w:rPr>
          <w:rFonts w:cs="Arial"/>
        </w:rPr>
        <w:t>quillaia</w:t>
      </w:r>
      <w:r>
        <w:rPr>
          <w:rFonts w:cs="Arial"/>
        </w:rPr>
        <w:t xml:space="preserve"> saponins were also calculated for each population group assessed.</w:t>
      </w:r>
      <w:r w:rsidR="00B21F8B">
        <w:rPr>
          <w:rFonts w:cs="Arial"/>
        </w:rPr>
        <w:t xml:space="preserve"> Major food contributors</w:t>
      </w:r>
      <w:r w:rsidRPr="00423836">
        <w:rPr>
          <w:rFonts w:cs="Arial"/>
        </w:rPr>
        <w:t xml:space="preserve"> were calculated from consumers’ </w:t>
      </w:r>
      <w:r>
        <w:rPr>
          <w:rFonts w:cs="Arial"/>
        </w:rPr>
        <w:t>total</w:t>
      </w:r>
      <w:r w:rsidRPr="00423836">
        <w:rPr>
          <w:rFonts w:cs="Arial"/>
        </w:rPr>
        <w:t xml:space="preserve"> </w:t>
      </w:r>
      <w:r>
        <w:rPr>
          <w:rFonts w:cs="Arial"/>
        </w:rPr>
        <w:t>exposures from</w:t>
      </w:r>
      <w:r w:rsidRPr="00423836">
        <w:rPr>
          <w:rFonts w:cs="Arial"/>
        </w:rPr>
        <w:t xml:space="preserve"> foods </w:t>
      </w:r>
      <w:r w:rsidR="00B21F8B">
        <w:rPr>
          <w:rFonts w:cs="Arial"/>
        </w:rPr>
        <w:t xml:space="preserve">consumed that are </w:t>
      </w:r>
      <w:r w:rsidRPr="00423836">
        <w:rPr>
          <w:rFonts w:cs="Arial"/>
        </w:rPr>
        <w:t>proposed to contain the additive</w:t>
      </w:r>
      <w:r w:rsidR="00B21F8B">
        <w:rPr>
          <w:rFonts w:cs="Arial"/>
        </w:rPr>
        <w:t xml:space="preserve">. </w:t>
      </w:r>
      <w:r w:rsidR="00664D20">
        <w:rPr>
          <w:rFonts w:cs="Arial"/>
        </w:rPr>
        <w:t xml:space="preserve">In interpreting the results </w:t>
      </w:r>
      <w:r w:rsidR="00B21F8B">
        <w:rPr>
          <w:rFonts w:cs="Arial"/>
        </w:rPr>
        <w:t>of</w:t>
      </w:r>
      <w:r w:rsidR="00664D20">
        <w:rPr>
          <w:rFonts w:cs="Arial"/>
        </w:rPr>
        <w:t xml:space="preserve"> </w:t>
      </w:r>
      <w:r w:rsidR="00B21F8B">
        <w:rPr>
          <w:rFonts w:cs="Arial"/>
        </w:rPr>
        <w:t>major food</w:t>
      </w:r>
      <w:r w:rsidR="00DE095E">
        <w:rPr>
          <w:rFonts w:cs="Arial"/>
        </w:rPr>
        <w:t xml:space="preserve"> contributors</w:t>
      </w:r>
      <w:r w:rsidR="00664D20">
        <w:rPr>
          <w:rFonts w:cs="Arial"/>
        </w:rPr>
        <w:t xml:space="preserve">, the fact that </w:t>
      </w:r>
      <w:r>
        <w:rPr>
          <w:rFonts w:cs="Arial"/>
        </w:rPr>
        <w:t xml:space="preserve">the </w:t>
      </w:r>
      <w:r w:rsidR="00DE095E">
        <w:rPr>
          <w:rFonts w:cs="Arial"/>
        </w:rPr>
        <w:t>dietary exposure assessment</w:t>
      </w:r>
      <w:r>
        <w:rPr>
          <w:rFonts w:cs="Arial"/>
        </w:rPr>
        <w:t xml:space="preserve"> </w:t>
      </w:r>
      <w:r w:rsidR="00DE095E">
        <w:rPr>
          <w:rFonts w:cs="Arial"/>
        </w:rPr>
        <w:t>used</w:t>
      </w:r>
      <w:r>
        <w:rPr>
          <w:rFonts w:cs="Arial"/>
        </w:rPr>
        <w:t xml:space="preserve"> broader categories of some food groups compared to others, and some foods had weighted concentrations </w:t>
      </w:r>
      <w:r w:rsidR="00CE3DC8">
        <w:rPr>
          <w:rFonts w:cs="Arial"/>
        </w:rPr>
        <w:t>(Australians 17 years and above and New Zeala</w:t>
      </w:r>
      <w:r w:rsidR="00B21F8B">
        <w:rPr>
          <w:rFonts w:cs="Arial"/>
        </w:rPr>
        <w:t>nders 15 years and above only) while</w:t>
      </w:r>
      <w:r>
        <w:rPr>
          <w:rFonts w:cs="Arial"/>
        </w:rPr>
        <w:t xml:space="preserve"> other</w:t>
      </w:r>
      <w:r w:rsidR="00CE3DC8">
        <w:rPr>
          <w:rFonts w:cs="Arial"/>
        </w:rPr>
        <w:t>s</w:t>
      </w:r>
      <w:r>
        <w:rPr>
          <w:rFonts w:cs="Arial"/>
        </w:rPr>
        <w:t xml:space="preserve"> did not</w:t>
      </w:r>
      <w:r w:rsidR="00DE095E">
        <w:rPr>
          <w:rFonts w:cs="Arial"/>
        </w:rPr>
        <w:t>,</w:t>
      </w:r>
      <w:r w:rsidR="00B21F8B" w:rsidRPr="00B21F8B">
        <w:rPr>
          <w:rFonts w:cs="Arial"/>
        </w:rPr>
        <w:t xml:space="preserve"> </w:t>
      </w:r>
      <w:r w:rsidR="00B21F8B">
        <w:rPr>
          <w:rFonts w:cs="Arial"/>
        </w:rPr>
        <w:t>needs to be taken</w:t>
      </w:r>
      <w:r w:rsidR="00B21F8B" w:rsidRPr="00B21F8B">
        <w:rPr>
          <w:rFonts w:cs="Arial"/>
        </w:rPr>
        <w:t xml:space="preserve"> </w:t>
      </w:r>
      <w:r w:rsidR="00DE095E">
        <w:rPr>
          <w:rFonts w:cs="Arial"/>
        </w:rPr>
        <w:t xml:space="preserve">into </w:t>
      </w:r>
      <w:r w:rsidR="00B21F8B">
        <w:rPr>
          <w:rFonts w:cs="Arial"/>
        </w:rPr>
        <w:t>account</w:t>
      </w:r>
      <w:r w:rsidR="00664D20">
        <w:rPr>
          <w:rFonts w:cs="Arial"/>
        </w:rPr>
        <w:t>.</w:t>
      </w:r>
      <w:r>
        <w:rPr>
          <w:rFonts w:cs="Arial"/>
        </w:rPr>
        <w:t xml:space="preserve"> </w:t>
      </w:r>
    </w:p>
    <w:p w:rsidR="0010297D" w:rsidRPr="00423836" w:rsidRDefault="0010297D" w:rsidP="0010297D"/>
    <w:p w:rsidR="005A7818" w:rsidRDefault="0010297D" w:rsidP="002453E2">
      <w:pPr>
        <w:pStyle w:val="Heading3"/>
      </w:pPr>
      <w:bookmarkStart w:id="82" w:name="_Toc360028621"/>
      <w:r>
        <w:lastRenderedPageBreak/>
        <w:t>4.2.1</w:t>
      </w:r>
      <w:r>
        <w:tab/>
      </w:r>
      <w:r w:rsidR="004C683A">
        <w:t>Predicted d</w:t>
      </w:r>
      <w:r w:rsidR="004C683A" w:rsidRPr="00423836">
        <w:t xml:space="preserve">ietary </w:t>
      </w:r>
      <w:r w:rsidRPr="00423836">
        <w:t>exposure</w:t>
      </w:r>
      <w:r w:rsidR="004C683A">
        <w:t>s</w:t>
      </w:r>
      <w:r>
        <w:t xml:space="preserve"> </w:t>
      </w:r>
      <w:r w:rsidR="00732F13">
        <w:t>for each population group assessed</w:t>
      </w:r>
      <w:bookmarkEnd w:id="82"/>
    </w:p>
    <w:p w:rsidR="002453E2" w:rsidRPr="002453E2" w:rsidRDefault="002453E2" w:rsidP="002453E2"/>
    <w:p w:rsidR="002C64C8" w:rsidRDefault="00732F13" w:rsidP="0010297D">
      <w:pPr>
        <w:rPr>
          <w:rFonts w:cs="Arial"/>
        </w:rPr>
      </w:pPr>
      <w:r>
        <w:rPr>
          <w:rFonts w:cs="Arial"/>
        </w:rPr>
        <w:t xml:space="preserve">The </w:t>
      </w:r>
      <w:r w:rsidR="004C683A">
        <w:rPr>
          <w:rFonts w:cs="Arial"/>
        </w:rPr>
        <w:t xml:space="preserve">predicted </w:t>
      </w:r>
      <w:r>
        <w:rPr>
          <w:rFonts w:cs="Arial"/>
        </w:rPr>
        <w:t>mean and 90</w:t>
      </w:r>
      <w:r w:rsidRPr="00732F13">
        <w:rPr>
          <w:rFonts w:cs="Arial"/>
          <w:vertAlign w:val="superscript"/>
        </w:rPr>
        <w:t>th</w:t>
      </w:r>
      <w:r>
        <w:rPr>
          <w:rFonts w:cs="Arial"/>
        </w:rPr>
        <w:t xml:space="preserve"> </w:t>
      </w:r>
      <w:r w:rsidR="00E73418">
        <w:rPr>
          <w:rFonts w:cs="Arial"/>
        </w:rPr>
        <w:t xml:space="preserve">percentile dietary exposure to </w:t>
      </w:r>
      <w:r w:rsidR="00E3403B">
        <w:rPr>
          <w:rFonts w:cs="Arial"/>
        </w:rPr>
        <w:t>quillaia</w:t>
      </w:r>
      <w:r>
        <w:rPr>
          <w:rFonts w:cs="Arial"/>
        </w:rPr>
        <w:t xml:space="preserve"> saponins </w:t>
      </w:r>
      <w:r w:rsidR="006061E1">
        <w:rPr>
          <w:rFonts w:cs="Arial"/>
        </w:rPr>
        <w:t xml:space="preserve">for consumers </w:t>
      </w:r>
      <w:r>
        <w:rPr>
          <w:rFonts w:cs="Arial"/>
        </w:rPr>
        <w:t>were at or below 15 mg/day for all the population groups assessed. T</w:t>
      </w:r>
      <w:r w:rsidR="0010297D">
        <w:rPr>
          <w:rFonts w:cs="Arial"/>
        </w:rPr>
        <w:t xml:space="preserve">he </w:t>
      </w:r>
      <w:r w:rsidR="00E50721">
        <w:rPr>
          <w:rFonts w:cs="Arial"/>
        </w:rPr>
        <w:t>predicted</w:t>
      </w:r>
      <w:r w:rsidR="0010297D" w:rsidRPr="00423836">
        <w:rPr>
          <w:rFonts w:cs="Arial"/>
        </w:rPr>
        <w:t xml:space="preserve"> </w:t>
      </w:r>
      <w:r>
        <w:rPr>
          <w:rFonts w:cs="Arial"/>
        </w:rPr>
        <w:t>daily means ranged from 3 to 7 mg</w:t>
      </w:r>
      <w:r w:rsidR="006F00DC">
        <w:rPr>
          <w:rFonts w:cs="Arial"/>
        </w:rPr>
        <w:t>,</w:t>
      </w:r>
      <w:r>
        <w:rPr>
          <w:rFonts w:cs="Arial"/>
        </w:rPr>
        <w:t xml:space="preserve"> </w:t>
      </w:r>
      <w:r w:rsidR="0010297D" w:rsidRPr="00423836">
        <w:rPr>
          <w:rFonts w:cs="Arial"/>
        </w:rPr>
        <w:t xml:space="preserve">and </w:t>
      </w:r>
      <w:r>
        <w:rPr>
          <w:rFonts w:cs="Arial"/>
        </w:rPr>
        <w:t xml:space="preserve">the </w:t>
      </w:r>
      <w:r w:rsidR="0010297D" w:rsidRPr="00423836">
        <w:rPr>
          <w:rFonts w:cs="Arial"/>
        </w:rPr>
        <w:t>90</w:t>
      </w:r>
      <w:r w:rsidR="0010297D" w:rsidRPr="00423836">
        <w:rPr>
          <w:rFonts w:cs="Arial"/>
          <w:vertAlign w:val="superscript"/>
        </w:rPr>
        <w:t>th</w:t>
      </w:r>
      <w:r w:rsidR="0010297D">
        <w:rPr>
          <w:rFonts w:cs="Arial"/>
        </w:rPr>
        <w:t xml:space="preserve"> percentile </w:t>
      </w:r>
      <w:r>
        <w:rPr>
          <w:rFonts w:cs="Arial"/>
        </w:rPr>
        <w:t xml:space="preserve">daily means ranged </w:t>
      </w:r>
      <w:r w:rsidR="0010297D">
        <w:rPr>
          <w:rFonts w:cs="Arial"/>
        </w:rPr>
        <w:t xml:space="preserve">from </w:t>
      </w:r>
      <w:r w:rsidR="00CE3DC8">
        <w:rPr>
          <w:rFonts w:cs="Arial"/>
        </w:rPr>
        <w:t xml:space="preserve">6 </w:t>
      </w:r>
      <w:r w:rsidR="002C64C8">
        <w:rPr>
          <w:rFonts w:cs="Arial"/>
        </w:rPr>
        <w:t xml:space="preserve">to </w:t>
      </w:r>
      <w:r w:rsidR="00CE3DC8">
        <w:rPr>
          <w:rFonts w:cs="Arial"/>
        </w:rPr>
        <w:t xml:space="preserve">15 </w:t>
      </w:r>
      <w:r w:rsidR="0010297D">
        <w:rPr>
          <w:rFonts w:cs="Arial"/>
        </w:rPr>
        <w:t xml:space="preserve">mg. </w:t>
      </w:r>
    </w:p>
    <w:p w:rsidR="002C64C8" w:rsidRDefault="002C64C8" w:rsidP="0010297D">
      <w:pPr>
        <w:rPr>
          <w:rFonts w:cs="Arial"/>
        </w:rPr>
      </w:pPr>
    </w:p>
    <w:p w:rsidR="00E21FD4" w:rsidRDefault="005D2215" w:rsidP="0010297D">
      <w:pPr>
        <w:rPr>
          <w:rFonts w:cs="Arial"/>
        </w:rPr>
      </w:pPr>
      <w:r>
        <w:rPr>
          <w:rFonts w:cs="Arial"/>
        </w:rPr>
        <w:t xml:space="preserve">Australia </w:t>
      </w:r>
      <w:r w:rsidR="00732F13">
        <w:rPr>
          <w:rFonts w:cs="Arial"/>
        </w:rPr>
        <w:t xml:space="preserve">and New Zealand </w:t>
      </w:r>
      <w:r w:rsidR="0010297D">
        <w:rPr>
          <w:rFonts w:cs="Arial"/>
        </w:rPr>
        <w:t xml:space="preserve">consumers aged </w:t>
      </w:r>
      <w:r w:rsidR="00732F13">
        <w:rPr>
          <w:rFonts w:cs="Arial"/>
        </w:rPr>
        <w:t xml:space="preserve">below </w:t>
      </w:r>
      <w:r w:rsidR="0010297D">
        <w:rPr>
          <w:rFonts w:cs="Arial"/>
        </w:rPr>
        <w:t>1</w:t>
      </w:r>
      <w:r w:rsidR="00CA661B">
        <w:rPr>
          <w:rFonts w:cs="Arial"/>
        </w:rPr>
        <w:t>7</w:t>
      </w:r>
      <w:r w:rsidR="0010297D">
        <w:rPr>
          <w:rFonts w:cs="Arial"/>
        </w:rPr>
        <w:t xml:space="preserve"> </w:t>
      </w:r>
      <w:r w:rsidR="00732F13">
        <w:rPr>
          <w:rFonts w:cs="Arial"/>
        </w:rPr>
        <w:t xml:space="preserve">and 15 </w:t>
      </w:r>
      <w:r w:rsidR="0010297D">
        <w:rPr>
          <w:rFonts w:cs="Arial"/>
        </w:rPr>
        <w:t xml:space="preserve">years </w:t>
      </w:r>
      <w:r w:rsidR="006F00DC">
        <w:rPr>
          <w:rFonts w:cs="Arial"/>
        </w:rPr>
        <w:t xml:space="preserve">respectively, </w:t>
      </w:r>
      <w:r w:rsidR="0010297D">
        <w:rPr>
          <w:rFonts w:cs="Arial"/>
        </w:rPr>
        <w:t xml:space="preserve">were </w:t>
      </w:r>
      <w:r w:rsidR="006F00DC">
        <w:rPr>
          <w:rFonts w:cs="Arial"/>
        </w:rPr>
        <w:t>assessed</w:t>
      </w:r>
      <w:r w:rsidR="0010297D">
        <w:rPr>
          <w:rFonts w:cs="Arial"/>
        </w:rPr>
        <w:t xml:space="preserve"> to </w:t>
      </w:r>
      <w:r w:rsidR="00716C87">
        <w:rPr>
          <w:rFonts w:cs="Arial"/>
        </w:rPr>
        <w:t xml:space="preserve">be likely to </w:t>
      </w:r>
      <w:r w:rsidR="0010297D">
        <w:rPr>
          <w:rFonts w:cs="Arial"/>
        </w:rPr>
        <w:t>have lower mean and 90</w:t>
      </w:r>
      <w:r w:rsidR="0010297D" w:rsidRPr="00BD2CDE">
        <w:rPr>
          <w:rFonts w:cs="Arial"/>
          <w:vertAlign w:val="superscript"/>
        </w:rPr>
        <w:t>th</w:t>
      </w:r>
      <w:r w:rsidR="0010297D">
        <w:rPr>
          <w:rFonts w:cs="Arial"/>
        </w:rPr>
        <w:t xml:space="preserve"> percentile daily dietary exposures </w:t>
      </w:r>
    </w:p>
    <w:p w:rsidR="0010297D" w:rsidRDefault="0010297D" w:rsidP="0010297D">
      <w:pPr>
        <w:rPr>
          <w:rFonts w:cs="Arial"/>
        </w:rPr>
      </w:pPr>
      <w:r>
        <w:rPr>
          <w:rFonts w:cs="Arial"/>
        </w:rPr>
        <w:t>(</w:t>
      </w:r>
      <w:r w:rsidR="005D2215">
        <w:rPr>
          <w:rFonts w:cs="Arial"/>
        </w:rPr>
        <w:t>3</w:t>
      </w:r>
      <w:r w:rsidR="0060186D">
        <w:rPr>
          <w:rFonts w:cs="Arial"/>
        </w:rPr>
        <w:t xml:space="preserve"> </w:t>
      </w:r>
      <w:r>
        <w:rPr>
          <w:rFonts w:cs="Arial"/>
        </w:rPr>
        <w:t xml:space="preserve">mg/day and </w:t>
      </w:r>
      <w:r w:rsidR="005D2215">
        <w:rPr>
          <w:rFonts w:cs="Arial"/>
        </w:rPr>
        <w:t>6</w:t>
      </w:r>
      <w:r>
        <w:rPr>
          <w:rFonts w:cs="Arial"/>
        </w:rPr>
        <w:t>-</w:t>
      </w:r>
      <w:r w:rsidR="005D2215">
        <w:rPr>
          <w:rFonts w:cs="Arial"/>
        </w:rPr>
        <w:t xml:space="preserve">7 </w:t>
      </w:r>
      <w:r w:rsidR="002C64C8">
        <w:rPr>
          <w:rFonts w:cs="Arial"/>
        </w:rPr>
        <w:t>mg/day respectively)</w:t>
      </w:r>
      <w:r>
        <w:rPr>
          <w:rFonts w:cs="Arial"/>
        </w:rPr>
        <w:t xml:space="preserve"> </w:t>
      </w:r>
      <w:r w:rsidR="002C64C8">
        <w:rPr>
          <w:rFonts w:cs="Arial"/>
        </w:rPr>
        <w:t>compared to</w:t>
      </w:r>
      <w:r>
        <w:rPr>
          <w:rFonts w:cs="Arial"/>
        </w:rPr>
        <w:t xml:space="preserve"> those </w:t>
      </w:r>
      <w:r w:rsidR="00D65772">
        <w:rPr>
          <w:rFonts w:cs="Arial"/>
        </w:rPr>
        <w:t xml:space="preserve">in the </w:t>
      </w:r>
      <w:r w:rsidR="002C64C8">
        <w:rPr>
          <w:rFonts w:cs="Arial"/>
        </w:rPr>
        <w:t xml:space="preserve">older </w:t>
      </w:r>
      <w:r w:rsidR="00D65772">
        <w:rPr>
          <w:rFonts w:cs="Arial"/>
        </w:rPr>
        <w:t>age groups</w:t>
      </w:r>
      <w:r w:rsidR="00DE6D63">
        <w:rPr>
          <w:rFonts w:cs="Arial"/>
        </w:rPr>
        <w:t xml:space="preserve"> </w:t>
      </w:r>
      <w:r w:rsidR="00716C87">
        <w:rPr>
          <w:rFonts w:cs="Arial"/>
        </w:rPr>
        <w:t>(</w:t>
      </w:r>
      <w:r w:rsidR="002C64C8">
        <w:rPr>
          <w:rFonts w:cs="Arial"/>
        </w:rPr>
        <w:t>mean and 90</w:t>
      </w:r>
      <w:r w:rsidR="002C64C8" w:rsidRPr="002C64C8">
        <w:rPr>
          <w:rFonts w:cs="Arial"/>
          <w:vertAlign w:val="superscript"/>
        </w:rPr>
        <w:t>th</w:t>
      </w:r>
      <w:r w:rsidR="002C64C8">
        <w:rPr>
          <w:rFonts w:cs="Arial"/>
        </w:rPr>
        <w:t xml:space="preserve"> percentile dietary exposures ranged from </w:t>
      </w:r>
      <w:r w:rsidR="005D2215">
        <w:rPr>
          <w:rFonts w:cs="Arial"/>
        </w:rPr>
        <w:t>5</w:t>
      </w:r>
      <w:r>
        <w:rPr>
          <w:rFonts w:cs="Arial"/>
        </w:rPr>
        <w:t>-</w:t>
      </w:r>
      <w:r w:rsidR="005D2215">
        <w:rPr>
          <w:rFonts w:cs="Arial"/>
        </w:rPr>
        <w:t>7</w:t>
      </w:r>
      <w:r>
        <w:rPr>
          <w:rFonts w:cs="Arial"/>
        </w:rPr>
        <w:t xml:space="preserve"> mg and </w:t>
      </w:r>
      <w:r w:rsidR="005D2215">
        <w:rPr>
          <w:rFonts w:cs="Arial"/>
        </w:rPr>
        <w:t>11</w:t>
      </w:r>
      <w:r>
        <w:rPr>
          <w:rFonts w:cs="Arial"/>
        </w:rPr>
        <w:t>-</w:t>
      </w:r>
      <w:r w:rsidR="005D2215">
        <w:rPr>
          <w:rFonts w:cs="Arial"/>
        </w:rPr>
        <w:t xml:space="preserve">15 </w:t>
      </w:r>
      <w:r w:rsidR="002C64C8">
        <w:rPr>
          <w:rFonts w:cs="Arial"/>
        </w:rPr>
        <w:t>mg respectively</w:t>
      </w:r>
      <w:r w:rsidR="00716C87">
        <w:rPr>
          <w:rFonts w:cs="Arial"/>
        </w:rPr>
        <w:t>)</w:t>
      </w:r>
      <w:r w:rsidR="002C64C8">
        <w:rPr>
          <w:rFonts w:cs="Arial"/>
        </w:rPr>
        <w:t>.</w:t>
      </w:r>
      <w:r>
        <w:rPr>
          <w:rFonts w:cs="Arial"/>
        </w:rPr>
        <w:t xml:space="preserve"> </w:t>
      </w:r>
      <w:r w:rsidRPr="00423836">
        <w:rPr>
          <w:rFonts w:cs="Arial"/>
        </w:rPr>
        <w:t xml:space="preserve"> </w:t>
      </w:r>
    </w:p>
    <w:p w:rsidR="0010297D" w:rsidRPr="00423836" w:rsidRDefault="0010297D" w:rsidP="0010297D">
      <w:pPr>
        <w:rPr>
          <w:rFonts w:cs="Arial"/>
        </w:rPr>
      </w:pPr>
    </w:p>
    <w:p w:rsidR="00266A2A" w:rsidRDefault="0010297D" w:rsidP="0010297D">
      <w:pPr>
        <w:rPr>
          <w:rFonts w:cs="Arial"/>
        </w:rPr>
      </w:pPr>
      <w:r>
        <w:rPr>
          <w:rFonts w:cs="Arial"/>
        </w:rPr>
        <w:t xml:space="preserve">The </w:t>
      </w:r>
      <w:r w:rsidR="00716C87">
        <w:rPr>
          <w:rFonts w:cs="Arial"/>
        </w:rPr>
        <w:t xml:space="preserve">predicted </w:t>
      </w:r>
      <w:r>
        <w:rPr>
          <w:rFonts w:cs="Arial"/>
        </w:rPr>
        <w:t>mean and 90</w:t>
      </w:r>
      <w:r w:rsidRPr="00E905E0">
        <w:rPr>
          <w:rFonts w:cs="Arial"/>
          <w:vertAlign w:val="superscript"/>
        </w:rPr>
        <w:t>th</w:t>
      </w:r>
      <w:r>
        <w:rPr>
          <w:rFonts w:cs="Arial"/>
        </w:rPr>
        <w:t xml:space="preserve"> percentile </w:t>
      </w:r>
      <w:r w:rsidR="0060186D">
        <w:rPr>
          <w:rFonts w:cs="Arial"/>
        </w:rPr>
        <w:t xml:space="preserve">population </w:t>
      </w:r>
      <w:r>
        <w:rPr>
          <w:rFonts w:cs="Arial"/>
        </w:rPr>
        <w:t>exposures</w:t>
      </w:r>
      <w:r w:rsidRPr="00423836">
        <w:rPr>
          <w:rFonts w:cs="Arial"/>
        </w:rPr>
        <w:t xml:space="preserve"> </w:t>
      </w:r>
      <w:r>
        <w:rPr>
          <w:rFonts w:cs="Arial"/>
        </w:rPr>
        <w:t xml:space="preserve">for the </w:t>
      </w:r>
      <w:r w:rsidR="005D2215">
        <w:rPr>
          <w:rFonts w:cs="Arial"/>
        </w:rPr>
        <w:t>four population</w:t>
      </w:r>
      <w:r>
        <w:rPr>
          <w:rFonts w:cs="Arial"/>
        </w:rPr>
        <w:t xml:space="preserve"> </w:t>
      </w:r>
      <w:r w:rsidR="005D2215">
        <w:rPr>
          <w:rFonts w:cs="Arial"/>
        </w:rPr>
        <w:t>groups assessed</w:t>
      </w:r>
      <w:r w:rsidR="002C64C8">
        <w:rPr>
          <w:rFonts w:cs="Arial"/>
        </w:rPr>
        <w:t xml:space="preserve"> for the application</w:t>
      </w:r>
      <w:r w:rsidR="005D2215">
        <w:rPr>
          <w:rFonts w:cs="Arial"/>
        </w:rPr>
        <w:t xml:space="preserve"> </w:t>
      </w:r>
      <w:r>
        <w:rPr>
          <w:rFonts w:cs="Arial"/>
        </w:rPr>
        <w:t>are summarised in Figure</w:t>
      </w:r>
      <w:r w:rsidRPr="00423836">
        <w:rPr>
          <w:rFonts w:cs="Arial"/>
        </w:rPr>
        <w:t xml:space="preserve"> 4.</w:t>
      </w:r>
      <w:r>
        <w:rPr>
          <w:rFonts w:cs="Arial"/>
        </w:rPr>
        <w:t>2</w:t>
      </w:r>
      <w:r w:rsidR="002C64C8">
        <w:rPr>
          <w:rFonts w:cs="Arial"/>
        </w:rPr>
        <w:t>.</w:t>
      </w:r>
      <w:r w:rsidR="0060186D">
        <w:rPr>
          <w:rFonts w:cs="Arial"/>
        </w:rPr>
        <w:t xml:space="preserve"> </w:t>
      </w:r>
      <w:r w:rsidR="002C64C8" w:rsidRPr="00986BDA">
        <w:rPr>
          <w:rFonts w:cs="Arial"/>
        </w:rPr>
        <w:t>T</w:t>
      </w:r>
      <w:r w:rsidR="00EF2692" w:rsidRPr="00986BDA">
        <w:rPr>
          <w:rFonts w:cs="Arial"/>
        </w:rPr>
        <w:t xml:space="preserve">he </w:t>
      </w:r>
      <w:r w:rsidRPr="00986BDA">
        <w:rPr>
          <w:rFonts w:cs="Arial"/>
        </w:rPr>
        <w:t xml:space="preserve">detailed results </w:t>
      </w:r>
      <w:r w:rsidR="00B13287" w:rsidRPr="00986BDA">
        <w:rPr>
          <w:rFonts w:cs="Arial"/>
        </w:rPr>
        <w:t xml:space="preserve">are </w:t>
      </w:r>
      <w:r w:rsidRPr="00986BDA">
        <w:rPr>
          <w:rFonts w:cs="Arial"/>
        </w:rPr>
        <w:t>set out in Table</w:t>
      </w:r>
      <w:r w:rsidR="00EF2692" w:rsidRPr="00986BDA">
        <w:rPr>
          <w:rFonts w:cs="Arial"/>
        </w:rPr>
        <w:t>s</w:t>
      </w:r>
      <w:r w:rsidRPr="00986BDA">
        <w:rPr>
          <w:rFonts w:cs="Arial"/>
        </w:rPr>
        <w:t xml:space="preserve"> A</w:t>
      </w:r>
      <w:r w:rsidR="005A7818" w:rsidRPr="00986BDA">
        <w:rPr>
          <w:rFonts w:cs="Arial"/>
        </w:rPr>
        <w:t>2</w:t>
      </w:r>
      <w:r w:rsidRPr="00986BDA">
        <w:rPr>
          <w:rFonts w:cs="Arial"/>
        </w:rPr>
        <w:t xml:space="preserve">.1 </w:t>
      </w:r>
      <w:r w:rsidR="00EF2692" w:rsidRPr="00986BDA">
        <w:rPr>
          <w:rFonts w:cs="Arial"/>
        </w:rPr>
        <w:t>and A2.</w:t>
      </w:r>
      <w:r w:rsidR="002271F3">
        <w:rPr>
          <w:rFonts w:cs="Arial"/>
        </w:rPr>
        <w:t>2</w:t>
      </w:r>
      <w:r w:rsidR="00EF2692" w:rsidRPr="00986BDA">
        <w:rPr>
          <w:rFonts w:cs="Arial"/>
        </w:rPr>
        <w:t xml:space="preserve"> </w:t>
      </w:r>
      <w:r w:rsidR="00BF7F21" w:rsidRPr="00986BDA">
        <w:rPr>
          <w:rFonts w:cs="Arial"/>
        </w:rPr>
        <w:t>in</w:t>
      </w:r>
      <w:r w:rsidRPr="00986BDA">
        <w:rPr>
          <w:rFonts w:cs="Arial"/>
        </w:rPr>
        <w:t xml:space="preserve"> Appendix </w:t>
      </w:r>
      <w:r w:rsidR="005A7818" w:rsidRPr="00986BDA">
        <w:rPr>
          <w:rFonts w:cs="Arial"/>
        </w:rPr>
        <w:t>2</w:t>
      </w:r>
      <w:r w:rsidRPr="00986BDA">
        <w:rPr>
          <w:rFonts w:cs="Arial"/>
        </w:rPr>
        <w:t>.</w:t>
      </w:r>
    </w:p>
    <w:p w:rsidR="005D0CE2" w:rsidRDefault="005D0CE2" w:rsidP="0010297D">
      <w:pPr>
        <w:rPr>
          <w:rFonts w:cs="Arial"/>
        </w:rPr>
      </w:pPr>
    </w:p>
    <w:p w:rsidR="00C10FD9" w:rsidRDefault="00C10FD9" w:rsidP="0010297D">
      <w:pPr>
        <w:rPr>
          <w:rFonts w:cs="Arial"/>
        </w:rPr>
      </w:pPr>
      <w:r w:rsidRPr="00C10FD9">
        <w:rPr>
          <w:noProof/>
          <w:lang w:eastAsia="en-GB" w:bidi="ar-SA"/>
        </w:rPr>
        <w:drawing>
          <wp:inline distT="0" distB="0" distL="0" distR="0" wp14:anchorId="42878AFF" wp14:editId="64EC3DDD">
            <wp:extent cx="4564800" cy="2840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4800" cy="2840400"/>
                    </a:xfrm>
                    <a:prstGeom prst="rect">
                      <a:avLst/>
                    </a:prstGeom>
                    <a:noFill/>
                    <a:ln>
                      <a:noFill/>
                    </a:ln>
                  </pic:spPr>
                </pic:pic>
              </a:graphicData>
            </a:graphic>
          </wp:inline>
        </w:drawing>
      </w:r>
    </w:p>
    <w:p w:rsidR="00C10FD9" w:rsidRDefault="00C10FD9" w:rsidP="0010297D">
      <w:pPr>
        <w:rPr>
          <w:rFonts w:cs="Arial"/>
        </w:rPr>
      </w:pPr>
    </w:p>
    <w:p w:rsidR="0010297D" w:rsidRDefault="0010297D" w:rsidP="0082243A">
      <w:pPr>
        <w:keepNext/>
        <w:keepLines/>
        <w:rPr>
          <w:b/>
        </w:rPr>
      </w:pPr>
      <w:r w:rsidRPr="00A91DB2">
        <w:rPr>
          <w:b/>
        </w:rPr>
        <w:t xml:space="preserve">Figure 4.2: </w:t>
      </w:r>
      <w:r w:rsidR="00716C87">
        <w:rPr>
          <w:b/>
        </w:rPr>
        <w:t>Predicted m</w:t>
      </w:r>
      <w:r w:rsidRPr="00A91DB2">
        <w:rPr>
          <w:b/>
        </w:rPr>
        <w:t>ean and 90</w:t>
      </w:r>
      <w:r w:rsidRPr="00A91DB2">
        <w:rPr>
          <w:b/>
          <w:vertAlign w:val="superscript"/>
        </w:rPr>
        <w:t>th</w:t>
      </w:r>
      <w:r w:rsidRPr="00A91DB2">
        <w:rPr>
          <w:b/>
        </w:rPr>
        <w:t xml:space="preserve"> percentile </w:t>
      </w:r>
      <w:r w:rsidR="0060186D">
        <w:rPr>
          <w:b/>
        </w:rPr>
        <w:t xml:space="preserve">population </w:t>
      </w:r>
      <w:r w:rsidR="00492E3F">
        <w:rPr>
          <w:b/>
        </w:rPr>
        <w:t xml:space="preserve">daily </w:t>
      </w:r>
      <w:r w:rsidRPr="00A91DB2">
        <w:rPr>
          <w:b/>
        </w:rPr>
        <w:t xml:space="preserve">dietary exposures </w:t>
      </w:r>
      <w:r w:rsidR="0060186D">
        <w:rPr>
          <w:b/>
        </w:rPr>
        <w:t>(mg/d</w:t>
      </w:r>
      <w:r w:rsidR="00C10FD9">
        <w:rPr>
          <w:b/>
        </w:rPr>
        <w:t>ay</w:t>
      </w:r>
      <w:r w:rsidR="0060186D">
        <w:rPr>
          <w:b/>
        </w:rPr>
        <w:t xml:space="preserve">) </w:t>
      </w:r>
      <w:r w:rsidRPr="00A91DB2">
        <w:rPr>
          <w:b/>
        </w:rPr>
        <w:t xml:space="preserve">to </w:t>
      </w:r>
      <w:r w:rsidR="00E3403B">
        <w:rPr>
          <w:b/>
        </w:rPr>
        <w:t>quillaia</w:t>
      </w:r>
      <w:r w:rsidRPr="00A91DB2">
        <w:rPr>
          <w:b/>
        </w:rPr>
        <w:t xml:space="preserve"> saponins for all population groups assessed </w:t>
      </w:r>
    </w:p>
    <w:p w:rsidR="0060186D" w:rsidRPr="0060186D" w:rsidRDefault="0060186D" w:rsidP="0010297D"/>
    <w:p w:rsidR="0010297D" w:rsidRPr="00CF7F65" w:rsidRDefault="0010297D" w:rsidP="002453E2">
      <w:pPr>
        <w:pStyle w:val="Heading3"/>
      </w:pPr>
      <w:bookmarkStart w:id="83" w:name="_Toc269201844"/>
      <w:bookmarkStart w:id="84" w:name="_Toc360028622"/>
      <w:r w:rsidRPr="00CF7F65">
        <w:t>4.2.</w:t>
      </w:r>
      <w:r w:rsidR="00CF7F65" w:rsidRPr="00CF7F65">
        <w:t>2</w:t>
      </w:r>
      <w:r w:rsidRPr="00CF7F65">
        <w:tab/>
        <w:t xml:space="preserve">Major foods contributing to </w:t>
      </w:r>
      <w:r w:rsidR="00E3403B">
        <w:t>quillaia</w:t>
      </w:r>
      <w:r w:rsidRPr="00CF7F65">
        <w:t xml:space="preserve"> saponins exposure</w:t>
      </w:r>
      <w:bookmarkEnd w:id="83"/>
      <w:bookmarkEnd w:id="84"/>
    </w:p>
    <w:p w:rsidR="005A7818" w:rsidRDefault="005A7818" w:rsidP="0010297D">
      <w:pPr>
        <w:rPr>
          <w:rFonts w:cs="Arial"/>
        </w:rPr>
      </w:pPr>
    </w:p>
    <w:p w:rsidR="00CF7F65" w:rsidRDefault="0010297D" w:rsidP="0010297D">
      <w:r>
        <w:rPr>
          <w:rFonts w:cs="Arial"/>
        </w:rPr>
        <w:t xml:space="preserve">The </w:t>
      </w:r>
      <w:r w:rsidR="00CF7F65">
        <w:rPr>
          <w:rFonts w:cs="Arial"/>
        </w:rPr>
        <w:t>food</w:t>
      </w:r>
      <w:r w:rsidR="002D6A00">
        <w:rPr>
          <w:rFonts w:cs="Arial"/>
        </w:rPr>
        <w:t>s that were</w:t>
      </w:r>
      <w:r w:rsidR="00CF7F65">
        <w:rPr>
          <w:rFonts w:cs="Arial"/>
        </w:rPr>
        <w:t xml:space="preserve"> </w:t>
      </w:r>
      <w:r w:rsidR="002D6A00">
        <w:rPr>
          <w:rFonts w:cs="Arial"/>
        </w:rPr>
        <w:t xml:space="preserve">major </w:t>
      </w:r>
      <w:r>
        <w:rPr>
          <w:rFonts w:cs="Arial"/>
        </w:rPr>
        <w:t xml:space="preserve">contributors to </w:t>
      </w:r>
      <w:r w:rsidR="00716C87">
        <w:rPr>
          <w:rFonts w:cs="Arial"/>
        </w:rPr>
        <w:t xml:space="preserve">predicted </w:t>
      </w:r>
      <w:r w:rsidR="00E3403B">
        <w:rPr>
          <w:rFonts w:cs="Arial"/>
        </w:rPr>
        <w:t>quillaia</w:t>
      </w:r>
      <w:r>
        <w:rPr>
          <w:rFonts w:cs="Arial"/>
        </w:rPr>
        <w:t xml:space="preserve"> saponins exposure (</w:t>
      </w:r>
      <w:r>
        <w:t xml:space="preserve">providing </w:t>
      </w:r>
      <w:r w:rsidRPr="00423836">
        <w:t>≥5%)</w:t>
      </w:r>
      <w:r w:rsidR="00CF7F65">
        <w:t xml:space="preserve"> were calculated from consumers’ mean intake </w:t>
      </w:r>
      <w:r w:rsidR="002D6A00">
        <w:t>from</w:t>
      </w:r>
      <w:r w:rsidR="00CF7F65">
        <w:t xml:space="preserve"> </w:t>
      </w:r>
      <w:r w:rsidR="002D6A00">
        <w:t xml:space="preserve">all </w:t>
      </w:r>
      <w:r w:rsidR="00CF7F65">
        <w:t xml:space="preserve">foods </w:t>
      </w:r>
      <w:r w:rsidR="002D6A00">
        <w:t xml:space="preserve">consumed that were </w:t>
      </w:r>
      <w:r w:rsidR="00CF7F65">
        <w:t>proposed to contain the additive.</w:t>
      </w:r>
      <w:r w:rsidRPr="00423836">
        <w:t xml:space="preserve"> </w:t>
      </w:r>
    </w:p>
    <w:p w:rsidR="00CF7F65" w:rsidRDefault="00CF7F65" w:rsidP="0010297D"/>
    <w:p w:rsidR="00303B2B" w:rsidRDefault="00CF7F65" w:rsidP="0010297D">
      <w:pPr>
        <w:rPr>
          <w:rFonts w:cs="Arial"/>
        </w:rPr>
      </w:pPr>
      <w:r>
        <w:rPr>
          <w:rFonts w:cs="Arial"/>
        </w:rPr>
        <w:t>F</w:t>
      </w:r>
      <w:r w:rsidR="0010297D">
        <w:rPr>
          <w:rFonts w:cs="Arial"/>
        </w:rPr>
        <w:t>or Australians aged 2-16 years</w:t>
      </w:r>
      <w:r w:rsidR="00303B2B">
        <w:rPr>
          <w:rFonts w:cs="Arial"/>
        </w:rPr>
        <w:t>,</w:t>
      </w:r>
      <w:r w:rsidR="0010297D">
        <w:rPr>
          <w:rFonts w:cs="Arial"/>
        </w:rPr>
        <w:t xml:space="preserve"> water based flavoured drinks (</w:t>
      </w:r>
      <w:r w:rsidR="004F3EF0">
        <w:rPr>
          <w:rFonts w:cs="Arial"/>
        </w:rPr>
        <w:t>79</w:t>
      </w:r>
      <w:r w:rsidR="0010297D">
        <w:rPr>
          <w:rFonts w:cs="Arial"/>
        </w:rPr>
        <w:t>%), fruit and vegetable jui</w:t>
      </w:r>
      <w:r>
        <w:rPr>
          <w:rFonts w:cs="Arial"/>
        </w:rPr>
        <w:t xml:space="preserve">ce products (12%) and tea (5%) were major contributors. </w:t>
      </w:r>
      <w:r w:rsidR="00F07124">
        <w:rPr>
          <w:rFonts w:cs="Arial"/>
        </w:rPr>
        <w:t xml:space="preserve">Coffee beverage, caffeinated, instant powder/ granules (including flavoured coffee) (30%), water based flavoured drinks (26%), beer and related products (22%) and tea (13%) were the major contributors for </w:t>
      </w:r>
      <w:r w:rsidR="0010297D">
        <w:rPr>
          <w:rFonts w:cs="Arial"/>
        </w:rPr>
        <w:t>Aust</w:t>
      </w:r>
      <w:r w:rsidR="00F07124">
        <w:rPr>
          <w:rFonts w:cs="Arial"/>
        </w:rPr>
        <w:t xml:space="preserve">ralians aged 17 years and above. </w:t>
      </w:r>
      <w:r w:rsidR="0010297D">
        <w:rPr>
          <w:rFonts w:cs="Arial"/>
        </w:rPr>
        <w:t>These results are shown in Figures</w:t>
      </w:r>
      <w:r w:rsidR="004E1C38">
        <w:rPr>
          <w:rFonts w:cs="Arial"/>
        </w:rPr>
        <w:t> </w:t>
      </w:r>
      <w:r w:rsidR="0010297D">
        <w:rPr>
          <w:rFonts w:cs="Arial"/>
        </w:rPr>
        <w:t xml:space="preserve">4.3 and 4.4 </w:t>
      </w:r>
      <w:r w:rsidR="00F07124">
        <w:rPr>
          <w:rFonts w:cs="Arial"/>
        </w:rPr>
        <w:t xml:space="preserve">respectively </w:t>
      </w:r>
      <w:r w:rsidR="0010297D">
        <w:rPr>
          <w:rFonts w:cs="Arial"/>
        </w:rPr>
        <w:t>for the two Australian population groups.</w:t>
      </w:r>
    </w:p>
    <w:p w:rsidR="005D0CE2" w:rsidRDefault="005D0CE2" w:rsidP="0010297D">
      <w:pPr>
        <w:rPr>
          <w:rFonts w:cs="Arial"/>
        </w:rPr>
      </w:pPr>
    </w:p>
    <w:p w:rsidR="0010297D" w:rsidRDefault="0010297D" w:rsidP="0010297D">
      <w:pPr>
        <w:rPr>
          <w:rFonts w:cs="Arial"/>
        </w:rPr>
      </w:pPr>
    </w:p>
    <w:p w:rsidR="00896913" w:rsidRDefault="00896913" w:rsidP="009B3193">
      <w:pPr>
        <w:keepNext/>
        <w:rPr>
          <w:rFonts w:cs="Arial"/>
        </w:rPr>
      </w:pPr>
      <w:r w:rsidRPr="00896913">
        <w:rPr>
          <w:noProof/>
          <w:lang w:eastAsia="en-GB" w:bidi="ar-SA"/>
        </w:rPr>
        <w:lastRenderedPageBreak/>
        <w:drawing>
          <wp:inline distT="0" distB="0" distL="0" distR="0" wp14:anchorId="560E3055" wp14:editId="7961200A">
            <wp:extent cx="3981600" cy="28296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1600" cy="2829600"/>
                    </a:xfrm>
                    <a:prstGeom prst="rect">
                      <a:avLst/>
                    </a:prstGeom>
                    <a:noFill/>
                    <a:ln>
                      <a:noFill/>
                    </a:ln>
                  </pic:spPr>
                </pic:pic>
              </a:graphicData>
            </a:graphic>
          </wp:inline>
        </w:drawing>
      </w:r>
    </w:p>
    <w:p w:rsidR="004F3EF0" w:rsidRDefault="004F3EF0" w:rsidP="009B3193">
      <w:pPr>
        <w:keepNext/>
        <w:rPr>
          <w:szCs w:val="22"/>
        </w:rPr>
      </w:pPr>
    </w:p>
    <w:p w:rsidR="0010297D" w:rsidRDefault="0010297D" w:rsidP="009B3193">
      <w:pPr>
        <w:keepNext/>
        <w:rPr>
          <w:b/>
          <w:szCs w:val="22"/>
        </w:rPr>
      </w:pPr>
      <w:r w:rsidRPr="00043E73">
        <w:rPr>
          <w:b/>
          <w:szCs w:val="22"/>
        </w:rPr>
        <w:t xml:space="preserve">Figure 4.3: Contributors to </w:t>
      </w:r>
      <w:r w:rsidR="00716C87">
        <w:rPr>
          <w:b/>
          <w:szCs w:val="22"/>
        </w:rPr>
        <w:t xml:space="preserve">predicted </w:t>
      </w:r>
      <w:r w:rsidRPr="00043E73">
        <w:rPr>
          <w:b/>
          <w:szCs w:val="22"/>
        </w:rPr>
        <w:t xml:space="preserve">population </w:t>
      </w:r>
      <w:r w:rsidR="00E3403B">
        <w:rPr>
          <w:b/>
          <w:szCs w:val="22"/>
        </w:rPr>
        <w:t>quillaia</w:t>
      </w:r>
      <w:r w:rsidRPr="00043E73">
        <w:rPr>
          <w:b/>
          <w:szCs w:val="22"/>
        </w:rPr>
        <w:t xml:space="preserve"> saponins dietary exposure for Australian aged 2-16 years </w:t>
      </w:r>
    </w:p>
    <w:p w:rsidR="005D0CE2" w:rsidRPr="00043E73" w:rsidRDefault="005D0CE2" w:rsidP="009B3193">
      <w:pPr>
        <w:keepNext/>
        <w:rPr>
          <w:b/>
          <w:i/>
          <w:szCs w:val="22"/>
        </w:rPr>
      </w:pPr>
    </w:p>
    <w:p w:rsidR="0010297D" w:rsidRPr="00C939F8" w:rsidRDefault="0010297D" w:rsidP="0010297D">
      <w:pPr>
        <w:rPr>
          <w:rFonts w:cs="Arial"/>
        </w:rPr>
      </w:pPr>
    </w:p>
    <w:p w:rsidR="0010297D" w:rsidRPr="00C939F8" w:rsidRDefault="00807FDC" w:rsidP="0076298F">
      <w:pPr>
        <w:keepNext/>
        <w:rPr>
          <w:rFonts w:cs="Arial"/>
        </w:rPr>
      </w:pPr>
      <w:r w:rsidRPr="00807FDC">
        <w:rPr>
          <w:noProof/>
          <w:lang w:eastAsia="en-GB" w:bidi="ar-SA"/>
        </w:rPr>
        <w:drawing>
          <wp:inline distT="0" distB="0" distL="0" distR="0" wp14:anchorId="1E1726CE" wp14:editId="79387A62">
            <wp:extent cx="4431600" cy="273600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1600" cy="2736000"/>
                    </a:xfrm>
                    <a:prstGeom prst="rect">
                      <a:avLst/>
                    </a:prstGeom>
                    <a:noFill/>
                    <a:ln>
                      <a:noFill/>
                    </a:ln>
                  </pic:spPr>
                </pic:pic>
              </a:graphicData>
            </a:graphic>
          </wp:inline>
        </w:drawing>
      </w:r>
    </w:p>
    <w:p w:rsidR="004F3EF0" w:rsidRDefault="004F3EF0" w:rsidP="0076298F">
      <w:pPr>
        <w:keepNext/>
        <w:rPr>
          <w:b/>
        </w:rPr>
      </w:pPr>
    </w:p>
    <w:p w:rsidR="0010297D" w:rsidRPr="00043E73" w:rsidRDefault="0010297D" w:rsidP="0076298F">
      <w:pPr>
        <w:keepNext/>
        <w:rPr>
          <w:b/>
          <w:i/>
        </w:rPr>
      </w:pPr>
      <w:r w:rsidRPr="00043E73">
        <w:rPr>
          <w:b/>
        </w:rPr>
        <w:t xml:space="preserve">Figure 4.4: Contributors to </w:t>
      </w:r>
      <w:r w:rsidR="00716C87">
        <w:rPr>
          <w:b/>
        </w:rPr>
        <w:t xml:space="preserve">predicted </w:t>
      </w:r>
      <w:r w:rsidRPr="00043E73">
        <w:rPr>
          <w:b/>
        </w:rPr>
        <w:t xml:space="preserve">population </w:t>
      </w:r>
      <w:r w:rsidR="00E3403B">
        <w:rPr>
          <w:b/>
        </w:rPr>
        <w:t>quillaia</w:t>
      </w:r>
      <w:r w:rsidRPr="00043E73">
        <w:rPr>
          <w:b/>
        </w:rPr>
        <w:t xml:space="preserve"> saponins dietary exposure for Australians aged 17 years and above </w:t>
      </w:r>
    </w:p>
    <w:p w:rsidR="0060186D" w:rsidRDefault="0060186D" w:rsidP="0010297D">
      <w:pPr>
        <w:rPr>
          <w:rFonts w:cs="Arial"/>
        </w:rPr>
      </w:pPr>
    </w:p>
    <w:p w:rsidR="00422890" w:rsidRDefault="00422890" w:rsidP="0010297D">
      <w:pPr>
        <w:rPr>
          <w:rFonts w:cs="Arial"/>
        </w:rPr>
      </w:pPr>
    </w:p>
    <w:p w:rsidR="0010297D" w:rsidRDefault="0009747B" w:rsidP="0010297D">
      <w:pPr>
        <w:rPr>
          <w:rFonts w:cs="Arial"/>
        </w:rPr>
      </w:pPr>
      <w:r>
        <w:rPr>
          <w:rFonts w:cs="Arial"/>
        </w:rPr>
        <w:t xml:space="preserve">The major food contributors to </w:t>
      </w:r>
      <w:r w:rsidR="00750C2B">
        <w:rPr>
          <w:rFonts w:cs="Arial"/>
        </w:rPr>
        <w:t>the New Zealand populations</w:t>
      </w:r>
      <w:r w:rsidR="004D13D9">
        <w:rPr>
          <w:rFonts w:cs="Arial"/>
        </w:rPr>
        <w:t>’</w:t>
      </w:r>
      <w:r w:rsidR="00750C2B">
        <w:rPr>
          <w:rFonts w:cs="Arial"/>
        </w:rPr>
        <w:t xml:space="preserve"> </w:t>
      </w:r>
      <w:r w:rsidR="00716C87">
        <w:rPr>
          <w:rFonts w:cs="Arial"/>
        </w:rPr>
        <w:t xml:space="preserve">predicted </w:t>
      </w:r>
      <w:r w:rsidR="00750C2B">
        <w:rPr>
          <w:rFonts w:cs="Arial"/>
        </w:rPr>
        <w:t xml:space="preserve">dietary exposure to </w:t>
      </w:r>
      <w:r w:rsidR="00E3403B">
        <w:rPr>
          <w:rFonts w:cs="Arial"/>
        </w:rPr>
        <w:t>quillaia</w:t>
      </w:r>
      <w:r>
        <w:rPr>
          <w:rFonts w:cs="Arial"/>
        </w:rPr>
        <w:t xml:space="preserve"> saponins are shown in </w:t>
      </w:r>
      <w:r w:rsidR="0010297D">
        <w:rPr>
          <w:rFonts w:cs="Arial"/>
        </w:rPr>
        <w:t>Figures 4.5 and 4.6</w:t>
      </w:r>
      <w:r>
        <w:rPr>
          <w:rFonts w:cs="Arial"/>
        </w:rPr>
        <w:t>.</w:t>
      </w:r>
      <w:r w:rsidR="0010297D">
        <w:rPr>
          <w:rFonts w:cs="Arial"/>
        </w:rPr>
        <w:t xml:space="preserve"> </w:t>
      </w:r>
      <w:r w:rsidR="00807FDC">
        <w:rPr>
          <w:rFonts w:cs="Arial"/>
        </w:rPr>
        <w:t>F</w:t>
      </w:r>
      <w:r w:rsidR="0010297D">
        <w:rPr>
          <w:rFonts w:cs="Arial"/>
        </w:rPr>
        <w:t xml:space="preserve">or </w:t>
      </w:r>
      <w:r>
        <w:rPr>
          <w:rFonts w:cs="Arial"/>
        </w:rPr>
        <w:t>those</w:t>
      </w:r>
      <w:r w:rsidR="0010297D">
        <w:rPr>
          <w:rFonts w:cs="Arial"/>
        </w:rPr>
        <w:t xml:space="preserve"> aged 5 to 14 years</w:t>
      </w:r>
      <w:r>
        <w:rPr>
          <w:rFonts w:cs="Arial"/>
        </w:rPr>
        <w:t>,</w:t>
      </w:r>
      <w:r w:rsidR="0010297D">
        <w:rPr>
          <w:rFonts w:cs="Arial"/>
        </w:rPr>
        <w:t xml:space="preserve"> water based flavoured drinks (8</w:t>
      </w:r>
      <w:r w:rsidR="007539C9">
        <w:rPr>
          <w:rFonts w:cs="Arial"/>
        </w:rPr>
        <w:t>2</w:t>
      </w:r>
      <w:r w:rsidR="0010297D">
        <w:rPr>
          <w:rFonts w:cs="Arial"/>
        </w:rPr>
        <w:t>%), fruit and vegetable juice products (</w:t>
      </w:r>
      <w:r w:rsidR="00807FDC">
        <w:rPr>
          <w:rFonts w:cs="Arial"/>
        </w:rPr>
        <w:t>7</w:t>
      </w:r>
      <w:r w:rsidR="0010297D">
        <w:rPr>
          <w:rFonts w:cs="Arial"/>
        </w:rPr>
        <w:t>%) and tea (5%)</w:t>
      </w:r>
      <w:r>
        <w:rPr>
          <w:rFonts w:cs="Arial"/>
        </w:rPr>
        <w:t xml:space="preserve"> were major contributors</w:t>
      </w:r>
      <w:r w:rsidR="0010297D">
        <w:rPr>
          <w:rFonts w:cs="Arial"/>
        </w:rPr>
        <w:t xml:space="preserve">. </w:t>
      </w:r>
      <w:r w:rsidR="00C440FF">
        <w:rPr>
          <w:rFonts w:cs="Arial"/>
        </w:rPr>
        <w:t>However, for the population</w:t>
      </w:r>
      <w:r w:rsidR="0010297D">
        <w:rPr>
          <w:rFonts w:cs="Arial"/>
        </w:rPr>
        <w:t xml:space="preserve"> aged 15 years and above, the major contributors were water based flavoured drinks (</w:t>
      </w:r>
      <w:r w:rsidR="00C440FF">
        <w:rPr>
          <w:rFonts w:cs="Arial"/>
        </w:rPr>
        <w:t>29</w:t>
      </w:r>
      <w:r w:rsidR="0010297D">
        <w:rPr>
          <w:rFonts w:cs="Arial"/>
        </w:rPr>
        <w:t>%), beer and related products (</w:t>
      </w:r>
      <w:r w:rsidR="00C440FF">
        <w:rPr>
          <w:rFonts w:cs="Arial"/>
        </w:rPr>
        <w:t>26</w:t>
      </w:r>
      <w:r w:rsidR="0010297D">
        <w:rPr>
          <w:rFonts w:cs="Arial"/>
        </w:rPr>
        <w:t>%), instant coffee powders and granules</w:t>
      </w:r>
      <w:r w:rsidR="00C440FF">
        <w:rPr>
          <w:rFonts w:cs="Arial"/>
        </w:rPr>
        <w:t xml:space="preserve"> (including flavoured coffee)</w:t>
      </w:r>
      <w:r w:rsidR="0010297D">
        <w:rPr>
          <w:rFonts w:cs="Arial"/>
        </w:rPr>
        <w:t xml:space="preserve"> (</w:t>
      </w:r>
      <w:r w:rsidR="007539C9">
        <w:rPr>
          <w:rFonts w:cs="Arial"/>
        </w:rPr>
        <w:t>19</w:t>
      </w:r>
      <w:r w:rsidR="0010297D">
        <w:rPr>
          <w:rFonts w:cs="Arial"/>
        </w:rPr>
        <w:t>%) and tea</w:t>
      </w:r>
      <w:r w:rsidR="00C440FF">
        <w:rPr>
          <w:rFonts w:cs="Arial"/>
        </w:rPr>
        <w:t xml:space="preserve"> (including flavoured tea)</w:t>
      </w:r>
      <w:r w:rsidR="0010297D">
        <w:rPr>
          <w:rFonts w:cs="Arial"/>
        </w:rPr>
        <w:t xml:space="preserve"> (19%).</w:t>
      </w:r>
    </w:p>
    <w:p w:rsidR="0010297D" w:rsidRDefault="0010297D" w:rsidP="0010297D">
      <w:pPr>
        <w:rPr>
          <w:rFonts w:cs="Arial"/>
        </w:rPr>
      </w:pPr>
    </w:p>
    <w:p w:rsidR="0010297D" w:rsidRPr="00FE3B21" w:rsidRDefault="00813A17" w:rsidP="0076298F">
      <w:pPr>
        <w:keepNext/>
        <w:rPr>
          <w:rFonts w:cs="Arial"/>
        </w:rPr>
      </w:pPr>
      <w:r w:rsidRPr="00813A17">
        <w:rPr>
          <w:noProof/>
          <w:lang w:eastAsia="en-GB" w:bidi="ar-SA"/>
        </w:rPr>
        <w:lastRenderedPageBreak/>
        <w:drawing>
          <wp:inline distT="0" distB="0" distL="0" distR="0" wp14:anchorId="06BC01BC" wp14:editId="759B2DA2">
            <wp:extent cx="4129200" cy="2970000"/>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9200" cy="2970000"/>
                    </a:xfrm>
                    <a:prstGeom prst="rect">
                      <a:avLst/>
                    </a:prstGeom>
                    <a:noFill/>
                    <a:ln>
                      <a:noFill/>
                    </a:ln>
                  </pic:spPr>
                </pic:pic>
              </a:graphicData>
            </a:graphic>
          </wp:inline>
        </w:drawing>
      </w:r>
    </w:p>
    <w:p w:rsidR="0010297D" w:rsidRDefault="0010297D" w:rsidP="0076298F">
      <w:pPr>
        <w:keepNext/>
        <w:rPr>
          <w:b/>
        </w:rPr>
      </w:pPr>
    </w:p>
    <w:p w:rsidR="0010297D" w:rsidRPr="00040FBA" w:rsidRDefault="0010297D" w:rsidP="0076298F">
      <w:pPr>
        <w:keepNext/>
        <w:rPr>
          <w:b/>
          <w:i/>
        </w:rPr>
      </w:pPr>
      <w:r w:rsidRPr="00040FBA">
        <w:rPr>
          <w:b/>
        </w:rPr>
        <w:t>Figure 4.</w:t>
      </w:r>
      <w:r>
        <w:rPr>
          <w:b/>
        </w:rPr>
        <w:t>5</w:t>
      </w:r>
      <w:r w:rsidRPr="00040FBA">
        <w:rPr>
          <w:b/>
        </w:rPr>
        <w:t xml:space="preserve">: Contributors to </w:t>
      </w:r>
      <w:r w:rsidR="00716C87">
        <w:rPr>
          <w:b/>
        </w:rPr>
        <w:t>predicted</w:t>
      </w:r>
      <w:r w:rsidR="00716C87" w:rsidRPr="00040FBA">
        <w:rPr>
          <w:b/>
        </w:rPr>
        <w:t xml:space="preserve"> </w:t>
      </w:r>
      <w:r>
        <w:rPr>
          <w:b/>
        </w:rPr>
        <w:t xml:space="preserve">population </w:t>
      </w:r>
      <w:r w:rsidR="00E3403B">
        <w:rPr>
          <w:b/>
        </w:rPr>
        <w:t>quillaia</w:t>
      </w:r>
      <w:r w:rsidRPr="00040FBA">
        <w:rPr>
          <w:b/>
        </w:rPr>
        <w:t xml:space="preserve"> </w:t>
      </w:r>
      <w:r>
        <w:rPr>
          <w:b/>
        </w:rPr>
        <w:t>saponins</w:t>
      </w:r>
      <w:r w:rsidRPr="00040FBA">
        <w:rPr>
          <w:b/>
        </w:rPr>
        <w:t xml:space="preserve"> dietary exposure for New Zealand</w:t>
      </w:r>
      <w:r w:rsidR="00F62417">
        <w:rPr>
          <w:b/>
        </w:rPr>
        <w:t>ers</w:t>
      </w:r>
      <w:r w:rsidRPr="00040FBA">
        <w:rPr>
          <w:b/>
        </w:rPr>
        <w:t xml:space="preserve"> 5 -14 years</w:t>
      </w:r>
      <w:r>
        <w:rPr>
          <w:b/>
        </w:rPr>
        <w:t xml:space="preserve"> </w:t>
      </w:r>
    </w:p>
    <w:p w:rsidR="0010297D" w:rsidRPr="00FE3B21" w:rsidRDefault="0010297D" w:rsidP="0010297D">
      <w:pPr>
        <w:rPr>
          <w:rFonts w:cs="Arial"/>
        </w:rPr>
      </w:pPr>
    </w:p>
    <w:p w:rsidR="0010297D" w:rsidRDefault="00813A17" w:rsidP="0076298F">
      <w:pPr>
        <w:keepNext/>
        <w:rPr>
          <w:noProof/>
          <w:lang w:eastAsia="en-GB" w:bidi="ar-SA"/>
        </w:rPr>
      </w:pPr>
      <w:r w:rsidRPr="00813A17">
        <w:rPr>
          <w:noProof/>
          <w:lang w:eastAsia="en-GB" w:bidi="ar-SA"/>
        </w:rPr>
        <w:drawing>
          <wp:inline distT="0" distB="0" distL="0" distR="0" wp14:anchorId="5D32A3B9" wp14:editId="7ABFE46B">
            <wp:extent cx="4006800" cy="311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6800" cy="3110400"/>
                    </a:xfrm>
                    <a:prstGeom prst="rect">
                      <a:avLst/>
                    </a:prstGeom>
                    <a:noFill/>
                    <a:ln>
                      <a:noFill/>
                    </a:ln>
                  </pic:spPr>
                </pic:pic>
              </a:graphicData>
            </a:graphic>
          </wp:inline>
        </w:drawing>
      </w:r>
    </w:p>
    <w:p w:rsidR="0010297D" w:rsidRDefault="0010297D" w:rsidP="0076298F">
      <w:pPr>
        <w:keepNext/>
      </w:pPr>
    </w:p>
    <w:p w:rsidR="0010297D" w:rsidRDefault="0010297D" w:rsidP="0076298F">
      <w:pPr>
        <w:keepNext/>
        <w:rPr>
          <w:rFonts w:cs="Arial"/>
          <w:b/>
        </w:rPr>
      </w:pPr>
      <w:r w:rsidRPr="00C3188C">
        <w:rPr>
          <w:b/>
        </w:rPr>
        <w:t>Figure 4.</w:t>
      </w:r>
      <w:r>
        <w:rPr>
          <w:b/>
        </w:rPr>
        <w:t>6</w:t>
      </w:r>
      <w:r w:rsidRPr="00C3188C">
        <w:rPr>
          <w:b/>
        </w:rPr>
        <w:t>: C</w:t>
      </w:r>
      <w:r>
        <w:rPr>
          <w:b/>
        </w:rPr>
        <w:t xml:space="preserve">ontributors to </w:t>
      </w:r>
      <w:r w:rsidR="00716C87">
        <w:rPr>
          <w:b/>
        </w:rPr>
        <w:t xml:space="preserve">predicted </w:t>
      </w:r>
      <w:r>
        <w:rPr>
          <w:b/>
        </w:rPr>
        <w:t xml:space="preserve">population </w:t>
      </w:r>
      <w:r w:rsidR="00E3403B">
        <w:rPr>
          <w:b/>
        </w:rPr>
        <w:t>quillaia</w:t>
      </w:r>
      <w:r>
        <w:rPr>
          <w:b/>
        </w:rPr>
        <w:t xml:space="preserve"> saponins dietary exposure for New Z</w:t>
      </w:r>
      <w:r w:rsidRPr="00C3188C">
        <w:rPr>
          <w:b/>
        </w:rPr>
        <w:t>ealand</w:t>
      </w:r>
      <w:r w:rsidR="00F62417">
        <w:rPr>
          <w:b/>
        </w:rPr>
        <w:t>ers</w:t>
      </w:r>
      <w:r w:rsidRPr="00C3188C">
        <w:rPr>
          <w:b/>
        </w:rPr>
        <w:t xml:space="preserve"> 15</w:t>
      </w:r>
      <w:r w:rsidR="00A747A9">
        <w:rPr>
          <w:b/>
        </w:rPr>
        <w:t>+</w:t>
      </w:r>
      <w:r w:rsidRPr="00C3188C">
        <w:rPr>
          <w:b/>
        </w:rPr>
        <w:t xml:space="preserve"> years </w:t>
      </w:r>
    </w:p>
    <w:p w:rsidR="0010297D" w:rsidRPr="00A061C4" w:rsidRDefault="0010297D" w:rsidP="0010297D">
      <w:pPr>
        <w:rPr>
          <w:rFonts w:eastAsiaTheme="majorEastAsia" w:cs="Arial"/>
          <w:bCs/>
          <w:szCs w:val="22"/>
        </w:rPr>
      </w:pPr>
    </w:p>
    <w:p w:rsidR="005E594D" w:rsidRDefault="005E594D" w:rsidP="0010297D">
      <w:pPr>
        <w:rPr>
          <w:rFonts w:eastAsiaTheme="majorEastAsia" w:cs="Arial"/>
          <w:bCs/>
          <w:szCs w:val="22"/>
        </w:rPr>
      </w:pPr>
      <w:r w:rsidRPr="00A061C4">
        <w:rPr>
          <w:rFonts w:eastAsiaTheme="majorEastAsia" w:cs="Arial"/>
          <w:bCs/>
          <w:szCs w:val="22"/>
        </w:rPr>
        <w:t xml:space="preserve">The </w:t>
      </w:r>
      <w:r w:rsidR="00361C9D">
        <w:rPr>
          <w:rFonts w:eastAsiaTheme="majorEastAsia" w:cs="Arial"/>
          <w:bCs/>
          <w:szCs w:val="22"/>
        </w:rPr>
        <w:t>percent</w:t>
      </w:r>
      <w:r w:rsidR="00987761">
        <w:rPr>
          <w:rFonts w:eastAsiaTheme="majorEastAsia" w:cs="Arial"/>
          <w:bCs/>
          <w:szCs w:val="22"/>
        </w:rPr>
        <w:t xml:space="preserve">age </w:t>
      </w:r>
      <w:r w:rsidRPr="00A061C4">
        <w:rPr>
          <w:rFonts w:eastAsiaTheme="majorEastAsia" w:cs="Arial"/>
          <w:bCs/>
          <w:szCs w:val="22"/>
        </w:rPr>
        <w:t xml:space="preserve">contributions to </w:t>
      </w:r>
      <w:r w:rsidR="00E3403B">
        <w:rPr>
          <w:rFonts w:eastAsiaTheme="majorEastAsia" w:cs="Arial"/>
          <w:bCs/>
          <w:szCs w:val="22"/>
        </w:rPr>
        <w:t>quillaia</w:t>
      </w:r>
      <w:r w:rsidR="00361C9D" w:rsidRPr="00A061C4">
        <w:rPr>
          <w:rFonts w:eastAsiaTheme="majorEastAsia" w:cs="Arial"/>
          <w:bCs/>
          <w:szCs w:val="22"/>
        </w:rPr>
        <w:t xml:space="preserve"> saponins </w:t>
      </w:r>
      <w:r w:rsidRPr="00A061C4">
        <w:rPr>
          <w:rFonts w:eastAsiaTheme="majorEastAsia" w:cs="Arial"/>
          <w:bCs/>
          <w:szCs w:val="22"/>
        </w:rPr>
        <w:t xml:space="preserve">exposure </w:t>
      </w:r>
      <w:r w:rsidR="00987761" w:rsidRPr="00A061C4">
        <w:rPr>
          <w:rFonts w:eastAsiaTheme="majorEastAsia" w:cs="Arial"/>
          <w:bCs/>
          <w:szCs w:val="22"/>
        </w:rPr>
        <w:t xml:space="preserve">from all </w:t>
      </w:r>
      <w:r w:rsidR="00987761">
        <w:rPr>
          <w:rFonts w:eastAsiaTheme="majorEastAsia" w:cs="Arial"/>
          <w:bCs/>
          <w:szCs w:val="22"/>
        </w:rPr>
        <w:t xml:space="preserve">the </w:t>
      </w:r>
      <w:r w:rsidR="00987761" w:rsidRPr="00A061C4">
        <w:rPr>
          <w:rFonts w:eastAsiaTheme="majorEastAsia" w:cs="Arial"/>
          <w:bCs/>
          <w:szCs w:val="22"/>
        </w:rPr>
        <w:t xml:space="preserve">food </w:t>
      </w:r>
      <w:r w:rsidR="00987761">
        <w:rPr>
          <w:rFonts w:eastAsiaTheme="majorEastAsia" w:cs="Arial"/>
          <w:bCs/>
          <w:szCs w:val="22"/>
        </w:rPr>
        <w:t>categories</w:t>
      </w:r>
      <w:r w:rsidR="00987761" w:rsidRPr="00A061C4">
        <w:rPr>
          <w:rFonts w:eastAsiaTheme="majorEastAsia" w:cs="Arial"/>
          <w:bCs/>
          <w:szCs w:val="22"/>
        </w:rPr>
        <w:t xml:space="preserve"> </w:t>
      </w:r>
      <w:r w:rsidR="00BE7A56">
        <w:rPr>
          <w:rFonts w:eastAsiaTheme="majorEastAsia" w:cs="Arial"/>
          <w:bCs/>
          <w:szCs w:val="22"/>
        </w:rPr>
        <w:t>f</w:t>
      </w:r>
      <w:r w:rsidR="00987761">
        <w:rPr>
          <w:rFonts w:eastAsiaTheme="majorEastAsia" w:cs="Arial"/>
          <w:bCs/>
          <w:szCs w:val="22"/>
        </w:rPr>
        <w:t>or</w:t>
      </w:r>
      <w:r w:rsidR="00BE7A56">
        <w:rPr>
          <w:rFonts w:eastAsiaTheme="majorEastAsia" w:cs="Arial"/>
          <w:bCs/>
          <w:szCs w:val="22"/>
        </w:rPr>
        <w:t xml:space="preserve"> </w:t>
      </w:r>
      <w:r w:rsidR="00987761">
        <w:rPr>
          <w:rFonts w:eastAsiaTheme="majorEastAsia" w:cs="Arial"/>
          <w:bCs/>
          <w:szCs w:val="22"/>
        </w:rPr>
        <w:t>each population group</w:t>
      </w:r>
      <w:r w:rsidR="00BE7A56">
        <w:rPr>
          <w:rFonts w:eastAsiaTheme="majorEastAsia" w:cs="Arial"/>
          <w:bCs/>
          <w:szCs w:val="22"/>
        </w:rPr>
        <w:t xml:space="preserve"> </w:t>
      </w:r>
      <w:r w:rsidRPr="00A061C4">
        <w:rPr>
          <w:rFonts w:eastAsiaTheme="majorEastAsia" w:cs="Arial"/>
          <w:bCs/>
          <w:szCs w:val="22"/>
        </w:rPr>
        <w:t xml:space="preserve">are shown </w:t>
      </w:r>
      <w:r w:rsidRPr="00987761">
        <w:rPr>
          <w:rFonts w:eastAsiaTheme="majorEastAsia" w:cs="Arial"/>
          <w:bCs/>
          <w:szCs w:val="22"/>
        </w:rPr>
        <w:t xml:space="preserve">in </w:t>
      </w:r>
      <w:r w:rsidR="00BE7A56" w:rsidRPr="00987761">
        <w:rPr>
          <w:rFonts w:eastAsiaTheme="majorEastAsia" w:cs="Arial"/>
          <w:bCs/>
          <w:szCs w:val="22"/>
        </w:rPr>
        <w:t xml:space="preserve">Table </w:t>
      </w:r>
      <w:r w:rsidR="00987761" w:rsidRPr="00987761">
        <w:rPr>
          <w:rFonts w:eastAsiaTheme="majorEastAsia" w:cs="Arial"/>
          <w:bCs/>
          <w:szCs w:val="22"/>
        </w:rPr>
        <w:t>A2.</w:t>
      </w:r>
      <w:r w:rsidR="003353F5">
        <w:rPr>
          <w:rFonts w:eastAsiaTheme="majorEastAsia" w:cs="Arial"/>
          <w:bCs/>
          <w:szCs w:val="22"/>
        </w:rPr>
        <w:t>5</w:t>
      </w:r>
      <w:r w:rsidR="00BE7A56" w:rsidRPr="00987761">
        <w:rPr>
          <w:rFonts w:eastAsiaTheme="majorEastAsia" w:cs="Arial"/>
          <w:bCs/>
          <w:szCs w:val="22"/>
        </w:rPr>
        <w:t xml:space="preserve"> in </w:t>
      </w:r>
      <w:r w:rsidRPr="00987761">
        <w:rPr>
          <w:rFonts w:eastAsiaTheme="majorEastAsia" w:cs="Arial"/>
          <w:bCs/>
          <w:szCs w:val="22"/>
        </w:rPr>
        <w:t>Appendix</w:t>
      </w:r>
      <w:r w:rsidR="00A061C4" w:rsidRPr="00987761">
        <w:rPr>
          <w:rFonts w:eastAsiaTheme="majorEastAsia" w:cs="Arial"/>
          <w:bCs/>
          <w:szCs w:val="22"/>
        </w:rPr>
        <w:t xml:space="preserve"> 2</w:t>
      </w:r>
      <w:r w:rsidR="00BE7A56">
        <w:rPr>
          <w:rFonts w:eastAsiaTheme="majorEastAsia" w:cs="Arial"/>
          <w:bCs/>
          <w:szCs w:val="22"/>
        </w:rPr>
        <w:t>.</w:t>
      </w:r>
    </w:p>
    <w:p w:rsidR="005C7F02" w:rsidRPr="00A061C4" w:rsidRDefault="005C7F02" w:rsidP="0010297D">
      <w:pPr>
        <w:rPr>
          <w:rFonts w:eastAsiaTheme="majorEastAsia" w:cs="Arial"/>
          <w:bCs/>
          <w:szCs w:val="22"/>
        </w:rPr>
      </w:pPr>
    </w:p>
    <w:p w:rsidR="0010297D" w:rsidRDefault="0010297D" w:rsidP="00435E22">
      <w:pPr>
        <w:pStyle w:val="Two"/>
      </w:pPr>
      <w:bookmarkStart w:id="85" w:name="_Toc360028623"/>
      <w:r w:rsidRPr="00423836">
        <w:lastRenderedPageBreak/>
        <w:t>4.</w:t>
      </w:r>
      <w:r w:rsidR="00861E96">
        <w:t>3</w:t>
      </w:r>
      <w:r w:rsidRPr="00423836">
        <w:tab/>
      </w:r>
      <w:r w:rsidR="00422890">
        <w:t>Modified c</w:t>
      </w:r>
      <w:r>
        <w:t>onsumer behaviour d</w:t>
      </w:r>
      <w:r w:rsidRPr="00423836">
        <w:t>ietary exposure</w:t>
      </w:r>
      <w:r>
        <w:t xml:space="preserve"> assessment results</w:t>
      </w:r>
      <w:bookmarkEnd w:id="85"/>
    </w:p>
    <w:p w:rsidR="0010297D" w:rsidRDefault="00861E96" w:rsidP="002453E2">
      <w:pPr>
        <w:pStyle w:val="Heading3"/>
      </w:pPr>
      <w:bookmarkStart w:id="86" w:name="_Toc360028624"/>
      <w:r>
        <w:t>4.3</w:t>
      </w:r>
      <w:r w:rsidR="0010297D">
        <w:t>.1</w:t>
      </w:r>
      <w:r w:rsidR="00841D64">
        <w:tab/>
      </w:r>
      <w:r w:rsidR="00E21FD4">
        <w:t>Predicted</w:t>
      </w:r>
      <w:r w:rsidR="0010297D">
        <w:t xml:space="preserve"> dietary exposures to </w:t>
      </w:r>
      <w:r w:rsidR="00E3403B">
        <w:t>quillaia</w:t>
      </w:r>
      <w:r w:rsidR="0010297D">
        <w:t xml:space="preserve"> saponins</w:t>
      </w:r>
      <w:bookmarkEnd w:id="86"/>
    </w:p>
    <w:p w:rsidR="0010297D" w:rsidRPr="0041379D" w:rsidRDefault="0010297D" w:rsidP="0010297D"/>
    <w:p w:rsidR="00E03D7A" w:rsidRDefault="0010297D" w:rsidP="00AD1B46">
      <w:r>
        <w:t xml:space="preserve">A </w:t>
      </w:r>
      <w:r w:rsidR="00422890">
        <w:t xml:space="preserve">modified </w:t>
      </w:r>
      <w:r>
        <w:t xml:space="preserve">consumer behaviour assessment was undertaken as part of the </w:t>
      </w:r>
      <w:r w:rsidR="00716C87">
        <w:t>DEA</w:t>
      </w:r>
      <w:r w:rsidR="00B50896">
        <w:t xml:space="preserve"> </w:t>
      </w:r>
      <w:r>
        <w:t xml:space="preserve">as described in section 4.1.3.3. This situation </w:t>
      </w:r>
      <w:r w:rsidR="00E03D7A">
        <w:t xml:space="preserve">applied </w:t>
      </w:r>
      <w:r w:rsidR="00F0574E">
        <w:t xml:space="preserve">only </w:t>
      </w:r>
      <w:r w:rsidR="004D13D9">
        <w:t xml:space="preserve">to </w:t>
      </w:r>
      <w:r w:rsidR="00F0574E">
        <w:t>two</w:t>
      </w:r>
      <w:r>
        <w:t xml:space="preserve"> population groups</w:t>
      </w:r>
      <w:r w:rsidR="00F0574E">
        <w:t xml:space="preserve">, Australians 17 years and older and </w:t>
      </w:r>
      <w:r w:rsidR="004D13D9">
        <w:t xml:space="preserve">the </w:t>
      </w:r>
      <w:r w:rsidR="00F0574E">
        <w:t xml:space="preserve">New Zealand population aged </w:t>
      </w:r>
      <w:r>
        <w:t>15 years</w:t>
      </w:r>
      <w:r w:rsidR="009E0A06">
        <w:t xml:space="preserve"> and above</w:t>
      </w:r>
      <w:r w:rsidR="00716C87">
        <w:t xml:space="preserve"> as consumption of formu</w:t>
      </w:r>
      <w:r w:rsidR="00422890">
        <w:t>l</w:t>
      </w:r>
      <w:r w:rsidR="00716C87">
        <w:t>ated beverages and flavoured teas were not reported in the 1995 and 1997 NNSs</w:t>
      </w:r>
      <w:r>
        <w:t xml:space="preserve">. This assessment helped to determine how the </w:t>
      </w:r>
      <w:r w:rsidR="00E21FD4">
        <w:t>predicted</w:t>
      </w:r>
      <w:r>
        <w:t xml:space="preserve"> dietary exposure </w:t>
      </w:r>
      <w:r w:rsidR="00E03D7A">
        <w:t xml:space="preserve">for these groups </w:t>
      </w:r>
      <w:r>
        <w:t xml:space="preserve">would be affected by </w:t>
      </w:r>
      <w:r w:rsidR="00E03D7A">
        <w:t xml:space="preserve">consumers who are </w:t>
      </w:r>
      <w:r w:rsidR="00765133">
        <w:t>brand loyal</w:t>
      </w:r>
      <w:r>
        <w:t xml:space="preserve">. </w:t>
      </w:r>
    </w:p>
    <w:p w:rsidR="00E03D7A" w:rsidRDefault="00E03D7A" w:rsidP="00AD1B46"/>
    <w:p w:rsidR="00AD1B46" w:rsidRDefault="0010297D" w:rsidP="00AD1B46">
      <w:pPr>
        <w:rPr>
          <w:rFonts w:cs="Arial"/>
        </w:rPr>
      </w:pPr>
      <w:r>
        <w:rPr>
          <w:rFonts w:cs="Arial"/>
        </w:rPr>
        <w:t xml:space="preserve">The result of this assessment is shown in </w:t>
      </w:r>
      <w:r w:rsidRPr="003C723A">
        <w:rPr>
          <w:rFonts w:cs="Arial"/>
        </w:rPr>
        <w:t>Figure</w:t>
      </w:r>
      <w:r w:rsidR="00AD1B46" w:rsidRPr="003C723A">
        <w:rPr>
          <w:rFonts w:cs="Arial"/>
        </w:rPr>
        <w:t> </w:t>
      </w:r>
      <w:r w:rsidRPr="003C723A">
        <w:rPr>
          <w:rFonts w:cs="Arial"/>
        </w:rPr>
        <w:t>4.</w:t>
      </w:r>
      <w:r w:rsidR="003C723A" w:rsidRPr="003C723A">
        <w:rPr>
          <w:rFonts w:cs="Arial"/>
        </w:rPr>
        <w:t>7</w:t>
      </w:r>
      <w:r>
        <w:rPr>
          <w:rFonts w:cs="Arial"/>
        </w:rPr>
        <w:t>.</w:t>
      </w:r>
      <w:r w:rsidR="00DF09F2">
        <w:rPr>
          <w:rFonts w:cs="Arial"/>
        </w:rPr>
        <w:t xml:space="preserve"> </w:t>
      </w:r>
      <w:r w:rsidR="003C723A">
        <w:rPr>
          <w:rFonts w:cs="Arial"/>
        </w:rPr>
        <w:t xml:space="preserve">Model 1 </w:t>
      </w:r>
      <w:r w:rsidR="00E21FD4">
        <w:rPr>
          <w:rFonts w:cs="Arial"/>
        </w:rPr>
        <w:t>predictions</w:t>
      </w:r>
      <w:r w:rsidR="003C723A">
        <w:rPr>
          <w:rFonts w:cs="Arial"/>
        </w:rPr>
        <w:t xml:space="preserve"> are labelled</w:t>
      </w:r>
      <w:r w:rsidR="00BF4616">
        <w:rPr>
          <w:rFonts w:cs="Arial"/>
        </w:rPr>
        <w:t xml:space="preserve"> Maximum</w:t>
      </w:r>
      <w:r w:rsidR="003C723A">
        <w:rPr>
          <w:rFonts w:cs="Arial"/>
        </w:rPr>
        <w:t xml:space="preserve"> </w:t>
      </w:r>
      <w:r w:rsidR="00DF09F2">
        <w:rPr>
          <w:rFonts w:cs="Arial"/>
        </w:rPr>
        <w:t xml:space="preserve">MPL </w:t>
      </w:r>
      <w:r w:rsidR="003C723A">
        <w:rPr>
          <w:rFonts w:cs="Arial"/>
        </w:rPr>
        <w:t>and refer</w:t>
      </w:r>
      <w:r w:rsidR="00AD1B46">
        <w:rPr>
          <w:rFonts w:cs="Arial"/>
        </w:rPr>
        <w:t xml:space="preserve"> to where water based flavoured drinks were assigned a value of </w:t>
      </w:r>
      <w:r w:rsidR="004633FC">
        <w:rPr>
          <w:rFonts w:cs="Arial"/>
        </w:rPr>
        <w:t xml:space="preserve">40 </w:t>
      </w:r>
      <w:r w:rsidR="00AD1B46">
        <w:rPr>
          <w:rFonts w:cs="Arial"/>
        </w:rPr>
        <w:t xml:space="preserve">mg/kg and teas 30 mg/kg. </w:t>
      </w:r>
      <w:r w:rsidR="005544B7">
        <w:rPr>
          <w:rFonts w:cs="Arial"/>
        </w:rPr>
        <w:t xml:space="preserve">Model 2 is </w:t>
      </w:r>
      <w:r w:rsidR="009226CB">
        <w:rPr>
          <w:rFonts w:cs="Arial"/>
        </w:rPr>
        <w:t xml:space="preserve">Zero </w:t>
      </w:r>
      <w:r w:rsidR="00AD1B46">
        <w:rPr>
          <w:rFonts w:cs="Arial"/>
        </w:rPr>
        <w:t xml:space="preserve">MPL </w:t>
      </w:r>
      <w:r w:rsidR="005544B7">
        <w:rPr>
          <w:rFonts w:cs="Arial"/>
        </w:rPr>
        <w:t>representing</w:t>
      </w:r>
      <w:r w:rsidR="00AD1B46">
        <w:rPr>
          <w:rFonts w:cs="Arial"/>
        </w:rPr>
        <w:t xml:space="preserve"> where both of these food </w:t>
      </w:r>
      <w:r w:rsidR="003C723A" w:rsidRPr="003C723A">
        <w:rPr>
          <w:rFonts w:cs="Arial"/>
        </w:rPr>
        <w:t>categories</w:t>
      </w:r>
      <w:r w:rsidR="00AD1B46">
        <w:rPr>
          <w:rFonts w:cs="Arial"/>
        </w:rPr>
        <w:t xml:space="preserve"> were </w:t>
      </w:r>
      <w:r w:rsidR="003C723A">
        <w:rPr>
          <w:rFonts w:cs="Arial"/>
        </w:rPr>
        <w:t xml:space="preserve">each </w:t>
      </w:r>
      <w:r w:rsidR="00AD1B46">
        <w:rPr>
          <w:rFonts w:cs="Arial"/>
        </w:rPr>
        <w:t xml:space="preserve">assigned values of 0 mg/kg. </w:t>
      </w:r>
    </w:p>
    <w:p w:rsidR="00C9256A" w:rsidRDefault="00C9256A" w:rsidP="00AD1B46">
      <w:pPr>
        <w:rPr>
          <w:rFonts w:cs="Arial"/>
        </w:rPr>
      </w:pPr>
    </w:p>
    <w:p w:rsidR="00C9256A" w:rsidRDefault="00C9256A" w:rsidP="00AD1B46">
      <w:pPr>
        <w:rPr>
          <w:rFonts w:cs="Arial"/>
        </w:rPr>
      </w:pPr>
      <w:r w:rsidRPr="00C9256A">
        <w:rPr>
          <w:noProof/>
          <w:lang w:eastAsia="en-GB" w:bidi="ar-SA"/>
        </w:rPr>
        <w:drawing>
          <wp:inline distT="0" distB="0" distL="0" distR="0" wp14:anchorId="2EAAD283" wp14:editId="6A5AA5CF">
            <wp:extent cx="5158800" cy="3232800"/>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8800" cy="3232800"/>
                    </a:xfrm>
                    <a:prstGeom prst="rect">
                      <a:avLst/>
                    </a:prstGeom>
                    <a:noFill/>
                    <a:ln>
                      <a:noFill/>
                    </a:ln>
                  </pic:spPr>
                </pic:pic>
              </a:graphicData>
            </a:graphic>
          </wp:inline>
        </w:drawing>
      </w:r>
    </w:p>
    <w:p w:rsidR="00F6308F" w:rsidRDefault="00F6308F" w:rsidP="00AD1B46">
      <w:pPr>
        <w:keepNext/>
        <w:rPr>
          <w:b/>
        </w:rPr>
      </w:pPr>
    </w:p>
    <w:p w:rsidR="0010297D" w:rsidRDefault="0010297D" w:rsidP="00AD1B46">
      <w:pPr>
        <w:keepNext/>
        <w:rPr>
          <w:rFonts w:cs="Arial"/>
        </w:rPr>
      </w:pPr>
      <w:r w:rsidRPr="00B50896">
        <w:rPr>
          <w:b/>
        </w:rPr>
        <w:t xml:space="preserve">Figure </w:t>
      </w:r>
      <w:r w:rsidR="00B50896">
        <w:rPr>
          <w:b/>
        </w:rPr>
        <w:t>4.7</w:t>
      </w:r>
      <w:r>
        <w:rPr>
          <w:b/>
        </w:rPr>
        <w:t xml:space="preserve">: </w:t>
      </w:r>
      <w:r w:rsidR="00716C87">
        <w:rPr>
          <w:b/>
        </w:rPr>
        <w:t>Predicted m</w:t>
      </w:r>
      <w:r>
        <w:rPr>
          <w:b/>
        </w:rPr>
        <w:t xml:space="preserve">ean and P90 consumer behaviour dietary exposure for water based flavoured drinks and teas at </w:t>
      </w:r>
      <w:r w:rsidR="00716C87">
        <w:rPr>
          <w:b/>
        </w:rPr>
        <w:t xml:space="preserve">MPL </w:t>
      </w:r>
      <w:r>
        <w:rPr>
          <w:b/>
        </w:rPr>
        <w:t xml:space="preserve">and zero </w:t>
      </w:r>
      <w:r w:rsidR="00716C87">
        <w:rPr>
          <w:b/>
        </w:rPr>
        <w:t>concentration</w:t>
      </w:r>
    </w:p>
    <w:p w:rsidR="0010297D" w:rsidRDefault="0010297D" w:rsidP="0010297D">
      <w:pPr>
        <w:rPr>
          <w:rFonts w:cs="Arial"/>
        </w:rPr>
      </w:pPr>
    </w:p>
    <w:p w:rsidR="0010297D" w:rsidRDefault="0010297D" w:rsidP="0010297D">
      <w:pPr>
        <w:rPr>
          <w:rFonts w:cs="Arial"/>
        </w:rPr>
      </w:pPr>
    </w:p>
    <w:p w:rsidR="009B2C16" w:rsidRPr="00BD1D1A" w:rsidRDefault="007D2B9F" w:rsidP="0010297D">
      <w:pPr>
        <w:rPr>
          <w:rFonts w:cs="Arial"/>
        </w:rPr>
      </w:pPr>
      <w:r>
        <w:rPr>
          <w:rFonts w:cs="Arial"/>
        </w:rPr>
        <w:t xml:space="preserve">The </w:t>
      </w:r>
      <w:r w:rsidR="003015E5">
        <w:rPr>
          <w:rFonts w:cs="Arial"/>
        </w:rPr>
        <w:t xml:space="preserve">modified </w:t>
      </w:r>
      <w:r>
        <w:rPr>
          <w:rFonts w:cs="Arial"/>
        </w:rPr>
        <w:t xml:space="preserve">consumer behaviour assessment showed that for the two population groups, </w:t>
      </w:r>
      <w:r w:rsidR="003C723A">
        <w:rPr>
          <w:rFonts w:cs="Arial"/>
        </w:rPr>
        <w:t xml:space="preserve">the </w:t>
      </w:r>
      <w:r w:rsidR="00716C87">
        <w:rPr>
          <w:rFonts w:cs="Arial"/>
        </w:rPr>
        <w:t xml:space="preserve">predicted </w:t>
      </w:r>
      <w:r w:rsidR="003C723A">
        <w:rPr>
          <w:rFonts w:cs="Arial"/>
        </w:rPr>
        <w:t xml:space="preserve">mean dietary exposures </w:t>
      </w:r>
      <w:r w:rsidR="00F47A53">
        <w:rPr>
          <w:rFonts w:cs="Arial"/>
        </w:rPr>
        <w:t>ranged</w:t>
      </w:r>
      <w:r w:rsidR="00716C87">
        <w:rPr>
          <w:rFonts w:cs="Arial"/>
        </w:rPr>
        <w:t xml:space="preserve"> from 4-6 mg/day (</w:t>
      </w:r>
      <w:r w:rsidR="00F47A53">
        <w:rPr>
          <w:rFonts w:cs="Arial"/>
        </w:rPr>
        <w:t xml:space="preserve">formulated beverages and flavoured teas at zero concentration) to </w:t>
      </w:r>
      <w:r w:rsidR="003C723A">
        <w:rPr>
          <w:rFonts w:cs="Arial"/>
        </w:rPr>
        <w:t xml:space="preserve">below 30 mg/day </w:t>
      </w:r>
      <w:r w:rsidR="00F47A53">
        <w:rPr>
          <w:rFonts w:cs="Arial"/>
        </w:rPr>
        <w:t xml:space="preserve">(formulated beverages and flavoured teas at MPL); </w:t>
      </w:r>
      <w:r w:rsidR="003C723A">
        <w:rPr>
          <w:rFonts w:cs="Arial"/>
        </w:rPr>
        <w:t xml:space="preserve">the </w:t>
      </w:r>
      <w:r w:rsidR="003C723A" w:rsidRPr="00CE315E">
        <w:rPr>
          <w:rFonts w:cs="Arial"/>
        </w:rPr>
        <w:t>90</w:t>
      </w:r>
      <w:r w:rsidR="003C723A" w:rsidRPr="00CE315E">
        <w:rPr>
          <w:rFonts w:cs="Arial"/>
          <w:vertAlign w:val="superscript"/>
        </w:rPr>
        <w:t>th</w:t>
      </w:r>
      <w:r w:rsidR="003C723A">
        <w:rPr>
          <w:rFonts w:cs="Arial"/>
        </w:rPr>
        <w:t xml:space="preserve"> percentile </w:t>
      </w:r>
      <w:r w:rsidR="004D13D9">
        <w:rPr>
          <w:rFonts w:cs="Arial"/>
        </w:rPr>
        <w:t xml:space="preserve">exposures </w:t>
      </w:r>
      <w:r w:rsidR="00F47A53">
        <w:rPr>
          <w:rFonts w:cs="Arial"/>
        </w:rPr>
        <w:t>ranged from 10-13 mg/day (formulated beverages and flavoured teas at zero concentration) to 53 mg/day (formulated beverages and flavoured teas at MPL</w:t>
      </w:r>
      <w:r w:rsidR="00E7568F">
        <w:rPr>
          <w:rFonts w:cs="Arial"/>
        </w:rPr>
        <w:t>)</w:t>
      </w:r>
      <w:r w:rsidR="00F47A53">
        <w:rPr>
          <w:rFonts w:cs="Arial"/>
        </w:rPr>
        <w:t xml:space="preserve">. </w:t>
      </w:r>
      <w:r w:rsidR="003353F5" w:rsidRPr="00986BDA">
        <w:rPr>
          <w:rFonts w:cs="Arial"/>
        </w:rPr>
        <w:t>The detailed results are set out in Tables A2.</w:t>
      </w:r>
      <w:r w:rsidR="003353F5">
        <w:rPr>
          <w:rFonts w:cs="Arial"/>
        </w:rPr>
        <w:t>3</w:t>
      </w:r>
      <w:r w:rsidR="003353F5" w:rsidRPr="00986BDA">
        <w:rPr>
          <w:rFonts w:cs="Arial"/>
        </w:rPr>
        <w:t xml:space="preserve"> and A2.</w:t>
      </w:r>
      <w:r w:rsidR="003353F5">
        <w:rPr>
          <w:rFonts w:cs="Arial"/>
        </w:rPr>
        <w:t>4</w:t>
      </w:r>
      <w:r w:rsidR="003353F5" w:rsidRPr="00986BDA">
        <w:rPr>
          <w:rFonts w:cs="Arial"/>
        </w:rPr>
        <w:t xml:space="preserve"> in Appendix 2.</w:t>
      </w:r>
    </w:p>
    <w:p w:rsidR="0010297D" w:rsidRPr="002453E2" w:rsidRDefault="0010297D" w:rsidP="00002F81">
      <w:pPr>
        <w:pStyle w:val="Two"/>
      </w:pPr>
      <w:bookmarkStart w:id="87" w:name="_Toc269201845"/>
      <w:bookmarkStart w:id="88" w:name="_Toc360028625"/>
      <w:r w:rsidRPr="002453E2">
        <w:lastRenderedPageBreak/>
        <w:t>4.4</w:t>
      </w:r>
      <w:r w:rsidRPr="002453E2">
        <w:tab/>
        <w:t>C</w:t>
      </w:r>
      <w:r w:rsidR="0055628E">
        <w:t>onclusion</w:t>
      </w:r>
      <w:bookmarkEnd w:id="87"/>
      <w:bookmarkEnd w:id="88"/>
    </w:p>
    <w:p w:rsidR="0010297D" w:rsidRDefault="0010297D" w:rsidP="00002F81">
      <w:pPr>
        <w:keepNext/>
        <w:keepLines/>
        <w:widowControl/>
        <w:rPr>
          <w:rFonts w:cs="Arial"/>
        </w:rPr>
      </w:pPr>
    </w:p>
    <w:p w:rsidR="0010297D" w:rsidRDefault="0010297D" w:rsidP="00002F81">
      <w:pPr>
        <w:pStyle w:val="Heading3"/>
        <w:keepLines/>
        <w:widowControl/>
      </w:pPr>
      <w:bookmarkStart w:id="89" w:name="_Toc360028626"/>
      <w:r w:rsidRPr="00932EF0">
        <w:t>4.4.1</w:t>
      </w:r>
      <w:r w:rsidRPr="00932EF0">
        <w:tab/>
      </w:r>
      <w:r w:rsidR="00E21FD4">
        <w:t>Predicted</w:t>
      </w:r>
      <w:r w:rsidR="002216F0">
        <w:t xml:space="preserve"> daily population</w:t>
      </w:r>
      <w:r w:rsidRPr="00932EF0">
        <w:t xml:space="preserve"> exposures</w:t>
      </w:r>
      <w:r w:rsidR="00A61DC7">
        <w:t xml:space="preserve"> and major food contributors</w:t>
      </w:r>
      <w:bookmarkEnd w:id="89"/>
    </w:p>
    <w:p w:rsidR="000F76C9" w:rsidRDefault="000F76C9" w:rsidP="00002F81">
      <w:pPr>
        <w:keepNext/>
        <w:keepLines/>
        <w:widowControl/>
        <w:rPr>
          <w:rFonts w:cs="Arial"/>
        </w:rPr>
      </w:pPr>
    </w:p>
    <w:p w:rsidR="00691820" w:rsidRDefault="0010297D" w:rsidP="00002F81">
      <w:pPr>
        <w:keepNext/>
        <w:keepLines/>
        <w:widowControl/>
        <w:rPr>
          <w:rFonts w:cs="Arial"/>
        </w:rPr>
      </w:pPr>
      <w:r w:rsidRPr="00423836">
        <w:rPr>
          <w:rFonts w:cs="Arial"/>
        </w:rPr>
        <w:t xml:space="preserve">The </w:t>
      </w:r>
      <w:r w:rsidR="00C315DA">
        <w:rPr>
          <w:rFonts w:cs="Arial"/>
        </w:rPr>
        <w:t>approaches</w:t>
      </w:r>
      <w:r>
        <w:rPr>
          <w:rFonts w:cs="Arial"/>
        </w:rPr>
        <w:t xml:space="preserve"> used for assessing </w:t>
      </w:r>
      <w:r w:rsidR="001D2BF6">
        <w:rPr>
          <w:rFonts w:cs="Arial"/>
        </w:rPr>
        <w:t xml:space="preserve">the </w:t>
      </w:r>
      <w:r>
        <w:rPr>
          <w:rFonts w:cs="Arial"/>
        </w:rPr>
        <w:t xml:space="preserve">Australian and New Zealand populations’ exposure to </w:t>
      </w:r>
      <w:r w:rsidR="00E3403B">
        <w:rPr>
          <w:rFonts w:cs="Arial"/>
        </w:rPr>
        <w:t>quillaia</w:t>
      </w:r>
      <w:r>
        <w:rPr>
          <w:rFonts w:cs="Arial"/>
        </w:rPr>
        <w:t xml:space="preserve"> saponins</w:t>
      </w:r>
      <w:r w:rsidR="001D2BF6">
        <w:rPr>
          <w:rFonts w:cs="Arial"/>
        </w:rPr>
        <w:t>,</w:t>
      </w:r>
      <w:r>
        <w:rPr>
          <w:rFonts w:cs="Arial"/>
        </w:rPr>
        <w:t xml:space="preserve"> showed that </w:t>
      </w:r>
      <w:r w:rsidR="000C24A8">
        <w:rPr>
          <w:rFonts w:cs="Arial"/>
        </w:rPr>
        <w:t xml:space="preserve">all </w:t>
      </w:r>
      <w:r w:rsidR="001D2BF6">
        <w:rPr>
          <w:rFonts w:cs="Arial"/>
        </w:rPr>
        <w:t xml:space="preserve">the </w:t>
      </w:r>
      <w:r w:rsidR="000C24A8">
        <w:rPr>
          <w:rFonts w:cs="Arial"/>
        </w:rPr>
        <w:t xml:space="preserve">population groups had </w:t>
      </w:r>
      <w:r w:rsidR="00E7568F">
        <w:rPr>
          <w:rFonts w:cs="Arial"/>
        </w:rPr>
        <w:t xml:space="preserve">predicted </w:t>
      </w:r>
      <w:r w:rsidR="000C24A8">
        <w:rPr>
          <w:rFonts w:cs="Arial"/>
        </w:rPr>
        <w:t>daily dietary exposures that were below 16 mg with minor differences between the</w:t>
      </w:r>
      <w:r w:rsidR="00553478">
        <w:rPr>
          <w:rFonts w:cs="Arial"/>
        </w:rPr>
        <w:t xml:space="preserve"> age group</w:t>
      </w:r>
      <w:r w:rsidR="000C24A8">
        <w:rPr>
          <w:rFonts w:cs="Arial"/>
        </w:rPr>
        <w:t>s.</w:t>
      </w:r>
    </w:p>
    <w:p w:rsidR="00691820" w:rsidRDefault="00691820" w:rsidP="0010297D">
      <w:pPr>
        <w:rPr>
          <w:rFonts w:cs="Arial"/>
        </w:rPr>
      </w:pPr>
    </w:p>
    <w:p w:rsidR="00BD1D1A" w:rsidRDefault="00553478" w:rsidP="0010297D">
      <w:pPr>
        <w:rPr>
          <w:rFonts w:cs="Arial"/>
        </w:rPr>
      </w:pPr>
      <w:r>
        <w:rPr>
          <w:rFonts w:cs="Arial"/>
        </w:rPr>
        <w:t>The younger populations in both countries</w:t>
      </w:r>
      <w:r w:rsidR="00691820">
        <w:rPr>
          <w:rFonts w:cs="Arial"/>
        </w:rPr>
        <w:t>,</w:t>
      </w:r>
      <w:r>
        <w:rPr>
          <w:rFonts w:cs="Arial"/>
        </w:rPr>
        <w:t xml:space="preserve"> </w:t>
      </w:r>
      <w:r w:rsidR="00691820">
        <w:rPr>
          <w:rFonts w:cs="Arial"/>
        </w:rPr>
        <w:t xml:space="preserve">Australia </w:t>
      </w:r>
      <w:r>
        <w:rPr>
          <w:rFonts w:cs="Arial"/>
        </w:rPr>
        <w:t>(2-16 years</w:t>
      </w:r>
      <w:r w:rsidR="00691820">
        <w:rPr>
          <w:rFonts w:cs="Arial"/>
        </w:rPr>
        <w:t>)</w:t>
      </w:r>
      <w:r>
        <w:rPr>
          <w:rFonts w:cs="Arial"/>
        </w:rPr>
        <w:t xml:space="preserve"> and </w:t>
      </w:r>
      <w:r w:rsidR="00691820">
        <w:rPr>
          <w:rFonts w:cs="Arial"/>
        </w:rPr>
        <w:t>New Zealand (</w:t>
      </w:r>
      <w:r>
        <w:rPr>
          <w:rFonts w:cs="Arial"/>
        </w:rPr>
        <w:t>5-14 years)</w:t>
      </w:r>
      <w:r w:rsidR="0010297D">
        <w:rPr>
          <w:rFonts w:cs="Arial"/>
        </w:rPr>
        <w:t xml:space="preserve"> </w:t>
      </w:r>
      <w:r>
        <w:rPr>
          <w:rFonts w:cs="Arial"/>
        </w:rPr>
        <w:t xml:space="preserve">had </w:t>
      </w:r>
      <w:r w:rsidR="00E7568F">
        <w:rPr>
          <w:rFonts w:cs="Arial"/>
        </w:rPr>
        <w:t xml:space="preserve">predicted </w:t>
      </w:r>
      <w:r>
        <w:rPr>
          <w:rFonts w:cs="Arial"/>
        </w:rPr>
        <w:t>90</w:t>
      </w:r>
      <w:r w:rsidRPr="00EE4E49">
        <w:rPr>
          <w:rFonts w:cs="Arial"/>
          <w:vertAlign w:val="superscript"/>
        </w:rPr>
        <w:t>th</w:t>
      </w:r>
      <w:r>
        <w:rPr>
          <w:rFonts w:cs="Arial"/>
        </w:rPr>
        <w:t xml:space="preserve"> percentile exposures that were below 8 mg/day. </w:t>
      </w:r>
    </w:p>
    <w:p w:rsidR="0010297D" w:rsidRDefault="00553478" w:rsidP="0010297D">
      <w:pPr>
        <w:rPr>
          <w:rFonts w:cs="Arial"/>
        </w:rPr>
      </w:pPr>
      <w:r>
        <w:rPr>
          <w:rFonts w:cs="Arial"/>
        </w:rPr>
        <w:t xml:space="preserve">The older population groups </w:t>
      </w:r>
      <w:r w:rsidR="00691820">
        <w:rPr>
          <w:rFonts w:cs="Arial"/>
        </w:rPr>
        <w:t xml:space="preserve">Australia </w:t>
      </w:r>
      <w:r>
        <w:rPr>
          <w:rFonts w:cs="Arial"/>
        </w:rPr>
        <w:t>17 + years)</w:t>
      </w:r>
      <w:r w:rsidR="00691820">
        <w:rPr>
          <w:rFonts w:cs="Arial"/>
        </w:rPr>
        <w:t xml:space="preserve"> and New Zealand</w:t>
      </w:r>
      <w:r>
        <w:rPr>
          <w:rFonts w:cs="Arial"/>
        </w:rPr>
        <w:t xml:space="preserve"> </w:t>
      </w:r>
      <w:r w:rsidR="00691820">
        <w:rPr>
          <w:rFonts w:cs="Arial"/>
        </w:rPr>
        <w:t xml:space="preserve">(15 + years) </w:t>
      </w:r>
      <w:r>
        <w:rPr>
          <w:rFonts w:cs="Arial"/>
        </w:rPr>
        <w:t>ha</w:t>
      </w:r>
      <w:r w:rsidR="00691820">
        <w:rPr>
          <w:rFonts w:cs="Arial"/>
        </w:rPr>
        <w:t>d</w:t>
      </w:r>
      <w:r>
        <w:rPr>
          <w:rFonts w:cs="Arial"/>
        </w:rPr>
        <w:t xml:space="preserve"> </w:t>
      </w:r>
      <w:r w:rsidR="00E7568F">
        <w:rPr>
          <w:rFonts w:cs="Arial"/>
        </w:rPr>
        <w:t xml:space="preserve">predicted </w:t>
      </w:r>
      <w:r>
        <w:rPr>
          <w:rFonts w:cs="Arial"/>
        </w:rPr>
        <w:t>90</w:t>
      </w:r>
      <w:r w:rsidRPr="00EE4E49">
        <w:rPr>
          <w:rFonts w:cs="Arial"/>
          <w:vertAlign w:val="superscript"/>
        </w:rPr>
        <w:t>th</w:t>
      </w:r>
      <w:r>
        <w:rPr>
          <w:rFonts w:cs="Arial"/>
        </w:rPr>
        <w:t xml:space="preserve"> percentile exposures </w:t>
      </w:r>
      <w:r w:rsidR="00691820">
        <w:rPr>
          <w:rFonts w:cs="Arial"/>
        </w:rPr>
        <w:t>that</w:t>
      </w:r>
      <w:r>
        <w:rPr>
          <w:rFonts w:cs="Arial"/>
        </w:rPr>
        <w:t xml:space="preserve"> </w:t>
      </w:r>
      <w:r w:rsidR="008D5C28">
        <w:rPr>
          <w:rFonts w:cs="Arial"/>
        </w:rPr>
        <w:t>ranged</w:t>
      </w:r>
      <w:r>
        <w:rPr>
          <w:rFonts w:cs="Arial"/>
        </w:rPr>
        <w:t xml:space="preserve"> between 11-15 mg/day</w:t>
      </w:r>
      <w:r w:rsidR="00691820">
        <w:rPr>
          <w:rFonts w:cs="Arial"/>
        </w:rPr>
        <w:t>.</w:t>
      </w:r>
    </w:p>
    <w:p w:rsidR="009825AD" w:rsidRDefault="009825AD" w:rsidP="0010297D">
      <w:pPr>
        <w:rPr>
          <w:rFonts w:cs="Arial"/>
          <w:b/>
        </w:rPr>
      </w:pPr>
    </w:p>
    <w:p w:rsidR="0010297D" w:rsidRDefault="0010297D" w:rsidP="0010297D">
      <w:pPr>
        <w:rPr>
          <w:rFonts w:cs="Arial"/>
        </w:rPr>
      </w:pPr>
      <w:r>
        <w:rPr>
          <w:rFonts w:cs="Arial"/>
        </w:rPr>
        <w:t xml:space="preserve">The </w:t>
      </w:r>
      <w:r w:rsidR="00D054E6">
        <w:rPr>
          <w:rFonts w:cs="Arial"/>
        </w:rPr>
        <w:t>food category</w:t>
      </w:r>
      <w:r>
        <w:rPr>
          <w:rFonts w:cs="Arial"/>
        </w:rPr>
        <w:t xml:space="preserve"> </w:t>
      </w:r>
      <w:r w:rsidR="00D054E6">
        <w:rPr>
          <w:rFonts w:cs="Arial"/>
        </w:rPr>
        <w:t>assessed as the main contributor</w:t>
      </w:r>
      <w:r>
        <w:rPr>
          <w:rFonts w:cs="Arial"/>
        </w:rPr>
        <w:t xml:space="preserve"> to </w:t>
      </w:r>
      <w:r w:rsidR="00E3403B">
        <w:rPr>
          <w:rFonts w:cs="Arial"/>
        </w:rPr>
        <w:t>quillaia</w:t>
      </w:r>
      <w:r>
        <w:rPr>
          <w:rFonts w:cs="Arial"/>
        </w:rPr>
        <w:t xml:space="preserve"> saponins </w:t>
      </w:r>
      <w:r w:rsidR="00D054E6">
        <w:rPr>
          <w:rFonts w:cs="Arial"/>
        </w:rPr>
        <w:t xml:space="preserve">exposure for the younger population </w:t>
      </w:r>
      <w:r>
        <w:rPr>
          <w:rFonts w:cs="Arial"/>
        </w:rPr>
        <w:t xml:space="preserve">groups in </w:t>
      </w:r>
      <w:r w:rsidR="00D054E6">
        <w:rPr>
          <w:rFonts w:cs="Arial"/>
        </w:rPr>
        <w:t>Australia and New Zealand</w:t>
      </w:r>
      <w:r>
        <w:rPr>
          <w:rFonts w:cs="Arial"/>
        </w:rPr>
        <w:t xml:space="preserve"> </w:t>
      </w:r>
      <w:r w:rsidR="00D054E6">
        <w:rPr>
          <w:rFonts w:cs="Arial"/>
        </w:rPr>
        <w:t>was</w:t>
      </w:r>
      <w:r>
        <w:rPr>
          <w:rFonts w:cs="Arial"/>
        </w:rPr>
        <w:t xml:space="preserve"> </w:t>
      </w:r>
      <w:r w:rsidRPr="00D054E6">
        <w:rPr>
          <w:rFonts w:cs="Arial"/>
          <w:i/>
        </w:rPr>
        <w:t>water based flavoured drinks</w:t>
      </w:r>
      <w:r w:rsidR="00E7568F">
        <w:rPr>
          <w:rFonts w:cs="Arial"/>
          <w:i/>
        </w:rPr>
        <w:t>,</w:t>
      </w:r>
      <w:r w:rsidR="009B2C16">
        <w:rPr>
          <w:rFonts w:cs="Arial"/>
        </w:rPr>
        <w:t xml:space="preserve"> and </w:t>
      </w:r>
      <w:r w:rsidR="00C654A6">
        <w:rPr>
          <w:rFonts w:cs="Arial"/>
        </w:rPr>
        <w:t xml:space="preserve">tending </w:t>
      </w:r>
      <w:r w:rsidR="00E7568F">
        <w:rPr>
          <w:rFonts w:cs="Arial"/>
        </w:rPr>
        <w:t xml:space="preserve">to </w:t>
      </w:r>
      <w:r>
        <w:rPr>
          <w:rFonts w:cs="Arial"/>
        </w:rPr>
        <w:t xml:space="preserve">contribute between </w:t>
      </w:r>
      <w:r w:rsidR="00691820">
        <w:rPr>
          <w:rFonts w:cs="Arial"/>
        </w:rPr>
        <w:t>79</w:t>
      </w:r>
      <w:r>
        <w:rPr>
          <w:rFonts w:cs="Arial"/>
        </w:rPr>
        <w:t>-8</w:t>
      </w:r>
      <w:r w:rsidR="00691820">
        <w:rPr>
          <w:rFonts w:cs="Arial"/>
        </w:rPr>
        <w:t>2</w:t>
      </w:r>
      <w:r w:rsidR="00D054E6">
        <w:rPr>
          <w:rFonts w:cs="Arial"/>
        </w:rPr>
        <w:t>% of the</w:t>
      </w:r>
      <w:r>
        <w:rPr>
          <w:rFonts w:cs="Arial"/>
        </w:rPr>
        <w:t xml:space="preserve"> total exposure to </w:t>
      </w:r>
      <w:r w:rsidR="00E3403B">
        <w:rPr>
          <w:rFonts w:cs="Arial"/>
        </w:rPr>
        <w:t>quillaia</w:t>
      </w:r>
      <w:r>
        <w:rPr>
          <w:rFonts w:cs="Arial"/>
        </w:rPr>
        <w:t xml:space="preserve"> saponins. </w:t>
      </w:r>
    </w:p>
    <w:p w:rsidR="0010297D" w:rsidRDefault="0010297D" w:rsidP="0010297D">
      <w:pPr>
        <w:rPr>
          <w:rFonts w:cs="Arial"/>
        </w:rPr>
      </w:pPr>
    </w:p>
    <w:p w:rsidR="0010297D" w:rsidRDefault="00E7568F" w:rsidP="0010297D">
      <w:pPr>
        <w:rPr>
          <w:rFonts w:cs="Arial"/>
        </w:rPr>
      </w:pPr>
      <w:r>
        <w:rPr>
          <w:rFonts w:cs="Arial"/>
        </w:rPr>
        <w:t>The group</w:t>
      </w:r>
      <w:r w:rsidR="009B2C16">
        <w:rPr>
          <w:rFonts w:cs="Arial"/>
        </w:rPr>
        <w:t>s</w:t>
      </w:r>
      <w:r>
        <w:rPr>
          <w:rFonts w:cs="Arial"/>
        </w:rPr>
        <w:t xml:space="preserve"> of beverages that were major contributors to </w:t>
      </w:r>
      <w:r w:rsidR="00E3403B">
        <w:rPr>
          <w:rFonts w:cs="Arial"/>
        </w:rPr>
        <w:t>quillaia</w:t>
      </w:r>
      <w:r>
        <w:rPr>
          <w:rFonts w:cs="Arial"/>
        </w:rPr>
        <w:t xml:space="preserve"> saponins among the adult Australia and New Zealand populations </w:t>
      </w:r>
      <w:r w:rsidR="009B2C16">
        <w:rPr>
          <w:rFonts w:cs="Arial"/>
        </w:rPr>
        <w:t>were</w:t>
      </w:r>
      <w:r>
        <w:rPr>
          <w:rFonts w:cs="Arial"/>
        </w:rPr>
        <w:t xml:space="preserve"> identical.</w:t>
      </w:r>
      <w:r w:rsidR="009B2C16">
        <w:rPr>
          <w:rFonts w:cs="Arial"/>
        </w:rPr>
        <w:t xml:space="preserve"> </w:t>
      </w:r>
      <w:r w:rsidR="00D054E6">
        <w:rPr>
          <w:rFonts w:cs="Arial"/>
        </w:rPr>
        <w:t>There were</w:t>
      </w:r>
      <w:r>
        <w:rPr>
          <w:rFonts w:cs="Arial"/>
        </w:rPr>
        <w:t xml:space="preserve"> some</w:t>
      </w:r>
      <w:r w:rsidR="00D054E6">
        <w:rPr>
          <w:rFonts w:cs="Arial"/>
        </w:rPr>
        <w:t xml:space="preserve"> differences in the </w:t>
      </w:r>
      <w:r w:rsidR="00422890">
        <w:rPr>
          <w:rFonts w:cs="Arial"/>
        </w:rPr>
        <w:t xml:space="preserve">beverages that made the highest </w:t>
      </w:r>
      <w:r>
        <w:rPr>
          <w:rFonts w:cs="Arial"/>
        </w:rPr>
        <w:t>p</w:t>
      </w:r>
      <w:r w:rsidR="001520AD">
        <w:rPr>
          <w:rFonts w:cs="Arial"/>
        </w:rPr>
        <w:t>ercentage</w:t>
      </w:r>
      <w:r w:rsidR="00422890">
        <w:rPr>
          <w:rFonts w:cs="Arial"/>
        </w:rPr>
        <w:t xml:space="preserve"> </w:t>
      </w:r>
      <w:r>
        <w:rPr>
          <w:rFonts w:cs="Arial"/>
        </w:rPr>
        <w:t>contribution</w:t>
      </w:r>
      <w:r w:rsidR="001520AD">
        <w:rPr>
          <w:rFonts w:cs="Arial"/>
        </w:rPr>
        <w:t>s</w:t>
      </w:r>
      <w:r>
        <w:rPr>
          <w:rFonts w:cs="Arial"/>
        </w:rPr>
        <w:t xml:space="preserve"> </w:t>
      </w:r>
      <w:r w:rsidR="00D054E6">
        <w:rPr>
          <w:rFonts w:cs="Arial"/>
        </w:rPr>
        <w:t xml:space="preserve">to </w:t>
      </w:r>
      <w:r w:rsidR="00C654A6">
        <w:rPr>
          <w:rFonts w:cs="Arial"/>
        </w:rPr>
        <w:t xml:space="preserve">the </w:t>
      </w:r>
      <w:r>
        <w:rPr>
          <w:rFonts w:cs="Arial"/>
        </w:rPr>
        <w:t xml:space="preserve">predicted </w:t>
      </w:r>
      <w:r w:rsidR="00E3403B">
        <w:rPr>
          <w:rFonts w:cs="Arial"/>
        </w:rPr>
        <w:t>quillaia</w:t>
      </w:r>
      <w:r w:rsidR="00D054E6">
        <w:rPr>
          <w:rFonts w:cs="Arial"/>
        </w:rPr>
        <w:t xml:space="preserve"> exposure </w:t>
      </w:r>
      <w:r w:rsidR="001661E8">
        <w:rPr>
          <w:rFonts w:cs="Arial"/>
        </w:rPr>
        <w:t>f</w:t>
      </w:r>
      <w:r w:rsidR="00691820">
        <w:rPr>
          <w:rFonts w:cs="Arial"/>
        </w:rPr>
        <w:t>or the older populations</w:t>
      </w:r>
      <w:r w:rsidR="00DC5FCA" w:rsidRPr="00DC5FCA">
        <w:rPr>
          <w:rFonts w:cs="Arial"/>
        </w:rPr>
        <w:t xml:space="preserve"> </w:t>
      </w:r>
      <w:r w:rsidR="001E7609">
        <w:rPr>
          <w:rFonts w:cs="Arial"/>
        </w:rPr>
        <w:t>in</w:t>
      </w:r>
      <w:r w:rsidR="00DC5FCA">
        <w:rPr>
          <w:rFonts w:cs="Arial"/>
        </w:rPr>
        <w:t xml:space="preserve"> the two countries</w:t>
      </w:r>
      <w:r w:rsidR="00691820">
        <w:rPr>
          <w:rFonts w:cs="Arial"/>
        </w:rPr>
        <w:t xml:space="preserve">. </w:t>
      </w:r>
      <w:r w:rsidR="001661E8">
        <w:rPr>
          <w:rFonts w:cs="Arial"/>
        </w:rPr>
        <w:t xml:space="preserve">Coffee beverages (including flavoured coffee) (31%) was </w:t>
      </w:r>
      <w:r w:rsidR="00DC5FCA">
        <w:rPr>
          <w:rFonts w:cs="Arial"/>
        </w:rPr>
        <w:t>the main</w:t>
      </w:r>
      <w:r w:rsidR="001661E8">
        <w:rPr>
          <w:rFonts w:cs="Arial"/>
        </w:rPr>
        <w:t xml:space="preserve"> food contributor to </w:t>
      </w:r>
      <w:r>
        <w:rPr>
          <w:rFonts w:cs="Arial"/>
        </w:rPr>
        <w:t xml:space="preserve">predicted </w:t>
      </w:r>
      <w:r w:rsidR="00E3403B">
        <w:rPr>
          <w:rFonts w:cs="Arial"/>
        </w:rPr>
        <w:t>quillaia</w:t>
      </w:r>
      <w:r w:rsidR="001661E8">
        <w:rPr>
          <w:rFonts w:cs="Arial"/>
        </w:rPr>
        <w:t xml:space="preserve"> saponins exposure for </w:t>
      </w:r>
      <w:r w:rsidR="00026ED9">
        <w:rPr>
          <w:rFonts w:cs="Arial"/>
        </w:rPr>
        <w:t>Australians aged 17 years and above</w:t>
      </w:r>
      <w:r w:rsidR="00422890">
        <w:rPr>
          <w:rFonts w:cs="Arial"/>
        </w:rPr>
        <w:t>,</w:t>
      </w:r>
      <w:r w:rsidR="00DC5FCA">
        <w:rPr>
          <w:rFonts w:cs="Arial"/>
        </w:rPr>
        <w:t xml:space="preserve"> and w</w:t>
      </w:r>
      <w:r w:rsidR="001661E8">
        <w:rPr>
          <w:rFonts w:cs="Arial"/>
        </w:rPr>
        <w:t>ater based flavoured drinks (30%)</w:t>
      </w:r>
      <w:r w:rsidR="001661E8" w:rsidRPr="001661E8">
        <w:rPr>
          <w:rFonts w:cs="Arial"/>
        </w:rPr>
        <w:t xml:space="preserve"> </w:t>
      </w:r>
      <w:r w:rsidR="001661E8">
        <w:rPr>
          <w:rFonts w:cs="Arial"/>
        </w:rPr>
        <w:t>was t</w:t>
      </w:r>
      <w:r w:rsidR="00DC5FCA">
        <w:rPr>
          <w:rFonts w:cs="Arial"/>
        </w:rPr>
        <w:t>he main</w:t>
      </w:r>
      <w:r w:rsidR="00026ED9">
        <w:rPr>
          <w:rFonts w:cs="Arial"/>
        </w:rPr>
        <w:t xml:space="preserve"> contributor f</w:t>
      </w:r>
      <w:r w:rsidR="009825AD">
        <w:rPr>
          <w:rFonts w:cs="Arial"/>
        </w:rPr>
        <w:t>or New Zealand</w:t>
      </w:r>
      <w:r w:rsidR="00026ED9">
        <w:rPr>
          <w:rFonts w:cs="Arial"/>
        </w:rPr>
        <w:t>ers</w:t>
      </w:r>
      <w:r w:rsidR="009825AD">
        <w:rPr>
          <w:rFonts w:cs="Arial"/>
        </w:rPr>
        <w:t xml:space="preserve"> </w:t>
      </w:r>
      <w:r w:rsidR="00470FAF">
        <w:rPr>
          <w:rFonts w:cs="Arial"/>
        </w:rPr>
        <w:t>aged 15 years and above</w:t>
      </w:r>
      <w:r w:rsidR="0010297D">
        <w:rPr>
          <w:rFonts w:cs="Arial"/>
        </w:rPr>
        <w:t>.</w:t>
      </w:r>
      <w:r w:rsidR="00DC5FCA">
        <w:rPr>
          <w:rFonts w:cs="Arial"/>
        </w:rPr>
        <w:t xml:space="preserve"> T</w:t>
      </w:r>
      <w:r w:rsidR="0010297D">
        <w:rPr>
          <w:rFonts w:cs="Arial"/>
        </w:rPr>
        <w:t>h</w:t>
      </w:r>
      <w:r w:rsidR="00B51BBF">
        <w:rPr>
          <w:rFonts w:cs="Arial"/>
        </w:rPr>
        <w:t xml:space="preserve">e differences </w:t>
      </w:r>
      <w:r w:rsidR="0010297D">
        <w:rPr>
          <w:rFonts w:cs="Arial"/>
        </w:rPr>
        <w:t>could reflect differences in food preferences.</w:t>
      </w:r>
    </w:p>
    <w:p w:rsidR="0010297D" w:rsidRDefault="0010297D" w:rsidP="0010297D">
      <w:pPr>
        <w:rPr>
          <w:rFonts w:cs="Arial"/>
        </w:rPr>
      </w:pPr>
    </w:p>
    <w:p w:rsidR="0010297D" w:rsidRDefault="0010297D" w:rsidP="000F76C9">
      <w:pPr>
        <w:pStyle w:val="Heading3"/>
        <w:ind w:left="0" w:firstLine="0"/>
      </w:pPr>
      <w:bookmarkStart w:id="90" w:name="_Toc360028627"/>
      <w:r w:rsidRPr="00932EF0">
        <w:t>4.4.</w:t>
      </w:r>
      <w:r w:rsidR="00A61DC7">
        <w:t>2</w:t>
      </w:r>
      <w:r w:rsidRPr="00932EF0">
        <w:tab/>
      </w:r>
      <w:r w:rsidR="00C654A6">
        <w:t>Predicted</w:t>
      </w:r>
      <w:r w:rsidR="002216F0">
        <w:t xml:space="preserve"> </w:t>
      </w:r>
      <w:r w:rsidR="00C654A6">
        <w:t xml:space="preserve">modified </w:t>
      </w:r>
      <w:r w:rsidR="002216F0">
        <w:t>c</w:t>
      </w:r>
      <w:r w:rsidRPr="00932EF0">
        <w:t xml:space="preserve">onsumer behaviour </w:t>
      </w:r>
      <w:r w:rsidR="002216F0">
        <w:t xml:space="preserve">daily </w:t>
      </w:r>
      <w:r w:rsidRPr="00932EF0">
        <w:t>exposure</w:t>
      </w:r>
      <w:r w:rsidR="002216F0">
        <w:t>s</w:t>
      </w:r>
      <w:bookmarkEnd w:id="90"/>
      <w:r w:rsidR="002216F0">
        <w:t xml:space="preserve"> </w:t>
      </w:r>
    </w:p>
    <w:p w:rsidR="000F76C9" w:rsidRDefault="000F76C9" w:rsidP="0010297D">
      <w:pPr>
        <w:rPr>
          <w:rFonts w:cs="Arial"/>
        </w:rPr>
      </w:pPr>
    </w:p>
    <w:p w:rsidR="00C57601" w:rsidRDefault="001520AD" w:rsidP="0010297D">
      <w:pPr>
        <w:rPr>
          <w:rFonts w:cs="Arial"/>
        </w:rPr>
      </w:pPr>
      <w:r>
        <w:rPr>
          <w:rFonts w:cs="Arial"/>
        </w:rPr>
        <w:t xml:space="preserve">Where formulated beverages and flavoured teas contain </w:t>
      </w:r>
      <w:r w:rsidR="00E3403B">
        <w:rPr>
          <w:rFonts w:cs="Arial"/>
        </w:rPr>
        <w:t>quillaia</w:t>
      </w:r>
      <w:r>
        <w:rPr>
          <w:rFonts w:cs="Arial"/>
        </w:rPr>
        <w:t xml:space="preserve"> at MPLs</w:t>
      </w:r>
      <w:r w:rsidR="0010297D" w:rsidRPr="000C24A8">
        <w:rPr>
          <w:rFonts w:cs="Arial"/>
        </w:rPr>
        <w:t xml:space="preserve">, the older population groups in Australia and New Zealand who </w:t>
      </w:r>
      <w:r>
        <w:rPr>
          <w:rFonts w:cs="Arial"/>
        </w:rPr>
        <w:t>were</w:t>
      </w:r>
      <w:r w:rsidRPr="000C24A8">
        <w:rPr>
          <w:rFonts w:cs="Arial"/>
        </w:rPr>
        <w:t xml:space="preserve"> </w:t>
      </w:r>
      <w:r w:rsidR="0010297D" w:rsidRPr="000C24A8">
        <w:rPr>
          <w:rFonts w:cs="Arial"/>
        </w:rPr>
        <w:t xml:space="preserve">brand loyal consumers of </w:t>
      </w:r>
      <w:r>
        <w:rPr>
          <w:rFonts w:cs="Arial"/>
        </w:rPr>
        <w:t>these beverages were predicted to have</w:t>
      </w:r>
      <w:r w:rsidRPr="000C24A8">
        <w:rPr>
          <w:rFonts w:cs="Arial"/>
        </w:rPr>
        <w:t xml:space="preserve"> </w:t>
      </w:r>
      <w:r w:rsidR="002A22AE" w:rsidRPr="000C24A8">
        <w:rPr>
          <w:rFonts w:cs="Arial"/>
        </w:rPr>
        <w:t>90</w:t>
      </w:r>
      <w:r w:rsidR="002A22AE" w:rsidRPr="000C24A8">
        <w:rPr>
          <w:rFonts w:cs="Arial"/>
          <w:vertAlign w:val="superscript"/>
        </w:rPr>
        <w:t>th</w:t>
      </w:r>
      <w:r w:rsidR="002A22AE" w:rsidRPr="000C24A8">
        <w:rPr>
          <w:rFonts w:cs="Arial"/>
        </w:rPr>
        <w:t xml:space="preserve"> percentile </w:t>
      </w:r>
      <w:r w:rsidR="002B7D1A" w:rsidRPr="000C24A8">
        <w:rPr>
          <w:rFonts w:cs="Arial"/>
        </w:rPr>
        <w:t>dietary exposures</w:t>
      </w:r>
      <w:r w:rsidR="0010297D" w:rsidRPr="000C24A8">
        <w:rPr>
          <w:rFonts w:cs="Arial"/>
        </w:rPr>
        <w:t xml:space="preserve"> </w:t>
      </w:r>
      <w:r w:rsidR="002B7D1A" w:rsidRPr="000C24A8">
        <w:rPr>
          <w:rFonts w:cs="Arial"/>
        </w:rPr>
        <w:t xml:space="preserve">to </w:t>
      </w:r>
      <w:r w:rsidR="00E3403B">
        <w:rPr>
          <w:rFonts w:cs="Arial"/>
        </w:rPr>
        <w:t>quillaia</w:t>
      </w:r>
      <w:r w:rsidR="002B7D1A" w:rsidRPr="000C24A8">
        <w:rPr>
          <w:rFonts w:cs="Arial"/>
        </w:rPr>
        <w:t xml:space="preserve"> saponins  </w:t>
      </w:r>
      <w:r w:rsidR="00422890">
        <w:rPr>
          <w:rFonts w:cs="Arial"/>
        </w:rPr>
        <w:t xml:space="preserve">that ranged </w:t>
      </w:r>
      <w:r>
        <w:rPr>
          <w:rFonts w:cs="Arial"/>
        </w:rPr>
        <w:t>from</w:t>
      </w:r>
      <w:r w:rsidRPr="000C24A8">
        <w:rPr>
          <w:rFonts w:cs="Arial"/>
        </w:rPr>
        <w:t xml:space="preserve"> </w:t>
      </w:r>
      <w:r w:rsidR="006A0152" w:rsidRPr="000C24A8">
        <w:rPr>
          <w:rFonts w:cs="Arial"/>
        </w:rPr>
        <w:t xml:space="preserve">49 </w:t>
      </w:r>
      <w:r>
        <w:rPr>
          <w:rFonts w:cs="Arial"/>
        </w:rPr>
        <w:t>to</w:t>
      </w:r>
      <w:r w:rsidRPr="000C24A8">
        <w:rPr>
          <w:rFonts w:cs="Arial"/>
        </w:rPr>
        <w:t xml:space="preserve"> </w:t>
      </w:r>
      <w:r w:rsidR="006A0152" w:rsidRPr="000C24A8">
        <w:rPr>
          <w:rFonts w:cs="Arial"/>
        </w:rPr>
        <w:t>53</w:t>
      </w:r>
      <w:r w:rsidR="002B7D1A" w:rsidRPr="000C24A8">
        <w:rPr>
          <w:rFonts w:cs="Arial"/>
        </w:rPr>
        <w:t xml:space="preserve"> mg/day</w:t>
      </w:r>
      <w:r w:rsidR="0010297D" w:rsidRPr="000C24A8">
        <w:rPr>
          <w:rFonts w:cs="Arial"/>
        </w:rPr>
        <w:t xml:space="preserve">. </w:t>
      </w:r>
      <w:r w:rsidR="00957B60">
        <w:rPr>
          <w:rFonts w:cs="Arial"/>
        </w:rPr>
        <w:t>At the zero MPL level</w:t>
      </w:r>
      <w:r>
        <w:rPr>
          <w:rFonts w:cs="Arial"/>
        </w:rPr>
        <w:t xml:space="preserve"> for these two products</w:t>
      </w:r>
      <w:r w:rsidR="00957B60">
        <w:rPr>
          <w:rFonts w:cs="Arial"/>
        </w:rPr>
        <w:t xml:space="preserve">, the daily exposure to </w:t>
      </w:r>
      <w:r w:rsidR="00E3403B">
        <w:rPr>
          <w:rFonts w:cs="Arial"/>
        </w:rPr>
        <w:t>quillaia</w:t>
      </w:r>
      <w:r w:rsidR="00957B60">
        <w:rPr>
          <w:rFonts w:cs="Arial"/>
        </w:rPr>
        <w:t xml:space="preserve"> saponins ranged from 10-13 mg/day for the two population groups.</w:t>
      </w:r>
    </w:p>
    <w:p w:rsidR="00C57601" w:rsidRDefault="00C57601" w:rsidP="0010297D">
      <w:pPr>
        <w:rPr>
          <w:rFonts w:cs="Arial"/>
        </w:rPr>
      </w:pPr>
    </w:p>
    <w:p w:rsidR="001B0589" w:rsidRDefault="001B0589" w:rsidP="0010297D">
      <w:pPr>
        <w:rPr>
          <w:rFonts w:cs="Arial"/>
        </w:rPr>
        <w:sectPr w:rsidR="001B0589" w:rsidSect="00137236">
          <w:type w:val="continuous"/>
          <w:pgSz w:w="11906" w:h="16838"/>
          <w:pgMar w:top="1440" w:right="1440" w:bottom="1440" w:left="1440" w:header="708" w:footer="708" w:gutter="0"/>
          <w:cols w:space="708"/>
          <w:docGrid w:linePitch="360"/>
        </w:sectPr>
      </w:pPr>
    </w:p>
    <w:p w:rsidR="0010297D" w:rsidRPr="00435E22" w:rsidRDefault="00DE0304" w:rsidP="00AF18AD">
      <w:pPr>
        <w:pStyle w:val="Heading1"/>
        <w:rPr>
          <w:rFonts w:ascii="Arial" w:hAnsi="Arial" w:cs="Arial"/>
          <w:u w:val="none"/>
        </w:rPr>
      </w:pPr>
      <w:bookmarkStart w:id="91" w:name="_Toc360028628"/>
      <w:r w:rsidRPr="00435E22">
        <w:rPr>
          <w:rFonts w:ascii="Arial" w:hAnsi="Arial" w:cs="Arial"/>
          <w:u w:val="none"/>
        </w:rPr>
        <w:lastRenderedPageBreak/>
        <w:t>5</w:t>
      </w:r>
      <w:r w:rsidR="00400775" w:rsidRPr="00435E22">
        <w:rPr>
          <w:rFonts w:ascii="Arial" w:hAnsi="Arial" w:cs="Arial"/>
          <w:u w:val="none"/>
        </w:rPr>
        <w:t>.</w:t>
      </w:r>
      <w:r w:rsidR="0010297D" w:rsidRPr="00435E22">
        <w:rPr>
          <w:rFonts w:ascii="Arial" w:hAnsi="Arial" w:cs="Arial"/>
          <w:u w:val="none"/>
        </w:rPr>
        <w:tab/>
        <w:t>RISK CHARACTERISATION</w:t>
      </w:r>
      <w:bookmarkEnd w:id="91"/>
    </w:p>
    <w:p w:rsidR="0010297D" w:rsidRDefault="0010297D" w:rsidP="0010297D">
      <w:pPr>
        <w:rPr>
          <w:rFonts w:cs="Arial"/>
        </w:rPr>
      </w:pPr>
    </w:p>
    <w:p w:rsidR="0010297D" w:rsidRDefault="0010297D" w:rsidP="0010297D">
      <w:pPr>
        <w:rPr>
          <w:rFonts w:cs="Arial"/>
        </w:rPr>
      </w:pPr>
      <w:r>
        <w:rPr>
          <w:rFonts w:cs="Arial"/>
        </w:rPr>
        <w:t xml:space="preserve">The </w:t>
      </w:r>
      <w:r w:rsidR="00DB68DE">
        <w:rPr>
          <w:rFonts w:cs="Arial"/>
        </w:rPr>
        <w:t>predicted</w:t>
      </w:r>
      <w:r>
        <w:rPr>
          <w:rFonts w:cs="Arial"/>
        </w:rPr>
        <w:t xml:space="preserve"> dietary exposures </w:t>
      </w:r>
      <w:r w:rsidR="00A61DC7">
        <w:rPr>
          <w:rFonts w:cs="Arial"/>
        </w:rPr>
        <w:t xml:space="preserve">on a body weight basis </w:t>
      </w:r>
      <w:r>
        <w:rPr>
          <w:rFonts w:cs="Arial"/>
        </w:rPr>
        <w:t>were compared to the ADI of 1</w:t>
      </w:r>
      <w:r w:rsidR="003D26DA">
        <w:rPr>
          <w:rFonts w:cs="Arial"/>
        </w:rPr>
        <w:t> </w:t>
      </w:r>
      <w:r>
        <w:rPr>
          <w:rFonts w:cs="Arial"/>
        </w:rPr>
        <w:t>mg/kg bw.</w:t>
      </w:r>
    </w:p>
    <w:p w:rsidR="00F646EB" w:rsidRDefault="00F646EB" w:rsidP="00435E22">
      <w:pPr>
        <w:pStyle w:val="Two"/>
      </w:pPr>
      <w:bookmarkStart w:id="92" w:name="_Toc360028629"/>
      <w:r>
        <w:t>5.1</w:t>
      </w:r>
      <w:r>
        <w:tab/>
      </w:r>
      <w:r w:rsidR="001520AD">
        <w:t>Predicted p</w:t>
      </w:r>
      <w:r>
        <w:t>opulation dietary exposure</w:t>
      </w:r>
      <w:bookmarkEnd w:id="92"/>
      <w:r>
        <w:t xml:space="preserve"> </w:t>
      </w:r>
    </w:p>
    <w:p w:rsidR="007F5C2B" w:rsidRDefault="00BD3495" w:rsidP="0010297D">
      <w:pPr>
        <w:rPr>
          <w:rFonts w:cs="Arial"/>
        </w:rPr>
      </w:pPr>
      <w:r>
        <w:rPr>
          <w:rFonts w:cs="Arial"/>
        </w:rPr>
        <w:t>T</w:t>
      </w:r>
      <w:r w:rsidR="0010297D">
        <w:rPr>
          <w:rFonts w:cs="Arial"/>
        </w:rPr>
        <w:t xml:space="preserve">he </w:t>
      </w:r>
      <w:r w:rsidR="001520AD">
        <w:rPr>
          <w:rFonts w:cs="Arial"/>
        </w:rPr>
        <w:t xml:space="preserve">predicted </w:t>
      </w:r>
      <w:r w:rsidR="0010297D">
        <w:rPr>
          <w:rFonts w:cs="Arial"/>
        </w:rPr>
        <w:t>mean and 90</w:t>
      </w:r>
      <w:r w:rsidR="0010297D" w:rsidRPr="00B42F9D">
        <w:rPr>
          <w:rFonts w:cs="Arial"/>
          <w:vertAlign w:val="superscript"/>
        </w:rPr>
        <w:t>th</w:t>
      </w:r>
      <w:r w:rsidR="0010297D">
        <w:rPr>
          <w:rFonts w:cs="Arial"/>
        </w:rPr>
        <w:t xml:space="preserve"> percentile dietary exposures </w:t>
      </w:r>
      <w:r w:rsidR="001520AD">
        <w:rPr>
          <w:rFonts w:cs="Arial"/>
        </w:rPr>
        <w:t xml:space="preserve">expressed </w:t>
      </w:r>
      <w:r w:rsidR="0010297D">
        <w:rPr>
          <w:rFonts w:cs="Arial"/>
        </w:rPr>
        <w:t xml:space="preserve">as a percentage of the ADI </w:t>
      </w:r>
      <w:r w:rsidR="007F5C2B">
        <w:rPr>
          <w:rFonts w:cs="Arial"/>
        </w:rPr>
        <w:t xml:space="preserve">for all the population groups </w:t>
      </w:r>
      <w:r w:rsidR="0008181F">
        <w:rPr>
          <w:rFonts w:cs="Arial"/>
        </w:rPr>
        <w:t xml:space="preserve">were </w:t>
      </w:r>
      <w:r w:rsidR="000C7D21">
        <w:rPr>
          <w:rFonts w:cs="Arial"/>
        </w:rPr>
        <w:t xml:space="preserve">all well below the ADI at </w:t>
      </w:r>
      <w:r w:rsidR="0008181F">
        <w:rPr>
          <w:rFonts w:cs="Arial"/>
        </w:rPr>
        <w:t xml:space="preserve">between </w:t>
      </w:r>
      <w:r w:rsidR="00AC490A">
        <w:rPr>
          <w:rFonts w:cs="Arial"/>
        </w:rPr>
        <w:t>7</w:t>
      </w:r>
      <w:r w:rsidR="0008181F">
        <w:rPr>
          <w:rFonts w:cs="Arial"/>
        </w:rPr>
        <w:t>%-</w:t>
      </w:r>
      <w:r w:rsidR="00AC490A">
        <w:rPr>
          <w:rFonts w:cs="Arial"/>
        </w:rPr>
        <w:t>1</w:t>
      </w:r>
      <w:r w:rsidR="0008181F">
        <w:rPr>
          <w:rFonts w:cs="Arial"/>
        </w:rPr>
        <w:t xml:space="preserve">0% and between </w:t>
      </w:r>
      <w:r w:rsidR="00AC490A">
        <w:rPr>
          <w:rFonts w:cs="Arial"/>
        </w:rPr>
        <w:t>15</w:t>
      </w:r>
      <w:r w:rsidR="0008181F">
        <w:rPr>
          <w:rFonts w:cs="Arial"/>
        </w:rPr>
        <w:t>%-</w:t>
      </w:r>
      <w:r w:rsidR="00AC490A">
        <w:rPr>
          <w:rFonts w:cs="Arial"/>
        </w:rPr>
        <w:t>2</w:t>
      </w:r>
      <w:r w:rsidR="0008181F">
        <w:rPr>
          <w:rFonts w:cs="Arial"/>
        </w:rPr>
        <w:t xml:space="preserve">0% respectively </w:t>
      </w:r>
      <w:r w:rsidR="00AC490A">
        <w:rPr>
          <w:rFonts w:cs="Arial"/>
        </w:rPr>
        <w:t>(</w:t>
      </w:r>
      <w:r w:rsidR="0010297D">
        <w:rPr>
          <w:rFonts w:cs="Arial"/>
        </w:rPr>
        <w:t>Figure 5.1).</w:t>
      </w:r>
      <w:r w:rsidR="00AC490A">
        <w:rPr>
          <w:rFonts w:cs="Arial"/>
        </w:rPr>
        <w:t xml:space="preserve"> </w:t>
      </w:r>
    </w:p>
    <w:p w:rsidR="007F5C2B" w:rsidRDefault="007F5C2B" w:rsidP="0010297D">
      <w:pPr>
        <w:rPr>
          <w:rFonts w:cs="Arial"/>
        </w:rPr>
      </w:pPr>
    </w:p>
    <w:p w:rsidR="00687880" w:rsidRDefault="00C52759" w:rsidP="0010297D">
      <w:pPr>
        <w:rPr>
          <w:rFonts w:cs="Arial"/>
        </w:rPr>
      </w:pPr>
      <w:r>
        <w:rPr>
          <w:rFonts w:cs="Arial"/>
        </w:rPr>
        <w:t xml:space="preserve">The </w:t>
      </w:r>
      <w:r w:rsidR="00F646EB">
        <w:rPr>
          <w:rFonts w:cs="Arial"/>
        </w:rPr>
        <w:t xml:space="preserve">mean daily </w:t>
      </w:r>
      <w:r>
        <w:rPr>
          <w:rFonts w:cs="Arial"/>
        </w:rPr>
        <w:t>dietary exposure</w:t>
      </w:r>
      <w:r w:rsidR="00F646EB">
        <w:rPr>
          <w:rFonts w:cs="Arial"/>
        </w:rPr>
        <w:t>s</w:t>
      </w:r>
      <w:r>
        <w:rPr>
          <w:rFonts w:cs="Arial"/>
        </w:rPr>
        <w:t xml:space="preserve"> </w:t>
      </w:r>
      <w:r w:rsidR="00F646EB">
        <w:rPr>
          <w:rFonts w:cs="Arial"/>
        </w:rPr>
        <w:t xml:space="preserve">as a percentage of the ADI for </w:t>
      </w:r>
      <w:r>
        <w:rPr>
          <w:rFonts w:cs="Arial"/>
        </w:rPr>
        <w:t xml:space="preserve">younger </w:t>
      </w:r>
      <w:r w:rsidR="00F646EB">
        <w:rPr>
          <w:rFonts w:cs="Arial"/>
        </w:rPr>
        <w:t>Australian and New Zealand populations ranged between 7-9 mg</w:t>
      </w:r>
      <w:r w:rsidR="00F26112">
        <w:rPr>
          <w:rFonts w:cs="Arial"/>
        </w:rPr>
        <w:t>,</w:t>
      </w:r>
      <w:r w:rsidR="00F646EB">
        <w:rPr>
          <w:rFonts w:cs="Arial"/>
        </w:rPr>
        <w:t xml:space="preserve"> and for the older populations ranged between 7-10 mg.</w:t>
      </w:r>
    </w:p>
    <w:p w:rsidR="0010297D" w:rsidRDefault="0010297D" w:rsidP="0010297D">
      <w:pPr>
        <w:rPr>
          <w:b/>
        </w:rPr>
      </w:pPr>
    </w:p>
    <w:p w:rsidR="0010297D" w:rsidRDefault="000F2415" w:rsidP="000F2415">
      <w:pPr>
        <w:keepNext/>
        <w:rPr>
          <w:b/>
        </w:rPr>
      </w:pPr>
      <w:r w:rsidRPr="000F2415">
        <w:rPr>
          <w:noProof/>
          <w:lang w:eastAsia="en-GB" w:bidi="ar-SA"/>
        </w:rPr>
        <w:drawing>
          <wp:inline distT="0" distB="0" distL="0" distR="0" wp14:anchorId="3297D536" wp14:editId="05DB3863">
            <wp:extent cx="5731200" cy="31104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200" cy="3110400"/>
                    </a:xfrm>
                    <a:prstGeom prst="rect">
                      <a:avLst/>
                    </a:prstGeom>
                    <a:noFill/>
                    <a:ln>
                      <a:noFill/>
                    </a:ln>
                  </pic:spPr>
                </pic:pic>
              </a:graphicData>
            </a:graphic>
          </wp:inline>
        </w:drawing>
      </w:r>
    </w:p>
    <w:p w:rsidR="0010297D" w:rsidRDefault="0010297D" w:rsidP="00E541E8">
      <w:pPr>
        <w:keepNext/>
        <w:rPr>
          <w:b/>
        </w:rPr>
      </w:pPr>
    </w:p>
    <w:p w:rsidR="00670273" w:rsidRDefault="0010297D" w:rsidP="00E541E8">
      <w:pPr>
        <w:keepNext/>
        <w:rPr>
          <w:rFonts w:cs="Arial"/>
        </w:rPr>
      </w:pPr>
      <w:r>
        <w:rPr>
          <w:b/>
        </w:rPr>
        <w:t xml:space="preserve">Figure 5.1: </w:t>
      </w:r>
      <w:r w:rsidR="001520AD">
        <w:rPr>
          <w:b/>
        </w:rPr>
        <w:t>Predicted m</w:t>
      </w:r>
      <w:r>
        <w:rPr>
          <w:b/>
        </w:rPr>
        <w:t>ean a</w:t>
      </w:r>
      <w:r w:rsidRPr="000C5E41">
        <w:rPr>
          <w:b/>
        </w:rPr>
        <w:t>nd 90</w:t>
      </w:r>
      <w:r w:rsidRPr="000C5E41">
        <w:rPr>
          <w:b/>
          <w:vertAlign w:val="superscript"/>
        </w:rPr>
        <w:t>th</w:t>
      </w:r>
      <w:r>
        <w:rPr>
          <w:b/>
        </w:rPr>
        <w:t xml:space="preserve"> percentile </w:t>
      </w:r>
      <w:r w:rsidR="004E1C38">
        <w:rPr>
          <w:b/>
        </w:rPr>
        <w:t xml:space="preserve">population </w:t>
      </w:r>
      <w:r>
        <w:rPr>
          <w:b/>
        </w:rPr>
        <w:t xml:space="preserve">dietary exposure to </w:t>
      </w:r>
      <w:r w:rsidR="00E3403B">
        <w:rPr>
          <w:b/>
        </w:rPr>
        <w:t>quillaia</w:t>
      </w:r>
      <w:r>
        <w:rPr>
          <w:b/>
        </w:rPr>
        <w:t xml:space="preserve"> saponins as </w:t>
      </w:r>
      <w:r w:rsidR="00355EE1">
        <w:rPr>
          <w:b/>
        </w:rPr>
        <w:t>a</w:t>
      </w:r>
      <w:r>
        <w:rPr>
          <w:b/>
        </w:rPr>
        <w:t xml:space="preserve"> percentage of t</w:t>
      </w:r>
      <w:r w:rsidRPr="000C5E41">
        <w:rPr>
          <w:b/>
        </w:rPr>
        <w:t xml:space="preserve">he </w:t>
      </w:r>
      <w:r>
        <w:rPr>
          <w:b/>
        </w:rPr>
        <w:t xml:space="preserve">ADI </w:t>
      </w:r>
      <w:r w:rsidR="000B6892">
        <w:rPr>
          <w:b/>
        </w:rPr>
        <w:t>(1 mg/kg bw</w:t>
      </w:r>
      <w:r w:rsidR="00024626">
        <w:rPr>
          <w:b/>
        </w:rPr>
        <w:t xml:space="preserve">) </w:t>
      </w:r>
      <w:r>
        <w:rPr>
          <w:b/>
        </w:rPr>
        <w:t>for all population groups a</w:t>
      </w:r>
      <w:r w:rsidRPr="000C5E41">
        <w:rPr>
          <w:b/>
        </w:rPr>
        <w:t>ssessed</w:t>
      </w:r>
      <w:r w:rsidR="00AC490A">
        <w:rPr>
          <w:b/>
        </w:rPr>
        <w:t xml:space="preserve"> </w:t>
      </w:r>
    </w:p>
    <w:p w:rsidR="007540C0" w:rsidRDefault="00F646EB" w:rsidP="00435E22">
      <w:pPr>
        <w:pStyle w:val="Two"/>
      </w:pPr>
      <w:bookmarkStart w:id="93" w:name="_Toc360028630"/>
      <w:r>
        <w:t>5.2</w:t>
      </w:r>
      <w:r>
        <w:tab/>
      </w:r>
      <w:r w:rsidR="00C654A6">
        <w:t>Modified c</w:t>
      </w:r>
      <w:r>
        <w:t xml:space="preserve">onsumer behaviour </w:t>
      </w:r>
      <w:r w:rsidR="00EF5523">
        <w:t xml:space="preserve">dietary </w:t>
      </w:r>
      <w:r>
        <w:t>exposure</w:t>
      </w:r>
      <w:bookmarkEnd w:id="93"/>
    </w:p>
    <w:p w:rsidR="00C654A6" w:rsidRDefault="0010297D" w:rsidP="007540C0">
      <w:pPr>
        <w:rPr>
          <w:rFonts w:cs="Arial"/>
        </w:rPr>
      </w:pPr>
      <w:r>
        <w:rPr>
          <w:rFonts w:cs="Arial"/>
        </w:rPr>
        <w:t xml:space="preserve">The consumer behaviour </w:t>
      </w:r>
      <w:r w:rsidR="001520AD">
        <w:rPr>
          <w:rFonts w:cs="Arial"/>
        </w:rPr>
        <w:t xml:space="preserve">predictions </w:t>
      </w:r>
      <w:r>
        <w:rPr>
          <w:rFonts w:cs="Arial"/>
        </w:rPr>
        <w:t xml:space="preserve">of dietary exposure </w:t>
      </w:r>
      <w:r w:rsidR="001520AD">
        <w:rPr>
          <w:rFonts w:cs="Arial"/>
        </w:rPr>
        <w:t xml:space="preserve">expressed </w:t>
      </w:r>
      <w:r>
        <w:rPr>
          <w:rFonts w:cs="Arial"/>
        </w:rPr>
        <w:t xml:space="preserve">as </w:t>
      </w:r>
      <w:r w:rsidR="00EF5523">
        <w:rPr>
          <w:rFonts w:cs="Arial"/>
        </w:rPr>
        <w:t xml:space="preserve">a </w:t>
      </w:r>
      <w:r>
        <w:rPr>
          <w:rFonts w:cs="Arial"/>
        </w:rPr>
        <w:t xml:space="preserve">percentage of the ADI were </w:t>
      </w:r>
      <w:r w:rsidR="00A37409">
        <w:rPr>
          <w:rFonts w:cs="Arial"/>
        </w:rPr>
        <w:t>predicted</w:t>
      </w:r>
      <w:r w:rsidR="00E61A63">
        <w:rPr>
          <w:rFonts w:cs="Arial"/>
        </w:rPr>
        <w:t xml:space="preserve"> </w:t>
      </w:r>
      <w:r>
        <w:rPr>
          <w:rFonts w:cs="Arial"/>
        </w:rPr>
        <w:t xml:space="preserve">only for </w:t>
      </w:r>
      <w:r w:rsidR="00F646EB">
        <w:rPr>
          <w:rFonts w:cs="Arial"/>
        </w:rPr>
        <w:t>Australians aged 17 years and above,</w:t>
      </w:r>
      <w:r w:rsidR="00F646EB" w:rsidRPr="00F646EB">
        <w:rPr>
          <w:rFonts w:cs="Arial"/>
        </w:rPr>
        <w:t xml:space="preserve"> </w:t>
      </w:r>
      <w:r w:rsidR="00F646EB">
        <w:rPr>
          <w:rFonts w:cs="Arial"/>
        </w:rPr>
        <w:t xml:space="preserve">and </w:t>
      </w:r>
      <w:r>
        <w:rPr>
          <w:rFonts w:cs="Arial"/>
        </w:rPr>
        <w:t>New Zealand population aged 15 years and above</w:t>
      </w:r>
      <w:r w:rsidR="00F646EB">
        <w:rPr>
          <w:rFonts w:cs="Arial"/>
        </w:rPr>
        <w:t>.</w:t>
      </w:r>
      <w:r>
        <w:rPr>
          <w:rFonts w:cs="Arial"/>
        </w:rPr>
        <w:t xml:space="preserve"> The results showed the </w:t>
      </w:r>
      <w:r w:rsidR="001520AD">
        <w:rPr>
          <w:rFonts w:cs="Arial"/>
        </w:rPr>
        <w:t xml:space="preserve">predicted </w:t>
      </w:r>
      <w:r>
        <w:rPr>
          <w:rFonts w:cs="Arial"/>
        </w:rPr>
        <w:t xml:space="preserve">mean exposures for </w:t>
      </w:r>
      <w:r w:rsidR="00E61A63">
        <w:rPr>
          <w:rFonts w:cs="Arial"/>
        </w:rPr>
        <w:t xml:space="preserve">the brand loyal consumers who selected flavoured teas and </w:t>
      </w:r>
      <w:r w:rsidR="001520AD">
        <w:rPr>
          <w:rFonts w:cs="Arial"/>
        </w:rPr>
        <w:t xml:space="preserve">formulated beverages </w:t>
      </w:r>
      <w:r w:rsidR="00E61A63">
        <w:rPr>
          <w:rFonts w:cs="Arial"/>
        </w:rPr>
        <w:t xml:space="preserve">with </w:t>
      </w:r>
      <w:r w:rsidR="00E3403B">
        <w:rPr>
          <w:rFonts w:cs="Arial"/>
        </w:rPr>
        <w:t>quillaia</w:t>
      </w:r>
      <w:r w:rsidR="00E61A63">
        <w:rPr>
          <w:rFonts w:cs="Arial"/>
        </w:rPr>
        <w:t xml:space="preserve"> saponins at </w:t>
      </w:r>
      <w:r>
        <w:rPr>
          <w:rFonts w:cs="Arial"/>
        </w:rPr>
        <w:t xml:space="preserve">maximum </w:t>
      </w:r>
      <w:r w:rsidR="00E61A63">
        <w:rPr>
          <w:rFonts w:cs="Arial"/>
        </w:rPr>
        <w:t>MPL value</w:t>
      </w:r>
      <w:r>
        <w:rPr>
          <w:rFonts w:cs="Arial"/>
        </w:rPr>
        <w:t xml:space="preserve"> were below </w:t>
      </w:r>
      <w:r w:rsidR="006B1F3B">
        <w:rPr>
          <w:rFonts w:cs="Arial"/>
        </w:rPr>
        <w:t>4</w:t>
      </w:r>
      <w:r w:rsidR="00E61A63">
        <w:rPr>
          <w:rFonts w:cs="Arial"/>
        </w:rPr>
        <w:t xml:space="preserve">0% of the ADI; and </w:t>
      </w:r>
      <w:r w:rsidR="00C654A6">
        <w:rPr>
          <w:rFonts w:cs="Arial"/>
        </w:rPr>
        <w:t xml:space="preserve">the </w:t>
      </w:r>
      <w:r w:rsidR="001520AD">
        <w:rPr>
          <w:rFonts w:cs="Arial"/>
        </w:rPr>
        <w:t>predicted</w:t>
      </w:r>
      <w:r w:rsidR="000C7D21">
        <w:rPr>
          <w:rFonts w:cs="Arial"/>
        </w:rPr>
        <w:t xml:space="preserve"> 90</w:t>
      </w:r>
      <w:r w:rsidR="000C7D21" w:rsidRPr="00AF314B">
        <w:rPr>
          <w:rFonts w:cs="Arial"/>
          <w:vertAlign w:val="superscript"/>
        </w:rPr>
        <w:t>th</w:t>
      </w:r>
      <w:r w:rsidR="000C7D21">
        <w:rPr>
          <w:rFonts w:cs="Arial"/>
        </w:rPr>
        <w:t xml:space="preserve"> percentile exposure</w:t>
      </w:r>
      <w:r w:rsidR="001520AD">
        <w:rPr>
          <w:rFonts w:cs="Arial"/>
        </w:rPr>
        <w:t>s for</w:t>
      </w:r>
      <w:r w:rsidR="000C7D21">
        <w:rPr>
          <w:rFonts w:cs="Arial"/>
        </w:rPr>
        <w:t xml:space="preserve"> a</w:t>
      </w:r>
      <w:r w:rsidR="006B1F3B">
        <w:rPr>
          <w:rFonts w:cs="Arial"/>
        </w:rPr>
        <w:t xml:space="preserve">ll the populations groups were below 75% of the ADI </w:t>
      </w:r>
      <w:r w:rsidR="005A15A9">
        <w:rPr>
          <w:rFonts w:cs="Arial"/>
        </w:rPr>
        <w:t>(Figure 5.</w:t>
      </w:r>
      <w:r w:rsidR="007F5C2B">
        <w:rPr>
          <w:rFonts w:cs="Arial"/>
        </w:rPr>
        <w:t>2</w:t>
      </w:r>
      <w:r w:rsidR="005A15A9">
        <w:rPr>
          <w:rFonts w:cs="Arial"/>
        </w:rPr>
        <w:t>)</w:t>
      </w:r>
      <w:r>
        <w:rPr>
          <w:rFonts w:cs="Arial"/>
        </w:rPr>
        <w:t xml:space="preserve">. </w:t>
      </w:r>
    </w:p>
    <w:p w:rsidR="00C654A6" w:rsidRDefault="00C654A6" w:rsidP="007540C0">
      <w:pPr>
        <w:rPr>
          <w:rFonts w:cs="Arial"/>
        </w:rPr>
      </w:pPr>
    </w:p>
    <w:p w:rsidR="007540C0" w:rsidRDefault="00E61A63" w:rsidP="007540C0">
      <w:pPr>
        <w:rPr>
          <w:rFonts w:cs="Arial"/>
        </w:rPr>
      </w:pPr>
      <w:r>
        <w:rPr>
          <w:rFonts w:cs="Arial"/>
        </w:rPr>
        <w:t xml:space="preserve">It is noted that although the DEA </w:t>
      </w:r>
      <w:r w:rsidR="00DB68DE">
        <w:rPr>
          <w:rFonts w:cs="Arial"/>
        </w:rPr>
        <w:t>predict</w:t>
      </w:r>
      <w:r>
        <w:rPr>
          <w:rFonts w:cs="Arial"/>
        </w:rPr>
        <w:t xml:space="preserve">s for the </w:t>
      </w:r>
      <w:r w:rsidR="00C654A6">
        <w:rPr>
          <w:rFonts w:cs="Arial"/>
        </w:rPr>
        <w:t xml:space="preserve">modified </w:t>
      </w:r>
      <w:r>
        <w:rPr>
          <w:rFonts w:cs="Arial"/>
        </w:rPr>
        <w:t xml:space="preserve">consumer behaviour assumes that these brand or product loyal consumers would choose formulated beverages and flavoured teas containing </w:t>
      </w:r>
      <w:r w:rsidR="00E3403B">
        <w:rPr>
          <w:rFonts w:cs="Arial"/>
        </w:rPr>
        <w:t>quillaia</w:t>
      </w:r>
      <w:r>
        <w:rPr>
          <w:rFonts w:cs="Arial"/>
        </w:rPr>
        <w:t xml:space="preserve"> saponins over their lifetime, in reality it is unlikely, hence the DEA is considered a conservative </w:t>
      </w:r>
      <w:r w:rsidR="00DB68DE">
        <w:rPr>
          <w:rFonts w:cs="Arial"/>
        </w:rPr>
        <w:t>prediction</w:t>
      </w:r>
      <w:r>
        <w:rPr>
          <w:rFonts w:cs="Arial"/>
        </w:rPr>
        <w:t>.</w:t>
      </w:r>
    </w:p>
    <w:p w:rsidR="00CE7599" w:rsidRDefault="00CE7599" w:rsidP="007540C0">
      <w:pPr>
        <w:rPr>
          <w:rFonts w:cs="Arial"/>
        </w:rPr>
      </w:pPr>
    </w:p>
    <w:p w:rsidR="0010297D" w:rsidRDefault="0010297D" w:rsidP="0010297D">
      <w:pPr>
        <w:rPr>
          <w:rFonts w:cs="Arial"/>
        </w:rPr>
      </w:pPr>
    </w:p>
    <w:p w:rsidR="0010297D" w:rsidRDefault="0010297D" w:rsidP="0010297D">
      <w:pPr>
        <w:rPr>
          <w:rFonts w:cs="Arial"/>
        </w:rPr>
      </w:pPr>
    </w:p>
    <w:p w:rsidR="0010297D" w:rsidRDefault="006901B7" w:rsidP="006901B7">
      <w:pPr>
        <w:keepNext/>
        <w:rPr>
          <w:rFonts w:cs="Arial"/>
        </w:rPr>
      </w:pPr>
      <w:r w:rsidRPr="006901B7">
        <w:rPr>
          <w:noProof/>
          <w:lang w:eastAsia="en-GB" w:bidi="ar-SA"/>
        </w:rPr>
        <w:lastRenderedPageBreak/>
        <w:drawing>
          <wp:inline distT="0" distB="0" distL="0" distR="0" wp14:anchorId="460ED12E" wp14:editId="417BB9C9">
            <wp:extent cx="5263200" cy="308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3200" cy="3088800"/>
                    </a:xfrm>
                    <a:prstGeom prst="rect">
                      <a:avLst/>
                    </a:prstGeom>
                    <a:noFill/>
                    <a:ln>
                      <a:noFill/>
                    </a:ln>
                  </pic:spPr>
                </pic:pic>
              </a:graphicData>
            </a:graphic>
          </wp:inline>
        </w:drawing>
      </w:r>
    </w:p>
    <w:p w:rsidR="0010297D" w:rsidRDefault="0010297D" w:rsidP="006901B7">
      <w:pPr>
        <w:keepNext/>
        <w:rPr>
          <w:rFonts w:cs="Arial"/>
        </w:rPr>
      </w:pPr>
    </w:p>
    <w:p w:rsidR="00024626" w:rsidRDefault="0010297D" w:rsidP="003F4A5B">
      <w:pPr>
        <w:keepNext/>
        <w:rPr>
          <w:b/>
        </w:rPr>
      </w:pPr>
      <w:r w:rsidRPr="005C6CC5">
        <w:rPr>
          <w:b/>
        </w:rPr>
        <w:t xml:space="preserve">Figure </w:t>
      </w:r>
      <w:r>
        <w:rPr>
          <w:b/>
        </w:rPr>
        <w:t>5.</w:t>
      </w:r>
      <w:r w:rsidR="007F5C2B">
        <w:rPr>
          <w:b/>
        </w:rPr>
        <w:t>2</w:t>
      </w:r>
      <w:r>
        <w:rPr>
          <w:b/>
        </w:rPr>
        <w:t xml:space="preserve">: </w:t>
      </w:r>
      <w:r w:rsidR="001520AD">
        <w:rPr>
          <w:b/>
        </w:rPr>
        <w:t>Predicted m</w:t>
      </w:r>
      <w:r>
        <w:rPr>
          <w:b/>
        </w:rPr>
        <w:t>ean and P90</w:t>
      </w:r>
      <w:r w:rsidR="001520AD">
        <w:rPr>
          <w:b/>
        </w:rPr>
        <w:t>th</w:t>
      </w:r>
      <w:r>
        <w:rPr>
          <w:b/>
        </w:rPr>
        <w:t xml:space="preserve"> dietary exposure as </w:t>
      </w:r>
      <w:r w:rsidR="001520AD">
        <w:rPr>
          <w:b/>
        </w:rPr>
        <w:t xml:space="preserve">percentage of the </w:t>
      </w:r>
    </w:p>
    <w:p w:rsidR="0010297D" w:rsidRDefault="0010297D" w:rsidP="003F4A5B">
      <w:pPr>
        <w:keepNext/>
        <w:rPr>
          <w:rFonts w:cs="Arial"/>
        </w:rPr>
      </w:pPr>
      <w:r>
        <w:rPr>
          <w:b/>
        </w:rPr>
        <w:t xml:space="preserve">ADI </w:t>
      </w:r>
      <w:r w:rsidR="00024626">
        <w:rPr>
          <w:b/>
        </w:rPr>
        <w:t xml:space="preserve">(1 mg/kg bw/day) </w:t>
      </w:r>
      <w:r>
        <w:rPr>
          <w:b/>
        </w:rPr>
        <w:t xml:space="preserve">for </w:t>
      </w:r>
      <w:r w:rsidR="001520AD">
        <w:rPr>
          <w:b/>
        </w:rPr>
        <w:t>formulated beverages</w:t>
      </w:r>
      <w:r>
        <w:rPr>
          <w:b/>
        </w:rPr>
        <w:t xml:space="preserve"> and </w:t>
      </w:r>
      <w:r w:rsidR="001520AD">
        <w:rPr>
          <w:b/>
        </w:rPr>
        <w:t xml:space="preserve">flavoured </w:t>
      </w:r>
      <w:r>
        <w:rPr>
          <w:b/>
        </w:rPr>
        <w:t>teas at maximum and zero MPLs</w:t>
      </w:r>
      <w:r w:rsidR="006B1F3B">
        <w:rPr>
          <w:b/>
        </w:rPr>
        <w:t xml:space="preserve"> </w:t>
      </w:r>
    </w:p>
    <w:p w:rsidR="0010297D" w:rsidRDefault="0010297D" w:rsidP="00C22147"/>
    <w:p w:rsidR="0010297D" w:rsidRPr="004F517C" w:rsidRDefault="0010297D" w:rsidP="00435E22">
      <w:pPr>
        <w:pStyle w:val="Two"/>
      </w:pPr>
      <w:bookmarkStart w:id="94" w:name="_Toc360028631"/>
      <w:r w:rsidRPr="004F517C">
        <w:t>5.</w:t>
      </w:r>
      <w:r w:rsidR="005F6972">
        <w:t>3</w:t>
      </w:r>
      <w:r w:rsidRPr="004F517C">
        <w:tab/>
      </w:r>
      <w:r w:rsidR="00400775" w:rsidRPr="004F517C">
        <w:t>C</w:t>
      </w:r>
      <w:r w:rsidR="00400775">
        <w:t>onclusion</w:t>
      </w:r>
      <w:bookmarkEnd w:id="94"/>
    </w:p>
    <w:p w:rsidR="00D03326" w:rsidRDefault="00595754" w:rsidP="0010297D">
      <w:pPr>
        <w:widowControl/>
      </w:pPr>
      <w:r>
        <w:t>Using the population approach, t</w:t>
      </w:r>
      <w:r w:rsidR="00A45CBA">
        <w:t xml:space="preserve">he </w:t>
      </w:r>
      <w:r w:rsidR="001520AD">
        <w:t xml:space="preserve">predicted </w:t>
      </w:r>
      <w:r w:rsidR="00A45CBA">
        <w:t xml:space="preserve">dietary exposure for </w:t>
      </w:r>
      <w:r w:rsidR="007540C0">
        <w:t>all the population group</w:t>
      </w:r>
      <w:r w:rsidR="00C06BF9">
        <w:t xml:space="preserve">s </w:t>
      </w:r>
      <w:r w:rsidR="00A45CBA">
        <w:t>do</w:t>
      </w:r>
      <w:r w:rsidR="00C06BF9">
        <w:t>es</w:t>
      </w:r>
      <w:r w:rsidR="00A45CBA">
        <w:t xml:space="preserve"> not exceed 20% of the ADI. </w:t>
      </w:r>
      <w:r w:rsidR="00155152">
        <w:t xml:space="preserve">The </w:t>
      </w:r>
      <w:r w:rsidR="00C06BF9">
        <w:t xml:space="preserve">modified </w:t>
      </w:r>
      <w:r w:rsidR="00155152">
        <w:t>consumer behaviour approach</w:t>
      </w:r>
      <w:r w:rsidR="006D516B">
        <w:t xml:space="preserve"> </w:t>
      </w:r>
      <w:r w:rsidR="0016331B">
        <w:t xml:space="preserve">resulted in </w:t>
      </w:r>
      <w:r w:rsidR="001520AD">
        <w:t xml:space="preserve">predicted </w:t>
      </w:r>
      <w:r w:rsidR="00155152">
        <w:t>dietary exposure</w:t>
      </w:r>
      <w:r w:rsidR="001520AD">
        <w:t>s</w:t>
      </w:r>
      <w:r w:rsidR="00155152">
        <w:t xml:space="preserve"> </w:t>
      </w:r>
      <w:r w:rsidR="00D03326">
        <w:t xml:space="preserve">below </w:t>
      </w:r>
      <w:r w:rsidR="00155152">
        <w:t>7</w:t>
      </w:r>
      <w:r w:rsidR="00D03326">
        <w:t>5</w:t>
      </w:r>
      <w:r w:rsidR="00155152">
        <w:t xml:space="preserve">% of the ADI for the worst case scenario. </w:t>
      </w:r>
    </w:p>
    <w:p w:rsidR="00D03326" w:rsidRDefault="00D03326" w:rsidP="0010297D">
      <w:pPr>
        <w:widowControl/>
      </w:pPr>
    </w:p>
    <w:p w:rsidR="00A45CBA" w:rsidRDefault="00155152" w:rsidP="0010297D">
      <w:pPr>
        <w:widowControl/>
      </w:pPr>
      <w:r>
        <w:t xml:space="preserve">Based on these </w:t>
      </w:r>
      <w:r w:rsidR="00DB68DE">
        <w:t>prediction</w:t>
      </w:r>
      <w:r>
        <w:t>s,</w:t>
      </w:r>
      <w:r w:rsidR="0010297D" w:rsidRPr="004F517C">
        <w:t xml:space="preserve"> </w:t>
      </w:r>
      <w:r w:rsidR="00A45CBA">
        <w:t xml:space="preserve">there are </w:t>
      </w:r>
      <w:r w:rsidR="00A45CBA" w:rsidRPr="00423836">
        <w:t xml:space="preserve">no </w:t>
      </w:r>
      <w:r>
        <w:t xml:space="preserve">identifiable </w:t>
      </w:r>
      <w:r w:rsidR="00A45CBA" w:rsidRPr="00423836">
        <w:t xml:space="preserve">public health and safety issues associated with the proposed addition of </w:t>
      </w:r>
      <w:r w:rsidR="00E3403B">
        <w:t>quillaia</w:t>
      </w:r>
      <w:r w:rsidR="00A45CBA">
        <w:t xml:space="preserve"> saponins to the food categories requested </w:t>
      </w:r>
      <w:r>
        <w:t xml:space="preserve">by the Applicant </w:t>
      </w:r>
      <w:r w:rsidR="00A45CBA">
        <w:t>at the listed MPLs and the anticipated market uptake of the foods in Australia and New Zealand.</w:t>
      </w:r>
    </w:p>
    <w:bookmarkEnd w:id="70"/>
    <w:bookmarkEnd w:id="71"/>
    <w:bookmarkEnd w:id="72"/>
    <w:p w:rsidR="007540C0" w:rsidRDefault="007540C0">
      <w:pPr>
        <w:widowControl/>
        <w:rPr>
          <w:rFonts w:cs="Arial"/>
          <w:b/>
          <w:bCs/>
          <w:kern w:val="36"/>
          <w:sz w:val="28"/>
          <w:szCs w:val="28"/>
          <w:lang w:val="en-AU" w:eastAsia="en-AU"/>
        </w:rPr>
      </w:pPr>
      <w:r>
        <w:br w:type="page"/>
      </w:r>
    </w:p>
    <w:p w:rsidR="009B1AF3" w:rsidRPr="00435E22" w:rsidRDefault="00404090" w:rsidP="00AF18AD">
      <w:pPr>
        <w:pStyle w:val="Heading1"/>
        <w:rPr>
          <w:rFonts w:ascii="Arial" w:hAnsi="Arial" w:cs="Arial"/>
          <w:u w:val="none"/>
        </w:rPr>
      </w:pPr>
      <w:bookmarkStart w:id="95" w:name="_Toc360028632"/>
      <w:r w:rsidRPr="00435E22">
        <w:rPr>
          <w:rFonts w:ascii="Arial" w:hAnsi="Arial" w:cs="Arial"/>
          <w:u w:val="none"/>
        </w:rPr>
        <w:lastRenderedPageBreak/>
        <w:t>6.</w:t>
      </w:r>
      <w:r w:rsidRPr="00435E22">
        <w:rPr>
          <w:rFonts w:ascii="Arial" w:hAnsi="Arial" w:cs="Arial"/>
          <w:u w:val="none"/>
        </w:rPr>
        <w:tab/>
        <w:t>RISK AND TECHNICAL ASSESSMENT CONCLUSIONS</w:t>
      </w:r>
      <w:bookmarkEnd w:id="95"/>
    </w:p>
    <w:p w:rsidR="00404090" w:rsidRDefault="00404090" w:rsidP="00314023"/>
    <w:p w:rsidR="000164CD" w:rsidRDefault="00314023" w:rsidP="00314023">
      <w:r>
        <w:t xml:space="preserve">This risk </w:t>
      </w:r>
      <w:r w:rsidR="00404090">
        <w:t xml:space="preserve">and technical </w:t>
      </w:r>
      <w:r>
        <w:t>assessment evaluate</w:t>
      </w:r>
      <w:r w:rsidR="00810764">
        <w:t>d the technological suitability and</w:t>
      </w:r>
      <w:r>
        <w:t xml:space="preserve"> safety of the proposed addition of </w:t>
      </w:r>
      <w:r w:rsidR="00E3403B">
        <w:t>quillaia</w:t>
      </w:r>
      <w:r w:rsidR="000164CD" w:rsidRPr="000164CD">
        <w:t xml:space="preserve"> </w:t>
      </w:r>
      <w:r w:rsidR="000164CD">
        <w:t>e</w:t>
      </w:r>
      <w:r w:rsidR="000164CD" w:rsidRPr="000164CD">
        <w:t xml:space="preserve">xtract </w:t>
      </w:r>
      <w:r>
        <w:t xml:space="preserve">to </w:t>
      </w:r>
      <w:r w:rsidR="000164CD">
        <w:t>food.</w:t>
      </w:r>
    </w:p>
    <w:p w:rsidR="00D47E5C" w:rsidRDefault="0013137A" w:rsidP="00435E22">
      <w:pPr>
        <w:pStyle w:val="Two"/>
      </w:pPr>
      <w:bookmarkStart w:id="96" w:name="_Toc360028633"/>
      <w:r>
        <w:t>6</w:t>
      </w:r>
      <w:r w:rsidR="00D47E5C">
        <w:t>.1</w:t>
      </w:r>
      <w:r w:rsidR="00D47E5C">
        <w:tab/>
        <w:t>Responses to risk assessment questions</w:t>
      </w:r>
      <w:bookmarkEnd w:id="96"/>
    </w:p>
    <w:p w:rsidR="00A13413" w:rsidRPr="00A13413" w:rsidRDefault="00D47E5C" w:rsidP="00A13413">
      <w:pPr>
        <w:ind w:left="567" w:hanging="567"/>
        <w:rPr>
          <w:rFonts w:cs="Arial"/>
          <w:b/>
          <w:i/>
        </w:rPr>
      </w:pPr>
      <w:r w:rsidRPr="00A13413">
        <w:rPr>
          <w:rFonts w:cs="Arial"/>
          <w:b/>
          <w:i/>
        </w:rPr>
        <w:t>1.</w:t>
      </w:r>
      <w:r w:rsidRPr="00A13413">
        <w:rPr>
          <w:rFonts w:cs="Arial"/>
          <w:b/>
          <w:i/>
        </w:rPr>
        <w:tab/>
      </w:r>
      <w:r w:rsidR="00A13413" w:rsidRPr="00A13413">
        <w:rPr>
          <w:rFonts w:cs="Arial"/>
          <w:b/>
          <w:i/>
        </w:rPr>
        <w:t xml:space="preserve">Does </w:t>
      </w:r>
      <w:r w:rsidR="00E3403B">
        <w:rPr>
          <w:rFonts w:cs="Arial"/>
          <w:b/>
          <w:i/>
        </w:rPr>
        <w:t>quillaia</w:t>
      </w:r>
      <w:r w:rsidR="00A13413" w:rsidRPr="00A13413">
        <w:rPr>
          <w:rFonts w:cs="Arial"/>
          <w:b/>
          <w:i/>
        </w:rPr>
        <w:t xml:space="preserve"> extract achieve its technological function in the form and quantity used as an emulsifier?</w:t>
      </w:r>
    </w:p>
    <w:p w:rsidR="000164CD" w:rsidRDefault="000164CD" w:rsidP="000164CD">
      <w:pPr>
        <w:rPr>
          <w:rFonts w:cs="Arial"/>
        </w:rPr>
      </w:pPr>
    </w:p>
    <w:tbl>
      <w:tblPr>
        <w:tblStyle w:val="TableGrid"/>
        <w:tblW w:w="0" w:type="auto"/>
        <w:tblInd w:w="108" w:type="dxa"/>
        <w:tblLook w:val="04A0" w:firstRow="1" w:lastRow="0" w:firstColumn="1" w:lastColumn="0" w:noHBand="0" w:noVBand="1"/>
      </w:tblPr>
      <w:tblGrid>
        <w:gridCol w:w="2410"/>
        <w:gridCol w:w="6724"/>
      </w:tblGrid>
      <w:tr w:rsidR="000164CD" w:rsidTr="00646727">
        <w:trPr>
          <w:trHeight w:val="383"/>
        </w:trPr>
        <w:tc>
          <w:tcPr>
            <w:tcW w:w="2410" w:type="dxa"/>
            <w:shd w:val="clear" w:color="auto" w:fill="EEECE1" w:themeFill="background2"/>
            <w:vAlign w:val="center"/>
          </w:tcPr>
          <w:p w:rsidR="000164CD" w:rsidRPr="00F671B0" w:rsidRDefault="000164CD" w:rsidP="00646727">
            <w:pPr>
              <w:jc w:val="center"/>
              <w:rPr>
                <w:rFonts w:cs="Arial"/>
                <w:b/>
                <w:i/>
              </w:rPr>
            </w:pPr>
            <w:r w:rsidRPr="00F671B0">
              <w:rPr>
                <w:rFonts w:cs="Arial"/>
                <w:b/>
                <w:i/>
              </w:rPr>
              <w:t>Section of report</w:t>
            </w:r>
          </w:p>
        </w:tc>
        <w:tc>
          <w:tcPr>
            <w:tcW w:w="6724" w:type="dxa"/>
            <w:shd w:val="clear" w:color="auto" w:fill="EEECE1" w:themeFill="background2"/>
            <w:vAlign w:val="center"/>
          </w:tcPr>
          <w:p w:rsidR="000164CD" w:rsidRPr="00F671B0" w:rsidRDefault="000164CD" w:rsidP="00646727">
            <w:pPr>
              <w:jc w:val="center"/>
              <w:rPr>
                <w:rFonts w:cs="Arial"/>
                <w:b/>
                <w:i/>
              </w:rPr>
            </w:pPr>
            <w:r w:rsidRPr="00F671B0">
              <w:rPr>
                <w:rFonts w:cs="Arial"/>
                <w:b/>
                <w:i/>
              </w:rPr>
              <w:t>Summary re</w:t>
            </w:r>
            <w:r>
              <w:rPr>
                <w:rFonts w:cs="Arial"/>
                <w:b/>
                <w:i/>
              </w:rPr>
              <w:t>s</w:t>
            </w:r>
            <w:r w:rsidRPr="00F671B0">
              <w:rPr>
                <w:rFonts w:cs="Arial"/>
                <w:b/>
                <w:i/>
              </w:rPr>
              <w:t>ponse/conclusion</w:t>
            </w:r>
          </w:p>
        </w:tc>
      </w:tr>
      <w:tr w:rsidR="000164CD" w:rsidTr="00AF18AD">
        <w:trPr>
          <w:trHeight w:val="1704"/>
        </w:trPr>
        <w:tc>
          <w:tcPr>
            <w:tcW w:w="2410" w:type="dxa"/>
            <w:vAlign w:val="center"/>
          </w:tcPr>
          <w:p w:rsidR="000164CD" w:rsidRDefault="000164CD" w:rsidP="00A22617">
            <w:pPr>
              <w:rPr>
                <w:rFonts w:cs="Arial"/>
              </w:rPr>
            </w:pPr>
            <w:r>
              <w:rPr>
                <w:rFonts w:cs="Arial"/>
              </w:rPr>
              <w:t xml:space="preserve">Section </w:t>
            </w:r>
            <w:r w:rsidR="00A22617">
              <w:rPr>
                <w:rFonts w:cs="Arial"/>
              </w:rPr>
              <w:t>2</w:t>
            </w:r>
          </w:p>
        </w:tc>
        <w:tc>
          <w:tcPr>
            <w:tcW w:w="6724" w:type="dxa"/>
            <w:vAlign w:val="center"/>
          </w:tcPr>
          <w:p w:rsidR="000164CD" w:rsidRPr="00F671B0" w:rsidRDefault="000164CD" w:rsidP="00AF18AD">
            <w:pPr>
              <w:rPr>
                <w:rFonts w:cs="Arial"/>
              </w:rPr>
            </w:pPr>
            <w:r>
              <w:rPr>
                <w:rFonts w:cs="Arial"/>
              </w:rPr>
              <w:t>E</w:t>
            </w:r>
            <w:r w:rsidRPr="00F671B0">
              <w:rPr>
                <w:rFonts w:cs="Arial"/>
              </w:rPr>
              <w:t xml:space="preserve">vidence </w:t>
            </w:r>
            <w:r>
              <w:rPr>
                <w:rFonts w:cs="Arial"/>
              </w:rPr>
              <w:t>submitted</w:t>
            </w:r>
            <w:r w:rsidRPr="00F671B0">
              <w:rPr>
                <w:rFonts w:cs="Arial"/>
              </w:rPr>
              <w:t xml:space="preserve"> in support of this Application provides adequate assurance that</w:t>
            </w:r>
            <w:r w:rsidR="00A22617">
              <w:t xml:space="preserve"> </w:t>
            </w:r>
            <w:r w:rsidR="00E3403B">
              <w:rPr>
                <w:rFonts w:cs="Arial"/>
              </w:rPr>
              <w:t>quillaia</w:t>
            </w:r>
            <w:r w:rsidR="00A22617" w:rsidRPr="00A22617">
              <w:rPr>
                <w:rFonts w:cs="Arial"/>
              </w:rPr>
              <w:t xml:space="preserve"> extract fulfils the stated technological function </w:t>
            </w:r>
            <w:r w:rsidR="00A22617">
              <w:rPr>
                <w:rFonts w:cs="Arial"/>
              </w:rPr>
              <w:t xml:space="preserve">as an emulsifier in </w:t>
            </w:r>
            <w:r w:rsidR="00CE11DE">
              <w:rPr>
                <w:rFonts w:cs="Arial"/>
              </w:rPr>
              <w:t>the requested food categories</w:t>
            </w:r>
            <w:r w:rsidR="00A22617" w:rsidRPr="00A22617">
              <w:rPr>
                <w:rFonts w:cs="Arial"/>
              </w:rPr>
              <w:t>.</w:t>
            </w:r>
          </w:p>
        </w:tc>
      </w:tr>
    </w:tbl>
    <w:p w:rsidR="000164CD" w:rsidRDefault="000164CD" w:rsidP="00D47E5C">
      <w:pPr>
        <w:rPr>
          <w:rFonts w:cs="Arial"/>
        </w:rPr>
      </w:pPr>
    </w:p>
    <w:p w:rsidR="00F671B0" w:rsidRPr="00B22260" w:rsidRDefault="000164CD" w:rsidP="00A13413">
      <w:pPr>
        <w:ind w:left="567" w:hanging="567"/>
        <w:rPr>
          <w:rFonts w:cs="Arial"/>
          <w:b/>
        </w:rPr>
      </w:pPr>
      <w:r>
        <w:rPr>
          <w:rFonts w:cs="Arial"/>
          <w:b/>
        </w:rPr>
        <w:t>2</w:t>
      </w:r>
      <w:r w:rsidR="00F671B0" w:rsidRPr="00B22260">
        <w:rPr>
          <w:rFonts w:cs="Arial"/>
          <w:b/>
        </w:rPr>
        <w:t>.</w:t>
      </w:r>
      <w:r w:rsidR="00F671B0" w:rsidRPr="00B22260">
        <w:rPr>
          <w:rFonts w:cs="Arial"/>
          <w:b/>
        </w:rPr>
        <w:tab/>
      </w:r>
      <w:r w:rsidR="00A13413" w:rsidRPr="00A13413">
        <w:rPr>
          <w:rFonts w:cs="Arial"/>
          <w:b/>
          <w:i/>
        </w:rPr>
        <w:t xml:space="preserve">Are there any public health and safety issues associated with the use of </w:t>
      </w:r>
      <w:r w:rsidR="00E3403B">
        <w:rPr>
          <w:rFonts w:cs="Arial"/>
          <w:b/>
          <w:i/>
        </w:rPr>
        <w:t>quillaia</w:t>
      </w:r>
      <w:r w:rsidR="00A13413" w:rsidRPr="00A13413">
        <w:rPr>
          <w:rFonts w:cs="Arial"/>
          <w:b/>
          <w:i/>
        </w:rPr>
        <w:t xml:space="preserve"> extract as an emulsifier?</w:t>
      </w:r>
    </w:p>
    <w:p w:rsidR="00D47E5C" w:rsidRPr="00E0709F" w:rsidRDefault="00D47E5C" w:rsidP="00D47E5C">
      <w:pPr>
        <w:rPr>
          <w:rFonts w:cs="Arial"/>
        </w:rPr>
      </w:pPr>
    </w:p>
    <w:tbl>
      <w:tblPr>
        <w:tblStyle w:val="TableGrid"/>
        <w:tblW w:w="0" w:type="auto"/>
        <w:tblInd w:w="108" w:type="dxa"/>
        <w:tblLook w:val="04A0" w:firstRow="1" w:lastRow="0" w:firstColumn="1" w:lastColumn="0" w:noHBand="0" w:noVBand="1"/>
      </w:tblPr>
      <w:tblGrid>
        <w:gridCol w:w="2410"/>
        <w:gridCol w:w="6724"/>
      </w:tblGrid>
      <w:tr w:rsidR="002B04D2" w:rsidTr="002B04D2">
        <w:trPr>
          <w:trHeight w:val="383"/>
        </w:trPr>
        <w:tc>
          <w:tcPr>
            <w:tcW w:w="2410" w:type="dxa"/>
            <w:shd w:val="clear" w:color="auto" w:fill="EEECE1" w:themeFill="background2"/>
            <w:vAlign w:val="center"/>
          </w:tcPr>
          <w:p w:rsidR="002B04D2" w:rsidRPr="00F671B0" w:rsidRDefault="002B04D2" w:rsidP="002B04D2">
            <w:pPr>
              <w:jc w:val="center"/>
              <w:rPr>
                <w:rFonts w:cs="Arial"/>
                <w:b/>
                <w:i/>
              </w:rPr>
            </w:pPr>
            <w:r w:rsidRPr="00F671B0">
              <w:rPr>
                <w:rFonts w:cs="Arial"/>
                <w:b/>
                <w:i/>
              </w:rPr>
              <w:t>Section of report</w:t>
            </w:r>
          </w:p>
        </w:tc>
        <w:tc>
          <w:tcPr>
            <w:tcW w:w="6724" w:type="dxa"/>
            <w:shd w:val="clear" w:color="auto" w:fill="EEECE1" w:themeFill="background2"/>
            <w:vAlign w:val="center"/>
          </w:tcPr>
          <w:p w:rsidR="002B04D2" w:rsidRPr="00F671B0" w:rsidRDefault="002B04D2" w:rsidP="002B04D2">
            <w:pPr>
              <w:jc w:val="center"/>
              <w:rPr>
                <w:rFonts w:cs="Arial"/>
                <w:b/>
                <w:i/>
              </w:rPr>
            </w:pPr>
            <w:r w:rsidRPr="00F671B0">
              <w:rPr>
                <w:rFonts w:cs="Arial"/>
                <w:b/>
                <w:i/>
              </w:rPr>
              <w:t>Summary re</w:t>
            </w:r>
            <w:r>
              <w:rPr>
                <w:rFonts w:cs="Arial"/>
                <w:b/>
                <w:i/>
              </w:rPr>
              <w:t>s</w:t>
            </w:r>
            <w:r w:rsidRPr="00F671B0">
              <w:rPr>
                <w:rFonts w:cs="Arial"/>
                <w:b/>
                <w:i/>
              </w:rPr>
              <w:t>ponse/conclusion</w:t>
            </w:r>
          </w:p>
        </w:tc>
      </w:tr>
      <w:tr w:rsidR="002B04D2" w:rsidTr="00AF18AD">
        <w:trPr>
          <w:trHeight w:val="1792"/>
        </w:trPr>
        <w:tc>
          <w:tcPr>
            <w:tcW w:w="2410" w:type="dxa"/>
            <w:vAlign w:val="center"/>
          </w:tcPr>
          <w:p w:rsidR="002B04D2" w:rsidRDefault="002B04D2" w:rsidP="000164CD">
            <w:pPr>
              <w:rPr>
                <w:rFonts w:cs="Arial"/>
              </w:rPr>
            </w:pPr>
            <w:r>
              <w:rPr>
                <w:rFonts w:cs="Arial"/>
              </w:rPr>
              <w:t xml:space="preserve">Section </w:t>
            </w:r>
            <w:r w:rsidR="00A22617">
              <w:rPr>
                <w:rFonts w:cs="Arial"/>
              </w:rPr>
              <w:t>5</w:t>
            </w:r>
          </w:p>
        </w:tc>
        <w:tc>
          <w:tcPr>
            <w:tcW w:w="6724" w:type="dxa"/>
            <w:vAlign w:val="center"/>
          </w:tcPr>
          <w:p w:rsidR="002B04D2" w:rsidRPr="002B04D2" w:rsidRDefault="00A22617" w:rsidP="00AF18AD">
            <w:pPr>
              <w:spacing w:before="60" w:after="60"/>
              <w:rPr>
                <w:rFonts w:cs="Arial"/>
              </w:rPr>
            </w:pPr>
            <w:r>
              <w:rPr>
                <w:rFonts w:cs="Arial"/>
              </w:rPr>
              <w:t>T</w:t>
            </w:r>
            <w:r w:rsidRPr="00A22617">
              <w:rPr>
                <w:rFonts w:cs="Arial"/>
              </w:rPr>
              <w:t xml:space="preserve">here are no identifiable public health and safety issues associated with the proposed addition of </w:t>
            </w:r>
            <w:r w:rsidR="00E3403B">
              <w:rPr>
                <w:rFonts w:cs="Arial"/>
              </w:rPr>
              <w:t>quillaia</w:t>
            </w:r>
            <w:r w:rsidRPr="00A22617">
              <w:rPr>
                <w:rFonts w:cs="Arial"/>
              </w:rPr>
              <w:t xml:space="preserve"> </w:t>
            </w:r>
            <w:r w:rsidR="00CE11DE">
              <w:rPr>
                <w:rFonts w:cs="Arial"/>
              </w:rPr>
              <w:t>extract</w:t>
            </w:r>
            <w:r w:rsidRPr="00A22617">
              <w:rPr>
                <w:rFonts w:cs="Arial"/>
              </w:rPr>
              <w:t xml:space="preserve"> to the food categories requested.</w:t>
            </w:r>
          </w:p>
        </w:tc>
      </w:tr>
    </w:tbl>
    <w:p w:rsidR="00D47E5C" w:rsidRDefault="0013137A" w:rsidP="00435E22">
      <w:pPr>
        <w:pStyle w:val="Two"/>
      </w:pPr>
      <w:bookmarkStart w:id="97" w:name="_Toc360028634"/>
      <w:r>
        <w:t>6</w:t>
      </w:r>
      <w:r w:rsidR="00D47E5C">
        <w:t>.2</w:t>
      </w:r>
      <w:r w:rsidR="00D47E5C">
        <w:tab/>
        <w:t>Consolidated conclusion</w:t>
      </w:r>
      <w:bookmarkEnd w:id="97"/>
    </w:p>
    <w:p w:rsidR="009B1AF3" w:rsidRPr="00D47E5C" w:rsidRDefault="0088315E" w:rsidP="00D47E5C">
      <w:pPr>
        <w:rPr>
          <w:rFonts w:cs="Arial"/>
        </w:rPr>
      </w:pPr>
      <w:r>
        <w:t>On the basis of the</w:t>
      </w:r>
      <w:r w:rsidR="00D47E5C">
        <w:t>se</w:t>
      </w:r>
      <w:r>
        <w:t xml:space="preserve"> </w:t>
      </w:r>
      <w:r w:rsidR="00D47E5C">
        <w:t>responses</w:t>
      </w:r>
      <w:r>
        <w:t xml:space="preserve">, it is concluded that </w:t>
      </w:r>
      <w:r w:rsidR="00751830">
        <w:t xml:space="preserve">the use of </w:t>
      </w:r>
      <w:r w:rsidR="00E3403B">
        <w:t>quillaia</w:t>
      </w:r>
      <w:r w:rsidR="000164CD" w:rsidRPr="000164CD">
        <w:t xml:space="preserve"> </w:t>
      </w:r>
      <w:r w:rsidR="000164CD">
        <w:t>e</w:t>
      </w:r>
      <w:r w:rsidR="000164CD" w:rsidRPr="000164CD">
        <w:t>xtract</w:t>
      </w:r>
      <w:r>
        <w:t xml:space="preserve"> </w:t>
      </w:r>
      <w:r w:rsidR="00751830">
        <w:t xml:space="preserve">as a food additive in the requested food categories </w:t>
      </w:r>
      <w:r>
        <w:t xml:space="preserve">is </w:t>
      </w:r>
      <w:r w:rsidR="00D47E5C">
        <w:t xml:space="preserve">technologically justified and </w:t>
      </w:r>
      <w:r w:rsidR="00751830">
        <w:t>presents no identifiable public health and safety issues</w:t>
      </w:r>
      <w:r w:rsidR="00D47E5C">
        <w:rPr>
          <w:rFonts w:cs="Arial"/>
        </w:rPr>
        <w:t>.</w:t>
      </w:r>
    </w:p>
    <w:p w:rsidR="00D47E5C" w:rsidRDefault="00D47E5C">
      <w:pPr>
        <w:widowControl/>
        <w:rPr>
          <w:rFonts w:cs="Arial"/>
          <w:b/>
          <w:bCs/>
          <w:kern w:val="36"/>
          <w:sz w:val="36"/>
          <w:szCs w:val="36"/>
          <w:u w:val="single"/>
          <w:lang w:val="en-AU" w:eastAsia="en-AU"/>
        </w:rPr>
      </w:pPr>
      <w:r>
        <w:br w:type="page"/>
      </w:r>
    </w:p>
    <w:p w:rsidR="00C21532" w:rsidRPr="00435E22" w:rsidRDefault="00EF0704" w:rsidP="00AF18AD">
      <w:pPr>
        <w:pStyle w:val="Heading1"/>
        <w:rPr>
          <w:rFonts w:ascii="Arial" w:hAnsi="Arial" w:cs="Arial"/>
          <w:u w:val="none"/>
        </w:rPr>
      </w:pPr>
      <w:bookmarkStart w:id="98" w:name="_Toc360028635"/>
      <w:r w:rsidRPr="00435E22">
        <w:rPr>
          <w:rFonts w:ascii="Arial" w:hAnsi="Arial" w:cs="Arial"/>
          <w:u w:val="none"/>
        </w:rPr>
        <w:lastRenderedPageBreak/>
        <w:t>7.</w:t>
      </w:r>
      <w:r w:rsidRPr="00435E22">
        <w:rPr>
          <w:rFonts w:ascii="Arial" w:hAnsi="Arial" w:cs="Arial"/>
          <w:u w:val="none"/>
        </w:rPr>
        <w:tab/>
      </w:r>
      <w:r w:rsidR="00404090" w:rsidRPr="00435E22">
        <w:rPr>
          <w:rFonts w:ascii="Arial" w:hAnsi="Arial" w:cs="Arial"/>
          <w:u w:val="none"/>
        </w:rPr>
        <w:t>REFERENCES</w:t>
      </w:r>
      <w:bookmarkEnd w:id="98"/>
    </w:p>
    <w:p w:rsidR="0095674F" w:rsidRPr="00AF18AD" w:rsidRDefault="0095674F" w:rsidP="00F306BD">
      <w:pPr>
        <w:widowControl/>
        <w:rPr>
          <w:szCs w:val="22"/>
        </w:rPr>
      </w:pPr>
    </w:p>
    <w:p w:rsidR="00F306BD" w:rsidRPr="00AF18AD" w:rsidRDefault="00F306BD" w:rsidP="00F306BD">
      <w:pPr>
        <w:widowControl/>
        <w:rPr>
          <w:szCs w:val="22"/>
        </w:rPr>
      </w:pPr>
      <w:r w:rsidRPr="00AF18AD">
        <w:rPr>
          <w:szCs w:val="22"/>
        </w:rPr>
        <w:t xml:space="preserve">Drake JJ-P, Butterworth KR, Gaunt IF, Hooson J, Evans JG &amp; Gangolli SD (1974) Long-term toxicity of </w:t>
      </w:r>
      <w:r w:rsidR="00E3403B">
        <w:rPr>
          <w:szCs w:val="22"/>
        </w:rPr>
        <w:t>quillaia</w:t>
      </w:r>
      <w:r w:rsidRPr="00AF18AD">
        <w:rPr>
          <w:szCs w:val="22"/>
        </w:rPr>
        <w:t xml:space="preserve"> extract in rats. </w:t>
      </w:r>
      <w:r w:rsidRPr="00AF18AD">
        <w:rPr>
          <w:i/>
          <w:szCs w:val="22"/>
        </w:rPr>
        <w:t>Fd Cosmet Toxicol</w:t>
      </w:r>
      <w:r w:rsidRPr="00AF18AD">
        <w:rPr>
          <w:szCs w:val="22"/>
        </w:rPr>
        <w:t xml:space="preserve"> </w:t>
      </w:r>
      <w:r w:rsidRPr="00AF18AD">
        <w:rPr>
          <w:b/>
          <w:szCs w:val="22"/>
        </w:rPr>
        <w:t>20</w:t>
      </w:r>
      <w:r w:rsidRPr="00AF18AD">
        <w:rPr>
          <w:szCs w:val="22"/>
        </w:rPr>
        <w:t>:15-23.</w:t>
      </w:r>
    </w:p>
    <w:p w:rsidR="00F306BD" w:rsidRPr="00AF18AD" w:rsidRDefault="00F306BD" w:rsidP="005F723E">
      <w:pPr>
        <w:rPr>
          <w:szCs w:val="22"/>
        </w:rPr>
      </w:pPr>
    </w:p>
    <w:p w:rsidR="00A50EBC" w:rsidRPr="001B7DE7" w:rsidRDefault="00A50EBC" w:rsidP="00A50EBC">
      <w:pPr>
        <w:widowControl/>
        <w:rPr>
          <w:bCs/>
          <w:lang w:val="en-AU"/>
        </w:rPr>
      </w:pPr>
      <w:r w:rsidRPr="001B7DE7">
        <w:rPr>
          <w:bCs/>
          <w:lang w:val="en-AU"/>
        </w:rPr>
        <w:t>Efimova et al (1966) Cited in Joint FAO/WHO Expert Committee on Food Additives (JECFA). www.inchem.org/documents/jecfa/jecmono/v48je03.htm [Accessed 26 April 2013]</w:t>
      </w:r>
    </w:p>
    <w:p w:rsidR="00905066" w:rsidRPr="00AF18AD" w:rsidRDefault="00905066" w:rsidP="005F723E">
      <w:pPr>
        <w:rPr>
          <w:szCs w:val="22"/>
        </w:rPr>
      </w:pPr>
    </w:p>
    <w:p w:rsidR="000E47FE" w:rsidRPr="00AF18AD" w:rsidRDefault="000E47FE" w:rsidP="005F723E">
      <w:pPr>
        <w:rPr>
          <w:szCs w:val="22"/>
        </w:rPr>
      </w:pPr>
      <w:r w:rsidRPr="00AF18AD">
        <w:rPr>
          <w:szCs w:val="22"/>
        </w:rPr>
        <w:t xml:space="preserve">Francis G, </w:t>
      </w:r>
      <w:proofErr w:type="spellStart"/>
      <w:r w:rsidRPr="00AF18AD">
        <w:rPr>
          <w:szCs w:val="22"/>
        </w:rPr>
        <w:t>Kerem</w:t>
      </w:r>
      <w:proofErr w:type="spellEnd"/>
      <w:r w:rsidRPr="00AF18AD">
        <w:rPr>
          <w:szCs w:val="22"/>
        </w:rPr>
        <w:t xml:space="preserve"> Z, </w:t>
      </w:r>
      <w:proofErr w:type="spellStart"/>
      <w:r w:rsidRPr="00AF18AD">
        <w:rPr>
          <w:szCs w:val="22"/>
        </w:rPr>
        <w:t>Makkar</w:t>
      </w:r>
      <w:proofErr w:type="spellEnd"/>
      <w:r w:rsidRPr="00AF18AD">
        <w:rPr>
          <w:szCs w:val="22"/>
        </w:rPr>
        <w:t xml:space="preserve"> </w:t>
      </w:r>
      <w:proofErr w:type="spellStart"/>
      <w:r w:rsidRPr="00AF18AD">
        <w:rPr>
          <w:szCs w:val="22"/>
        </w:rPr>
        <w:t>HPS</w:t>
      </w:r>
      <w:proofErr w:type="spellEnd"/>
      <w:r w:rsidRPr="00AF18AD">
        <w:rPr>
          <w:szCs w:val="22"/>
        </w:rPr>
        <w:t xml:space="preserve"> &amp; Becker K (2002) The biological action of saponins in animal systems: a review. </w:t>
      </w:r>
      <w:r w:rsidRPr="00AF18AD">
        <w:rPr>
          <w:i/>
          <w:szCs w:val="22"/>
        </w:rPr>
        <w:t>British Journal of Nutrition</w:t>
      </w:r>
      <w:r w:rsidRPr="00AF18AD">
        <w:rPr>
          <w:szCs w:val="22"/>
        </w:rPr>
        <w:t xml:space="preserve"> </w:t>
      </w:r>
      <w:r w:rsidRPr="00AF18AD">
        <w:rPr>
          <w:b/>
          <w:szCs w:val="22"/>
        </w:rPr>
        <w:t>88</w:t>
      </w:r>
      <w:r w:rsidRPr="00AF18AD">
        <w:rPr>
          <w:szCs w:val="22"/>
        </w:rPr>
        <w:t>:587-605.</w:t>
      </w:r>
    </w:p>
    <w:p w:rsidR="009A2DFB" w:rsidRPr="00AF18AD" w:rsidRDefault="009A2DFB" w:rsidP="005F723E">
      <w:pPr>
        <w:rPr>
          <w:szCs w:val="22"/>
        </w:rPr>
      </w:pPr>
    </w:p>
    <w:p w:rsidR="009A2DFB" w:rsidRPr="00AF18AD" w:rsidRDefault="009A2DFB" w:rsidP="005F723E">
      <w:pPr>
        <w:rPr>
          <w:rStyle w:val="Hyperlink"/>
          <w:rFonts w:cs="Arial"/>
          <w:color w:val="0000FF"/>
          <w:szCs w:val="22"/>
        </w:rPr>
      </w:pPr>
      <w:r w:rsidRPr="00AF18AD">
        <w:rPr>
          <w:rFonts w:cs="Arial"/>
          <w:szCs w:val="22"/>
        </w:rPr>
        <w:t xml:space="preserve">FSANZ (2009) Principles and Practices of Dietary Exposure Assessment for Food Regulatory Purposes. </w:t>
      </w:r>
      <w:hyperlink r:id="rId26" w:history="1">
        <w:r w:rsidRPr="00AF18AD">
          <w:rPr>
            <w:rStyle w:val="Hyperlink"/>
            <w:rFonts w:cs="Arial"/>
            <w:color w:val="0000FF"/>
            <w:szCs w:val="22"/>
          </w:rPr>
          <w:t>http://www.foodstandards.gov.au/_srcfiles/Principles%20&amp;%20practices%20exposure%20assessment%202009.pdf</w:t>
        </w:r>
      </w:hyperlink>
    </w:p>
    <w:p w:rsidR="009372EF" w:rsidRPr="00AF18AD" w:rsidRDefault="009372EF" w:rsidP="005F723E">
      <w:pPr>
        <w:rPr>
          <w:rStyle w:val="Hyperlink"/>
          <w:rFonts w:cs="Arial"/>
          <w:color w:val="0000FF"/>
          <w:szCs w:val="22"/>
        </w:rPr>
      </w:pPr>
    </w:p>
    <w:p w:rsidR="00F306BD" w:rsidRPr="00AF18AD" w:rsidRDefault="00F306BD" w:rsidP="005F723E">
      <w:pPr>
        <w:rPr>
          <w:szCs w:val="22"/>
        </w:rPr>
      </w:pPr>
      <w:r w:rsidRPr="00AF18AD">
        <w:rPr>
          <w:szCs w:val="22"/>
        </w:rPr>
        <w:t xml:space="preserve">Gaunt IF, Grasso P &amp; Gangolli (1974) Short-term toxicity of </w:t>
      </w:r>
      <w:r w:rsidR="00E3403B">
        <w:rPr>
          <w:szCs w:val="22"/>
        </w:rPr>
        <w:t>quillaia</w:t>
      </w:r>
      <w:r w:rsidRPr="00AF18AD">
        <w:rPr>
          <w:szCs w:val="22"/>
        </w:rPr>
        <w:t xml:space="preserve"> extract in rats. </w:t>
      </w:r>
      <w:r w:rsidRPr="00AF18AD">
        <w:rPr>
          <w:i/>
          <w:szCs w:val="22"/>
        </w:rPr>
        <w:t>F</w:t>
      </w:r>
      <w:r w:rsidR="00EF0704">
        <w:rPr>
          <w:i/>
          <w:szCs w:val="22"/>
        </w:rPr>
        <w:t>oo</w:t>
      </w:r>
      <w:r w:rsidRPr="00AF18AD">
        <w:rPr>
          <w:i/>
          <w:szCs w:val="22"/>
        </w:rPr>
        <w:t>d Cosmet Toxicol</w:t>
      </w:r>
      <w:r w:rsidRPr="00AF18AD">
        <w:rPr>
          <w:szCs w:val="22"/>
        </w:rPr>
        <w:t xml:space="preserve"> </w:t>
      </w:r>
      <w:r w:rsidRPr="00AF18AD">
        <w:rPr>
          <w:b/>
          <w:szCs w:val="22"/>
        </w:rPr>
        <w:t>12</w:t>
      </w:r>
      <w:r w:rsidRPr="00AF18AD">
        <w:rPr>
          <w:szCs w:val="22"/>
        </w:rPr>
        <w:t>:641-650.</w:t>
      </w:r>
    </w:p>
    <w:p w:rsidR="00F306BD" w:rsidRPr="00AF18AD" w:rsidRDefault="00F306BD" w:rsidP="005F723E">
      <w:pPr>
        <w:rPr>
          <w:szCs w:val="22"/>
        </w:rPr>
      </w:pPr>
    </w:p>
    <w:p w:rsidR="00A50EBC" w:rsidRPr="001B7DE7" w:rsidRDefault="00A50EBC" w:rsidP="00A50EBC">
      <w:pPr>
        <w:widowControl/>
        <w:rPr>
          <w:bCs/>
          <w:lang w:val="en-AU"/>
        </w:rPr>
      </w:pPr>
      <w:r w:rsidRPr="001B7DE7">
        <w:rPr>
          <w:bCs/>
          <w:lang w:val="en-AU"/>
        </w:rPr>
        <w:t>Gee et al (1989) Cited in Joint FAO/WHO Expert Committee on Food Additives (JECFA). www.inchem.org/documents/jecfa/jecmono/v48je03.htm [Accessed 26 April 2013]</w:t>
      </w:r>
    </w:p>
    <w:p w:rsidR="00F306BD" w:rsidRPr="00AF18AD" w:rsidRDefault="00F306BD" w:rsidP="005F723E">
      <w:pPr>
        <w:rPr>
          <w:szCs w:val="22"/>
        </w:rPr>
      </w:pPr>
    </w:p>
    <w:p w:rsidR="005F723E" w:rsidRPr="00AF18AD" w:rsidRDefault="005F723E" w:rsidP="005F723E">
      <w:pPr>
        <w:rPr>
          <w:szCs w:val="22"/>
        </w:rPr>
      </w:pPr>
      <w:proofErr w:type="spellStart"/>
      <w:r w:rsidRPr="00AF18AD">
        <w:rPr>
          <w:szCs w:val="22"/>
        </w:rPr>
        <w:t>Güçlü-Ustündağ</w:t>
      </w:r>
      <w:proofErr w:type="spellEnd"/>
      <w:r w:rsidRPr="00AF18AD">
        <w:rPr>
          <w:szCs w:val="22"/>
        </w:rPr>
        <w:t xml:space="preserve"> O &amp; </w:t>
      </w:r>
      <w:proofErr w:type="spellStart"/>
      <w:r w:rsidRPr="00AF18AD">
        <w:rPr>
          <w:szCs w:val="22"/>
        </w:rPr>
        <w:t>Mazza</w:t>
      </w:r>
      <w:proofErr w:type="spellEnd"/>
      <w:r w:rsidRPr="00AF18AD">
        <w:rPr>
          <w:szCs w:val="22"/>
        </w:rPr>
        <w:t xml:space="preserve"> G (2007) Saponins: Properties, Applications and Processing. </w:t>
      </w:r>
      <w:r w:rsidRPr="00AF18AD">
        <w:rPr>
          <w:i/>
          <w:szCs w:val="22"/>
        </w:rPr>
        <w:t>Critical Reviews in Food Science and Nutrition</w:t>
      </w:r>
      <w:r w:rsidRPr="00AF18AD">
        <w:rPr>
          <w:szCs w:val="22"/>
        </w:rPr>
        <w:t xml:space="preserve"> </w:t>
      </w:r>
      <w:r w:rsidRPr="00AF18AD">
        <w:rPr>
          <w:b/>
          <w:szCs w:val="22"/>
        </w:rPr>
        <w:t>47</w:t>
      </w:r>
      <w:r w:rsidRPr="00AF18AD">
        <w:rPr>
          <w:szCs w:val="22"/>
        </w:rPr>
        <w:t>:231</w:t>
      </w:r>
      <w:r w:rsidR="00A50EBC">
        <w:rPr>
          <w:szCs w:val="22"/>
        </w:rPr>
        <w:t>-</w:t>
      </w:r>
      <w:r w:rsidRPr="00AF18AD">
        <w:rPr>
          <w:szCs w:val="22"/>
        </w:rPr>
        <w:t>258.</w:t>
      </w:r>
    </w:p>
    <w:p w:rsidR="00A03A30" w:rsidRPr="00AF18AD" w:rsidRDefault="00A03A30" w:rsidP="005F723E">
      <w:pPr>
        <w:rPr>
          <w:szCs w:val="22"/>
        </w:rPr>
      </w:pPr>
    </w:p>
    <w:p w:rsidR="005F723E" w:rsidRPr="00AF18AD" w:rsidRDefault="005F723E" w:rsidP="005F723E">
      <w:pPr>
        <w:rPr>
          <w:szCs w:val="22"/>
        </w:rPr>
      </w:pPr>
      <w:r w:rsidRPr="00AF18AD">
        <w:rPr>
          <w:szCs w:val="22"/>
        </w:rPr>
        <w:t xml:space="preserve">JECFA (2005) </w:t>
      </w:r>
      <w:r w:rsidR="00E3403B">
        <w:rPr>
          <w:szCs w:val="22"/>
        </w:rPr>
        <w:t>Quillaia</w:t>
      </w:r>
      <w:r w:rsidRPr="00AF18AD">
        <w:rPr>
          <w:szCs w:val="22"/>
        </w:rPr>
        <w:t xml:space="preserve"> Extracts Type 1 and Type 2. Chemical and Technical Assessment 65</w:t>
      </w:r>
      <w:r w:rsidRPr="00AF18AD">
        <w:rPr>
          <w:szCs w:val="22"/>
          <w:vertAlign w:val="superscript"/>
        </w:rPr>
        <w:t>th</w:t>
      </w:r>
      <w:r w:rsidRPr="00AF18AD">
        <w:rPr>
          <w:szCs w:val="22"/>
        </w:rPr>
        <w:t xml:space="preserve"> JECFA. Prepared by PM </w:t>
      </w:r>
      <w:proofErr w:type="spellStart"/>
      <w:r w:rsidRPr="00AF18AD">
        <w:rPr>
          <w:szCs w:val="22"/>
        </w:rPr>
        <w:t>Kuznesof</w:t>
      </w:r>
      <w:proofErr w:type="spellEnd"/>
      <w:r w:rsidRPr="00AF18AD">
        <w:rPr>
          <w:szCs w:val="22"/>
        </w:rPr>
        <w:t xml:space="preserve"> &amp; </w:t>
      </w:r>
      <w:proofErr w:type="spellStart"/>
      <w:r w:rsidRPr="00AF18AD">
        <w:rPr>
          <w:szCs w:val="22"/>
        </w:rPr>
        <w:t>LMV</w:t>
      </w:r>
      <w:proofErr w:type="spellEnd"/>
      <w:r w:rsidRPr="00AF18AD">
        <w:rPr>
          <w:szCs w:val="22"/>
        </w:rPr>
        <w:t xml:space="preserve"> </w:t>
      </w:r>
      <w:proofErr w:type="spellStart"/>
      <w:r w:rsidRPr="00AF18AD">
        <w:rPr>
          <w:szCs w:val="22"/>
        </w:rPr>
        <w:t>Soares</w:t>
      </w:r>
      <w:proofErr w:type="spellEnd"/>
      <w:r w:rsidRPr="00AF18AD">
        <w:rPr>
          <w:szCs w:val="22"/>
        </w:rPr>
        <w:t>.</w:t>
      </w:r>
    </w:p>
    <w:p w:rsidR="0014310D" w:rsidRPr="00AF18AD" w:rsidRDefault="0014310D" w:rsidP="005F723E">
      <w:pPr>
        <w:rPr>
          <w:szCs w:val="22"/>
        </w:rPr>
      </w:pPr>
    </w:p>
    <w:p w:rsidR="00734EC8" w:rsidRPr="001B7DE7" w:rsidRDefault="00734EC8" w:rsidP="00734EC8">
      <w:pPr>
        <w:widowControl/>
        <w:rPr>
          <w:bCs/>
          <w:lang w:val="en-AU"/>
        </w:rPr>
      </w:pPr>
      <w:r>
        <w:rPr>
          <w:bCs/>
          <w:lang w:val="en-AU"/>
        </w:rPr>
        <w:t xml:space="preserve">JECFA (2006) </w:t>
      </w:r>
      <w:r w:rsidRPr="001B7DE7">
        <w:rPr>
          <w:bCs/>
          <w:lang w:val="en-AU"/>
        </w:rPr>
        <w:t>Joint FAO/WHO Expert Com</w:t>
      </w:r>
      <w:r>
        <w:rPr>
          <w:bCs/>
          <w:lang w:val="en-AU"/>
        </w:rPr>
        <w:t>mittee on Food Additives</w:t>
      </w:r>
      <w:r w:rsidRPr="001B7DE7">
        <w:rPr>
          <w:bCs/>
          <w:lang w:val="en-AU"/>
        </w:rPr>
        <w:t xml:space="preserve">. </w:t>
      </w:r>
      <w:r w:rsidR="00E3403B">
        <w:rPr>
          <w:bCs/>
          <w:lang w:val="en-AU"/>
        </w:rPr>
        <w:t>Quillaia</w:t>
      </w:r>
      <w:r w:rsidRPr="001B7DE7">
        <w:rPr>
          <w:bCs/>
          <w:lang w:val="en-AU"/>
        </w:rPr>
        <w:t xml:space="preserve"> Extracts. In: Evaluation of certain food additives. Geneva: WHO; 2006. (WHO Technical report Series No 934). p</w:t>
      </w:r>
      <w:r>
        <w:rPr>
          <w:bCs/>
          <w:lang w:val="en-AU"/>
        </w:rPr>
        <w:t>p</w:t>
      </w:r>
      <w:r w:rsidRPr="001B7DE7">
        <w:rPr>
          <w:bCs/>
          <w:lang w:val="en-AU"/>
        </w:rPr>
        <w:t>. 28-33</w:t>
      </w:r>
      <w:r>
        <w:rPr>
          <w:bCs/>
          <w:lang w:val="en-AU"/>
        </w:rPr>
        <w:t>.</w:t>
      </w:r>
    </w:p>
    <w:p w:rsidR="00734EC8" w:rsidRDefault="00734EC8" w:rsidP="00B02CC6">
      <w:pPr>
        <w:rPr>
          <w:szCs w:val="22"/>
        </w:rPr>
      </w:pPr>
    </w:p>
    <w:p w:rsidR="00B02CC6" w:rsidRPr="008C3598" w:rsidRDefault="00B02CC6" w:rsidP="00B02CC6">
      <w:pPr>
        <w:rPr>
          <w:szCs w:val="22"/>
          <w:lang w:val="en-AU" w:eastAsia="en-AU"/>
        </w:rPr>
      </w:pPr>
      <w:r w:rsidRPr="00AF18AD">
        <w:rPr>
          <w:szCs w:val="22"/>
          <w:lang w:val="en-AU"/>
        </w:rPr>
        <w:t xml:space="preserve">The Commission of European Communities (2012) </w:t>
      </w:r>
      <w:r w:rsidRPr="00EA6697">
        <w:rPr>
          <w:szCs w:val="22"/>
          <w:lang w:val="en-AU"/>
        </w:rPr>
        <w:t xml:space="preserve">Commission </w:t>
      </w:r>
      <w:r w:rsidRPr="006E575C">
        <w:rPr>
          <w:szCs w:val="22"/>
          <w:lang w:val="en-AU"/>
        </w:rPr>
        <w:t>Regulation (EU) No 231/2012 of 9 March 2012 laying down specifications for food additives listed in Annexes II and III to Regulation (EC) No 1333/2008.</w:t>
      </w:r>
    </w:p>
    <w:p w:rsidR="00B02CC6" w:rsidRPr="00AF18AD" w:rsidRDefault="00B02CC6">
      <w:pPr>
        <w:widowControl/>
        <w:rPr>
          <w:szCs w:val="22"/>
        </w:rPr>
      </w:pPr>
    </w:p>
    <w:p w:rsidR="00F306BD" w:rsidRPr="00AF18AD" w:rsidRDefault="00F306BD">
      <w:pPr>
        <w:widowControl/>
        <w:rPr>
          <w:szCs w:val="22"/>
        </w:rPr>
      </w:pPr>
      <w:r w:rsidRPr="00AF18AD">
        <w:rPr>
          <w:szCs w:val="22"/>
        </w:rPr>
        <w:t xml:space="preserve">Phillips JC, Butterworth KR, Gaunt IF, Evans JG &amp; Grasso P (1979) Long-term toxicity study of </w:t>
      </w:r>
      <w:r w:rsidR="00E3403B">
        <w:rPr>
          <w:szCs w:val="22"/>
        </w:rPr>
        <w:t>quillaia</w:t>
      </w:r>
      <w:r w:rsidRPr="00AF18AD">
        <w:rPr>
          <w:szCs w:val="22"/>
        </w:rPr>
        <w:t xml:space="preserve"> extract in mice. </w:t>
      </w:r>
      <w:r w:rsidRPr="00AF18AD">
        <w:rPr>
          <w:i/>
          <w:szCs w:val="22"/>
        </w:rPr>
        <w:t>F</w:t>
      </w:r>
      <w:r w:rsidR="00EF0704">
        <w:rPr>
          <w:i/>
          <w:szCs w:val="22"/>
        </w:rPr>
        <w:t>oo</w:t>
      </w:r>
      <w:r w:rsidRPr="00AF18AD">
        <w:rPr>
          <w:i/>
          <w:szCs w:val="22"/>
        </w:rPr>
        <w:t>d Cosmet Toxicol</w:t>
      </w:r>
      <w:r w:rsidRPr="00AF18AD">
        <w:rPr>
          <w:szCs w:val="22"/>
        </w:rPr>
        <w:t xml:space="preserve"> 1</w:t>
      </w:r>
      <w:r w:rsidRPr="00AF18AD">
        <w:rPr>
          <w:b/>
          <w:szCs w:val="22"/>
        </w:rPr>
        <w:t>7</w:t>
      </w:r>
      <w:r w:rsidRPr="00AF18AD">
        <w:rPr>
          <w:szCs w:val="22"/>
        </w:rPr>
        <w:t>:23-27.</w:t>
      </w:r>
    </w:p>
    <w:p w:rsidR="00F306BD" w:rsidRPr="00AF18AD" w:rsidRDefault="00F306BD">
      <w:pPr>
        <w:widowControl/>
        <w:rPr>
          <w:szCs w:val="22"/>
        </w:rPr>
      </w:pPr>
    </w:p>
    <w:p w:rsidR="00A50EBC" w:rsidRDefault="00A50EBC" w:rsidP="00A50EBC">
      <w:pPr>
        <w:widowControl/>
        <w:rPr>
          <w:bCs/>
          <w:lang w:val="en-AU"/>
        </w:rPr>
      </w:pPr>
      <w:proofErr w:type="spellStart"/>
      <w:r w:rsidRPr="001B7DE7">
        <w:rPr>
          <w:bCs/>
          <w:lang w:val="en-AU"/>
        </w:rPr>
        <w:t>Rönnberg</w:t>
      </w:r>
      <w:proofErr w:type="spellEnd"/>
      <w:r w:rsidRPr="001B7DE7">
        <w:rPr>
          <w:bCs/>
          <w:lang w:val="en-AU"/>
        </w:rPr>
        <w:t xml:space="preserve"> et al (1995) Cited in Joint FAO/WHO Expert Committee on Food Additives (JECFA). </w:t>
      </w:r>
      <w:hyperlink r:id="rId27" w:history="1">
        <w:r w:rsidR="00EF0704" w:rsidRPr="00AF18AD">
          <w:rPr>
            <w:rStyle w:val="Hyperlink"/>
            <w:bCs/>
            <w:color w:val="0000FF"/>
            <w:lang w:val="en-AU"/>
          </w:rPr>
          <w:t>www.inchem.org/documents/jecfa/jecmono/v48je03.htm</w:t>
        </w:r>
      </w:hyperlink>
      <w:r w:rsidRPr="001B7DE7">
        <w:rPr>
          <w:bCs/>
          <w:lang w:val="en-AU"/>
        </w:rPr>
        <w:t xml:space="preserve"> [Accessed 26 April 2013]</w:t>
      </w:r>
    </w:p>
    <w:p w:rsidR="00A50EBC" w:rsidRDefault="00A50EBC" w:rsidP="00A50EBC">
      <w:pPr>
        <w:widowControl/>
        <w:rPr>
          <w:bCs/>
          <w:lang w:val="en-AU"/>
        </w:rPr>
      </w:pPr>
    </w:p>
    <w:p w:rsidR="00A50EBC" w:rsidRPr="001B7DE7" w:rsidRDefault="00C82D2C" w:rsidP="00A50EBC">
      <w:pPr>
        <w:widowControl/>
        <w:rPr>
          <w:bCs/>
          <w:lang w:val="en-AU"/>
        </w:rPr>
      </w:pPr>
      <w:r>
        <w:rPr>
          <w:bCs/>
          <w:lang w:val="en-AU"/>
        </w:rPr>
        <w:t>Turner JL</w:t>
      </w:r>
      <w:r w:rsidR="00A50EBC" w:rsidRPr="001B7DE7">
        <w:rPr>
          <w:bCs/>
          <w:lang w:val="en-AU"/>
        </w:rPr>
        <w:t xml:space="preserve"> et al (2002) Effects of a </w:t>
      </w:r>
      <w:r w:rsidR="00E3403B">
        <w:rPr>
          <w:bCs/>
          <w:i/>
          <w:lang w:val="en-AU"/>
        </w:rPr>
        <w:t>Quillaia</w:t>
      </w:r>
      <w:r w:rsidR="00A50EBC" w:rsidRPr="00F15623">
        <w:rPr>
          <w:bCs/>
          <w:i/>
          <w:lang w:val="en-AU"/>
        </w:rPr>
        <w:t xml:space="preserve"> saponaria</w:t>
      </w:r>
      <w:r w:rsidR="00A50EBC" w:rsidRPr="001B7DE7">
        <w:rPr>
          <w:bCs/>
          <w:lang w:val="en-AU"/>
        </w:rPr>
        <w:t xml:space="preserve"> extract on growth performance and immune function of weanling pigs challenged with </w:t>
      </w:r>
      <w:r w:rsidR="00A50EBC" w:rsidRPr="00F15623">
        <w:rPr>
          <w:bCs/>
          <w:i/>
          <w:lang w:val="en-AU"/>
        </w:rPr>
        <w:t>Salmonella typhimurium</w:t>
      </w:r>
      <w:r w:rsidR="00A50EBC" w:rsidRPr="001B7DE7">
        <w:rPr>
          <w:bCs/>
          <w:lang w:val="en-AU"/>
        </w:rPr>
        <w:t xml:space="preserve">. </w:t>
      </w:r>
      <w:r w:rsidR="00A50EBC" w:rsidRPr="00AF18AD">
        <w:rPr>
          <w:bCs/>
          <w:i/>
          <w:lang w:val="en-AU"/>
        </w:rPr>
        <w:t>J</w:t>
      </w:r>
      <w:r w:rsidR="00EF0704" w:rsidRPr="00EA6697">
        <w:rPr>
          <w:bCs/>
          <w:i/>
          <w:lang w:val="en-AU"/>
        </w:rPr>
        <w:t xml:space="preserve"> </w:t>
      </w:r>
      <w:proofErr w:type="spellStart"/>
      <w:r w:rsidR="00EF0704" w:rsidRPr="00EA6697">
        <w:rPr>
          <w:bCs/>
          <w:i/>
          <w:lang w:val="en-AU"/>
        </w:rPr>
        <w:t>Anim</w:t>
      </w:r>
      <w:proofErr w:type="spellEnd"/>
      <w:r w:rsidR="00A50EBC" w:rsidRPr="00AF18AD">
        <w:rPr>
          <w:bCs/>
          <w:i/>
          <w:lang w:val="en-AU"/>
        </w:rPr>
        <w:t xml:space="preserve"> </w:t>
      </w:r>
      <w:proofErr w:type="spellStart"/>
      <w:r w:rsidR="00A50EBC" w:rsidRPr="00AF18AD">
        <w:rPr>
          <w:bCs/>
          <w:i/>
          <w:lang w:val="en-AU"/>
        </w:rPr>
        <w:t>Sci</w:t>
      </w:r>
      <w:proofErr w:type="spellEnd"/>
      <w:r w:rsidR="00A50EBC" w:rsidRPr="00AF18AD">
        <w:rPr>
          <w:bCs/>
          <w:i/>
          <w:lang w:val="en-AU"/>
        </w:rPr>
        <w:t xml:space="preserve"> </w:t>
      </w:r>
      <w:r w:rsidR="00A50EBC" w:rsidRPr="00AF18AD">
        <w:rPr>
          <w:b/>
          <w:bCs/>
          <w:lang w:val="en-AU"/>
        </w:rPr>
        <w:t>80</w:t>
      </w:r>
      <w:r w:rsidR="00A50EBC">
        <w:rPr>
          <w:bCs/>
          <w:lang w:val="en-AU"/>
        </w:rPr>
        <w:t>:1939-</w:t>
      </w:r>
      <w:r w:rsidR="00A50EBC" w:rsidRPr="001B7DE7">
        <w:rPr>
          <w:bCs/>
          <w:lang w:val="en-AU"/>
        </w:rPr>
        <w:t>1946.</w:t>
      </w:r>
    </w:p>
    <w:p w:rsidR="00A50EBC" w:rsidRDefault="00A50EBC" w:rsidP="00A50EBC">
      <w:pPr>
        <w:widowControl/>
        <w:rPr>
          <w:bCs/>
          <w:lang w:val="en-AU"/>
        </w:rPr>
      </w:pPr>
    </w:p>
    <w:p w:rsidR="00A50EBC" w:rsidRPr="001B7DE7" w:rsidRDefault="00A50EBC" w:rsidP="00A50EBC">
      <w:pPr>
        <w:widowControl/>
        <w:rPr>
          <w:bCs/>
          <w:lang w:val="en-AU"/>
        </w:rPr>
      </w:pPr>
      <w:proofErr w:type="spellStart"/>
      <w:r w:rsidRPr="001B7DE7">
        <w:rPr>
          <w:bCs/>
          <w:lang w:val="en-AU"/>
        </w:rPr>
        <w:t>Václavková</w:t>
      </w:r>
      <w:proofErr w:type="spellEnd"/>
      <w:r w:rsidRPr="001B7DE7">
        <w:rPr>
          <w:bCs/>
          <w:lang w:val="en-AU"/>
        </w:rPr>
        <w:t xml:space="preserve"> E. &amp; </w:t>
      </w:r>
      <w:proofErr w:type="spellStart"/>
      <w:r w:rsidRPr="001B7DE7">
        <w:rPr>
          <w:bCs/>
          <w:lang w:val="en-AU"/>
        </w:rPr>
        <w:t>Beèková</w:t>
      </w:r>
      <w:proofErr w:type="spellEnd"/>
      <w:r w:rsidRPr="001B7DE7">
        <w:rPr>
          <w:bCs/>
          <w:lang w:val="en-AU"/>
        </w:rPr>
        <w:t xml:space="preserve"> R (2008) Effects of herbal extract on growth parameters of weane</w:t>
      </w:r>
      <w:r w:rsidR="00EF0704">
        <w:rPr>
          <w:bCs/>
          <w:lang w:val="en-AU"/>
        </w:rPr>
        <w:t xml:space="preserve">d piglets. </w:t>
      </w:r>
      <w:r w:rsidR="00EF0704" w:rsidRPr="00AF18AD">
        <w:rPr>
          <w:bCs/>
          <w:i/>
          <w:lang w:val="en-AU"/>
        </w:rPr>
        <w:t>Res</w:t>
      </w:r>
      <w:r w:rsidRPr="00AF18AD">
        <w:rPr>
          <w:bCs/>
          <w:i/>
          <w:lang w:val="en-AU"/>
        </w:rPr>
        <w:t xml:space="preserve"> Pig Breeding</w:t>
      </w:r>
      <w:r>
        <w:rPr>
          <w:bCs/>
          <w:lang w:val="en-AU"/>
        </w:rPr>
        <w:t xml:space="preserve"> </w:t>
      </w:r>
      <w:r w:rsidRPr="00AF18AD">
        <w:rPr>
          <w:b/>
          <w:bCs/>
          <w:lang w:val="en-AU"/>
        </w:rPr>
        <w:t>2</w:t>
      </w:r>
      <w:r>
        <w:rPr>
          <w:bCs/>
          <w:lang w:val="en-AU"/>
        </w:rPr>
        <w:t>:</w:t>
      </w:r>
      <w:r w:rsidRPr="001B7DE7">
        <w:rPr>
          <w:bCs/>
          <w:lang w:val="en-AU"/>
        </w:rPr>
        <w:t>36-38</w:t>
      </w:r>
      <w:r>
        <w:rPr>
          <w:bCs/>
          <w:lang w:val="en-AU"/>
        </w:rPr>
        <w:t>.</w:t>
      </w:r>
    </w:p>
    <w:p w:rsidR="0095674F" w:rsidRDefault="0095674F">
      <w:pPr>
        <w:widowControl/>
        <w:rPr>
          <w:sz w:val="20"/>
          <w:szCs w:val="20"/>
        </w:rPr>
      </w:pPr>
    </w:p>
    <w:p w:rsidR="00A50EBC" w:rsidRPr="001B7DE7" w:rsidRDefault="00A50EBC" w:rsidP="00A50EBC">
      <w:pPr>
        <w:widowControl/>
        <w:rPr>
          <w:bCs/>
          <w:lang w:val="en-AU"/>
        </w:rPr>
      </w:pPr>
      <w:r w:rsidRPr="001B7DE7">
        <w:rPr>
          <w:bCs/>
          <w:lang w:val="en-AU"/>
        </w:rPr>
        <w:t>Yu K et al (2012) Absorption, disposition, and pharmacokinetics of saponins from Chinese medicinal herbs: what do we know and what do we nee</w:t>
      </w:r>
      <w:r w:rsidR="00EF0704">
        <w:rPr>
          <w:bCs/>
          <w:lang w:val="en-AU"/>
        </w:rPr>
        <w:t xml:space="preserve">d to know more? </w:t>
      </w:r>
      <w:proofErr w:type="spellStart"/>
      <w:r w:rsidR="00EF0704" w:rsidRPr="00AF18AD">
        <w:rPr>
          <w:bCs/>
          <w:i/>
          <w:lang w:val="en-AU"/>
        </w:rPr>
        <w:t>Curr</w:t>
      </w:r>
      <w:proofErr w:type="spellEnd"/>
      <w:r w:rsidR="00EF0704" w:rsidRPr="00AF18AD">
        <w:rPr>
          <w:bCs/>
          <w:i/>
          <w:lang w:val="en-AU"/>
        </w:rPr>
        <w:t xml:space="preserve"> Drug </w:t>
      </w:r>
      <w:proofErr w:type="spellStart"/>
      <w:r w:rsidR="00EF0704" w:rsidRPr="00AF18AD">
        <w:rPr>
          <w:bCs/>
          <w:i/>
          <w:lang w:val="en-AU"/>
        </w:rPr>
        <w:t>Metab</w:t>
      </w:r>
      <w:proofErr w:type="spellEnd"/>
      <w:r w:rsidRPr="001B7DE7">
        <w:rPr>
          <w:bCs/>
          <w:lang w:val="en-AU"/>
        </w:rPr>
        <w:t xml:space="preserve"> </w:t>
      </w:r>
      <w:r w:rsidRPr="00AF18AD">
        <w:rPr>
          <w:b/>
          <w:bCs/>
          <w:lang w:val="en-AU"/>
        </w:rPr>
        <w:t>13</w:t>
      </w:r>
      <w:r>
        <w:rPr>
          <w:bCs/>
          <w:lang w:val="en-AU"/>
        </w:rPr>
        <w:t>:</w:t>
      </w:r>
      <w:r w:rsidRPr="001B7DE7">
        <w:rPr>
          <w:bCs/>
          <w:lang w:val="en-AU"/>
        </w:rPr>
        <w:t>577-</w:t>
      </w:r>
      <w:r>
        <w:rPr>
          <w:bCs/>
          <w:lang w:val="en-AU"/>
        </w:rPr>
        <w:t>5</w:t>
      </w:r>
      <w:r w:rsidRPr="001B7DE7">
        <w:rPr>
          <w:bCs/>
          <w:lang w:val="en-AU"/>
        </w:rPr>
        <w:t>98</w:t>
      </w:r>
      <w:r>
        <w:rPr>
          <w:bCs/>
          <w:lang w:val="en-AU"/>
        </w:rPr>
        <w:t>.</w:t>
      </w:r>
    </w:p>
    <w:p w:rsidR="00B02CC6" w:rsidRPr="00197925" w:rsidRDefault="00B02CC6" w:rsidP="00B02CC6">
      <w:pPr>
        <w:rPr>
          <w:lang w:val="en-AU" w:eastAsia="en-AU"/>
        </w:rPr>
      </w:pPr>
    </w:p>
    <w:p w:rsidR="00503BDA" w:rsidRPr="00F16A1F" w:rsidRDefault="00503BDA" w:rsidP="00AF18AD">
      <w:pPr>
        <w:pStyle w:val="Heading1"/>
        <w:ind w:left="0" w:firstLine="0"/>
        <w:rPr>
          <w:rFonts w:ascii="Arial" w:hAnsi="Arial" w:cs="Arial"/>
          <w:u w:val="none"/>
        </w:rPr>
      </w:pPr>
      <w:bookmarkStart w:id="99" w:name="_Toc360028636"/>
      <w:bookmarkStart w:id="100" w:name="_Toc269201853"/>
      <w:r w:rsidRPr="00F16A1F">
        <w:rPr>
          <w:rFonts w:ascii="Arial" w:hAnsi="Arial" w:cs="Arial"/>
          <w:u w:val="none"/>
        </w:rPr>
        <w:lastRenderedPageBreak/>
        <w:t>APPENDICES</w:t>
      </w:r>
      <w:bookmarkEnd w:id="99"/>
    </w:p>
    <w:p w:rsidR="00CE34DE" w:rsidRDefault="00CE34DE" w:rsidP="000C7D21"/>
    <w:p w:rsidR="00F51EFB" w:rsidRPr="00423836" w:rsidRDefault="00F51EFB" w:rsidP="00F51EFB">
      <w:pPr>
        <w:pStyle w:val="Heading2"/>
        <w:ind w:left="0" w:firstLine="0"/>
      </w:pPr>
      <w:bookmarkStart w:id="101" w:name="_Toc360028637"/>
      <w:r w:rsidRPr="00CE34DE">
        <w:t>Appendix 1:</w:t>
      </w:r>
      <w:r w:rsidRPr="00423836">
        <w:t xml:space="preserve"> Dietary Exposure Assessments at FSANZ</w:t>
      </w:r>
      <w:bookmarkEnd w:id="100"/>
      <w:bookmarkEnd w:id="101"/>
    </w:p>
    <w:p w:rsidR="00F51EFB" w:rsidRDefault="00F51EFB" w:rsidP="00F51EFB">
      <w:pPr>
        <w:rPr>
          <w:b/>
        </w:rPr>
      </w:pPr>
    </w:p>
    <w:p w:rsidR="00F51EFB" w:rsidRPr="00423836" w:rsidRDefault="00F51EFB" w:rsidP="00F51EFB">
      <w:pPr>
        <w:rPr>
          <w:lang w:eastAsia="en-GB"/>
        </w:rPr>
      </w:pPr>
      <w:r w:rsidRPr="00423836">
        <w:rPr>
          <w:lang w:eastAsia="en-GB"/>
        </w:rPr>
        <w:t xml:space="preserve">A dietary exposure assessment is the process of </w:t>
      </w:r>
      <w:r w:rsidR="00A37409">
        <w:rPr>
          <w:lang w:eastAsia="en-GB"/>
        </w:rPr>
        <w:t>predicting</w:t>
      </w:r>
      <w:r w:rsidRPr="00423836">
        <w:rPr>
          <w:lang w:eastAsia="en-GB"/>
        </w:rPr>
        <w:t xml:space="preserve"> how much of a food chemical a population, or population sub group, consumes. Dietary exposure to (or intake of) food chemicals is </w:t>
      </w:r>
      <w:r w:rsidR="00A37409">
        <w:rPr>
          <w:lang w:eastAsia="en-GB"/>
        </w:rPr>
        <w:t>predicted</w:t>
      </w:r>
      <w:r w:rsidRPr="00423836">
        <w:rPr>
          <w:lang w:eastAsia="en-GB"/>
        </w:rPr>
        <w:t xml:space="preserve"> by combining food consumption data with food chemical concentration data. The process of doing this is called ‘dietary modelling’.</w:t>
      </w:r>
    </w:p>
    <w:p w:rsidR="00F51EFB" w:rsidRPr="00423836" w:rsidRDefault="00F51EFB" w:rsidP="00F51EFB">
      <w:pPr>
        <w:rPr>
          <w:lang w:eastAsia="en-GB"/>
        </w:rPr>
      </w:pPr>
    </w:p>
    <w:p w:rsidR="00F51EFB" w:rsidRPr="00423836" w:rsidRDefault="00F51EFB" w:rsidP="00F51EFB">
      <w:pPr>
        <w:rPr>
          <w:i/>
          <w:lang w:eastAsia="en-GB"/>
        </w:rPr>
      </w:pPr>
      <w:r w:rsidRPr="00423836">
        <w:rPr>
          <w:i/>
          <w:lang w:eastAsia="en-GB"/>
        </w:rPr>
        <w:t>Dietary exposure = food chemical concentration x food consumption</w:t>
      </w:r>
    </w:p>
    <w:p w:rsidR="00F51EFB" w:rsidRPr="00423836" w:rsidRDefault="00F51EFB" w:rsidP="00F51EFB">
      <w:pPr>
        <w:rPr>
          <w:lang w:eastAsia="en-GB"/>
        </w:rPr>
      </w:pPr>
    </w:p>
    <w:p w:rsidR="00F51EFB" w:rsidRPr="00423836" w:rsidRDefault="00F51EFB" w:rsidP="00F51EFB">
      <w:pPr>
        <w:rPr>
          <w:lang w:eastAsia="en-GB"/>
        </w:rPr>
      </w:pPr>
      <w:r w:rsidRPr="00423836">
        <w:rPr>
          <w:lang w:eastAsia="en-GB"/>
        </w:rPr>
        <w:t xml:space="preserve">FSANZ’s approach to dietary modelling is based on internationally accepted procedures for estimating dietary exposure to food chemicals. Different dietary modelling approaches may be used depending on the assessment, the type of food chemical, the data available and the risk assessment questions to be answered. In the majority of assessments FSANZ uses the food consumption data from each person in the national nutrition surveys to </w:t>
      </w:r>
      <w:r w:rsidR="00E317F9">
        <w:rPr>
          <w:lang w:eastAsia="en-GB"/>
        </w:rPr>
        <w:t>predict</w:t>
      </w:r>
      <w:r w:rsidRPr="00423836">
        <w:rPr>
          <w:lang w:eastAsia="en-GB"/>
        </w:rPr>
        <w:t xml:space="preserve"> their individual dietary exposure. Population summary statistics such as the mean exposure or a high percentile exposure are derived from each individual person’s exposure.</w:t>
      </w:r>
    </w:p>
    <w:p w:rsidR="00F51EFB" w:rsidRPr="00423836" w:rsidRDefault="00F51EFB" w:rsidP="00F51EFB"/>
    <w:p w:rsidR="00F51EFB" w:rsidRPr="00423836" w:rsidRDefault="00F51EFB" w:rsidP="00F51EFB">
      <w:r w:rsidRPr="00423836">
        <w:t>An overview of how dietary exposure assessments are conducted and their place in the FSANZ Risk Analysis Process is provided on the FSANZ website at:</w:t>
      </w:r>
    </w:p>
    <w:p w:rsidR="00F51EFB" w:rsidRPr="00423836" w:rsidRDefault="00F51EFB" w:rsidP="00F51EFB"/>
    <w:p w:rsidR="00F51EFB" w:rsidRPr="00423836" w:rsidRDefault="00B86DF8" w:rsidP="00F51EFB">
      <w:pPr>
        <w:rPr>
          <w:color w:val="0000FF"/>
        </w:rPr>
      </w:pPr>
      <w:hyperlink r:id="rId28" w:history="1">
        <w:r w:rsidR="00F51EFB" w:rsidRPr="00423836">
          <w:rPr>
            <w:rStyle w:val="Hyperlink"/>
            <w:color w:val="0000FF"/>
            <w:sz w:val="18"/>
            <w:szCs w:val="18"/>
          </w:rPr>
          <w:t>http://www.foodstandards.gov.au/scienceandeducation/scienceinfsanz/dietaryexposureassessmentsatfsanz/dietaryexposureandin4438.cfm</w:t>
        </w:r>
      </w:hyperlink>
      <w:r w:rsidR="00F51EFB" w:rsidRPr="00423836">
        <w:rPr>
          <w:color w:val="0000FF"/>
          <w:sz w:val="18"/>
          <w:szCs w:val="18"/>
        </w:rPr>
        <w:t xml:space="preserve"> </w:t>
      </w:r>
    </w:p>
    <w:p w:rsidR="00F51EFB" w:rsidRPr="00423836" w:rsidRDefault="00F51EFB" w:rsidP="00F51EFB"/>
    <w:p w:rsidR="00F51EFB" w:rsidRPr="00423836" w:rsidRDefault="00F51EFB" w:rsidP="00F51EFB">
      <w:pPr>
        <w:rPr>
          <w:lang w:eastAsia="en-GB"/>
        </w:rPr>
      </w:pPr>
      <w:r w:rsidRPr="00423836">
        <w:rPr>
          <w:lang w:eastAsia="en-GB"/>
        </w:rPr>
        <w:t>FSANZ has developed a custom built computer program ‘DIAMOND’ to calculat</w:t>
      </w:r>
      <w:r w:rsidR="009878A8">
        <w:rPr>
          <w:lang w:eastAsia="en-GB"/>
        </w:rPr>
        <w:t xml:space="preserve">e dietary exposures. </w:t>
      </w:r>
      <w:r w:rsidRPr="00423836">
        <w:rPr>
          <w:lang w:eastAsia="en-GB"/>
        </w:rPr>
        <w:t>More information on DIAMOND is available on the FSANZ website at:</w:t>
      </w:r>
    </w:p>
    <w:p w:rsidR="00F51EFB" w:rsidRPr="00423836" w:rsidRDefault="00F51EFB" w:rsidP="00F51EFB">
      <w:pPr>
        <w:rPr>
          <w:lang w:eastAsia="en-GB"/>
        </w:rPr>
      </w:pPr>
    </w:p>
    <w:p w:rsidR="00F51EFB" w:rsidRPr="00423836" w:rsidRDefault="00B86DF8" w:rsidP="00F51EFB">
      <w:pPr>
        <w:rPr>
          <w:color w:val="0000FF"/>
          <w:sz w:val="18"/>
          <w:szCs w:val="18"/>
        </w:rPr>
      </w:pPr>
      <w:hyperlink r:id="rId29" w:history="1">
        <w:r w:rsidR="00F51EFB" w:rsidRPr="00423836">
          <w:rPr>
            <w:rStyle w:val="Hyperlink"/>
            <w:color w:val="0000FF"/>
            <w:sz w:val="18"/>
            <w:szCs w:val="18"/>
          </w:rPr>
          <w:t>http://www.foodstandards.gov.au/scienceandeducation/scienceinfsanz/dietaryexposureassessmentsatfsanz/fsanzdietaryexposure4439.cfm</w:t>
        </w:r>
      </w:hyperlink>
      <w:r w:rsidR="00F51EFB" w:rsidRPr="00423836">
        <w:rPr>
          <w:color w:val="0000FF"/>
          <w:sz w:val="18"/>
          <w:szCs w:val="18"/>
        </w:rPr>
        <w:t xml:space="preserve"> </w:t>
      </w:r>
    </w:p>
    <w:p w:rsidR="00F51EFB" w:rsidRPr="00423836" w:rsidRDefault="00F51EFB" w:rsidP="00F51EFB"/>
    <w:p w:rsidR="00F51EFB" w:rsidRPr="00423836" w:rsidRDefault="00F51EFB" w:rsidP="00F51EFB">
      <w:r w:rsidRPr="00423836">
        <w:t xml:space="preserve">Further detailed information on conducting dietary exposure assessments at FSANZ is provided in </w:t>
      </w:r>
      <w:r w:rsidRPr="00423836">
        <w:rPr>
          <w:i/>
        </w:rPr>
        <w:t xml:space="preserve">Principles and Practices of Dietary Exposure Assessment for Food Regulatory Purposes </w:t>
      </w:r>
      <w:r w:rsidRPr="00423836">
        <w:t>(FSANZ 2009), available at:</w:t>
      </w:r>
    </w:p>
    <w:p w:rsidR="00F51EFB" w:rsidRPr="00423836" w:rsidRDefault="00F51EFB" w:rsidP="00F51EFB"/>
    <w:p w:rsidR="00F51EFB" w:rsidRPr="00423836" w:rsidRDefault="00B86DF8" w:rsidP="00F51EFB">
      <w:pPr>
        <w:rPr>
          <w:color w:val="0000FF"/>
          <w:sz w:val="18"/>
          <w:szCs w:val="18"/>
        </w:rPr>
      </w:pPr>
      <w:hyperlink r:id="rId30" w:history="1">
        <w:r w:rsidR="00F51EFB" w:rsidRPr="00423836">
          <w:rPr>
            <w:rStyle w:val="Hyperlink"/>
            <w:color w:val="0000FF"/>
            <w:sz w:val="18"/>
            <w:szCs w:val="18"/>
          </w:rPr>
          <w:t>http://www.foodstandards.gov.au/_srcfiles/Principles%20&amp;%20practices%20exposure%20assessment%202009.pdf</w:t>
        </w:r>
      </w:hyperlink>
      <w:r w:rsidR="00F51EFB" w:rsidRPr="00423836">
        <w:rPr>
          <w:color w:val="0000FF"/>
          <w:sz w:val="18"/>
          <w:szCs w:val="18"/>
        </w:rPr>
        <w:t xml:space="preserve"> </w:t>
      </w:r>
    </w:p>
    <w:p w:rsidR="00F51EFB" w:rsidRPr="00423836" w:rsidRDefault="00F51EFB" w:rsidP="00F51EFB"/>
    <w:p w:rsidR="00F51EFB" w:rsidRPr="00423836" w:rsidRDefault="00F51EFB" w:rsidP="00F16A1F">
      <w:pPr>
        <w:pStyle w:val="Heading3"/>
      </w:pPr>
      <w:bookmarkStart w:id="102" w:name="_Toc256582725"/>
      <w:bookmarkStart w:id="103" w:name="_Toc360028638"/>
      <w:r w:rsidRPr="00423836">
        <w:t>A</w:t>
      </w:r>
      <w:r>
        <w:t>1</w:t>
      </w:r>
      <w:r w:rsidRPr="00423836">
        <w:t>.1</w:t>
      </w:r>
      <w:r w:rsidRPr="00423836">
        <w:tab/>
        <w:t>Food consumption data used</w:t>
      </w:r>
      <w:bookmarkEnd w:id="102"/>
      <w:bookmarkEnd w:id="103"/>
    </w:p>
    <w:p w:rsidR="00F51EFB" w:rsidRPr="00423836" w:rsidRDefault="00F51EFB" w:rsidP="00F51EFB"/>
    <w:p w:rsidR="00F51EFB" w:rsidRPr="00423836" w:rsidRDefault="00F51EFB" w:rsidP="00F51EFB">
      <w:r w:rsidRPr="00423836">
        <w:t xml:space="preserve">The most recent food consumption data available were used to </w:t>
      </w:r>
      <w:r w:rsidR="00E317F9">
        <w:t>predict</w:t>
      </w:r>
      <w:r w:rsidRPr="00423836">
        <w:t xml:space="preserve"> exposures to </w:t>
      </w:r>
      <w:r w:rsidR="00E3403B">
        <w:t>quillaia</w:t>
      </w:r>
      <w:r>
        <w:t xml:space="preserve"> saponins</w:t>
      </w:r>
      <w:r w:rsidRPr="00423836">
        <w:t xml:space="preserve"> for the Australian and New Zealand populations. The national nutrition survey (NNS) data used for these assessments were:</w:t>
      </w:r>
    </w:p>
    <w:p w:rsidR="00F51EFB" w:rsidRPr="00761DF8" w:rsidRDefault="00F51EFB" w:rsidP="00F51EFB">
      <w:pPr>
        <w:pStyle w:val="FSBullet"/>
        <w:spacing w:before="120"/>
        <w:ind w:left="714" w:hanging="357"/>
      </w:pPr>
      <w:r w:rsidRPr="00423836">
        <w:t>The 2007 Australian National Children’s Nutrition and Physical Activity Survey (also known as ‘</w:t>
      </w:r>
      <w:r w:rsidRPr="00423836">
        <w:rPr>
          <w:i/>
        </w:rPr>
        <w:t>Kids Eat Kids Play’</w:t>
      </w:r>
      <w:r w:rsidRPr="00423836">
        <w:t>) (2007 AusNNS)</w:t>
      </w:r>
    </w:p>
    <w:p w:rsidR="00F51EFB" w:rsidRDefault="00F51EFB" w:rsidP="00F51EFB">
      <w:pPr>
        <w:pStyle w:val="FSBullet"/>
        <w:spacing w:before="120"/>
        <w:ind w:left="714" w:hanging="357"/>
      </w:pPr>
      <w:r w:rsidRPr="00423836">
        <w:t>The 1995 Australian National Nutr</w:t>
      </w:r>
      <w:r>
        <w:t>ition Survey (1995 AusNNS)</w:t>
      </w:r>
    </w:p>
    <w:p w:rsidR="00F51EFB" w:rsidRDefault="00F51EFB" w:rsidP="00F51EFB"/>
    <w:p w:rsidR="00F51EFB" w:rsidRPr="00761DF8" w:rsidRDefault="00F51EFB" w:rsidP="00F51EFB">
      <w:pPr>
        <w:pStyle w:val="FSBullet"/>
      </w:pPr>
      <w:r>
        <w:t>The 2002 New Zealand National Children’s Nutrition Survey (2002 NZNNS)</w:t>
      </w:r>
    </w:p>
    <w:p w:rsidR="00F51EFB" w:rsidRPr="00C65085" w:rsidRDefault="00F51EFB" w:rsidP="00F51EFB">
      <w:pPr>
        <w:pStyle w:val="FSBullet"/>
        <w:numPr>
          <w:ilvl w:val="0"/>
          <w:numId w:val="0"/>
        </w:numPr>
      </w:pPr>
    </w:p>
    <w:p w:rsidR="00F51EFB" w:rsidRPr="00423836" w:rsidRDefault="00F51EFB" w:rsidP="00F51EFB">
      <w:pPr>
        <w:pStyle w:val="FSBullet"/>
        <w:spacing w:before="120"/>
        <w:ind w:left="714" w:hanging="357"/>
      </w:pPr>
      <w:r w:rsidRPr="00423836">
        <w:t>The 1997 New Zealand National Nutrition Survey (1997 NZNNS)</w:t>
      </w:r>
      <w:r w:rsidR="009878A8">
        <w:t>.</w:t>
      </w:r>
    </w:p>
    <w:p w:rsidR="00F51EFB" w:rsidRPr="00423836" w:rsidRDefault="00F51EFB" w:rsidP="00F51EFB"/>
    <w:p w:rsidR="00F51EFB" w:rsidRPr="00423836" w:rsidRDefault="00F51EFB" w:rsidP="00F51EFB">
      <w:r w:rsidRPr="00423836">
        <w:t xml:space="preserve">The results for Australian children aged 2-16 years were reported using the 2007 AusNNS and for the population 17 years and above used the 1995 AusNNS. The design of each of these surveys varies somewhat and key attributes of each are set out below. </w:t>
      </w:r>
    </w:p>
    <w:p w:rsidR="00F51EFB" w:rsidRDefault="00F51EFB" w:rsidP="00F51EFB">
      <w:pPr>
        <w:ind w:left="851" w:hanging="851"/>
        <w:rPr>
          <w:i/>
        </w:rPr>
      </w:pPr>
    </w:p>
    <w:p w:rsidR="00F51EFB" w:rsidRPr="00194B34" w:rsidRDefault="00F51EFB" w:rsidP="004E1C38">
      <w:pPr>
        <w:keepNext/>
        <w:ind w:left="851" w:hanging="851"/>
        <w:rPr>
          <w:i/>
        </w:rPr>
      </w:pPr>
      <w:r w:rsidRPr="00194B34">
        <w:rPr>
          <w:i/>
        </w:rPr>
        <w:t>A</w:t>
      </w:r>
      <w:r>
        <w:rPr>
          <w:i/>
        </w:rPr>
        <w:t>1</w:t>
      </w:r>
      <w:r w:rsidRPr="00194B34">
        <w:rPr>
          <w:i/>
        </w:rPr>
        <w:t>.1.1</w:t>
      </w:r>
      <w:r w:rsidRPr="00194B34">
        <w:rPr>
          <w:i/>
        </w:rPr>
        <w:tab/>
        <w:t xml:space="preserve">2007 Australian Children’s Nutrition &amp; Physical Activity Survey (2007 AusNNS) </w:t>
      </w:r>
    </w:p>
    <w:p w:rsidR="00F51EFB" w:rsidRPr="00423836" w:rsidRDefault="00F51EFB" w:rsidP="004E1C38">
      <w:pPr>
        <w:keepNext/>
        <w:rPr>
          <w:lang w:val="en-AU"/>
        </w:rPr>
      </w:pPr>
    </w:p>
    <w:p w:rsidR="00F51EFB" w:rsidRPr="00423836" w:rsidRDefault="00F51EFB" w:rsidP="004E1C38">
      <w:pPr>
        <w:keepNext/>
        <w:rPr>
          <w:lang w:val="en-AU"/>
        </w:rPr>
      </w:pPr>
      <w:r w:rsidRPr="00423836">
        <w:rPr>
          <w:lang w:val="en-AU"/>
        </w:rPr>
        <w:t xml:space="preserve">The 2007 AusNNS collected data on nutrition and physical activity for 4,487 children aged 2-16 years across Australia. The survey was conducted over a seven month time period, from February to August 2007. </w:t>
      </w:r>
    </w:p>
    <w:p w:rsidR="00F51EFB" w:rsidRPr="00423836" w:rsidRDefault="00F51EFB" w:rsidP="00F51EFB">
      <w:pPr>
        <w:rPr>
          <w:lang w:val="en-AU"/>
        </w:rPr>
      </w:pPr>
    </w:p>
    <w:p w:rsidR="00F51EFB" w:rsidRPr="00423836" w:rsidRDefault="00F51EFB" w:rsidP="00F51EFB">
      <w:pPr>
        <w:rPr>
          <w:lang w:val="en-AU"/>
        </w:rPr>
      </w:pPr>
      <w:r w:rsidRPr="00423836">
        <w:rPr>
          <w:lang w:val="en-AU"/>
        </w:rPr>
        <w:t>In contrast to other national nutrition surveys used by FSANZ (the 1995 Australian</w:t>
      </w:r>
      <w:r w:rsidR="009878A8">
        <w:rPr>
          <w:lang w:val="en-AU"/>
        </w:rPr>
        <w:t>,</w:t>
      </w:r>
      <w:r w:rsidRPr="00423836">
        <w:rPr>
          <w:lang w:val="en-AU"/>
        </w:rPr>
        <w:t xml:space="preserve"> 1997 </w:t>
      </w:r>
      <w:r w:rsidR="009878A8">
        <w:rPr>
          <w:lang w:val="en-AU"/>
        </w:rPr>
        <w:t xml:space="preserve">and 2002 </w:t>
      </w:r>
      <w:r w:rsidRPr="00423836">
        <w:rPr>
          <w:lang w:val="en-AU"/>
        </w:rPr>
        <w:t>New Zealand surveys), in the 2007 AusNNS each respondent completed two 24</w:t>
      </w:r>
      <w:r w:rsidRPr="00423836">
        <w:rPr>
          <w:lang w:val="en-AU"/>
        </w:rPr>
        <w:noBreakHyphen/>
        <w:t xml:space="preserve">hour recalls on non-consecutive days. The availability of two days of food consumption data provides a more realistic </w:t>
      </w:r>
      <w:r w:rsidR="00DB68DE">
        <w:rPr>
          <w:lang w:val="en-AU"/>
        </w:rPr>
        <w:t>prediction</w:t>
      </w:r>
      <w:r w:rsidRPr="00423836">
        <w:rPr>
          <w:lang w:val="en-AU"/>
        </w:rPr>
        <w:t xml:space="preserve"> of long term consumption of infrequently consumed foods, because it takes account of those who may eat a food on one day of the survey but not on the other. Using one 24-hour recall may capture an unusual eating occasion for an individual that does not </w:t>
      </w:r>
      <w:r w:rsidR="004E1C38">
        <w:rPr>
          <w:lang w:val="en-AU"/>
        </w:rPr>
        <w:t>describe how they normally eat.</w:t>
      </w:r>
    </w:p>
    <w:p w:rsidR="00F51EFB" w:rsidRPr="00423836" w:rsidRDefault="00F51EFB" w:rsidP="00F51EFB">
      <w:pPr>
        <w:rPr>
          <w:lang w:val="en-AU"/>
        </w:rPr>
      </w:pPr>
    </w:p>
    <w:p w:rsidR="00F51EFB" w:rsidRDefault="00F51EFB" w:rsidP="00F51EFB">
      <w:pPr>
        <w:rPr>
          <w:lang w:val="en-AU"/>
        </w:rPr>
      </w:pPr>
      <w:r w:rsidRPr="00423836">
        <w:rPr>
          <w:lang w:val="en-AU"/>
        </w:rPr>
        <w:t xml:space="preserve">In this assessment, exposure to </w:t>
      </w:r>
      <w:r w:rsidR="00E3403B">
        <w:rPr>
          <w:lang w:val="en-AU"/>
        </w:rPr>
        <w:t>quillaia</w:t>
      </w:r>
      <w:r>
        <w:rPr>
          <w:lang w:val="en-AU"/>
        </w:rPr>
        <w:t xml:space="preserve"> saponins</w:t>
      </w:r>
      <w:r w:rsidRPr="00423836">
        <w:rPr>
          <w:lang w:val="en-AU"/>
        </w:rPr>
        <w:t xml:space="preserve"> was </w:t>
      </w:r>
      <w:r w:rsidR="00E317F9">
        <w:rPr>
          <w:lang w:val="en-AU"/>
        </w:rPr>
        <w:t>predicted</w:t>
      </w:r>
      <w:r w:rsidRPr="00423836">
        <w:rPr>
          <w:lang w:val="en-AU"/>
        </w:rPr>
        <w:t xml:space="preserve"> from each consumer’s average exposures from foods containing </w:t>
      </w:r>
      <w:r w:rsidR="00E3403B">
        <w:rPr>
          <w:lang w:val="en-AU"/>
        </w:rPr>
        <w:t>quillaia</w:t>
      </w:r>
      <w:r>
        <w:rPr>
          <w:lang w:val="en-AU"/>
        </w:rPr>
        <w:t xml:space="preserve"> saponins</w:t>
      </w:r>
      <w:r w:rsidRPr="00423836">
        <w:rPr>
          <w:lang w:val="en-AU"/>
        </w:rPr>
        <w:t xml:space="preserve"> across Day 1 and Day 2. The results of the 2007 AusNNS were weighted to represent the overall population of Australian children because stratified sampling with non-proportional samples was used. </w:t>
      </w:r>
    </w:p>
    <w:p w:rsidR="00F51EFB" w:rsidRPr="00423836" w:rsidRDefault="00F51EFB" w:rsidP="00F51EFB"/>
    <w:p w:rsidR="00F51EFB" w:rsidRPr="00423836" w:rsidRDefault="00F51EFB" w:rsidP="00F51EFB">
      <w:pPr>
        <w:ind w:left="851" w:hanging="851"/>
        <w:rPr>
          <w:i/>
        </w:rPr>
      </w:pPr>
      <w:bookmarkStart w:id="104" w:name="_Toc238553772"/>
      <w:r w:rsidRPr="00423836">
        <w:rPr>
          <w:i/>
        </w:rPr>
        <w:t>A</w:t>
      </w:r>
      <w:r>
        <w:rPr>
          <w:i/>
        </w:rPr>
        <w:t>1</w:t>
      </w:r>
      <w:r w:rsidRPr="00423836">
        <w:rPr>
          <w:i/>
        </w:rPr>
        <w:t>.1.2</w:t>
      </w:r>
      <w:r w:rsidRPr="00423836">
        <w:rPr>
          <w:i/>
        </w:rPr>
        <w:tab/>
        <w:t>1995 Australian National Nutrition Survey (1995 AusNNS)</w:t>
      </w:r>
      <w:bookmarkEnd w:id="104"/>
    </w:p>
    <w:p w:rsidR="00F51EFB" w:rsidRPr="00423836" w:rsidRDefault="00F51EFB" w:rsidP="00F51EFB">
      <w:pPr>
        <w:rPr>
          <w:lang w:val="en-AU"/>
        </w:rPr>
      </w:pPr>
    </w:p>
    <w:p w:rsidR="00F51EFB" w:rsidRPr="00423836" w:rsidRDefault="00F51EFB" w:rsidP="00F51EFB">
      <w:pPr>
        <w:rPr>
          <w:lang w:val="en-AU" w:eastAsia="en-AU"/>
        </w:rPr>
      </w:pPr>
      <w:r w:rsidRPr="00423836">
        <w:rPr>
          <w:lang w:val="en-AU" w:eastAsia="en-AU"/>
        </w:rPr>
        <w:t xml:space="preserve">The 1995 AusNNS provides comprehensive information on dietary patterns of a sample of 13,858 Australians aged from 2 years and above (McLennan &amp; Podger 1998). It is the most recent NNS for Australians aged 17 years and above. The survey used a 24-hour recall method for all respondents, with 10% of respondents also completing a second 24-hour recall on a second, non-consecutive day. Food frequency data are available for a subset of the national sample (respondents aged 12 years and above) as are responses to a series of short dietary questions about food habits. </w:t>
      </w:r>
      <w:r>
        <w:rPr>
          <w:lang w:val="en-AU" w:eastAsia="en-AU"/>
        </w:rPr>
        <w:t xml:space="preserve">Only the </w:t>
      </w:r>
      <w:r w:rsidR="00091500">
        <w:rPr>
          <w:lang w:val="en-AU" w:eastAsia="en-AU"/>
        </w:rPr>
        <w:t>day 1 24-hour recall data for all respondents aged 17 years and over were</w:t>
      </w:r>
      <w:r>
        <w:rPr>
          <w:lang w:val="en-AU" w:eastAsia="en-AU"/>
        </w:rPr>
        <w:t xml:space="preserve"> used for this assessment. </w:t>
      </w:r>
      <w:r w:rsidRPr="00423836">
        <w:rPr>
          <w:lang w:val="en-AU" w:eastAsia="en-AU"/>
        </w:rPr>
        <w:t>These data are used unweighted in DIAMOND</w:t>
      </w:r>
      <w:r>
        <w:rPr>
          <w:lang w:val="en-AU" w:eastAsia="en-AU"/>
        </w:rPr>
        <w:t xml:space="preserve"> as the survey sample was generally representative of the population</w:t>
      </w:r>
      <w:r w:rsidRPr="00423836">
        <w:rPr>
          <w:lang w:val="en-AU" w:eastAsia="en-AU"/>
        </w:rPr>
        <w:t>.</w:t>
      </w:r>
    </w:p>
    <w:p w:rsidR="00F51EFB" w:rsidRPr="00423836" w:rsidRDefault="00F51EFB" w:rsidP="00F51EFB">
      <w:pPr>
        <w:rPr>
          <w:lang w:val="en-AU" w:eastAsia="en-AU"/>
        </w:rPr>
      </w:pPr>
    </w:p>
    <w:p w:rsidR="00F51EFB" w:rsidRDefault="00F51EFB" w:rsidP="00F51EFB">
      <w:pPr>
        <w:pStyle w:val="Heading4"/>
        <w:rPr>
          <w:b/>
        </w:rPr>
      </w:pPr>
      <w:r w:rsidRPr="00E954FF">
        <w:rPr>
          <w:lang w:val="en-AU" w:eastAsia="en-AU"/>
        </w:rPr>
        <w:t>A1.1.3</w:t>
      </w:r>
      <w:r w:rsidRPr="00E954FF">
        <w:rPr>
          <w:lang w:val="en-AU" w:eastAsia="en-AU"/>
        </w:rPr>
        <w:tab/>
      </w:r>
      <w:r w:rsidRPr="00E954FF">
        <w:t>2002 New Zealand National Children’s Nutrition Survey (2002 NZNNS</w:t>
      </w:r>
      <w:r w:rsidRPr="00C65085">
        <w:rPr>
          <w:b/>
        </w:rPr>
        <w:t>)</w:t>
      </w:r>
    </w:p>
    <w:p w:rsidR="00E954FF" w:rsidRDefault="00E954FF" w:rsidP="00F51EFB">
      <w:pPr>
        <w:autoSpaceDE w:val="0"/>
        <w:autoSpaceDN w:val="0"/>
        <w:adjustRightInd w:val="0"/>
      </w:pPr>
    </w:p>
    <w:p w:rsidR="00F51EFB" w:rsidRDefault="00F51EFB" w:rsidP="00F51EFB">
      <w:pPr>
        <w:autoSpaceDE w:val="0"/>
        <w:autoSpaceDN w:val="0"/>
        <w:adjustRightInd w:val="0"/>
        <w:rPr>
          <w:rFonts w:cs="Arial"/>
        </w:rPr>
      </w:pPr>
      <w:r>
        <w:t xml:space="preserve">The 2002 NZNNS was a cross-sectional and </w:t>
      </w:r>
      <w:r w:rsidRPr="00B30077">
        <w:rPr>
          <w:rFonts w:cs="Arial"/>
        </w:rPr>
        <w:t xml:space="preserve">nationally representative </w:t>
      </w:r>
      <w:r>
        <w:t xml:space="preserve">survey of </w:t>
      </w:r>
      <w:r w:rsidRPr="00B30077">
        <w:rPr>
          <w:rFonts w:cs="Arial"/>
        </w:rPr>
        <w:t>3</w:t>
      </w:r>
      <w:r>
        <w:rPr>
          <w:rFonts w:cs="Arial"/>
        </w:rPr>
        <w:t>,</w:t>
      </w:r>
      <w:r w:rsidRPr="00B30077">
        <w:rPr>
          <w:rFonts w:cs="Arial"/>
        </w:rPr>
        <w:t>275</w:t>
      </w:r>
      <w:r>
        <w:rPr>
          <w:rFonts w:cs="Arial"/>
        </w:rPr>
        <w:t xml:space="preserve"> </w:t>
      </w:r>
      <w:r>
        <w:t xml:space="preserve">New Zealand children </w:t>
      </w:r>
      <w:r w:rsidRPr="00B30077">
        <w:rPr>
          <w:rFonts w:cs="Arial"/>
        </w:rPr>
        <w:t>aged 5-14 years</w:t>
      </w:r>
      <w:r>
        <w:rPr>
          <w:rFonts w:cs="Arial"/>
        </w:rPr>
        <w:t>.</w:t>
      </w:r>
      <w:r>
        <w:t xml:space="preserve"> The data was collected </w:t>
      </w:r>
      <w:r w:rsidRPr="00B30077">
        <w:rPr>
          <w:rFonts w:cs="Arial"/>
        </w:rPr>
        <w:t xml:space="preserve">during </w:t>
      </w:r>
      <w:r>
        <w:rPr>
          <w:rFonts w:cs="Arial"/>
        </w:rPr>
        <w:t xml:space="preserve">the school year from </w:t>
      </w:r>
      <w:r w:rsidRPr="00B30077">
        <w:rPr>
          <w:rFonts w:cs="Arial"/>
        </w:rPr>
        <w:t>February to December 2002.</w:t>
      </w:r>
      <w:r>
        <w:rPr>
          <w:rFonts w:cs="Arial"/>
        </w:rPr>
        <w:t xml:space="preserve"> The survey used a 24-hour food recall </w:t>
      </w:r>
      <w:r w:rsidR="009878A8">
        <w:rPr>
          <w:rFonts w:cs="Arial"/>
        </w:rPr>
        <w:t xml:space="preserve">and </w:t>
      </w:r>
      <w:r>
        <w:t>provide</w:t>
      </w:r>
      <w:r w:rsidR="009878A8">
        <w:t>d</w:t>
      </w:r>
      <w:r>
        <w:t xml:space="preserve"> information on food and nutrient intakes, eating patterns, frequently eaten foods, </w:t>
      </w:r>
      <w:r w:rsidRPr="00C73E67">
        <w:rPr>
          <w:rFonts w:cs="Arial"/>
        </w:rPr>
        <w:t>physical ac</w:t>
      </w:r>
      <w:r>
        <w:rPr>
          <w:rFonts w:cs="Arial"/>
        </w:rPr>
        <w:t xml:space="preserve">tivity patterns, dental health, </w:t>
      </w:r>
      <w:r w:rsidRPr="00C73E67">
        <w:rPr>
          <w:rFonts w:cs="Arial"/>
        </w:rPr>
        <w:t>anthropometric measures and nutrition-related clinical measures</w:t>
      </w:r>
      <w:r>
        <w:rPr>
          <w:rFonts w:cs="Arial"/>
        </w:rPr>
        <w:t>.</w:t>
      </w:r>
      <w:r>
        <w:t xml:space="preserve"> It was also the first children’s nutrition survey in New Zealand to include a second day diet recall data for about 15% of the respondents, and dietary intake from both foods (including beverages) and dietary supplements. </w:t>
      </w:r>
      <w:r>
        <w:rPr>
          <w:lang w:val="en-AU" w:eastAsia="en-AU"/>
        </w:rPr>
        <w:t xml:space="preserve">Only the day 1 24-hour recall data for all respondents (excluding supplements) were used for this assessment. </w:t>
      </w:r>
      <w:r>
        <w:t>These data are used weighted in DIAMOND.</w:t>
      </w:r>
    </w:p>
    <w:p w:rsidR="00F51EFB" w:rsidRDefault="00F51EFB" w:rsidP="00F51EFB">
      <w:pPr>
        <w:autoSpaceDE w:val="0"/>
        <w:autoSpaceDN w:val="0"/>
        <w:adjustRightInd w:val="0"/>
        <w:rPr>
          <w:rFonts w:cs="Arial"/>
        </w:rPr>
      </w:pPr>
    </w:p>
    <w:p w:rsidR="00F51EFB" w:rsidRPr="00E954FF" w:rsidRDefault="00F51EFB" w:rsidP="00F51EFB">
      <w:pPr>
        <w:pStyle w:val="Heading4"/>
        <w:rPr>
          <w:lang w:val="en-AU" w:eastAsia="en-AU"/>
        </w:rPr>
      </w:pPr>
      <w:r w:rsidRPr="00E954FF">
        <w:rPr>
          <w:lang w:val="en-AU" w:eastAsia="en-AU"/>
        </w:rPr>
        <w:t>A1.1.4</w:t>
      </w:r>
      <w:r w:rsidRPr="00E954FF">
        <w:rPr>
          <w:lang w:val="en-AU" w:eastAsia="en-AU"/>
        </w:rPr>
        <w:tab/>
        <w:t>1997 New Zealand National Nutrition Survey (1997 NZNNS)</w:t>
      </w:r>
    </w:p>
    <w:p w:rsidR="00E954FF" w:rsidRDefault="00E954FF" w:rsidP="00F51EFB">
      <w:pPr>
        <w:rPr>
          <w:lang w:val="en-AU" w:eastAsia="en-AU"/>
        </w:rPr>
      </w:pPr>
    </w:p>
    <w:p w:rsidR="00F51EFB" w:rsidRPr="00423836" w:rsidRDefault="00F51EFB" w:rsidP="00F51EFB">
      <w:pPr>
        <w:rPr>
          <w:lang w:val="en-AU" w:eastAsia="en-AU"/>
        </w:rPr>
      </w:pPr>
      <w:r w:rsidRPr="00423836">
        <w:rPr>
          <w:lang w:val="en-AU" w:eastAsia="en-AU"/>
        </w:rPr>
        <w:t xml:space="preserve">The 1997 NZNNS provides comprehensive information on the dietary patterns of a sample of 4,636 respondents aged from 15 years and above. The survey was conducted on a stratified sample over a 12 month period. The survey used a 24-hour recall methodology with 15% of respondents also completing a second 24-hour recall with an additional food frequency questionnaire and questions on food consumption patterns. </w:t>
      </w:r>
      <w:r>
        <w:rPr>
          <w:lang w:val="en-AU" w:eastAsia="en-AU"/>
        </w:rPr>
        <w:t xml:space="preserve">Only the day 1 24-hour recall data for all respondents were used for this assessment. </w:t>
      </w:r>
      <w:r w:rsidRPr="00423836">
        <w:rPr>
          <w:lang w:val="en-AU" w:eastAsia="en-AU"/>
        </w:rPr>
        <w:t>These data are used unweighted in DIAMOND.</w:t>
      </w:r>
    </w:p>
    <w:p w:rsidR="00F51EFB" w:rsidRDefault="00F51EFB" w:rsidP="00F51EFB">
      <w:pPr>
        <w:rPr>
          <w:lang w:val="en-AU" w:eastAsia="en-AU"/>
        </w:rPr>
      </w:pPr>
    </w:p>
    <w:p w:rsidR="00F51EFB" w:rsidRPr="00423836" w:rsidRDefault="00F51EFB" w:rsidP="00F51EFB">
      <w:pPr>
        <w:rPr>
          <w:lang w:val="en-AU" w:eastAsia="en-AU"/>
        </w:rPr>
      </w:pPr>
      <w:r w:rsidRPr="00423836">
        <w:rPr>
          <w:lang w:val="en-AU" w:eastAsia="en-AU"/>
        </w:rPr>
        <w:t>Further information on the National Nutrition Surveys used to conduct dietary exposure assessments is available on the FSANZ website at:</w:t>
      </w:r>
    </w:p>
    <w:p w:rsidR="00F51EFB" w:rsidRPr="00423836" w:rsidRDefault="00F51EFB" w:rsidP="00F51EFB">
      <w:pPr>
        <w:rPr>
          <w:lang w:val="en-AU" w:eastAsia="en-AU"/>
        </w:rPr>
      </w:pPr>
    </w:p>
    <w:p w:rsidR="00F51EFB" w:rsidRPr="00423836" w:rsidRDefault="00B86DF8" w:rsidP="00F51EFB">
      <w:pPr>
        <w:rPr>
          <w:color w:val="0000FF"/>
          <w:sz w:val="18"/>
          <w:szCs w:val="18"/>
          <w:lang w:val="en-AU" w:eastAsia="en-AU"/>
        </w:rPr>
      </w:pPr>
      <w:hyperlink r:id="rId31" w:history="1">
        <w:r w:rsidR="00F51EFB" w:rsidRPr="00423836">
          <w:rPr>
            <w:rStyle w:val="Hyperlink"/>
            <w:color w:val="0000FF"/>
            <w:sz w:val="18"/>
            <w:szCs w:val="18"/>
            <w:lang w:val="en-AU" w:eastAsia="en-AU"/>
          </w:rPr>
          <w:t>http://www.foodstandards.gov.au/scienceandeducation/scienceinfsanz/dietaryexposureassessmentsatfsanz/foodconsumptiondatau4440.cfm</w:t>
        </w:r>
      </w:hyperlink>
      <w:r w:rsidR="00F51EFB" w:rsidRPr="00423836">
        <w:rPr>
          <w:color w:val="0000FF"/>
          <w:sz w:val="18"/>
          <w:szCs w:val="18"/>
          <w:lang w:val="en-AU" w:eastAsia="en-AU"/>
        </w:rPr>
        <w:t xml:space="preserve"> </w:t>
      </w:r>
    </w:p>
    <w:p w:rsidR="00F51EFB" w:rsidRDefault="00F51EFB" w:rsidP="00F51EFB">
      <w:pPr>
        <w:ind w:left="851" w:hanging="851"/>
        <w:rPr>
          <w:b/>
        </w:rPr>
      </w:pPr>
    </w:p>
    <w:p w:rsidR="00F51EFB" w:rsidRDefault="00F51EFB" w:rsidP="00F16A1F">
      <w:pPr>
        <w:pStyle w:val="Heading3"/>
      </w:pPr>
      <w:bookmarkStart w:id="105" w:name="_Toc360028639"/>
      <w:r w:rsidRPr="00423836">
        <w:t>A</w:t>
      </w:r>
      <w:r>
        <w:t>1</w:t>
      </w:r>
      <w:r w:rsidRPr="00423836">
        <w:t>.2</w:t>
      </w:r>
      <w:r w:rsidRPr="00423836">
        <w:tab/>
        <w:t>Change in approach for ‘high consumers’</w:t>
      </w:r>
      <w:bookmarkEnd w:id="105"/>
    </w:p>
    <w:p w:rsidR="00F16A1F" w:rsidRPr="00F16A1F" w:rsidRDefault="00F16A1F" w:rsidP="00F16A1F"/>
    <w:p w:rsidR="00F51EFB" w:rsidRPr="00423836" w:rsidRDefault="00F51EFB" w:rsidP="00F51EFB">
      <w:pPr>
        <w:autoSpaceDE w:val="0"/>
        <w:autoSpaceDN w:val="0"/>
        <w:adjustRightInd w:val="0"/>
        <w:rPr>
          <w:rFonts w:cs="Arial"/>
          <w:lang w:eastAsia="en-GB"/>
        </w:rPr>
      </w:pPr>
      <w:r w:rsidRPr="00423836">
        <w:rPr>
          <w:rFonts w:cs="Arial"/>
          <w:lang w:eastAsia="en-GB"/>
        </w:rPr>
        <w:t xml:space="preserve">Because of the exaggeration of extremes of consumption that arise where </w:t>
      </w:r>
      <w:r w:rsidR="00E317F9">
        <w:rPr>
          <w:rFonts w:cs="Arial"/>
          <w:lang w:eastAsia="en-GB"/>
        </w:rPr>
        <w:t>predictions</w:t>
      </w:r>
      <w:r w:rsidRPr="00423836">
        <w:rPr>
          <w:rFonts w:cs="Arial"/>
          <w:lang w:eastAsia="en-GB"/>
        </w:rPr>
        <w:t xml:space="preserve"> of dietary exposure are based on food consumption data from one or two days of single 24-hour recall from NNSs, FSANZ has adopted a policy that a high consumer’s chronic dietary exposure is best represented by the 90</w:t>
      </w:r>
      <w:r w:rsidRPr="00D037CB">
        <w:rPr>
          <w:rFonts w:cs="Arial"/>
          <w:vertAlign w:val="superscript"/>
          <w:lang w:eastAsia="en-GB"/>
        </w:rPr>
        <w:t>th</w:t>
      </w:r>
      <w:r>
        <w:rPr>
          <w:rFonts w:cs="Arial"/>
          <w:lang w:eastAsia="en-GB"/>
        </w:rPr>
        <w:t xml:space="preserve"> </w:t>
      </w:r>
      <w:r w:rsidRPr="00423836">
        <w:rPr>
          <w:rFonts w:cs="Arial"/>
          <w:lang w:eastAsia="en-GB"/>
        </w:rPr>
        <w:t>percentile of exposure. This replaces the previous standard use of the 95</w:t>
      </w:r>
      <w:r w:rsidRPr="00D037CB">
        <w:rPr>
          <w:rFonts w:cs="Arial"/>
          <w:vertAlign w:val="superscript"/>
          <w:lang w:eastAsia="en-GB"/>
        </w:rPr>
        <w:t>th</w:t>
      </w:r>
      <w:r>
        <w:rPr>
          <w:rFonts w:cs="Arial"/>
          <w:lang w:eastAsia="en-GB"/>
        </w:rPr>
        <w:t xml:space="preserve"> </w:t>
      </w:r>
      <w:r w:rsidRPr="00423836">
        <w:rPr>
          <w:rFonts w:cs="Arial"/>
          <w:lang w:eastAsia="en-GB"/>
        </w:rPr>
        <w:t>percentile and is in line with international best practice. For further information on the use of the 90</w:t>
      </w:r>
      <w:r w:rsidRPr="00423836">
        <w:rPr>
          <w:rFonts w:cs="Arial"/>
          <w:vertAlign w:val="superscript"/>
          <w:lang w:eastAsia="en-GB"/>
        </w:rPr>
        <w:t>th</w:t>
      </w:r>
      <w:r w:rsidRPr="00423836">
        <w:rPr>
          <w:rFonts w:cs="Arial"/>
          <w:lang w:eastAsia="en-GB"/>
        </w:rPr>
        <w:t xml:space="preserve"> percentile for dietary exposure assessments, refer to the information paper</w:t>
      </w:r>
      <w:r>
        <w:rPr>
          <w:rFonts w:cs="Arial"/>
          <w:lang w:eastAsia="en-GB"/>
        </w:rPr>
        <w:t xml:space="preserve"> on the FSANZ website</w:t>
      </w:r>
      <w:r w:rsidRPr="00423836">
        <w:rPr>
          <w:rFonts w:cs="Arial"/>
          <w:lang w:eastAsia="en-GB"/>
        </w:rPr>
        <w:t>: Protecting ‘high consumers’ (FSANZ 2009b).</w:t>
      </w:r>
    </w:p>
    <w:p w:rsidR="00F51EFB" w:rsidRPr="00423836" w:rsidRDefault="00F51EFB" w:rsidP="00F51EFB"/>
    <w:p w:rsidR="00F51EFB" w:rsidRPr="00423836" w:rsidRDefault="00F51EFB" w:rsidP="00F51EFB">
      <w:r w:rsidRPr="00423836">
        <w:t xml:space="preserve">For more information on FSANZ dietary exposure assessment principles, methodology, assumptions and limitations and uncertainties of the concentration and food consumption data, see the FSANZ document, </w:t>
      </w:r>
      <w:r w:rsidRPr="00D037CB">
        <w:rPr>
          <w:i/>
        </w:rPr>
        <w:t>Principles and Practices of Dietary Exposure Assessment for Food Regulatory Purposes</w:t>
      </w:r>
      <w:r w:rsidRPr="00423836">
        <w:t xml:space="preserve"> (FSANZ 2009). </w:t>
      </w:r>
    </w:p>
    <w:p w:rsidR="00F51EFB" w:rsidRPr="00423836" w:rsidRDefault="00F51EFB" w:rsidP="00F51EFB"/>
    <w:p w:rsidR="00F51EFB" w:rsidRPr="00423836" w:rsidRDefault="00F51EFB" w:rsidP="00F16A1F">
      <w:pPr>
        <w:pStyle w:val="Heading3"/>
      </w:pPr>
      <w:bookmarkStart w:id="106" w:name="_Toc247509506"/>
      <w:bookmarkStart w:id="107" w:name="_Toc256582727"/>
      <w:bookmarkStart w:id="108" w:name="_Toc360028640"/>
      <w:r w:rsidRPr="00423836">
        <w:t>A</w:t>
      </w:r>
      <w:r>
        <w:t>1</w:t>
      </w:r>
      <w:r w:rsidRPr="00423836">
        <w:t>.3</w:t>
      </w:r>
      <w:r w:rsidRPr="00423836">
        <w:tab/>
        <w:t>Limitations of dietary exposure assessments</w:t>
      </w:r>
      <w:bookmarkEnd w:id="106"/>
      <w:bookmarkEnd w:id="107"/>
      <w:bookmarkEnd w:id="108"/>
    </w:p>
    <w:p w:rsidR="00F51EFB" w:rsidRPr="00423836" w:rsidRDefault="00F51EFB" w:rsidP="00F51EFB"/>
    <w:p w:rsidR="00F51EFB" w:rsidRPr="00423836" w:rsidRDefault="00F51EFB" w:rsidP="00F51EFB">
      <w:r w:rsidRPr="00423836">
        <w:t>Dietary exposure assessments based on 2007 AusNNS, 1995 AusNNS</w:t>
      </w:r>
      <w:r>
        <w:t>, 2002 NZNNS</w:t>
      </w:r>
      <w:r w:rsidRPr="00423836">
        <w:t xml:space="preserve"> and 1997 NZNN</w:t>
      </w:r>
      <w:r>
        <w:t>S food consumption data provide</w:t>
      </w:r>
      <w:r w:rsidRPr="00423836">
        <w:t xml:space="preserve"> the best </w:t>
      </w:r>
      <w:r w:rsidR="00E317F9">
        <w:t>prediction</w:t>
      </w:r>
      <w:r w:rsidRPr="00423836">
        <w:t xml:space="preserve"> of actual consumption of a food and the resulting </w:t>
      </w:r>
      <w:r w:rsidR="00E317F9">
        <w:t>predict</w:t>
      </w:r>
      <w:r w:rsidRPr="00423836">
        <w:t xml:space="preserve">ed dietary exposure assessment for </w:t>
      </w:r>
      <w:r>
        <w:t xml:space="preserve">the </w:t>
      </w:r>
      <w:r w:rsidRPr="00423836">
        <w:t xml:space="preserve">Australian </w:t>
      </w:r>
      <w:r>
        <w:t xml:space="preserve">population 2-16 years and </w:t>
      </w:r>
      <w:r w:rsidRPr="00423836">
        <w:t>17 years and</w:t>
      </w:r>
      <w:r>
        <w:t xml:space="preserve"> above, as well as</w:t>
      </w:r>
      <w:r w:rsidRPr="00423836">
        <w:t xml:space="preserve"> the New Zealand population</w:t>
      </w:r>
      <w:r>
        <w:t xml:space="preserve">s aged 5-14 years and </w:t>
      </w:r>
      <w:r w:rsidRPr="00423836">
        <w:t xml:space="preserve">15 years and above, respectively. However, it should be noted that NNS data do have limitations. Further details of the limitations relating to dietary exposure assessments undertaken by FSANZ are set out in the FSANZ document, </w:t>
      </w:r>
      <w:r w:rsidRPr="00423836">
        <w:rPr>
          <w:i/>
        </w:rPr>
        <w:t>Principles and Practices of Dietary Exposure Assessment for Food Regulatory Purposes</w:t>
      </w:r>
      <w:r w:rsidRPr="00423836">
        <w:t xml:space="preserve"> (FSANZ 2009).</w:t>
      </w:r>
    </w:p>
    <w:p w:rsidR="00F51EFB" w:rsidRDefault="00F51EFB" w:rsidP="00F51EFB"/>
    <w:p w:rsidR="00F51EFB" w:rsidRPr="00194B34" w:rsidRDefault="00F51EFB" w:rsidP="00F16A1F">
      <w:pPr>
        <w:pStyle w:val="Heading3"/>
      </w:pPr>
      <w:bookmarkStart w:id="109" w:name="_Toc360028641"/>
      <w:r w:rsidRPr="00194B34">
        <w:t>A</w:t>
      </w:r>
      <w:r>
        <w:t>1</w:t>
      </w:r>
      <w:r w:rsidRPr="00194B34">
        <w:t>.4</w:t>
      </w:r>
      <w:r w:rsidRPr="00194B34">
        <w:tab/>
        <w:t xml:space="preserve">Calculation of market weighted concentrations for food </w:t>
      </w:r>
      <w:r w:rsidR="001E14B5">
        <w:t>categories</w:t>
      </w:r>
      <w:r w:rsidRPr="00194B34">
        <w:t xml:space="preserve"> not captured in </w:t>
      </w:r>
      <w:r>
        <w:t xml:space="preserve">1995 and 1997 </w:t>
      </w:r>
      <w:r w:rsidRPr="00194B34">
        <w:t>nutrition survey</w:t>
      </w:r>
      <w:r>
        <w:t>s</w:t>
      </w:r>
      <w:bookmarkEnd w:id="109"/>
    </w:p>
    <w:p w:rsidR="00F51EFB" w:rsidRDefault="00F51EFB" w:rsidP="00F51EFB"/>
    <w:p w:rsidR="00F51EFB" w:rsidRDefault="00F51EFB" w:rsidP="00F51EFB">
      <w:r>
        <w:t xml:space="preserve">To account for the change in consumption patterns over time of some foods that were not consumed in the 1995 and 1997 nutrition surveys, market weighted concentrations of </w:t>
      </w:r>
      <w:r w:rsidR="00E3403B">
        <w:t>quillaia</w:t>
      </w:r>
      <w:r>
        <w:t xml:space="preserve"> saponins were calculated </w:t>
      </w:r>
      <w:r w:rsidR="000D7EB2">
        <w:t>for the exposure assessment to adjust for this. The foods involved were</w:t>
      </w:r>
      <w:r>
        <w:t xml:space="preserve"> formulated beverages and flavoured tea.</w:t>
      </w:r>
    </w:p>
    <w:p w:rsidR="00F51EFB" w:rsidRDefault="00F51EFB" w:rsidP="00F51EFB"/>
    <w:p w:rsidR="00F51EFB" w:rsidRDefault="00F6260A" w:rsidP="00F51EFB">
      <w:r>
        <w:t xml:space="preserve">Formulated beverages are </w:t>
      </w:r>
      <w:r w:rsidR="00F51EFB">
        <w:t xml:space="preserve">water based flavoured drinks which are represented in the cold beverage segment of the market share data in </w:t>
      </w:r>
      <w:r w:rsidR="00F51EFB" w:rsidRPr="00962DF2">
        <w:rPr>
          <w:i/>
        </w:rPr>
        <w:t>RetailWorld</w:t>
      </w:r>
      <w:r w:rsidR="00F51EFB">
        <w:t>. Therefore, data on the percentage shares by volume for the cold beverage segment were used. The sub-groups of the segment and their market shares are soft drinks at 58.2%, energy drinks at 2.1% and sports drinks including formulated beverages at 2.0%.</w:t>
      </w:r>
    </w:p>
    <w:p w:rsidR="00F51EFB" w:rsidRPr="00E333E1" w:rsidRDefault="00F51EFB" w:rsidP="00F51EFB">
      <w:pPr>
        <w:rPr>
          <w:rFonts w:cs="Arial"/>
        </w:rPr>
      </w:pPr>
    </w:p>
    <w:p w:rsidR="00F51EFB" w:rsidRDefault="00F51EFB" w:rsidP="00F51EFB">
      <w:pPr>
        <w:pStyle w:val="ListParagraph"/>
        <w:numPr>
          <w:ilvl w:val="0"/>
          <w:numId w:val="15"/>
        </w:numPr>
      </w:pPr>
      <w:r>
        <w:t>Total market share volume (%) of cold beverage category that contains formulated beverages = 58.2 + 2.1 + 2.0 = 62.3</w:t>
      </w:r>
    </w:p>
    <w:p w:rsidR="00F51EFB" w:rsidRDefault="00F51EFB" w:rsidP="00F51EFB">
      <w:pPr>
        <w:pStyle w:val="ListParagraph"/>
        <w:numPr>
          <w:ilvl w:val="0"/>
          <w:numId w:val="15"/>
        </w:numPr>
      </w:pPr>
      <w:r>
        <w:t>Market share of formulated beverages = 2.0/62.3 = 0.032 (3.2%)</w:t>
      </w:r>
    </w:p>
    <w:p w:rsidR="00F51EFB" w:rsidRDefault="00F51EFB" w:rsidP="00F51EFB">
      <w:pPr>
        <w:pStyle w:val="ListParagraph"/>
        <w:numPr>
          <w:ilvl w:val="0"/>
          <w:numId w:val="15"/>
        </w:numPr>
      </w:pPr>
      <w:r>
        <w:t xml:space="preserve">Market share of other cold beverages (excluding formulated beverage) = (58.2 + 2.1)/62.3 = 0.968 (96.8%) </w:t>
      </w:r>
    </w:p>
    <w:p w:rsidR="00F51EFB" w:rsidRDefault="00F51EFB" w:rsidP="00F51EFB"/>
    <w:p w:rsidR="00F51EFB" w:rsidRDefault="00F51EFB" w:rsidP="00F51EFB">
      <w:r>
        <w:t xml:space="preserve">The applicant had proposed an MPL of </w:t>
      </w:r>
      <w:r w:rsidR="0083068A">
        <w:t>40</w:t>
      </w:r>
      <w:r w:rsidR="0083068A" w:rsidRPr="00863889">
        <w:t xml:space="preserve"> </w:t>
      </w:r>
      <w:r w:rsidRPr="00863889">
        <w:t>mg/kg for formulated beverages</w:t>
      </w:r>
      <w:r>
        <w:t xml:space="preserve"> and </w:t>
      </w:r>
      <w:r w:rsidRPr="00863889">
        <w:t xml:space="preserve">40 mg/kg for </w:t>
      </w:r>
      <w:r>
        <w:t>other</w:t>
      </w:r>
      <w:r w:rsidRPr="00863889">
        <w:t xml:space="preserve"> </w:t>
      </w:r>
      <w:r>
        <w:t xml:space="preserve">water based flavoured drinks. To capture current consumption of formulated </w:t>
      </w:r>
      <w:r>
        <w:lastRenderedPageBreak/>
        <w:t xml:space="preserve">beverages in the dietary exposure assessment, food category 14.1.3 was used in the modelling and a weighted concentration applied to the whole category. </w:t>
      </w:r>
    </w:p>
    <w:p w:rsidR="00F51EFB" w:rsidRDefault="00F51EFB" w:rsidP="00F51EFB"/>
    <w:p w:rsidR="00F51EFB" w:rsidRPr="003070DC" w:rsidRDefault="00F51EFB" w:rsidP="00F51EFB">
      <w:r>
        <w:t>T</w:t>
      </w:r>
      <w:r w:rsidRPr="003070DC">
        <w:t xml:space="preserve">he weighted concentration value used for the </w:t>
      </w:r>
      <w:r>
        <w:t>MPL</w:t>
      </w:r>
      <w:r w:rsidRPr="003070DC">
        <w:t xml:space="preserve"> for </w:t>
      </w:r>
      <w:r>
        <w:t>water based flavoured drinks for</w:t>
      </w:r>
      <w:r w:rsidRPr="003070DC">
        <w:t xml:space="preserve"> the 1995 and 1997 survey</w:t>
      </w:r>
      <w:r>
        <w:t>s</w:t>
      </w:r>
      <w:r w:rsidRPr="003070DC">
        <w:t xml:space="preserve"> was calculated as follows:</w:t>
      </w:r>
    </w:p>
    <w:p w:rsidR="00F51EFB" w:rsidRPr="003070DC" w:rsidRDefault="00F51EFB" w:rsidP="00F51EFB">
      <w:pPr>
        <w:rPr>
          <w:b/>
        </w:rPr>
      </w:pPr>
      <w:r w:rsidRPr="003070DC">
        <w:t>(</w:t>
      </w:r>
      <w:r w:rsidR="001E14B5">
        <w:t>4</w:t>
      </w:r>
      <w:r w:rsidR="001E14B5" w:rsidRPr="003070DC">
        <w:t xml:space="preserve">0 </w:t>
      </w:r>
      <w:r w:rsidRPr="003070DC">
        <w:t xml:space="preserve">mg/kg x 0.032) + (40 mg/kg x 0.968) = </w:t>
      </w:r>
      <w:r w:rsidR="0083068A">
        <w:t>1.28</w:t>
      </w:r>
      <w:r w:rsidRPr="003070DC">
        <w:t xml:space="preserve"> + 38.72 = 40</w:t>
      </w:r>
      <w:r>
        <w:t xml:space="preserve"> mg/kg</w:t>
      </w:r>
    </w:p>
    <w:p w:rsidR="00F51EFB" w:rsidRDefault="00F51EFB" w:rsidP="00F51EFB">
      <w:pPr>
        <w:rPr>
          <w:rFonts w:cs="Arial"/>
        </w:rPr>
      </w:pPr>
    </w:p>
    <w:p w:rsidR="00F51EFB" w:rsidRPr="00526341" w:rsidRDefault="00F51EFB" w:rsidP="00F51EFB">
      <w:pPr>
        <w:rPr>
          <w:rFonts w:cs="Arial"/>
        </w:rPr>
      </w:pPr>
      <w:r w:rsidRPr="00080EF3">
        <w:rPr>
          <w:rFonts w:cs="Arial"/>
        </w:rPr>
        <w:t xml:space="preserve">A similar approach was used to calculate the weighted concentration value </w:t>
      </w:r>
      <w:r>
        <w:rPr>
          <w:rFonts w:cs="Arial"/>
        </w:rPr>
        <w:t xml:space="preserve">for </w:t>
      </w:r>
      <w:r w:rsidRPr="00080EF3">
        <w:rPr>
          <w:rFonts w:cs="Arial"/>
        </w:rPr>
        <w:t>teas.</w:t>
      </w:r>
      <w:r>
        <w:rPr>
          <w:rFonts w:cs="Arial"/>
        </w:rPr>
        <w:t xml:space="preserve"> </w:t>
      </w:r>
      <w:r w:rsidRPr="0003106A">
        <w:rPr>
          <w:rFonts w:cs="Arial"/>
        </w:rPr>
        <w:t>Flavoured teas belong to the Tea segment which comprises</w:t>
      </w:r>
      <w:r>
        <w:rPr>
          <w:rFonts w:cs="Arial"/>
        </w:rPr>
        <w:t xml:space="preserve"> mainstream and non-mainstream teas.</w:t>
      </w:r>
      <w:r w:rsidRPr="0003106A">
        <w:rPr>
          <w:rFonts w:cs="Arial"/>
        </w:rPr>
        <w:t xml:space="preserve"> </w:t>
      </w:r>
      <w:r>
        <w:rPr>
          <w:rFonts w:cs="Arial"/>
        </w:rPr>
        <w:t>Their percentage shares by volume are m</w:t>
      </w:r>
      <w:r>
        <w:t>ainstream tea (e.g. black tea, tea bags and leaves) at 53.6%</w:t>
      </w:r>
      <w:r>
        <w:rPr>
          <w:rFonts w:cs="Arial"/>
        </w:rPr>
        <w:t xml:space="preserve"> and n</w:t>
      </w:r>
      <w:r>
        <w:t>on-mainstream tea (e.g. flavoured tea, green tea) at 46.4%.</w:t>
      </w:r>
    </w:p>
    <w:p w:rsidR="00F51EFB" w:rsidRDefault="00F51EFB" w:rsidP="00F51EFB"/>
    <w:p w:rsidR="00F51EFB" w:rsidRDefault="00F51EFB" w:rsidP="00F51EFB">
      <w:r>
        <w:t xml:space="preserve">Non-mainstream tea consists of:  </w:t>
      </w:r>
    </w:p>
    <w:p w:rsidR="00F51EFB" w:rsidRDefault="00F51EFB" w:rsidP="00F51EFB">
      <w:pPr>
        <w:pStyle w:val="ListParagraph"/>
        <w:widowControl/>
        <w:numPr>
          <w:ilvl w:val="0"/>
          <w:numId w:val="16"/>
        </w:numPr>
      </w:pPr>
      <w:r>
        <w:t xml:space="preserve">Premium tea (40.4%) </w:t>
      </w:r>
    </w:p>
    <w:p w:rsidR="00F51EFB" w:rsidRDefault="00F51EFB" w:rsidP="00F51EFB">
      <w:pPr>
        <w:pStyle w:val="ListParagraph"/>
        <w:widowControl/>
        <w:numPr>
          <w:ilvl w:val="0"/>
          <w:numId w:val="16"/>
        </w:numPr>
      </w:pPr>
      <w:r>
        <w:t>Flavoured/Health tea (59.6%)</w:t>
      </w:r>
    </w:p>
    <w:p w:rsidR="00F51EFB" w:rsidRDefault="00F51EFB" w:rsidP="00F51EFB">
      <w:r>
        <w:t>Flavoured/Health Tea is made up of 51.2% herbal or health teas. Herbal teas have specific consumption data, therefore do not need to be included in the weighted concentration.</w:t>
      </w:r>
    </w:p>
    <w:p w:rsidR="00F51EFB" w:rsidRDefault="00F51EFB" w:rsidP="00F51EFB"/>
    <w:p w:rsidR="00F51EFB" w:rsidRDefault="00F51EFB" w:rsidP="00F51EFB">
      <w:r>
        <w:t xml:space="preserve">The percentage of flavoured teas in non-mainstream teas was calculated as: </w:t>
      </w:r>
    </w:p>
    <w:p w:rsidR="00F51EFB" w:rsidRDefault="00F51EFB" w:rsidP="00F51EFB">
      <w:pPr>
        <w:pStyle w:val="ListParagraph"/>
        <w:numPr>
          <w:ilvl w:val="0"/>
          <w:numId w:val="17"/>
        </w:numPr>
      </w:pPr>
      <w:r>
        <w:t xml:space="preserve">Flavoured/Health teas minus herbal teas = 59.6 – {(51.2/100)*59.6} = 29.1 </w:t>
      </w:r>
    </w:p>
    <w:p w:rsidR="00F51EFB" w:rsidRDefault="00F51EFB" w:rsidP="00F51EFB">
      <w:pPr>
        <w:pStyle w:val="ListParagraph"/>
        <w:numPr>
          <w:ilvl w:val="0"/>
          <w:numId w:val="17"/>
        </w:numPr>
      </w:pPr>
      <w:r>
        <w:t>Premium tea (40.4) + Flavoured minus herbal tea (29.1) = 69.5%</w:t>
      </w:r>
    </w:p>
    <w:p w:rsidR="00F51EFB" w:rsidRDefault="00F51EFB" w:rsidP="00F51EFB">
      <w:pPr>
        <w:pStyle w:val="ListParagraph"/>
        <w:numPr>
          <w:ilvl w:val="0"/>
          <w:numId w:val="17"/>
        </w:numPr>
      </w:pPr>
      <w:r>
        <w:t xml:space="preserve">Non-mainstream tea - herbal teas = 46.4 x 0.695 = 32.25%  </w:t>
      </w:r>
    </w:p>
    <w:p w:rsidR="00F51EFB" w:rsidRDefault="00F51EFB" w:rsidP="00F51EFB"/>
    <w:p w:rsidR="00F51EFB" w:rsidRDefault="00F51EFB" w:rsidP="00F51EFB">
      <w:r>
        <w:t>Total volume of mainstream and non-mainstream (minus herbal) =53.6 + 32.25 = 85.85%</w:t>
      </w:r>
    </w:p>
    <w:p w:rsidR="00F51EFB" w:rsidRDefault="00F51EFB" w:rsidP="00F51EFB"/>
    <w:p w:rsidR="00F51EFB" w:rsidRDefault="00F51EFB" w:rsidP="00F51EFB">
      <w:r>
        <w:t xml:space="preserve">Calculated market share for mainstream tea = 62.4% </w:t>
      </w:r>
      <w:r w:rsidRPr="00EB0170">
        <w:t>(</w:t>
      </w:r>
      <w:r>
        <w:t xml:space="preserve">i.e. </w:t>
      </w:r>
      <w:r w:rsidRPr="00EB0170">
        <w:t>53.6/85.85)</w:t>
      </w:r>
      <w:r>
        <w:t xml:space="preserve"> and for flavoured tea = 37.6% </w:t>
      </w:r>
      <w:r w:rsidRPr="00EB0170">
        <w:t>(</w:t>
      </w:r>
      <w:r>
        <w:t xml:space="preserve">i.e. </w:t>
      </w:r>
      <w:r w:rsidRPr="00EB0170">
        <w:t>32.25/85.85)</w:t>
      </w:r>
      <w:r>
        <w:t>.</w:t>
      </w:r>
    </w:p>
    <w:p w:rsidR="00F51EFB" w:rsidRDefault="00F51EFB" w:rsidP="00F51EFB"/>
    <w:p w:rsidR="00F51EFB" w:rsidRPr="00B54E27" w:rsidRDefault="00F51EFB" w:rsidP="00F51EFB">
      <w:r>
        <w:t>Mainstream teas (e.g. black, tea bags and leaves) are no</w:t>
      </w:r>
      <w:r w:rsidR="00091500">
        <w:t xml:space="preserve">t permitted to contain </w:t>
      </w:r>
      <w:r w:rsidR="00E3403B">
        <w:t>quillaia</w:t>
      </w:r>
      <w:r w:rsidR="00B740BC">
        <w:t xml:space="preserve"> </w:t>
      </w:r>
      <w:r>
        <w:t>saponins, therefore a zero concentration applies to these types of teas. The proposed concentration to be added to flavoured teas is 30 mg/kg. The weighted MPL value assigned to tea category for the 1995 and 1997 consumption data is therefore = {(0.624*0) + (0.376*30)} = 11.3 mg/kg</w:t>
      </w:r>
      <w:r w:rsidR="0083068A">
        <w:t>.</w:t>
      </w:r>
    </w:p>
    <w:p w:rsidR="00F51EFB" w:rsidRPr="001D59D6" w:rsidRDefault="00F51EFB" w:rsidP="00F51EFB">
      <w:r w:rsidRPr="00423836">
        <w:br w:type="page"/>
      </w:r>
    </w:p>
    <w:p w:rsidR="00F51EFB" w:rsidRDefault="00F51EFB" w:rsidP="00F51419">
      <w:pPr>
        <w:pStyle w:val="Heading2"/>
      </w:pPr>
      <w:bookmarkStart w:id="110" w:name="_Toc360028642"/>
      <w:r w:rsidRPr="000D46B7">
        <w:lastRenderedPageBreak/>
        <w:t>A</w:t>
      </w:r>
      <w:r w:rsidR="00CE34DE">
        <w:t>ppendix</w:t>
      </w:r>
      <w:r w:rsidRPr="000D46B7">
        <w:t xml:space="preserve"> 2: Dietary Exposure Assessment Results</w:t>
      </w:r>
      <w:bookmarkEnd w:id="110"/>
    </w:p>
    <w:p w:rsidR="00F51419" w:rsidRPr="00F51419" w:rsidRDefault="00F51419" w:rsidP="00F51419"/>
    <w:p w:rsidR="00F51419" w:rsidRDefault="00F51419" w:rsidP="00F51EFB">
      <w:pPr>
        <w:rPr>
          <w:rFonts w:cs="Arial"/>
          <w:b/>
          <w:sz w:val="20"/>
          <w:szCs w:val="20"/>
        </w:rPr>
      </w:pPr>
    </w:p>
    <w:p w:rsidR="00F51EFB" w:rsidRPr="00225A1D" w:rsidRDefault="00F51EFB" w:rsidP="00F51EFB">
      <w:pPr>
        <w:rPr>
          <w:rFonts w:cs="Arial"/>
          <w:b/>
          <w:szCs w:val="22"/>
        </w:rPr>
      </w:pPr>
      <w:r w:rsidRPr="00225A1D">
        <w:rPr>
          <w:rFonts w:cs="Arial"/>
          <w:b/>
          <w:szCs w:val="22"/>
        </w:rPr>
        <w:t xml:space="preserve">Table A2.1: </w:t>
      </w:r>
      <w:r w:rsidR="00E317F9">
        <w:rPr>
          <w:rFonts w:cs="Arial"/>
          <w:b/>
          <w:szCs w:val="22"/>
        </w:rPr>
        <w:t>Predicted</w:t>
      </w:r>
      <w:r w:rsidRPr="00225A1D">
        <w:rPr>
          <w:rFonts w:cs="Arial"/>
          <w:b/>
          <w:szCs w:val="22"/>
        </w:rPr>
        <w:t xml:space="preserve"> dietary exposures </w:t>
      </w:r>
      <w:r w:rsidR="0083068A">
        <w:rPr>
          <w:rFonts w:cs="Arial"/>
          <w:b/>
          <w:szCs w:val="22"/>
        </w:rPr>
        <w:t>for consumers of</w:t>
      </w:r>
      <w:r w:rsidRPr="00225A1D">
        <w:rPr>
          <w:rFonts w:cs="Arial"/>
          <w:b/>
          <w:szCs w:val="22"/>
        </w:rPr>
        <w:t xml:space="preserve"> </w:t>
      </w:r>
      <w:r w:rsidR="00E3403B">
        <w:rPr>
          <w:rFonts w:cs="Arial"/>
          <w:b/>
          <w:szCs w:val="22"/>
        </w:rPr>
        <w:t>quillaia</w:t>
      </w:r>
      <w:r w:rsidRPr="00225A1D">
        <w:rPr>
          <w:rFonts w:cs="Arial"/>
          <w:b/>
          <w:szCs w:val="22"/>
        </w:rPr>
        <w:t xml:space="preserve"> saponins</w:t>
      </w:r>
      <w:r w:rsidR="003C0A74">
        <w:rPr>
          <w:rFonts w:cs="Arial"/>
          <w:b/>
          <w:szCs w:val="22"/>
        </w:rPr>
        <w:t xml:space="preserve"> – Population approach</w:t>
      </w:r>
      <w:r w:rsidRPr="00225A1D">
        <w:rPr>
          <w:rFonts w:cs="Arial"/>
          <w:b/>
          <w:szCs w:val="22"/>
        </w:rPr>
        <w:t xml:space="preserve"> </w:t>
      </w:r>
    </w:p>
    <w:p w:rsidR="009F6F3E" w:rsidRPr="00225A1D" w:rsidRDefault="009F6F3E" w:rsidP="009F6F3E">
      <w:pPr>
        <w:rPr>
          <w:rFonts w:cs="Arial"/>
          <w:b/>
          <w:szCs w:val="22"/>
        </w:rPr>
      </w:pPr>
    </w:p>
    <w:tbl>
      <w:tblPr>
        <w:tblStyle w:val="TableGrid"/>
        <w:tblW w:w="9595" w:type="dxa"/>
        <w:tblLayout w:type="fixed"/>
        <w:tblLook w:val="04A0" w:firstRow="1" w:lastRow="0" w:firstColumn="1" w:lastColumn="0" w:noHBand="0" w:noVBand="1"/>
      </w:tblPr>
      <w:tblGrid>
        <w:gridCol w:w="1672"/>
        <w:gridCol w:w="1278"/>
        <w:gridCol w:w="1422"/>
        <w:gridCol w:w="1585"/>
        <w:gridCol w:w="1754"/>
        <w:gridCol w:w="877"/>
        <w:gridCol w:w="1007"/>
      </w:tblGrid>
      <w:tr w:rsidR="009F6F3E" w:rsidRPr="00225A1D" w:rsidTr="0024087A">
        <w:trPr>
          <w:trHeight w:val="467"/>
        </w:trPr>
        <w:tc>
          <w:tcPr>
            <w:tcW w:w="1672" w:type="dxa"/>
            <w:vMerge w:val="restart"/>
          </w:tcPr>
          <w:p w:rsidR="009F6F3E" w:rsidRPr="00225A1D" w:rsidRDefault="009F6F3E" w:rsidP="009F6F3E">
            <w:pPr>
              <w:rPr>
                <w:rFonts w:cs="Arial"/>
                <w:b/>
                <w:szCs w:val="22"/>
              </w:rPr>
            </w:pPr>
            <w:r w:rsidRPr="00225A1D">
              <w:rPr>
                <w:rFonts w:cs="Arial"/>
                <w:b/>
                <w:szCs w:val="22"/>
              </w:rPr>
              <w:t>Survey</w:t>
            </w:r>
          </w:p>
        </w:tc>
        <w:tc>
          <w:tcPr>
            <w:tcW w:w="1278" w:type="dxa"/>
            <w:vMerge w:val="restart"/>
          </w:tcPr>
          <w:p w:rsidR="009F6F3E" w:rsidRPr="00225A1D" w:rsidRDefault="009F6F3E" w:rsidP="009F6F3E">
            <w:pPr>
              <w:rPr>
                <w:rFonts w:cs="Arial"/>
                <w:b/>
                <w:szCs w:val="22"/>
              </w:rPr>
            </w:pPr>
            <w:r w:rsidRPr="00225A1D">
              <w:rPr>
                <w:rFonts w:cs="Arial"/>
                <w:b/>
                <w:szCs w:val="22"/>
              </w:rPr>
              <w:t>Age group</w:t>
            </w:r>
          </w:p>
        </w:tc>
        <w:tc>
          <w:tcPr>
            <w:tcW w:w="1422" w:type="dxa"/>
            <w:vMerge w:val="restart"/>
          </w:tcPr>
          <w:p w:rsidR="009F6F3E" w:rsidRPr="00225A1D" w:rsidRDefault="009F6F3E" w:rsidP="009F6F3E">
            <w:pPr>
              <w:rPr>
                <w:rFonts w:cs="Arial"/>
                <w:b/>
                <w:szCs w:val="22"/>
              </w:rPr>
            </w:pPr>
            <w:r w:rsidRPr="00225A1D">
              <w:rPr>
                <w:rFonts w:cs="Arial"/>
                <w:b/>
                <w:szCs w:val="22"/>
              </w:rPr>
              <w:t>Number of consumers</w:t>
            </w:r>
          </w:p>
        </w:tc>
        <w:tc>
          <w:tcPr>
            <w:tcW w:w="1585" w:type="dxa"/>
            <w:vMerge w:val="restart"/>
          </w:tcPr>
          <w:p w:rsidR="009F6F3E" w:rsidRPr="00225A1D" w:rsidRDefault="009F6F3E" w:rsidP="009F6F3E">
            <w:pPr>
              <w:rPr>
                <w:rFonts w:cs="Arial"/>
                <w:b/>
                <w:szCs w:val="22"/>
              </w:rPr>
            </w:pPr>
            <w:r w:rsidRPr="00225A1D">
              <w:rPr>
                <w:rFonts w:cs="Arial"/>
                <w:b/>
                <w:szCs w:val="22"/>
              </w:rPr>
              <w:t>Number of respondents</w:t>
            </w:r>
          </w:p>
        </w:tc>
        <w:tc>
          <w:tcPr>
            <w:tcW w:w="1754" w:type="dxa"/>
            <w:vMerge w:val="restart"/>
          </w:tcPr>
          <w:p w:rsidR="009F6F3E" w:rsidRPr="00225A1D" w:rsidRDefault="009F6F3E" w:rsidP="009F6F3E">
            <w:pPr>
              <w:rPr>
                <w:rFonts w:cs="Arial"/>
                <w:b/>
                <w:szCs w:val="22"/>
              </w:rPr>
            </w:pPr>
            <w:r w:rsidRPr="00225A1D">
              <w:rPr>
                <w:rFonts w:cs="Arial"/>
                <w:b/>
                <w:szCs w:val="22"/>
              </w:rPr>
              <w:t>Consumers as % of respondents</w:t>
            </w:r>
          </w:p>
        </w:tc>
        <w:tc>
          <w:tcPr>
            <w:tcW w:w="1884" w:type="dxa"/>
            <w:gridSpan w:val="2"/>
          </w:tcPr>
          <w:p w:rsidR="009F6F3E" w:rsidRPr="00225A1D" w:rsidRDefault="009F6F3E" w:rsidP="009F6F3E">
            <w:pPr>
              <w:jc w:val="center"/>
              <w:rPr>
                <w:rFonts w:cs="Arial"/>
                <w:b/>
                <w:szCs w:val="22"/>
              </w:rPr>
            </w:pPr>
            <w:r w:rsidRPr="00225A1D">
              <w:rPr>
                <w:rFonts w:cs="Arial"/>
                <w:b/>
                <w:szCs w:val="22"/>
              </w:rPr>
              <w:t>Dietary exposure (mg/day)</w:t>
            </w:r>
          </w:p>
        </w:tc>
      </w:tr>
      <w:tr w:rsidR="009F6F3E" w:rsidRPr="00225A1D" w:rsidTr="0024087A">
        <w:trPr>
          <w:trHeight w:val="348"/>
        </w:trPr>
        <w:tc>
          <w:tcPr>
            <w:tcW w:w="1672" w:type="dxa"/>
            <w:vMerge/>
          </w:tcPr>
          <w:p w:rsidR="009F6F3E" w:rsidRPr="00225A1D" w:rsidRDefault="009F6F3E" w:rsidP="009F6F3E">
            <w:pPr>
              <w:jc w:val="center"/>
              <w:rPr>
                <w:rFonts w:cs="Arial"/>
                <w:szCs w:val="22"/>
              </w:rPr>
            </w:pPr>
          </w:p>
        </w:tc>
        <w:tc>
          <w:tcPr>
            <w:tcW w:w="1278" w:type="dxa"/>
            <w:vMerge/>
          </w:tcPr>
          <w:p w:rsidR="009F6F3E" w:rsidRPr="00225A1D" w:rsidRDefault="009F6F3E" w:rsidP="009F6F3E">
            <w:pPr>
              <w:jc w:val="center"/>
              <w:rPr>
                <w:rFonts w:cs="Arial"/>
                <w:szCs w:val="22"/>
              </w:rPr>
            </w:pPr>
          </w:p>
        </w:tc>
        <w:tc>
          <w:tcPr>
            <w:tcW w:w="1422" w:type="dxa"/>
            <w:vMerge/>
          </w:tcPr>
          <w:p w:rsidR="009F6F3E" w:rsidRPr="00225A1D" w:rsidRDefault="009F6F3E" w:rsidP="009F6F3E">
            <w:pPr>
              <w:jc w:val="center"/>
              <w:rPr>
                <w:rFonts w:cs="Arial"/>
                <w:szCs w:val="22"/>
              </w:rPr>
            </w:pPr>
          </w:p>
        </w:tc>
        <w:tc>
          <w:tcPr>
            <w:tcW w:w="1585" w:type="dxa"/>
            <w:vMerge/>
          </w:tcPr>
          <w:p w:rsidR="009F6F3E" w:rsidRPr="00225A1D" w:rsidRDefault="009F6F3E" w:rsidP="009F6F3E">
            <w:pPr>
              <w:jc w:val="center"/>
              <w:rPr>
                <w:rFonts w:cs="Arial"/>
                <w:szCs w:val="22"/>
              </w:rPr>
            </w:pPr>
          </w:p>
        </w:tc>
        <w:tc>
          <w:tcPr>
            <w:tcW w:w="1754" w:type="dxa"/>
            <w:vMerge/>
          </w:tcPr>
          <w:p w:rsidR="009F6F3E" w:rsidRPr="00225A1D" w:rsidRDefault="009F6F3E" w:rsidP="009F6F3E">
            <w:pPr>
              <w:jc w:val="center"/>
              <w:rPr>
                <w:rFonts w:cs="Arial"/>
                <w:szCs w:val="22"/>
              </w:rPr>
            </w:pPr>
          </w:p>
        </w:tc>
        <w:tc>
          <w:tcPr>
            <w:tcW w:w="877" w:type="dxa"/>
          </w:tcPr>
          <w:p w:rsidR="009F6F3E" w:rsidRPr="00225A1D" w:rsidRDefault="009F6F3E" w:rsidP="009F6F3E">
            <w:pPr>
              <w:jc w:val="center"/>
              <w:rPr>
                <w:rFonts w:cs="Arial"/>
                <w:b/>
                <w:szCs w:val="22"/>
              </w:rPr>
            </w:pPr>
            <w:r w:rsidRPr="00225A1D">
              <w:rPr>
                <w:rFonts w:cs="Arial"/>
                <w:b/>
                <w:szCs w:val="22"/>
              </w:rPr>
              <w:t>Mean</w:t>
            </w:r>
          </w:p>
        </w:tc>
        <w:tc>
          <w:tcPr>
            <w:tcW w:w="1006" w:type="dxa"/>
          </w:tcPr>
          <w:p w:rsidR="009F6F3E" w:rsidRPr="00225A1D" w:rsidRDefault="009F6F3E" w:rsidP="009F6F3E">
            <w:pPr>
              <w:jc w:val="center"/>
              <w:rPr>
                <w:rFonts w:cs="Arial"/>
                <w:b/>
                <w:szCs w:val="22"/>
              </w:rPr>
            </w:pPr>
            <w:r w:rsidRPr="00225A1D">
              <w:rPr>
                <w:rFonts w:cs="Arial"/>
                <w:b/>
                <w:szCs w:val="22"/>
              </w:rPr>
              <w:t>P90</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2007 AusNNS</w:t>
            </w:r>
            <w:r w:rsidRPr="00225A1D">
              <w:rPr>
                <w:rStyle w:val="FootnoteReference"/>
                <w:rFonts w:cs="Arial"/>
                <w:szCs w:val="22"/>
              </w:rPr>
              <w:footnoteReference w:id="4"/>
            </w:r>
          </w:p>
        </w:tc>
        <w:tc>
          <w:tcPr>
            <w:tcW w:w="1278" w:type="dxa"/>
          </w:tcPr>
          <w:p w:rsidR="009F6F3E" w:rsidRPr="00225A1D" w:rsidRDefault="009F6F3E" w:rsidP="009F6F3E">
            <w:pPr>
              <w:jc w:val="center"/>
              <w:rPr>
                <w:rFonts w:cs="Arial"/>
                <w:szCs w:val="22"/>
              </w:rPr>
            </w:pPr>
            <w:r w:rsidRPr="00225A1D">
              <w:rPr>
                <w:rFonts w:cs="Arial"/>
                <w:szCs w:val="22"/>
              </w:rPr>
              <w:t>2-16 years</w:t>
            </w:r>
          </w:p>
        </w:tc>
        <w:tc>
          <w:tcPr>
            <w:tcW w:w="1422" w:type="dxa"/>
          </w:tcPr>
          <w:p w:rsidR="009F6F3E" w:rsidRPr="00225A1D" w:rsidRDefault="009F6F3E" w:rsidP="009F6F3E">
            <w:pPr>
              <w:jc w:val="right"/>
              <w:rPr>
                <w:rFonts w:cs="Arial"/>
                <w:szCs w:val="22"/>
              </w:rPr>
            </w:pPr>
            <w:r w:rsidRPr="00225A1D">
              <w:rPr>
                <w:rFonts w:cs="Arial"/>
                <w:szCs w:val="22"/>
              </w:rPr>
              <w:t>3,144</w:t>
            </w:r>
          </w:p>
        </w:tc>
        <w:tc>
          <w:tcPr>
            <w:tcW w:w="1585" w:type="dxa"/>
          </w:tcPr>
          <w:p w:rsidR="009F6F3E" w:rsidRPr="00225A1D" w:rsidRDefault="009F6F3E" w:rsidP="009F6F3E">
            <w:pPr>
              <w:jc w:val="right"/>
              <w:rPr>
                <w:rFonts w:cs="Arial"/>
                <w:szCs w:val="22"/>
              </w:rPr>
            </w:pPr>
            <w:r w:rsidRPr="00225A1D">
              <w:rPr>
                <w:rFonts w:cs="Arial"/>
                <w:szCs w:val="22"/>
              </w:rPr>
              <w:t>4,487</w:t>
            </w:r>
          </w:p>
        </w:tc>
        <w:tc>
          <w:tcPr>
            <w:tcW w:w="1754" w:type="dxa"/>
          </w:tcPr>
          <w:p w:rsidR="009F6F3E" w:rsidRPr="00225A1D" w:rsidRDefault="009F6F3E" w:rsidP="009F6F3E">
            <w:pPr>
              <w:jc w:val="right"/>
              <w:rPr>
                <w:rFonts w:cs="Arial"/>
                <w:szCs w:val="22"/>
              </w:rPr>
            </w:pPr>
            <w:r w:rsidRPr="00225A1D">
              <w:rPr>
                <w:rFonts w:cs="Arial"/>
                <w:szCs w:val="22"/>
              </w:rPr>
              <w:t>70</w:t>
            </w:r>
          </w:p>
        </w:tc>
        <w:tc>
          <w:tcPr>
            <w:tcW w:w="877" w:type="dxa"/>
          </w:tcPr>
          <w:p w:rsidR="009F6F3E" w:rsidRPr="00225A1D" w:rsidRDefault="009F6F3E" w:rsidP="009F6F3E">
            <w:pPr>
              <w:jc w:val="right"/>
              <w:rPr>
                <w:rFonts w:cs="Arial"/>
                <w:szCs w:val="22"/>
              </w:rPr>
            </w:pPr>
            <w:r w:rsidRPr="00225A1D">
              <w:rPr>
                <w:rFonts w:cs="Arial"/>
                <w:szCs w:val="22"/>
              </w:rPr>
              <w:t>3</w:t>
            </w:r>
          </w:p>
        </w:tc>
        <w:tc>
          <w:tcPr>
            <w:tcW w:w="1006" w:type="dxa"/>
          </w:tcPr>
          <w:p w:rsidR="009F6F3E" w:rsidRPr="00225A1D" w:rsidRDefault="009F6F3E" w:rsidP="009F6F3E">
            <w:pPr>
              <w:jc w:val="right"/>
              <w:rPr>
                <w:rFonts w:cs="Arial"/>
                <w:szCs w:val="22"/>
              </w:rPr>
            </w:pPr>
            <w:r w:rsidRPr="00225A1D">
              <w:rPr>
                <w:rFonts w:cs="Arial"/>
                <w:szCs w:val="22"/>
              </w:rPr>
              <w:t>6</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1995 AusNNS</w:t>
            </w:r>
            <w:r w:rsidRPr="00225A1D">
              <w:rPr>
                <w:rStyle w:val="FootnoteReference"/>
                <w:rFonts w:cs="Arial"/>
                <w:szCs w:val="22"/>
              </w:rPr>
              <w:footnoteReference w:id="5"/>
            </w:r>
          </w:p>
        </w:tc>
        <w:tc>
          <w:tcPr>
            <w:tcW w:w="1278" w:type="dxa"/>
          </w:tcPr>
          <w:p w:rsidR="009F6F3E" w:rsidRPr="00225A1D" w:rsidRDefault="009F6F3E" w:rsidP="009F6F3E">
            <w:pPr>
              <w:jc w:val="center"/>
              <w:rPr>
                <w:rFonts w:cs="Arial"/>
                <w:szCs w:val="22"/>
              </w:rPr>
            </w:pPr>
            <w:r w:rsidRPr="00225A1D">
              <w:rPr>
                <w:rFonts w:cs="Arial"/>
                <w:szCs w:val="22"/>
              </w:rPr>
              <w:t>17+ years</w:t>
            </w:r>
          </w:p>
        </w:tc>
        <w:tc>
          <w:tcPr>
            <w:tcW w:w="1422" w:type="dxa"/>
          </w:tcPr>
          <w:p w:rsidR="009F6F3E" w:rsidRPr="00225A1D" w:rsidRDefault="009F6F3E" w:rsidP="009F6F3E">
            <w:pPr>
              <w:jc w:val="right"/>
              <w:rPr>
                <w:rFonts w:cs="Arial"/>
                <w:szCs w:val="22"/>
              </w:rPr>
            </w:pPr>
            <w:r w:rsidRPr="00225A1D">
              <w:rPr>
                <w:rFonts w:cs="Arial"/>
                <w:color w:val="000000"/>
                <w:szCs w:val="22"/>
                <w:lang w:bidi="ar-SA"/>
              </w:rPr>
              <w:t>10,562</w:t>
            </w:r>
          </w:p>
        </w:tc>
        <w:tc>
          <w:tcPr>
            <w:tcW w:w="1585" w:type="dxa"/>
          </w:tcPr>
          <w:p w:rsidR="009F6F3E" w:rsidRPr="00225A1D" w:rsidRDefault="009F6F3E" w:rsidP="009F6F3E">
            <w:pPr>
              <w:jc w:val="right"/>
              <w:rPr>
                <w:rFonts w:cs="Arial"/>
                <w:szCs w:val="22"/>
              </w:rPr>
            </w:pPr>
            <w:r w:rsidRPr="00225A1D">
              <w:rPr>
                <w:rFonts w:cs="Arial"/>
                <w:szCs w:val="22"/>
              </w:rPr>
              <w:t>11,129</w:t>
            </w:r>
          </w:p>
        </w:tc>
        <w:tc>
          <w:tcPr>
            <w:tcW w:w="1754" w:type="dxa"/>
          </w:tcPr>
          <w:p w:rsidR="009F6F3E" w:rsidRPr="00225A1D" w:rsidRDefault="009F6F3E" w:rsidP="009F6F3E">
            <w:pPr>
              <w:jc w:val="right"/>
              <w:rPr>
                <w:rFonts w:cs="Arial"/>
                <w:szCs w:val="22"/>
              </w:rPr>
            </w:pPr>
            <w:r w:rsidRPr="00225A1D">
              <w:rPr>
                <w:rFonts w:cs="Arial"/>
                <w:color w:val="000000"/>
                <w:szCs w:val="22"/>
                <w:lang w:bidi="ar-SA"/>
              </w:rPr>
              <w:t>95</w:t>
            </w:r>
          </w:p>
        </w:tc>
        <w:tc>
          <w:tcPr>
            <w:tcW w:w="877" w:type="dxa"/>
          </w:tcPr>
          <w:p w:rsidR="009F6F3E" w:rsidRPr="00225A1D" w:rsidRDefault="009F6F3E" w:rsidP="009F6F3E">
            <w:pPr>
              <w:jc w:val="right"/>
              <w:rPr>
                <w:rFonts w:cs="Arial"/>
                <w:szCs w:val="22"/>
              </w:rPr>
            </w:pPr>
            <w:r w:rsidRPr="00225A1D">
              <w:rPr>
                <w:rFonts w:cs="Arial"/>
                <w:color w:val="000000"/>
                <w:szCs w:val="22"/>
                <w:lang w:bidi="ar-SA"/>
              </w:rPr>
              <w:t>7</w:t>
            </w:r>
          </w:p>
        </w:tc>
        <w:tc>
          <w:tcPr>
            <w:tcW w:w="1006" w:type="dxa"/>
          </w:tcPr>
          <w:p w:rsidR="009F6F3E" w:rsidRPr="00225A1D" w:rsidRDefault="009F6F3E" w:rsidP="009F6F3E">
            <w:pPr>
              <w:jc w:val="right"/>
              <w:rPr>
                <w:rFonts w:cs="Arial"/>
                <w:szCs w:val="22"/>
              </w:rPr>
            </w:pPr>
            <w:r w:rsidRPr="00225A1D">
              <w:rPr>
                <w:rFonts w:cs="Arial"/>
                <w:color w:val="000000"/>
                <w:szCs w:val="22"/>
                <w:lang w:bidi="ar-SA"/>
              </w:rPr>
              <w:t>15</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2002 NZNNS</w:t>
            </w:r>
            <w:r w:rsidRPr="00225A1D">
              <w:rPr>
                <w:rFonts w:cs="Arial"/>
                <w:szCs w:val="22"/>
                <w:vertAlign w:val="superscript"/>
              </w:rPr>
              <w:t>2</w:t>
            </w:r>
          </w:p>
        </w:tc>
        <w:tc>
          <w:tcPr>
            <w:tcW w:w="1278" w:type="dxa"/>
          </w:tcPr>
          <w:p w:rsidR="009F6F3E" w:rsidRPr="00225A1D" w:rsidRDefault="009F6F3E" w:rsidP="009F6F3E">
            <w:pPr>
              <w:jc w:val="center"/>
              <w:rPr>
                <w:rFonts w:cs="Arial"/>
                <w:szCs w:val="22"/>
              </w:rPr>
            </w:pPr>
            <w:r w:rsidRPr="00225A1D">
              <w:rPr>
                <w:rFonts w:cs="Arial"/>
                <w:szCs w:val="22"/>
              </w:rPr>
              <w:t>5-14 years</w:t>
            </w:r>
          </w:p>
        </w:tc>
        <w:tc>
          <w:tcPr>
            <w:tcW w:w="1422" w:type="dxa"/>
          </w:tcPr>
          <w:p w:rsidR="009F6F3E" w:rsidRPr="00225A1D" w:rsidRDefault="009F6F3E" w:rsidP="009F6F3E">
            <w:pPr>
              <w:jc w:val="right"/>
              <w:rPr>
                <w:rFonts w:cs="Arial"/>
                <w:szCs w:val="22"/>
              </w:rPr>
            </w:pPr>
            <w:r w:rsidRPr="00225A1D">
              <w:rPr>
                <w:rFonts w:cs="Arial"/>
                <w:color w:val="000000"/>
                <w:szCs w:val="22"/>
                <w:lang w:bidi="ar-SA"/>
              </w:rPr>
              <w:t>2,103</w:t>
            </w:r>
          </w:p>
        </w:tc>
        <w:tc>
          <w:tcPr>
            <w:tcW w:w="1585" w:type="dxa"/>
          </w:tcPr>
          <w:p w:rsidR="009F6F3E" w:rsidRPr="00225A1D" w:rsidRDefault="009F6F3E" w:rsidP="009F6F3E">
            <w:pPr>
              <w:jc w:val="right"/>
              <w:rPr>
                <w:rFonts w:cs="Arial"/>
                <w:szCs w:val="22"/>
              </w:rPr>
            </w:pPr>
            <w:r w:rsidRPr="00225A1D">
              <w:rPr>
                <w:rFonts w:cs="Arial"/>
                <w:szCs w:val="22"/>
              </w:rPr>
              <w:t>3,275</w:t>
            </w:r>
          </w:p>
        </w:tc>
        <w:tc>
          <w:tcPr>
            <w:tcW w:w="1754" w:type="dxa"/>
          </w:tcPr>
          <w:p w:rsidR="009F6F3E" w:rsidRPr="00225A1D" w:rsidRDefault="009F6F3E" w:rsidP="009F6F3E">
            <w:pPr>
              <w:jc w:val="right"/>
              <w:rPr>
                <w:rFonts w:cs="Arial"/>
                <w:szCs w:val="22"/>
              </w:rPr>
            </w:pPr>
            <w:r w:rsidRPr="00225A1D">
              <w:rPr>
                <w:rFonts w:cs="Arial"/>
                <w:color w:val="000000"/>
                <w:szCs w:val="22"/>
                <w:lang w:bidi="ar-SA"/>
              </w:rPr>
              <w:t>64</w:t>
            </w:r>
          </w:p>
        </w:tc>
        <w:tc>
          <w:tcPr>
            <w:tcW w:w="877" w:type="dxa"/>
          </w:tcPr>
          <w:p w:rsidR="009F6F3E" w:rsidRPr="00225A1D" w:rsidRDefault="009F6F3E" w:rsidP="009F6F3E">
            <w:pPr>
              <w:jc w:val="right"/>
              <w:rPr>
                <w:rFonts w:cs="Arial"/>
                <w:szCs w:val="22"/>
              </w:rPr>
            </w:pPr>
            <w:r w:rsidRPr="00225A1D">
              <w:rPr>
                <w:rFonts w:cs="Arial"/>
                <w:color w:val="000000"/>
                <w:szCs w:val="22"/>
                <w:lang w:bidi="ar-SA"/>
              </w:rPr>
              <w:t>3</w:t>
            </w:r>
          </w:p>
        </w:tc>
        <w:tc>
          <w:tcPr>
            <w:tcW w:w="1006" w:type="dxa"/>
          </w:tcPr>
          <w:p w:rsidR="009F6F3E" w:rsidRPr="00225A1D" w:rsidRDefault="009F6F3E" w:rsidP="009F6F3E">
            <w:pPr>
              <w:jc w:val="right"/>
              <w:rPr>
                <w:rFonts w:cs="Arial"/>
                <w:szCs w:val="22"/>
              </w:rPr>
            </w:pPr>
            <w:r w:rsidRPr="00225A1D">
              <w:rPr>
                <w:rFonts w:cs="Arial"/>
                <w:color w:val="000000"/>
                <w:szCs w:val="22"/>
                <w:lang w:bidi="ar-SA"/>
              </w:rPr>
              <w:t>7</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1997 NZNNS</w:t>
            </w:r>
            <w:r w:rsidRPr="00225A1D">
              <w:rPr>
                <w:rFonts w:cs="Arial"/>
                <w:szCs w:val="22"/>
                <w:vertAlign w:val="superscript"/>
              </w:rPr>
              <w:t>2</w:t>
            </w:r>
          </w:p>
        </w:tc>
        <w:tc>
          <w:tcPr>
            <w:tcW w:w="1278" w:type="dxa"/>
          </w:tcPr>
          <w:p w:rsidR="009F6F3E" w:rsidRPr="00225A1D" w:rsidRDefault="009F6F3E" w:rsidP="009F6F3E">
            <w:pPr>
              <w:jc w:val="center"/>
              <w:rPr>
                <w:rFonts w:cs="Arial"/>
                <w:szCs w:val="22"/>
              </w:rPr>
            </w:pPr>
            <w:r w:rsidRPr="00225A1D">
              <w:rPr>
                <w:rFonts w:cs="Arial"/>
                <w:szCs w:val="22"/>
              </w:rPr>
              <w:t>15+ years</w:t>
            </w:r>
          </w:p>
        </w:tc>
        <w:tc>
          <w:tcPr>
            <w:tcW w:w="1422" w:type="dxa"/>
          </w:tcPr>
          <w:p w:rsidR="009F6F3E" w:rsidRPr="00225A1D" w:rsidRDefault="009F6F3E" w:rsidP="009F6F3E">
            <w:pPr>
              <w:jc w:val="right"/>
              <w:rPr>
                <w:rFonts w:cs="Arial"/>
                <w:szCs w:val="22"/>
              </w:rPr>
            </w:pPr>
            <w:r w:rsidRPr="00225A1D">
              <w:rPr>
                <w:rFonts w:cs="Arial"/>
                <w:color w:val="000000"/>
                <w:szCs w:val="22"/>
                <w:lang w:bidi="ar-SA"/>
              </w:rPr>
              <w:t>4,346</w:t>
            </w:r>
          </w:p>
        </w:tc>
        <w:tc>
          <w:tcPr>
            <w:tcW w:w="1585" w:type="dxa"/>
          </w:tcPr>
          <w:p w:rsidR="009F6F3E" w:rsidRPr="00225A1D" w:rsidRDefault="009F6F3E" w:rsidP="009F6F3E">
            <w:pPr>
              <w:jc w:val="right"/>
              <w:rPr>
                <w:rFonts w:cs="Arial"/>
                <w:szCs w:val="22"/>
              </w:rPr>
            </w:pPr>
            <w:r w:rsidRPr="00225A1D">
              <w:rPr>
                <w:rFonts w:cs="Arial"/>
                <w:szCs w:val="22"/>
              </w:rPr>
              <w:t>4,636</w:t>
            </w:r>
          </w:p>
        </w:tc>
        <w:tc>
          <w:tcPr>
            <w:tcW w:w="1754" w:type="dxa"/>
          </w:tcPr>
          <w:p w:rsidR="009F6F3E" w:rsidRPr="00225A1D" w:rsidRDefault="009F6F3E" w:rsidP="009F6F3E">
            <w:pPr>
              <w:jc w:val="right"/>
              <w:rPr>
                <w:rFonts w:cs="Arial"/>
                <w:szCs w:val="22"/>
              </w:rPr>
            </w:pPr>
            <w:r w:rsidRPr="00225A1D">
              <w:rPr>
                <w:rFonts w:cs="Arial"/>
                <w:color w:val="000000"/>
                <w:szCs w:val="22"/>
                <w:lang w:bidi="ar-SA"/>
              </w:rPr>
              <w:t>94</w:t>
            </w:r>
          </w:p>
        </w:tc>
        <w:tc>
          <w:tcPr>
            <w:tcW w:w="877" w:type="dxa"/>
          </w:tcPr>
          <w:p w:rsidR="009F6F3E" w:rsidRPr="00225A1D" w:rsidRDefault="009F6F3E" w:rsidP="009F6F3E">
            <w:pPr>
              <w:jc w:val="right"/>
              <w:rPr>
                <w:rFonts w:cs="Arial"/>
                <w:szCs w:val="22"/>
              </w:rPr>
            </w:pPr>
            <w:r w:rsidRPr="00225A1D">
              <w:rPr>
                <w:rFonts w:cs="Arial"/>
                <w:color w:val="000000"/>
                <w:szCs w:val="22"/>
                <w:lang w:bidi="ar-SA"/>
              </w:rPr>
              <w:t>5</w:t>
            </w:r>
          </w:p>
        </w:tc>
        <w:tc>
          <w:tcPr>
            <w:tcW w:w="1006" w:type="dxa"/>
          </w:tcPr>
          <w:p w:rsidR="009F6F3E" w:rsidRPr="00225A1D" w:rsidRDefault="009F6F3E" w:rsidP="009F6F3E">
            <w:pPr>
              <w:jc w:val="right"/>
              <w:rPr>
                <w:rFonts w:cs="Arial"/>
                <w:szCs w:val="22"/>
              </w:rPr>
            </w:pPr>
            <w:r w:rsidRPr="00225A1D">
              <w:rPr>
                <w:rFonts w:cs="Arial"/>
                <w:color w:val="000000"/>
                <w:szCs w:val="22"/>
                <w:lang w:bidi="ar-SA"/>
              </w:rPr>
              <w:t>11</w:t>
            </w:r>
          </w:p>
        </w:tc>
      </w:tr>
    </w:tbl>
    <w:p w:rsidR="009F6F3E" w:rsidRPr="00225A1D" w:rsidRDefault="009F6F3E" w:rsidP="009F6F3E">
      <w:pPr>
        <w:rPr>
          <w:rFonts w:cs="Arial"/>
          <w:b/>
          <w:szCs w:val="22"/>
        </w:rPr>
      </w:pPr>
    </w:p>
    <w:p w:rsidR="00E41A43" w:rsidRDefault="00E41A43" w:rsidP="00F51EFB">
      <w:pPr>
        <w:rPr>
          <w:rFonts w:cs="Arial"/>
          <w:b/>
          <w:sz w:val="20"/>
          <w:szCs w:val="20"/>
        </w:rPr>
      </w:pPr>
    </w:p>
    <w:p w:rsidR="00F51EFB" w:rsidRPr="00225A1D" w:rsidRDefault="00F51EFB" w:rsidP="00F51EFB">
      <w:pPr>
        <w:rPr>
          <w:rFonts w:cs="Arial"/>
          <w:b/>
          <w:szCs w:val="22"/>
        </w:rPr>
      </w:pPr>
      <w:r w:rsidRPr="00225A1D">
        <w:rPr>
          <w:rFonts w:cs="Arial"/>
          <w:b/>
          <w:szCs w:val="22"/>
        </w:rPr>
        <w:t xml:space="preserve">Table A2.2: </w:t>
      </w:r>
      <w:r w:rsidR="00E317F9">
        <w:rPr>
          <w:rFonts w:cs="Arial"/>
          <w:b/>
          <w:szCs w:val="22"/>
        </w:rPr>
        <w:t>Predicted</w:t>
      </w:r>
      <w:r w:rsidRPr="00225A1D">
        <w:rPr>
          <w:rFonts w:cs="Arial"/>
          <w:b/>
          <w:szCs w:val="22"/>
        </w:rPr>
        <w:t xml:space="preserve"> dietary exposures </w:t>
      </w:r>
      <w:r w:rsidR="0083068A">
        <w:rPr>
          <w:rFonts w:cs="Arial"/>
          <w:b/>
          <w:szCs w:val="22"/>
        </w:rPr>
        <w:t>for consumers</w:t>
      </w:r>
      <w:r w:rsidRPr="00225A1D">
        <w:rPr>
          <w:rFonts w:cs="Arial"/>
          <w:b/>
          <w:szCs w:val="22"/>
        </w:rPr>
        <w:t xml:space="preserve"> of </w:t>
      </w:r>
      <w:r w:rsidR="00E3403B">
        <w:rPr>
          <w:rFonts w:cs="Arial"/>
          <w:b/>
          <w:szCs w:val="22"/>
        </w:rPr>
        <w:t>quillaia</w:t>
      </w:r>
      <w:r w:rsidRPr="00225A1D">
        <w:rPr>
          <w:rFonts w:cs="Arial"/>
          <w:b/>
          <w:szCs w:val="22"/>
        </w:rPr>
        <w:t xml:space="preserve"> saponins as per kilogram of body weight and percentage of the ADI </w:t>
      </w:r>
      <w:r w:rsidR="003C0A74">
        <w:rPr>
          <w:rFonts w:cs="Arial"/>
          <w:b/>
          <w:szCs w:val="22"/>
        </w:rPr>
        <w:t>– Population approach</w:t>
      </w:r>
    </w:p>
    <w:p w:rsidR="009F6F3E" w:rsidRPr="00225A1D" w:rsidRDefault="009F6F3E" w:rsidP="009F6F3E">
      <w:pPr>
        <w:rPr>
          <w:rFonts w:cs="Arial"/>
          <w:b/>
          <w:szCs w:val="22"/>
        </w:rPr>
      </w:pPr>
    </w:p>
    <w:tbl>
      <w:tblPr>
        <w:tblStyle w:val="TableGrid"/>
        <w:tblW w:w="9595" w:type="dxa"/>
        <w:tblLook w:val="04A0" w:firstRow="1" w:lastRow="0" w:firstColumn="1" w:lastColumn="0" w:noHBand="0" w:noVBand="1"/>
      </w:tblPr>
      <w:tblGrid>
        <w:gridCol w:w="1567"/>
        <w:gridCol w:w="1341"/>
        <w:gridCol w:w="1417"/>
        <w:gridCol w:w="1820"/>
        <w:gridCol w:w="1880"/>
        <w:gridCol w:w="1570"/>
      </w:tblGrid>
      <w:tr w:rsidR="009F6F3E" w:rsidRPr="00225A1D" w:rsidTr="0024087A">
        <w:trPr>
          <w:trHeight w:val="520"/>
        </w:trPr>
        <w:tc>
          <w:tcPr>
            <w:tcW w:w="1567"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Survey</w:t>
            </w:r>
          </w:p>
        </w:tc>
        <w:tc>
          <w:tcPr>
            <w:tcW w:w="1341"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Age group</w:t>
            </w:r>
          </w:p>
        </w:tc>
        <w:tc>
          <w:tcPr>
            <w:tcW w:w="3237" w:type="dxa"/>
            <w:gridSpan w:val="2"/>
          </w:tcPr>
          <w:p w:rsidR="009F6F3E" w:rsidRPr="00225A1D" w:rsidRDefault="009F6F3E" w:rsidP="009F6F3E">
            <w:pPr>
              <w:jc w:val="center"/>
              <w:rPr>
                <w:rFonts w:cs="Arial"/>
                <w:b/>
                <w:szCs w:val="22"/>
              </w:rPr>
            </w:pPr>
            <w:r w:rsidRPr="00225A1D">
              <w:rPr>
                <w:rFonts w:cs="Arial"/>
                <w:b/>
                <w:szCs w:val="22"/>
              </w:rPr>
              <w:t xml:space="preserve">Dietary exposure </w:t>
            </w:r>
          </w:p>
          <w:p w:rsidR="009F6F3E" w:rsidRPr="00225A1D" w:rsidRDefault="009F6F3E" w:rsidP="009F6F3E">
            <w:pPr>
              <w:jc w:val="center"/>
              <w:rPr>
                <w:rFonts w:cs="Arial"/>
                <w:szCs w:val="22"/>
              </w:rPr>
            </w:pPr>
            <w:r w:rsidRPr="00225A1D">
              <w:rPr>
                <w:rFonts w:cs="Arial"/>
                <w:b/>
                <w:szCs w:val="22"/>
              </w:rPr>
              <w:t>(mg/kg bw/day)</w:t>
            </w:r>
          </w:p>
        </w:tc>
        <w:tc>
          <w:tcPr>
            <w:tcW w:w="3450" w:type="dxa"/>
            <w:gridSpan w:val="2"/>
          </w:tcPr>
          <w:p w:rsidR="009F6F3E" w:rsidRPr="00225A1D" w:rsidRDefault="009F6F3E" w:rsidP="009F6F3E">
            <w:pPr>
              <w:jc w:val="center"/>
              <w:rPr>
                <w:rFonts w:cs="Arial"/>
                <w:b/>
                <w:szCs w:val="22"/>
              </w:rPr>
            </w:pPr>
            <w:r w:rsidRPr="00225A1D">
              <w:rPr>
                <w:rFonts w:cs="Arial"/>
                <w:b/>
                <w:szCs w:val="22"/>
              </w:rPr>
              <w:t>Dietary exposure as % ADI</w:t>
            </w:r>
          </w:p>
          <w:p w:rsidR="009F6F3E" w:rsidRPr="00225A1D" w:rsidRDefault="009F6F3E" w:rsidP="009F6F3E">
            <w:pPr>
              <w:jc w:val="center"/>
              <w:rPr>
                <w:rFonts w:cs="Arial"/>
                <w:szCs w:val="22"/>
              </w:rPr>
            </w:pPr>
            <w:r w:rsidRPr="00225A1D">
              <w:rPr>
                <w:rFonts w:cs="Arial"/>
                <w:b/>
                <w:szCs w:val="22"/>
              </w:rPr>
              <w:t>(ADI = 1 mg/kg bw/day)</w:t>
            </w:r>
          </w:p>
        </w:tc>
      </w:tr>
      <w:tr w:rsidR="009F6F3E" w:rsidRPr="00225A1D" w:rsidTr="0024087A">
        <w:trPr>
          <w:trHeight w:val="306"/>
        </w:trPr>
        <w:tc>
          <w:tcPr>
            <w:tcW w:w="1567" w:type="dxa"/>
            <w:vMerge/>
          </w:tcPr>
          <w:p w:rsidR="009F6F3E" w:rsidRPr="00225A1D" w:rsidRDefault="009F6F3E" w:rsidP="009F6F3E">
            <w:pPr>
              <w:rPr>
                <w:rFonts w:cs="Arial"/>
                <w:szCs w:val="22"/>
              </w:rPr>
            </w:pPr>
          </w:p>
        </w:tc>
        <w:tc>
          <w:tcPr>
            <w:tcW w:w="1341" w:type="dxa"/>
            <w:vMerge/>
          </w:tcPr>
          <w:p w:rsidR="009F6F3E" w:rsidRPr="00225A1D" w:rsidRDefault="009F6F3E" w:rsidP="009F6F3E">
            <w:pPr>
              <w:rPr>
                <w:rFonts w:cs="Arial"/>
                <w:szCs w:val="22"/>
              </w:rPr>
            </w:pPr>
          </w:p>
        </w:tc>
        <w:tc>
          <w:tcPr>
            <w:tcW w:w="1417" w:type="dxa"/>
          </w:tcPr>
          <w:p w:rsidR="009F6F3E" w:rsidRPr="00225A1D" w:rsidRDefault="009F6F3E" w:rsidP="009F6F3E">
            <w:pPr>
              <w:jc w:val="center"/>
              <w:rPr>
                <w:rFonts w:cs="Arial"/>
                <w:b/>
                <w:szCs w:val="22"/>
              </w:rPr>
            </w:pPr>
            <w:r w:rsidRPr="00225A1D">
              <w:rPr>
                <w:rFonts w:cs="Arial"/>
                <w:b/>
                <w:szCs w:val="22"/>
              </w:rPr>
              <w:t>Mean</w:t>
            </w:r>
          </w:p>
        </w:tc>
        <w:tc>
          <w:tcPr>
            <w:tcW w:w="1820" w:type="dxa"/>
          </w:tcPr>
          <w:p w:rsidR="009F6F3E" w:rsidRPr="00225A1D" w:rsidRDefault="009F6F3E" w:rsidP="009F6F3E">
            <w:pPr>
              <w:jc w:val="center"/>
              <w:rPr>
                <w:rFonts w:cs="Arial"/>
                <w:b/>
                <w:szCs w:val="22"/>
              </w:rPr>
            </w:pPr>
            <w:r w:rsidRPr="00225A1D">
              <w:rPr>
                <w:rFonts w:cs="Arial"/>
                <w:b/>
                <w:szCs w:val="22"/>
              </w:rPr>
              <w:t>P90</w:t>
            </w:r>
          </w:p>
          <w:p w:rsidR="009F6F3E" w:rsidRPr="00225A1D" w:rsidRDefault="009F6F3E" w:rsidP="009F6F3E">
            <w:pPr>
              <w:jc w:val="center"/>
              <w:rPr>
                <w:rFonts w:cs="Arial"/>
                <w:b/>
                <w:szCs w:val="22"/>
              </w:rPr>
            </w:pPr>
          </w:p>
        </w:tc>
        <w:tc>
          <w:tcPr>
            <w:tcW w:w="1880" w:type="dxa"/>
          </w:tcPr>
          <w:p w:rsidR="009F6F3E" w:rsidRPr="00225A1D" w:rsidRDefault="009F6F3E" w:rsidP="009F6F3E">
            <w:pPr>
              <w:jc w:val="center"/>
              <w:rPr>
                <w:rFonts w:cs="Arial"/>
                <w:b/>
                <w:szCs w:val="22"/>
              </w:rPr>
            </w:pPr>
            <w:r w:rsidRPr="00225A1D">
              <w:rPr>
                <w:rFonts w:cs="Arial"/>
                <w:b/>
                <w:szCs w:val="22"/>
              </w:rPr>
              <w:t>Mean</w:t>
            </w:r>
          </w:p>
        </w:tc>
        <w:tc>
          <w:tcPr>
            <w:tcW w:w="1569" w:type="dxa"/>
          </w:tcPr>
          <w:p w:rsidR="009F6F3E" w:rsidRPr="00225A1D" w:rsidRDefault="009F6F3E" w:rsidP="009F6F3E">
            <w:pPr>
              <w:jc w:val="center"/>
              <w:rPr>
                <w:rFonts w:cs="Arial"/>
                <w:b/>
                <w:szCs w:val="22"/>
              </w:rPr>
            </w:pPr>
            <w:r w:rsidRPr="00225A1D">
              <w:rPr>
                <w:rFonts w:cs="Arial"/>
                <w:b/>
                <w:szCs w:val="22"/>
              </w:rPr>
              <w:t>P90</w:t>
            </w:r>
          </w:p>
        </w:tc>
      </w:tr>
      <w:tr w:rsidR="009F6F3E" w:rsidRPr="00225A1D" w:rsidTr="0024087A">
        <w:trPr>
          <w:trHeight w:val="418"/>
        </w:trPr>
        <w:tc>
          <w:tcPr>
            <w:tcW w:w="1567" w:type="dxa"/>
          </w:tcPr>
          <w:p w:rsidR="009F6F3E" w:rsidRPr="00225A1D" w:rsidRDefault="009F6F3E" w:rsidP="009F6F3E">
            <w:pPr>
              <w:jc w:val="center"/>
              <w:rPr>
                <w:rFonts w:cs="Arial"/>
                <w:szCs w:val="22"/>
              </w:rPr>
            </w:pPr>
            <w:r w:rsidRPr="00225A1D">
              <w:rPr>
                <w:rFonts w:cs="Arial"/>
                <w:szCs w:val="22"/>
              </w:rPr>
              <w:t xml:space="preserve">2007 </w:t>
            </w:r>
          </w:p>
          <w:p w:rsidR="009F6F3E" w:rsidRPr="00225A1D" w:rsidRDefault="009F6F3E" w:rsidP="009F6F3E">
            <w:pPr>
              <w:jc w:val="center"/>
              <w:rPr>
                <w:rFonts w:cs="Arial"/>
                <w:szCs w:val="22"/>
              </w:rPr>
            </w:pPr>
            <w:r w:rsidRPr="00225A1D">
              <w:rPr>
                <w:rFonts w:cs="Arial"/>
                <w:szCs w:val="22"/>
              </w:rPr>
              <w:t>AusNNS</w:t>
            </w:r>
          </w:p>
          <w:p w:rsidR="00CF6D61" w:rsidRPr="00225A1D" w:rsidRDefault="00CF6D61" w:rsidP="009F6F3E">
            <w:pPr>
              <w:jc w:val="center"/>
              <w:rPr>
                <w:rFonts w:cs="Arial"/>
                <w:szCs w:val="22"/>
              </w:rPr>
            </w:pPr>
          </w:p>
        </w:tc>
        <w:tc>
          <w:tcPr>
            <w:tcW w:w="1341" w:type="dxa"/>
          </w:tcPr>
          <w:p w:rsidR="009F6F3E" w:rsidRPr="00225A1D" w:rsidRDefault="009F6F3E" w:rsidP="009F6F3E">
            <w:pPr>
              <w:jc w:val="center"/>
              <w:rPr>
                <w:rFonts w:cs="Arial"/>
                <w:szCs w:val="22"/>
              </w:rPr>
            </w:pPr>
            <w:r w:rsidRPr="00225A1D">
              <w:rPr>
                <w:rFonts w:cs="Arial"/>
                <w:szCs w:val="22"/>
              </w:rPr>
              <w:t>2-16 years</w:t>
            </w:r>
          </w:p>
        </w:tc>
        <w:tc>
          <w:tcPr>
            <w:tcW w:w="1417" w:type="dxa"/>
          </w:tcPr>
          <w:p w:rsidR="009F6F3E" w:rsidRPr="00225A1D" w:rsidRDefault="009F6F3E" w:rsidP="009F6F3E">
            <w:pPr>
              <w:jc w:val="right"/>
              <w:rPr>
                <w:rFonts w:cs="Arial"/>
                <w:szCs w:val="22"/>
              </w:rPr>
            </w:pPr>
            <w:r w:rsidRPr="00225A1D">
              <w:rPr>
                <w:rFonts w:cs="Arial"/>
                <w:szCs w:val="22"/>
              </w:rPr>
              <w:t>0.07</w:t>
            </w:r>
          </w:p>
        </w:tc>
        <w:tc>
          <w:tcPr>
            <w:tcW w:w="1820" w:type="dxa"/>
          </w:tcPr>
          <w:p w:rsidR="009F6F3E" w:rsidRPr="00225A1D" w:rsidRDefault="009F6F3E" w:rsidP="009F6F3E">
            <w:pPr>
              <w:jc w:val="right"/>
              <w:rPr>
                <w:rFonts w:cs="Arial"/>
                <w:szCs w:val="22"/>
              </w:rPr>
            </w:pPr>
            <w:r w:rsidRPr="00225A1D">
              <w:rPr>
                <w:rFonts w:cs="Arial"/>
                <w:szCs w:val="22"/>
              </w:rPr>
              <w:t>0.15</w:t>
            </w:r>
          </w:p>
        </w:tc>
        <w:tc>
          <w:tcPr>
            <w:tcW w:w="1880" w:type="dxa"/>
          </w:tcPr>
          <w:p w:rsidR="009F6F3E" w:rsidRPr="00225A1D" w:rsidRDefault="009F6F3E" w:rsidP="009F6F3E">
            <w:pPr>
              <w:jc w:val="right"/>
              <w:rPr>
                <w:rFonts w:cs="Arial"/>
                <w:szCs w:val="22"/>
              </w:rPr>
            </w:pPr>
            <w:r w:rsidRPr="00225A1D">
              <w:rPr>
                <w:rFonts w:cs="Arial"/>
                <w:szCs w:val="22"/>
              </w:rPr>
              <w:t>7</w:t>
            </w:r>
          </w:p>
        </w:tc>
        <w:tc>
          <w:tcPr>
            <w:tcW w:w="1569" w:type="dxa"/>
          </w:tcPr>
          <w:p w:rsidR="009F6F3E" w:rsidRPr="00225A1D" w:rsidRDefault="009F6F3E" w:rsidP="009F6F3E">
            <w:pPr>
              <w:jc w:val="right"/>
              <w:rPr>
                <w:rFonts w:cs="Arial"/>
                <w:szCs w:val="22"/>
              </w:rPr>
            </w:pPr>
            <w:r w:rsidRPr="00225A1D">
              <w:rPr>
                <w:rFonts w:cs="Arial"/>
                <w:szCs w:val="22"/>
              </w:rPr>
              <w:t>15</w:t>
            </w:r>
          </w:p>
        </w:tc>
      </w:tr>
      <w:tr w:rsidR="009F6F3E" w:rsidRPr="00225A1D" w:rsidTr="0024087A">
        <w:trPr>
          <w:trHeight w:val="533"/>
        </w:trPr>
        <w:tc>
          <w:tcPr>
            <w:tcW w:w="1567" w:type="dxa"/>
          </w:tcPr>
          <w:p w:rsidR="009F6F3E" w:rsidRPr="00225A1D" w:rsidRDefault="009F6F3E" w:rsidP="009F6F3E">
            <w:pPr>
              <w:jc w:val="center"/>
              <w:rPr>
                <w:rFonts w:cs="Arial"/>
                <w:szCs w:val="22"/>
              </w:rPr>
            </w:pPr>
            <w:r w:rsidRPr="00225A1D">
              <w:rPr>
                <w:rFonts w:cs="Arial"/>
                <w:szCs w:val="22"/>
              </w:rPr>
              <w:t xml:space="preserve">1995 </w:t>
            </w:r>
          </w:p>
          <w:p w:rsidR="009F6F3E" w:rsidRPr="00225A1D" w:rsidRDefault="009F6F3E" w:rsidP="009F6F3E">
            <w:pPr>
              <w:jc w:val="center"/>
              <w:rPr>
                <w:rFonts w:cs="Arial"/>
                <w:szCs w:val="22"/>
              </w:rPr>
            </w:pPr>
            <w:r w:rsidRPr="00225A1D">
              <w:rPr>
                <w:rFonts w:cs="Arial"/>
                <w:szCs w:val="22"/>
              </w:rPr>
              <w:t>AusNNS</w:t>
            </w:r>
          </w:p>
        </w:tc>
        <w:tc>
          <w:tcPr>
            <w:tcW w:w="1341" w:type="dxa"/>
          </w:tcPr>
          <w:p w:rsidR="009F6F3E" w:rsidRPr="00225A1D" w:rsidRDefault="009F6F3E" w:rsidP="009F6F3E">
            <w:pPr>
              <w:jc w:val="center"/>
              <w:rPr>
                <w:rFonts w:cs="Arial"/>
                <w:szCs w:val="22"/>
              </w:rPr>
            </w:pPr>
            <w:r w:rsidRPr="00225A1D">
              <w:rPr>
                <w:rFonts w:cs="Arial"/>
                <w:szCs w:val="22"/>
              </w:rPr>
              <w:t>17+ years</w:t>
            </w:r>
          </w:p>
        </w:tc>
        <w:tc>
          <w:tcPr>
            <w:tcW w:w="1417" w:type="dxa"/>
          </w:tcPr>
          <w:p w:rsidR="009F6F3E" w:rsidRPr="00225A1D" w:rsidRDefault="009F6F3E" w:rsidP="009F6F3E">
            <w:pPr>
              <w:jc w:val="right"/>
              <w:rPr>
                <w:rFonts w:cs="Arial"/>
                <w:szCs w:val="22"/>
              </w:rPr>
            </w:pPr>
            <w:r w:rsidRPr="00225A1D">
              <w:rPr>
                <w:rFonts w:cs="Arial"/>
                <w:color w:val="000000"/>
                <w:szCs w:val="22"/>
                <w:lang w:bidi="ar-SA"/>
              </w:rPr>
              <w:t>0.10</w:t>
            </w:r>
          </w:p>
        </w:tc>
        <w:tc>
          <w:tcPr>
            <w:tcW w:w="1820" w:type="dxa"/>
          </w:tcPr>
          <w:p w:rsidR="009F6F3E" w:rsidRPr="00225A1D" w:rsidRDefault="009F6F3E" w:rsidP="009F6F3E">
            <w:pPr>
              <w:jc w:val="right"/>
              <w:rPr>
                <w:rFonts w:cs="Arial"/>
                <w:szCs w:val="22"/>
              </w:rPr>
            </w:pPr>
            <w:r w:rsidRPr="00225A1D">
              <w:rPr>
                <w:rFonts w:cs="Arial"/>
                <w:color w:val="000000"/>
                <w:szCs w:val="22"/>
                <w:lang w:bidi="ar-SA"/>
              </w:rPr>
              <w:t>0.20</w:t>
            </w:r>
          </w:p>
        </w:tc>
        <w:tc>
          <w:tcPr>
            <w:tcW w:w="1880" w:type="dxa"/>
          </w:tcPr>
          <w:p w:rsidR="009F6F3E" w:rsidRPr="00225A1D" w:rsidRDefault="009F6F3E" w:rsidP="009F6F3E">
            <w:pPr>
              <w:jc w:val="right"/>
              <w:rPr>
                <w:rFonts w:cs="Arial"/>
                <w:szCs w:val="22"/>
              </w:rPr>
            </w:pPr>
            <w:r w:rsidRPr="00225A1D">
              <w:rPr>
                <w:rFonts w:cs="Arial"/>
                <w:color w:val="000000"/>
                <w:szCs w:val="22"/>
                <w:lang w:bidi="ar-SA"/>
              </w:rPr>
              <w:t>10</w:t>
            </w:r>
          </w:p>
        </w:tc>
        <w:tc>
          <w:tcPr>
            <w:tcW w:w="1569" w:type="dxa"/>
          </w:tcPr>
          <w:p w:rsidR="009F6F3E" w:rsidRPr="00225A1D" w:rsidRDefault="009F6F3E" w:rsidP="009F6F3E">
            <w:pPr>
              <w:jc w:val="right"/>
              <w:rPr>
                <w:rFonts w:cs="Arial"/>
                <w:szCs w:val="22"/>
              </w:rPr>
            </w:pPr>
            <w:r w:rsidRPr="00225A1D">
              <w:rPr>
                <w:rFonts w:cs="Arial"/>
                <w:color w:val="000000"/>
                <w:szCs w:val="22"/>
                <w:lang w:bidi="ar-SA"/>
              </w:rPr>
              <w:t>20</w:t>
            </w:r>
          </w:p>
        </w:tc>
      </w:tr>
      <w:tr w:rsidR="009F6F3E" w:rsidRPr="00225A1D" w:rsidTr="0024087A">
        <w:trPr>
          <w:trHeight w:val="520"/>
        </w:trPr>
        <w:tc>
          <w:tcPr>
            <w:tcW w:w="1567" w:type="dxa"/>
          </w:tcPr>
          <w:p w:rsidR="009F6F3E" w:rsidRPr="00225A1D" w:rsidRDefault="009F6F3E" w:rsidP="009F6F3E">
            <w:pPr>
              <w:jc w:val="center"/>
              <w:rPr>
                <w:rFonts w:cs="Arial"/>
                <w:szCs w:val="22"/>
              </w:rPr>
            </w:pPr>
            <w:r w:rsidRPr="00225A1D">
              <w:rPr>
                <w:rFonts w:cs="Arial"/>
                <w:szCs w:val="22"/>
              </w:rPr>
              <w:t xml:space="preserve">2002 </w:t>
            </w:r>
          </w:p>
          <w:p w:rsidR="009F6F3E" w:rsidRPr="00225A1D" w:rsidRDefault="009F6F3E" w:rsidP="009F6F3E">
            <w:pPr>
              <w:jc w:val="center"/>
              <w:rPr>
                <w:rFonts w:cs="Arial"/>
                <w:szCs w:val="22"/>
              </w:rPr>
            </w:pPr>
            <w:r w:rsidRPr="00225A1D">
              <w:rPr>
                <w:rFonts w:cs="Arial"/>
                <w:szCs w:val="22"/>
              </w:rPr>
              <w:t>NZNNS</w:t>
            </w:r>
          </w:p>
        </w:tc>
        <w:tc>
          <w:tcPr>
            <w:tcW w:w="1341" w:type="dxa"/>
          </w:tcPr>
          <w:p w:rsidR="009F6F3E" w:rsidRPr="00225A1D" w:rsidRDefault="009F6F3E" w:rsidP="009F6F3E">
            <w:pPr>
              <w:jc w:val="center"/>
              <w:rPr>
                <w:rFonts w:cs="Arial"/>
                <w:szCs w:val="22"/>
              </w:rPr>
            </w:pPr>
            <w:r w:rsidRPr="00225A1D">
              <w:rPr>
                <w:rFonts w:cs="Arial"/>
                <w:szCs w:val="22"/>
              </w:rPr>
              <w:t>5-14 years</w:t>
            </w:r>
          </w:p>
        </w:tc>
        <w:tc>
          <w:tcPr>
            <w:tcW w:w="1417" w:type="dxa"/>
          </w:tcPr>
          <w:p w:rsidR="009F6F3E" w:rsidRPr="00225A1D" w:rsidRDefault="009F6F3E" w:rsidP="009F6F3E">
            <w:pPr>
              <w:jc w:val="right"/>
              <w:rPr>
                <w:rFonts w:cs="Arial"/>
                <w:szCs w:val="22"/>
              </w:rPr>
            </w:pPr>
            <w:r w:rsidRPr="00225A1D">
              <w:rPr>
                <w:rFonts w:cs="Arial"/>
                <w:color w:val="000000"/>
                <w:szCs w:val="22"/>
                <w:lang w:bidi="ar-SA"/>
              </w:rPr>
              <w:t>0.09</w:t>
            </w:r>
          </w:p>
        </w:tc>
        <w:tc>
          <w:tcPr>
            <w:tcW w:w="1820" w:type="dxa"/>
          </w:tcPr>
          <w:p w:rsidR="009F6F3E" w:rsidRPr="00225A1D" w:rsidRDefault="009F6F3E" w:rsidP="009F6F3E">
            <w:pPr>
              <w:jc w:val="right"/>
              <w:rPr>
                <w:rFonts w:cs="Arial"/>
                <w:szCs w:val="22"/>
              </w:rPr>
            </w:pPr>
            <w:r w:rsidRPr="00225A1D">
              <w:rPr>
                <w:rFonts w:cs="Arial"/>
                <w:color w:val="000000"/>
                <w:szCs w:val="22"/>
                <w:lang w:bidi="ar-SA"/>
              </w:rPr>
              <w:t>0.18</w:t>
            </w:r>
          </w:p>
        </w:tc>
        <w:tc>
          <w:tcPr>
            <w:tcW w:w="1880" w:type="dxa"/>
          </w:tcPr>
          <w:p w:rsidR="009F6F3E" w:rsidRPr="00225A1D" w:rsidRDefault="009F6F3E" w:rsidP="009F6F3E">
            <w:pPr>
              <w:jc w:val="right"/>
              <w:rPr>
                <w:rFonts w:cs="Arial"/>
                <w:szCs w:val="22"/>
              </w:rPr>
            </w:pPr>
            <w:r w:rsidRPr="00225A1D">
              <w:rPr>
                <w:rFonts w:cs="Arial"/>
                <w:color w:val="000000"/>
                <w:szCs w:val="22"/>
                <w:lang w:bidi="ar-SA"/>
              </w:rPr>
              <w:t>9</w:t>
            </w:r>
          </w:p>
        </w:tc>
        <w:tc>
          <w:tcPr>
            <w:tcW w:w="1569" w:type="dxa"/>
          </w:tcPr>
          <w:p w:rsidR="009F6F3E" w:rsidRPr="00225A1D" w:rsidRDefault="00EB6AD2" w:rsidP="009F6F3E">
            <w:pPr>
              <w:jc w:val="right"/>
              <w:rPr>
                <w:rFonts w:cs="Arial"/>
                <w:szCs w:val="22"/>
              </w:rPr>
            </w:pPr>
            <w:r>
              <w:rPr>
                <w:rFonts w:cs="Arial"/>
                <w:color w:val="000000"/>
                <w:szCs w:val="22"/>
                <w:lang w:bidi="ar-SA"/>
              </w:rPr>
              <w:t>20</w:t>
            </w:r>
          </w:p>
        </w:tc>
      </w:tr>
      <w:tr w:rsidR="009F6F3E" w:rsidRPr="00225A1D" w:rsidTr="0024087A">
        <w:trPr>
          <w:trHeight w:val="437"/>
        </w:trPr>
        <w:tc>
          <w:tcPr>
            <w:tcW w:w="1567" w:type="dxa"/>
          </w:tcPr>
          <w:p w:rsidR="009F6F3E" w:rsidRPr="00225A1D" w:rsidRDefault="009F6F3E" w:rsidP="009F6F3E">
            <w:pPr>
              <w:jc w:val="center"/>
              <w:rPr>
                <w:rFonts w:cs="Arial"/>
                <w:szCs w:val="22"/>
              </w:rPr>
            </w:pPr>
            <w:r w:rsidRPr="00225A1D">
              <w:rPr>
                <w:rFonts w:cs="Arial"/>
                <w:szCs w:val="22"/>
              </w:rPr>
              <w:t xml:space="preserve">1997 </w:t>
            </w:r>
          </w:p>
          <w:p w:rsidR="009F6F3E" w:rsidRPr="00225A1D" w:rsidRDefault="009F6F3E" w:rsidP="009F6F3E">
            <w:pPr>
              <w:jc w:val="center"/>
              <w:rPr>
                <w:rFonts w:cs="Arial"/>
                <w:szCs w:val="22"/>
              </w:rPr>
            </w:pPr>
            <w:r w:rsidRPr="00225A1D">
              <w:rPr>
                <w:rFonts w:cs="Arial"/>
                <w:szCs w:val="22"/>
              </w:rPr>
              <w:t>NZNNS</w:t>
            </w:r>
          </w:p>
        </w:tc>
        <w:tc>
          <w:tcPr>
            <w:tcW w:w="1341" w:type="dxa"/>
          </w:tcPr>
          <w:p w:rsidR="009F6F3E" w:rsidRPr="00225A1D" w:rsidRDefault="009F6F3E" w:rsidP="009F6F3E">
            <w:pPr>
              <w:jc w:val="center"/>
              <w:rPr>
                <w:rFonts w:cs="Arial"/>
                <w:szCs w:val="22"/>
              </w:rPr>
            </w:pPr>
            <w:r w:rsidRPr="00225A1D">
              <w:rPr>
                <w:rFonts w:cs="Arial"/>
                <w:szCs w:val="22"/>
              </w:rPr>
              <w:t>15+ years</w:t>
            </w:r>
          </w:p>
        </w:tc>
        <w:tc>
          <w:tcPr>
            <w:tcW w:w="1417" w:type="dxa"/>
          </w:tcPr>
          <w:p w:rsidR="009F6F3E" w:rsidRPr="00225A1D" w:rsidRDefault="009F6F3E" w:rsidP="009F6F3E">
            <w:pPr>
              <w:jc w:val="right"/>
              <w:rPr>
                <w:rFonts w:cs="Arial"/>
                <w:szCs w:val="22"/>
              </w:rPr>
            </w:pPr>
            <w:r w:rsidRPr="00225A1D">
              <w:rPr>
                <w:rFonts w:cs="Arial"/>
                <w:color w:val="000000"/>
                <w:szCs w:val="22"/>
                <w:lang w:bidi="ar-SA"/>
              </w:rPr>
              <w:t>0.07</w:t>
            </w:r>
          </w:p>
        </w:tc>
        <w:tc>
          <w:tcPr>
            <w:tcW w:w="1820" w:type="dxa"/>
          </w:tcPr>
          <w:p w:rsidR="009F6F3E" w:rsidRPr="00225A1D" w:rsidRDefault="009F6F3E" w:rsidP="009F6F3E">
            <w:pPr>
              <w:jc w:val="right"/>
              <w:rPr>
                <w:rFonts w:cs="Arial"/>
                <w:szCs w:val="22"/>
              </w:rPr>
            </w:pPr>
            <w:r w:rsidRPr="00225A1D">
              <w:rPr>
                <w:rFonts w:cs="Arial"/>
                <w:color w:val="000000"/>
                <w:szCs w:val="22"/>
                <w:lang w:bidi="ar-SA"/>
              </w:rPr>
              <w:t>0.15</w:t>
            </w:r>
          </w:p>
        </w:tc>
        <w:tc>
          <w:tcPr>
            <w:tcW w:w="1880" w:type="dxa"/>
          </w:tcPr>
          <w:p w:rsidR="009F6F3E" w:rsidRPr="00225A1D" w:rsidRDefault="009F6F3E" w:rsidP="009F6F3E">
            <w:pPr>
              <w:jc w:val="right"/>
              <w:rPr>
                <w:rFonts w:cs="Arial"/>
                <w:szCs w:val="22"/>
              </w:rPr>
            </w:pPr>
            <w:r w:rsidRPr="00225A1D">
              <w:rPr>
                <w:rFonts w:cs="Arial"/>
                <w:color w:val="000000"/>
                <w:szCs w:val="22"/>
                <w:lang w:bidi="ar-SA"/>
              </w:rPr>
              <w:t>7</w:t>
            </w:r>
          </w:p>
        </w:tc>
        <w:tc>
          <w:tcPr>
            <w:tcW w:w="1569" w:type="dxa"/>
          </w:tcPr>
          <w:p w:rsidR="009F6F3E" w:rsidRPr="00225A1D" w:rsidRDefault="009F6F3E" w:rsidP="009F6F3E">
            <w:pPr>
              <w:jc w:val="right"/>
              <w:rPr>
                <w:rFonts w:cs="Arial"/>
                <w:szCs w:val="22"/>
              </w:rPr>
            </w:pPr>
            <w:r w:rsidRPr="00225A1D">
              <w:rPr>
                <w:rFonts w:cs="Arial"/>
                <w:color w:val="000000"/>
                <w:szCs w:val="22"/>
                <w:lang w:bidi="ar-SA"/>
              </w:rPr>
              <w:t>15</w:t>
            </w:r>
          </w:p>
        </w:tc>
      </w:tr>
    </w:tbl>
    <w:p w:rsidR="00F51EFB" w:rsidRPr="00225A1D" w:rsidRDefault="00F51EFB" w:rsidP="00F51EFB">
      <w:pPr>
        <w:rPr>
          <w:rFonts w:cs="Arial"/>
          <w:b/>
          <w:szCs w:val="22"/>
        </w:rPr>
      </w:pPr>
    </w:p>
    <w:p w:rsidR="009F6F3E" w:rsidRPr="00225A1D" w:rsidRDefault="009F6F3E" w:rsidP="00F51EFB">
      <w:pPr>
        <w:rPr>
          <w:rFonts w:cs="Arial"/>
          <w:b/>
          <w:szCs w:val="22"/>
        </w:rPr>
      </w:pPr>
    </w:p>
    <w:p w:rsidR="009F6F3E" w:rsidRDefault="009F6F3E" w:rsidP="00F51EFB">
      <w:pPr>
        <w:rPr>
          <w:rFonts w:cs="Arial"/>
          <w:b/>
          <w:sz w:val="20"/>
          <w:szCs w:val="20"/>
        </w:rPr>
      </w:pPr>
    </w:p>
    <w:p w:rsidR="009F6F3E" w:rsidRDefault="009F6F3E" w:rsidP="00F51EFB">
      <w:pPr>
        <w:rPr>
          <w:rFonts w:cs="Arial"/>
          <w:b/>
          <w:sz w:val="20"/>
          <w:szCs w:val="20"/>
        </w:rPr>
      </w:pPr>
    </w:p>
    <w:p w:rsidR="004E1C38" w:rsidRPr="00F51419" w:rsidRDefault="004E1C38" w:rsidP="00F51419">
      <w:pPr>
        <w:widowControl/>
        <w:rPr>
          <w:rFonts w:cs="Arial"/>
          <w:b/>
          <w:sz w:val="20"/>
          <w:szCs w:val="20"/>
        </w:rPr>
        <w:sectPr w:rsidR="004E1C38" w:rsidRPr="00F51419" w:rsidSect="00D14C6B">
          <w:pgSz w:w="11906" w:h="16838"/>
          <w:pgMar w:top="1440" w:right="1440" w:bottom="1440" w:left="1440" w:header="708" w:footer="708" w:gutter="0"/>
          <w:cols w:space="708"/>
          <w:docGrid w:linePitch="360"/>
        </w:sectPr>
      </w:pPr>
    </w:p>
    <w:p w:rsidR="00F51EFB" w:rsidRPr="00225A1D" w:rsidRDefault="00F51EFB" w:rsidP="00F51EFB">
      <w:pPr>
        <w:rPr>
          <w:rFonts w:cs="Arial"/>
          <w:b/>
          <w:szCs w:val="22"/>
        </w:rPr>
      </w:pPr>
      <w:r w:rsidRPr="00225A1D">
        <w:rPr>
          <w:rFonts w:cs="Arial"/>
          <w:b/>
          <w:szCs w:val="22"/>
        </w:rPr>
        <w:lastRenderedPageBreak/>
        <w:t>Table A2.</w:t>
      </w:r>
      <w:r w:rsidR="00E24FD3" w:rsidRPr="00225A1D">
        <w:rPr>
          <w:rFonts w:cs="Arial"/>
          <w:b/>
          <w:szCs w:val="22"/>
        </w:rPr>
        <w:t>3</w:t>
      </w:r>
      <w:r w:rsidRPr="00225A1D">
        <w:rPr>
          <w:rFonts w:cs="Arial"/>
          <w:b/>
          <w:szCs w:val="22"/>
        </w:rPr>
        <w:t xml:space="preserve">: </w:t>
      </w:r>
      <w:r w:rsidR="00E317F9">
        <w:rPr>
          <w:rFonts w:cs="Arial"/>
          <w:b/>
          <w:szCs w:val="22"/>
        </w:rPr>
        <w:t>Predicted</w:t>
      </w:r>
      <w:r w:rsidRPr="00225A1D">
        <w:rPr>
          <w:rFonts w:cs="Arial"/>
          <w:b/>
          <w:szCs w:val="22"/>
        </w:rPr>
        <w:t xml:space="preserve"> dietary exposures </w:t>
      </w:r>
      <w:r w:rsidR="00996DAE" w:rsidRPr="00225A1D">
        <w:rPr>
          <w:rFonts w:cs="Arial"/>
          <w:b/>
          <w:szCs w:val="22"/>
        </w:rPr>
        <w:t xml:space="preserve">for </w:t>
      </w:r>
      <w:r w:rsidR="0083068A">
        <w:rPr>
          <w:rFonts w:cs="Arial"/>
          <w:b/>
          <w:szCs w:val="22"/>
        </w:rPr>
        <w:t xml:space="preserve">consumers of </w:t>
      </w:r>
      <w:r w:rsidR="00E3403B">
        <w:rPr>
          <w:rFonts w:cs="Arial"/>
          <w:b/>
          <w:szCs w:val="22"/>
        </w:rPr>
        <w:t>quillaia</w:t>
      </w:r>
      <w:r w:rsidR="0083068A" w:rsidRPr="00225A1D">
        <w:rPr>
          <w:rFonts w:cs="Arial"/>
          <w:b/>
          <w:szCs w:val="22"/>
        </w:rPr>
        <w:t xml:space="preserve"> saponins </w:t>
      </w:r>
      <w:r w:rsidR="00E317F9">
        <w:rPr>
          <w:rFonts w:cs="Arial"/>
          <w:b/>
          <w:szCs w:val="22"/>
        </w:rPr>
        <w:t>–</w:t>
      </w:r>
      <w:r w:rsidRPr="00225A1D">
        <w:rPr>
          <w:rFonts w:cs="Arial"/>
          <w:b/>
          <w:szCs w:val="22"/>
        </w:rPr>
        <w:t xml:space="preserve"> </w:t>
      </w:r>
      <w:r w:rsidR="00E317F9">
        <w:rPr>
          <w:rFonts w:cs="Arial"/>
          <w:b/>
          <w:szCs w:val="22"/>
        </w:rPr>
        <w:t>Modified c</w:t>
      </w:r>
      <w:r w:rsidRPr="00225A1D">
        <w:rPr>
          <w:rFonts w:cs="Arial"/>
          <w:b/>
          <w:szCs w:val="22"/>
        </w:rPr>
        <w:t xml:space="preserve">onsumer behaviour </w:t>
      </w:r>
      <w:r w:rsidR="00996DAE">
        <w:rPr>
          <w:rFonts w:cs="Arial"/>
          <w:b/>
          <w:szCs w:val="22"/>
        </w:rPr>
        <w:t>approach</w:t>
      </w:r>
    </w:p>
    <w:p w:rsidR="009F6F3E" w:rsidRPr="00225A1D" w:rsidRDefault="009F6F3E" w:rsidP="009F6F3E">
      <w:pPr>
        <w:rPr>
          <w:rFonts w:cs="Arial"/>
          <w:b/>
          <w:szCs w:val="22"/>
        </w:rPr>
      </w:pPr>
      <w:r w:rsidRPr="00225A1D">
        <w:rPr>
          <w:rFonts w:cs="Arial"/>
          <w:b/>
          <w:szCs w:val="22"/>
        </w:rPr>
        <w:t xml:space="preserve"> </w:t>
      </w:r>
    </w:p>
    <w:tbl>
      <w:tblPr>
        <w:tblStyle w:val="TableGrid"/>
        <w:tblW w:w="13149" w:type="dxa"/>
        <w:tblLayout w:type="fixed"/>
        <w:tblLook w:val="04A0" w:firstRow="1" w:lastRow="0" w:firstColumn="1" w:lastColumn="0" w:noHBand="0" w:noVBand="1"/>
      </w:tblPr>
      <w:tblGrid>
        <w:gridCol w:w="1126"/>
        <w:gridCol w:w="1045"/>
        <w:gridCol w:w="1291"/>
        <w:gridCol w:w="873"/>
        <w:gridCol w:w="1585"/>
        <w:gridCol w:w="1328"/>
        <w:gridCol w:w="981"/>
        <w:gridCol w:w="1377"/>
        <w:gridCol w:w="1134"/>
        <w:gridCol w:w="1275"/>
        <w:gridCol w:w="1134"/>
      </w:tblGrid>
      <w:tr w:rsidR="009F6F3E" w:rsidRPr="00225A1D" w:rsidTr="00663BED">
        <w:trPr>
          <w:trHeight w:val="405"/>
        </w:trPr>
        <w:tc>
          <w:tcPr>
            <w:tcW w:w="1126"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Survey</w:t>
            </w:r>
          </w:p>
        </w:tc>
        <w:tc>
          <w:tcPr>
            <w:tcW w:w="1045"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Age group</w:t>
            </w:r>
          </w:p>
        </w:tc>
        <w:tc>
          <w:tcPr>
            <w:tcW w:w="2164" w:type="dxa"/>
            <w:gridSpan w:val="2"/>
            <w:vMerge w:val="restart"/>
          </w:tcPr>
          <w:p w:rsidR="009F6F3E" w:rsidRPr="00225A1D" w:rsidRDefault="009F6F3E" w:rsidP="00E24FD3">
            <w:pPr>
              <w:jc w:val="center"/>
              <w:rPr>
                <w:rFonts w:cs="Arial"/>
                <w:b/>
                <w:szCs w:val="22"/>
              </w:rPr>
            </w:pPr>
            <w:r w:rsidRPr="00225A1D">
              <w:rPr>
                <w:rFonts w:cs="Arial"/>
                <w:b/>
                <w:szCs w:val="22"/>
              </w:rPr>
              <w:t>Number of consumers</w:t>
            </w:r>
          </w:p>
        </w:tc>
        <w:tc>
          <w:tcPr>
            <w:tcW w:w="1585"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Number of respondents</w:t>
            </w:r>
          </w:p>
        </w:tc>
        <w:tc>
          <w:tcPr>
            <w:tcW w:w="2309" w:type="dxa"/>
            <w:gridSpan w:val="2"/>
            <w:vMerge w:val="restart"/>
          </w:tcPr>
          <w:p w:rsidR="009F6F3E" w:rsidRPr="00225A1D" w:rsidRDefault="009F6F3E" w:rsidP="00E24FD3">
            <w:pPr>
              <w:jc w:val="center"/>
              <w:rPr>
                <w:rFonts w:cs="Arial"/>
                <w:b/>
                <w:szCs w:val="22"/>
              </w:rPr>
            </w:pPr>
            <w:r w:rsidRPr="00225A1D">
              <w:rPr>
                <w:rFonts w:cs="Arial"/>
                <w:b/>
                <w:szCs w:val="22"/>
              </w:rPr>
              <w:t>Consumers as % of respondents</w:t>
            </w:r>
          </w:p>
        </w:tc>
        <w:tc>
          <w:tcPr>
            <w:tcW w:w="4920" w:type="dxa"/>
            <w:gridSpan w:val="4"/>
          </w:tcPr>
          <w:p w:rsidR="009F6F3E" w:rsidRPr="00225A1D" w:rsidRDefault="009F6F3E" w:rsidP="009F6F3E">
            <w:pPr>
              <w:jc w:val="center"/>
              <w:rPr>
                <w:rFonts w:cs="Arial"/>
                <w:b/>
                <w:szCs w:val="22"/>
              </w:rPr>
            </w:pPr>
            <w:r w:rsidRPr="00225A1D">
              <w:rPr>
                <w:rFonts w:cs="Arial"/>
                <w:b/>
                <w:szCs w:val="22"/>
              </w:rPr>
              <w:t>Dietary exposure (mg/day)</w:t>
            </w:r>
          </w:p>
        </w:tc>
      </w:tr>
      <w:tr w:rsidR="009F6F3E" w:rsidRPr="00225A1D" w:rsidTr="00663BED">
        <w:trPr>
          <w:trHeight w:val="85"/>
        </w:trPr>
        <w:tc>
          <w:tcPr>
            <w:tcW w:w="1126" w:type="dxa"/>
            <w:vMerge/>
          </w:tcPr>
          <w:p w:rsidR="009F6F3E" w:rsidRPr="00225A1D" w:rsidRDefault="009F6F3E" w:rsidP="009F6F3E">
            <w:pPr>
              <w:jc w:val="center"/>
              <w:rPr>
                <w:rFonts w:cs="Arial"/>
                <w:szCs w:val="22"/>
              </w:rPr>
            </w:pPr>
          </w:p>
        </w:tc>
        <w:tc>
          <w:tcPr>
            <w:tcW w:w="1045" w:type="dxa"/>
            <w:vMerge/>
          </w:tcPr>
          <w:p w:rsidR="009F6F3E" w:rsidRPr="00225A1D" w:rsidRDefault="009F6F3E" w:rsidP="009F6F3E">
            <w:pPr>
              <w:jc w:val="center"/>
              <w:rPr>
                <w:rFonts w:cs="Arial"/>
                <w:szCs w:val="22"/>
              </w:rPr>
            </w:pPr>
          </w:p>
        </w:tc>
        <w:tc>
          <w:tcPr>
            <w:tcW w:w="2164" w:type="dxa"/>
            <w:gridSpan w:val="2"/>
            <w:vMerge/>
          </w:tcPr>
          <w:p w:rsidR="009F6F3E" w:rsidRPr="00225A1D" w:rsidRDefault="009F6F3E" w:rsidP="009F6F3E">
            <w:pPr>
              <w:jc w:val="center"/>
              <w:rPr>
                <w:rFonts w:cs="Arial"/>
                <w:szCs w:val="22"/>
              </w:rPr>
            </w:pPr>
          </w:p>
        </w:tc>
        <w:tc>
          <w:tcPr>
            <w:tcW w:w="1585" w:type="dxa"/>
            <w:vMerge/>
          </w:tcPr>
          <w:p w:rsidR="009F6F3E" w:rsidRPr="00225A1D" w:rsidRDefault="009F6F3E" w:rsidP="009F6F3E">
            <w:pPr>
              <w:jc w:val="center"/>
              <w:rPr>
                <w:rFonts w:cs="Arial"/>
                <w:szCs w:val="22"/>
              </w:rPr>
            </w:pPr>
          </w:p>
        </w:tc>
        <w:tc>
          <w:tcPr>
            <w:tcW w:w="2309" w:type="dxa"/>
            <w:gridSpan w:val="2"/>
            <w:vMerge/>
          </w:tcPr>
          <w:p w:rsidR="009F6F3E" w:rsidRPr="00225A1D" w:rsidRDefault="009F6F3E" w:rsidP="009F6F3E">
            <w:pPr>
              <w:jc w:val="center"/>
              <w:rPr>
                <w:rFonts w:cs="Arial"/>
                <w:szCs w:val="22"/>
              </w:rPr>
            </w:pPr>
          </w:p>
        </w:tc>
        <w:tc>
          <w:tcPr>
            <w:tcW w:w="2511" w:type="dxa"/>
            <w:gridSpan w:val="2"/>
          </w:tcPr>
          <w:p w:rsidR="009F6F3E" w:rsidRPr="00225A1D" w:rsidRDefault="009F6F3E" w:rsidP="009F6F3E">
            <w:pPr>
              <w:jc w:val="center"/>
              <w:rPr>
                <w:rFonts w:cs="Arial"/>
                <w:b/>
                <w:szCs w:val="22"/>
              </w:rPr>
            </w:pPr>
            <w:r w:rsidRPr="00225A1D">
              <w:rPr>
                <w:rFonts w:cs="Arial"/>
                <w:b/>
                <w:szCs w:val="22"/>
              </w:rPr>
              <w:t>Mean</w:t>
            </w:r>
          </w:p>
        </w:tc>
        <w:tc>
          <w:tcPr>
            <w:tcW w:w="2409" w:type="dxa"/>
            <w:gridSpan w:val="2"/>
          </w:tcPr>
          <w:p w:rsidR="009F6F3E" w:rsidRPr="00225A1D" w:rsidRDefault="009F6F3E" w:rsidP="009F6F3E">
            <w:pPr>
              <w:jc w:val="center"/>
              <w:rPr>
                <w:rFonts w:cs="Arial"/>
                <w:b/>
                <w:szCs w:val="22"/>
              </w:rPr>
            </w:pPr>
            <w:r w:rsidRPr="00225A1D">
              <w:rPr>
                <w:rFonts w:cs="Arial"/>
                <w:b/>
                <w:szCs w:val="22"/>
              </w:rPr>
              <w:t>P90</w:t>
            </w:r>
          </w:p>
        </w:tc>
      </w:tr>
      <w:tr w:rsidR="009F6F3E" w:rsidRPr="00225A1D" w:rsidTr="00663BED">
        <w:trPr>
          <w:trHeight w:val="802"/>
        </w:trPr>
        <w:tc>
          <w:tcPr>
            <w:tcW w:w="1126" w:type="dxa"/>
            <w:vMerge/>
          </w:tcPr>
          <w:p w:rsidR="009F6F3E" w:rsidRPr="00225A1D" w:rsidRDefault="009F6F3E" w:rsidP="009F6F3E">
            <w:pPr>
              <w:jc w:val="center"/>
              <w:rPr>
                <w:rFonts w:cs="Arial"/>
                <w:szCs w:val="22"/>
              </w:rPr>
            </w:pPr>
          </w:p>
        </w:tc>
        <w:tc>
          <w:tcPr>
            <w:tcW w:w="1045" w:type="dxa"/>
            <w:vMerge/>
          </w:tcPr>
          <w:p w:rsidR="009F6F3E" w:rsidRPr="00225A1D" w:rsidRDefault="009F6F3E" w:rsidP="009F6F3E">
            <w:pPr>
              <w:jc w:val="center"/>
              <w:rPr>
                <w:rFonts w:cs="Arial"/>
                <w:szCs w:val="22"/>
              </w:rPr>
            </w:pPr>
          </w:p>
        </w:tc>
        <w:tc>
          <w:tcPr>
            <w:tcW w:w="1291" w:type="dxa"/>
          </w:tcPr>
          <w:p w:rsidR="009F6F3E" w:rsidRPr="00225A1D" w:rsidRDefault="009F6F3E" w:rsidP="009F6F3E">
            <w:pPr>
              <w:jc w:val="center"/>
              <w:rPr>
                <w:rFonts w:cs="Arial"/>
                <w:b/>
                <w:szCs w:val="22"/>
              </w:rPr>
            </w:pPr>
            <w:r w:rsidRPr="00225A1D">
              <w:rPr>
                <w:rFonts w:cs="Arial"/>
                <w:b/>
                <w:szCs w:val="22"/>
              </w:rPr>
              <w:t>Maximum MPL</w:t>
            </w:r>
          </w:p>
        </w:tc>
        <w:tc>
          <w:tcPr>
            <w:tcW w:w="873" w:type="dxa"/>
          </w:tcPr>
          <w:p w:rsidR="009F6F3E" w:rsidRPr="00225A1D" w:rsidRDefault="009F6F3E" w:rsidP="009F6F3E">
            <w:pPr>
              <w:jc w:val="center"/>
              <w:rPr>
                <w:rFonts w:cs="Arial"/>
                <w:b/>
                <w:szCs w:val="22"/>
              </w:rPr>
            </w:pPr>
            <w:r w:rsidRPr="00225A1D">
              <w:rPr>
                <w:rFonts w:cs="Arial"/>
                <w:b/>
                <w:szCs w:val="22"/>
              </w:rPr>
              <w:t>Zero MPL</w:t>
            </w:r>
          </w:p>
        </w:tc>
        <w:tc>
          <w:tcPr>
            <w:tcW w:w="1585" w:type="dxa"/>
            <w:vMerge/>
          </w:tcPr>
          <w:p w:rsidR="009F6F3E" w:rsidRPr="00225A1D" w:rsidRDefault="009F6F3E" w:rsidP="009F6F3E">
            <w:pPr>
              <w:jc w:val="center"/>
              <w:rPr>
                <w:rFonts w:cs="Arial"/>
                <w:b/>
                <w:szCs w:val="22"/>
              </w:rPr>
            </w:pPr>
          </w:p>
        </w:tc>
        <w:tc>
          <w:tcPr>
            <w:tcW w:w="1328" w:type="dxa"/>
          </w:tcPr>
          <w:p w:rsidR="009F6F3E" w:rsidRPr="00225A1D" w:rsidRDefault="009F6F3E" w:rsidP="009F6F3E">
            <w:pPr>
              <w:jc w:val="center"/>
              <w:rPr>
                <w:rFonts w:cs="Arial"/>
                <w:b/>
                <w:szCs w:val="22"/>
              </w:rPr>
            </w:pPr>
            <w:r w:rsidRPr="00225A1D">
              <w:rPr>
                <w:rFonts w:cs="Arial"/>
                <w:b/>
                <w:szCs w:val="22"/>
              </w:rPr>
              <w:t>Maximum MPL</w:t>
            </w:r>
          </w:p>
        </w:tc>
        <w:tc>
          <w:tcPr>
            <w:tcW w:w="981" w:type="dxa"/>
          </w:tcPr>
          <w:p w:rsidR="009F6F3E" w:rsidRPr="00225A1D" w:rsidRDefault="009F6F3E" w:rsidP="009F6F3E">
            <w:pPr>
              <w:jc w:val="center"/>
              <w:rPr>
                <w:rFonts w:cs="Arial"/>
                <w:b/>
                <w:szCs w:val="22"/>
              </w:rPr>
            </w:pPr>
            <w:r w:rsidRPr="00225A1D">
              <w:rPr>
                <w:rFonts w:cs="Arial"/>
                <w:b/>
                <w:szCs w:val="22"/>
              </w:rPr>
              <w:t>Zero MPL</w:t>
            </w:r>
          </w:p>
        </w:tc>
        <w:tc>
          <w:tcPr>
            <w:tcW w:w="1377" w:type="dxa"/>
          </w:tcPr>
          <w:p w:rsidR="009F6F3E" w:rsidRPr="00225A1D" w:rsidRDefault="009F6F3E" w:rsidP="009F6F3E">
            <w:pPr>
              <w:jc w:val="center"/>
              <w:rPr>
                <w:rFonts w:cs="Arial"/>
                <w:b/>
                <w:szCs w:val="22"/>
              </w:rPr>
            </w:pPr>
            <w:r w:rsidRPr="00225A1D">
              <w:rPr>
                <w:rFonts w:cs="Arial"/>
                <w:b/>
                <w:szCs w:val="22"/>
              </w:rPr>
              <w:t>Maximum MPL</w:t>
            </w:r>
          </w:p>
        </w:tc>
        <w:tc>
          <w:tcPr>
            <w:tcW w:w="1134" w:type="dxa"/>
          </w:tcPr>
          <w:p w:rsidR="009F6F3E" w:rsidRPr="00225A1D" w:rsidRDefault="009F6F3E" w:rsidP="009F6F3E">
            <w:pPr>
              <w:jc w:val="center"/>
              <w:rPr>
                <w:rFonts w:cs="Arial"/>
                <w:b/>
                <w:szCs w:val="22"/>
              </w:rPr>
            </w:pPr>
            <w:r w:rsidRPr="00225A1D">
              <w:rPr>
                <w:rFonts w:cs="Arial"/>
                <w:b/>
                <w:szCs w:val="22"/>
              </w:rPr>
              <w:t>Zero MPL</w:t>
            </w:r>
          </w:p>
        </w:tc>
        <w:tc>
          <w:tcPr>
            <w:tcW w:w="1275" w:type="dxa"/>
          </w:tcPr>
          <w:p w:rsidR="009F6F3E" w:rsidRPr="00225A1D" w:rsidRDefault="009F6F3E" w:rsidP="009F6F3E">
            <w:pPr>
              <w:jc w:val="center"/>
              <w:rPr>
                <w:rFonts w:cs="Arial"/>
                <w:b/>
                <w:szCs w:val="22"/>
              </w:rPr>
            </w:pPr>
            <w:r w:rsidRPr="00225A1D">
              <w:rPr>
                <w:rFonts w:cs="Arial"/>
                <w:b/>
                <w:szCs w:val="22"/>
              </w:rPr>
              <w:t>Maximum MPL</w:t>
            </w:r>
          </w:p>
        </w:tc>
        <w:tc>
          <w:tcPr>
            <w:tcW w:w="1134" w:type="dxa"/>
          </w:tcPr>
          <w:p w:rsidR="009F6F3E" w:rsidRPr="00225A1D" w:rsidRDefault="009F6F3E" w:rsidP="009F6F3E">
            <w:pPr>
              <w:jc w:val="center"/>
              <w:rPr>
                <w:rFonts w:cs="Arial"/>
                <w:b/>
                <w:szCs w:val="22"/>
              </w:rPr>
            </w:pPr>
            <w:r w:rsidRPr="00225A1D">
              <w:rPr>
                <w:rFonts w:cs="Arial"/>
                <w:b/>
                <w:szCs w:val="22"/>
              </w:rPr>
              <w:t>Zero MPL</w:t>
            </w:r>
          </w:p>
        </w:tc>
      </w:tr>
      <w:tr w:rsidR="009F6F3E" w:rsidRPr="00225A1D" w:rsidTr="00663BED">
        <w:trPr>
          <w:trHeight w:val="779"/>
        </w:trPr>
        <w:tc>
          <w:tcPr>
            <w:tcW w:w="1126" w:type="dxa"/>
          </w:tcPr>
          <w:p w:rsidR="009F6F3E" w:rsidRPr="00225A1D" w:rsidRDefault="009F6F3E" w:rsidP="009F6F3E">
            <w:pPr>
              <w:jc w:val="center"/>
              <w:rPr>
                <w:rFonts w:cs="Arial"/>
                <w:szCs w:val="22"/>
              </w:rPr>
            </w:pPr>
            <w:r w:rsidRPr="00225A1D">
              <w:rPr>
                <w:rFonts w:cs="Arial"/>
                <w:szCs w:val="22"/>
              </w:rPr>
              <w:t>1995</w:t>
            </w:r>
          </w:p>
          <w:p w:rsidR="009F6F3E" w:rsidRPr="00225A1D" w:rsidRDefault="009F6F3E" w:rsidP="009F6F3E">
            <w:pPr>
              <w:jc w:val="center"/>
              <w:rPr>
                <w:rFonts w:cs="Arial"/>
                <w:szCs w:val="22"/>
              </w:rPr>
            </w:pPr>
            <w:r w:rsidRPr="00225A1D">
              <w:rPr>
                <w:rFonts w:cs="Arial"/>
                <w:szCs w:val="22"/>
              </w:rPr>
              <w:t>AusNNS</w:t>
            </w:r>
          </w:p>
        </w:tc>
        <w:tc>
          <w:tcPr>
            <w:tcW w:w="1045" w:type="dxa"/>
          </w:tcPr>
          <w:p w:rsidR="009F6F3E" w:rsidRPr="00225A1D" w:rsidRDefault="009F6F3E" w:rsidP="009F6F3E">
            <w:pPr>
              <w:jc w:val="center"/>
              <w:rPr>
                <w:rFonts w:cs="Arial"/>
                <w:szCs w:val="22"/>
              </w:rPr>
            </w:pPr>
            <w:r w:rsidRPr="00225A1D">
              <w:rPr>
                <w:rFonts w:cs="Arial"/>
                <w:szCs w:val="22"/>
              </w:rPr>
              <w:t>17+ years</w:t>
            </w:r>
          </w:p>
          <w:p w:rsidR="009F6F3E" w:rsidRPr="00225A1D" w:rsidRDefault="009F6F3E" w:rsidP="009F6F3E">
            <w:pPr>
              <w:jc w:val="center"/>
              <w:rPr>
                <w:rFonts w:cs="Arial"/>
                <w:szCs w:val="22"/>
              </w:rPr>
            </w:pPr>
          </w:p>
        </w:tc>
        <w:tc>
          <w:tcPr>
            <w:tcW w:w="1291" w:type="dxa"/>
          </w:tcPr>
          <w:p w:rsidR="009F6F3E" w:rsidRPr="00225A1D" w:rsidRDefault="009F6F3E" w:rsidP="009F6F3E">
            <w:pPr>
              <w:jc w:val="right"/>
              <w:rPr>
                <w:rFonts w:cs="Arial"/>
                <w:szCs w:val="22"/>
              </w:rPr>
            </w:pPr>
            <w:r w:rsidRPr="00225A1D">
              <w:rPr>
                <w:rFonts w:cs="Arial"/>
                <w:szCs w:val="22"/>
              </w:rPr>
              <w:t>10,562</w:t>
            </w:r>
          </w:p>
        </w:tc>
        <w:tc>
          <w:tcPr>
            <w:tcW w:w="873" w:type="dxa"/>
          </w:tcPr>
          <w:p w:rsidR="009F6F3E" w:rsidRPr="00225A1D" w:rsidRDefault="009F6F3E" w:rsidP="009F6F3E">
            <w:pPr>
              <w:jc w:val="right"/>
              <w:rPr>
                <w:rFonts w:cs="Arial"/>
                <w:szCs w:val="22"/>
              </w:rPr>
            </w:pPr>
            <w:r w:rsidRPr="00225A1D">
              <w:rPr>
                <w:rFonts w:cs="Arial"/>
                <w:szCs w:val="22"/>
              </w:rPr>
              <w:t>7,482</w:t>
            </w:r>
          </w:p>
        </w:tc>
        <w:tc>
          <w:tcPr>
            <w:tcW w:w="1585" w:type="dxa"/>
          </w:tcPr>
          <w:p w:rsidR="009F6F3E" w:rsidRPr="00225A1D" w:rsidRDefault="009F6F3E" w:rsidP="009F6F3E">
            <w:pPr>
              <w:jc w:val="right"/>
              <w:rPr>
                <w:rFonts w:cs="Arial"/>
                <w:szCs w:val="22"/>
              </w:rPr>
            </w:pPr>
            <w:r w:rsidRPr="00225A1D">
              <w:rPr>
                <w:rFonts w:cs="Arial"/>
                <w:szCs w:val="22"/>
              </w:rPr>
              <w:t>11,129</w:t>
            </w:r>
          </w:p>
        </w:tc>
        <w:tc>
          <w:tcPr>
            <w:tcW w:w="1328" w:type="dxa"/>
          </w:tcPr>
          <w:p w:rsidR="009F6F3E" w:rsidRPr="00225A1D" w:rsidRDefault="009F6F3E" w:rsidP="009F6F3E">
            <w:pPr>
              <w:jc w:val="right"/>
              <w:rPr>
                <w:rFonts w:cs="Arial"/>
                <w:szCs w:val="22"/>
              </w:rPr>
            </w:pPr>
            <w:r w:rsidRPr="00225A1D">
              <w:rPr>
                <w:rFonts w:cs="Arial"/>
                <w:szCs w:val="22"/>
              </w:rPr>
              <w:t>95</w:t>
            </w:r>
          </w:p>
        </w:tc>
        <w:tc>
          <w:tcPr>
            <w:tcW w:w="981" w:type="dxa"/>
          </w:tcPr>
          <w:p w:rsidR="009F6F3E" w:rsidRPr="00225A1D" w:rsidRDefault="009F6F3E" w:rsidP="009F6F3E">
            <w:pPr>
              <w:jc w:val="right"/>
              <w:rPr>
                <w:rFonts w:cs="Arial"/>
                <w:szCs w:val="22"/>
              </w:rPr>
            </w:pPr>
            <w:r w:rsidRPr="00225A1D">
              <w:rPr>
                <w:rFonts w:cs="Arial"/>
                <w:szCs w:val="22"/>
              </w:rPr>
              <w:t>67</w:t>
            </w:r>
          </w:p>
        </w:tc>
        <w:tc>
          <w:tcPr>
            <w:tcW w:w="1377" w:type="dxa"/>
          </w:tcPr>
          <w:p w:rsidR="009F6F3E" w:rsidRPr="00225A1D" w:rsidRDefault="009F6F3E" w:rsidP="009F6F3E">
            <w:pPr>
              <w:widowControl/>
              <w:jc w:val="right"/>
              <w:rPr>
                <w:rFonts w:cs="Arial"/>
                <w:szCs w:val="22"/>
                <w:lang w:bidi="ar-SA"/>
              </w:rPr>
            </w:pPr>
            <w:r w:rsidRPr="00225A1D">
              <w:rPr>
                <w:rFonts w:cs="Arial"/>
                <w:szCs w:val="22"/>
                <w:lang w:bidi="ar-SA"/>
              </w:rPr>
              <w:t>26</w:t>
            </w:r>
          </w:p>
        </w:tc>
        <w:tc>
          <w:tcPr>
            <w:tcW w:w="1134" w:type="dxa"/>
          </w:tcPr>
          <w:p w:rsidR="009F6F3E" w:rsidRPr="00225A1D" w:rsidRDefault="009F6F3E" w:rsidP="009F6F3E">
            <w:pPr>
              <w:widowControl/>
              <w:jc w:val="right"/>
              <w:rPr>
                <w:rFonts w:cs="Arial"/>
                <w:szCs w:val="22"/>
                <w:lang w:bidi="ar-SA"/>
              </w:rPr>
            </w:pPr>
            <w:r w:rsidRPr="00225A1D">
              <w:rPr>
                <w:rFonts w:cs="Arial"/>
                <w:szCs w:val="22"/>
                <w:lang w:bidi="ar-SA"/>
              </w:rPr>
              <w:t>6</w:t>
            </w:r>
          </w:p>
        </w:tc>
        <w:tc>
          <w:tcPr>
            <w:tcW w:w="1275" w:type="dxa"/>
          </w:tcPr>
          <w:p w:rsidR="009F6F3E" w:rsidRPr="00225A1D" w:rsidRDefault="009F6F3E" w:rsidP="009F6F3E">
            <w:pPr>
              <w:widowControl/>
              <w:jc w:val="right"/>
              <w:rPr>
                <w:rFonts w:cs="Arial"/>
                <w:szCs w:val="22"/>
                <w:lang w:bidi="ar-SA"/>
              </w:rPr>
            </w:pPr>
            <w:r w:rsidRPr="00225A1D">
              <w:rPr>
                <w:rFonts w:cs="Arial"/>
                <w:szCs w:val="22"/>
                <w:lang w:bidi="ar-SA"/>
              </w:rPr>
              <w:t>53</w:t>
            </w:r>
          </w:p>
        </w:tc>
        <w:tc>
          <w:tcPr>
            <w:tcW w:w="1134" w:type="dxa"/>
          </w:tcPr>
          <w:p w:rsidR="009F6F3E" w:rsidRPr="00225A1D" w:rsidRDefault="009F6F3E" w:rsidP="009F6F3E">
            <w:pPr>
              <w:widowControl/>
              <w:jc w:val="right"/>
              <w:rPr>
                <w:rFonts w:cs="Arial"/>
                <w:szCs w:val="22"/>
                <w:lang w:bidi="ar-SA"/>
              </w:rPr>
            </w:pPr>
            <w:r w:rsidRPr="00225A1D">
              <w:rPr>
                <w:rFonts w:cs="Arial"/>
                <w:szCs w:val="22"/>
                <w:lang w:bidi="ar-SA"/>
              </w:rPr>
              <w:t>13</w:t>
            </w:r>
          </w:p>
        </w:tc>
      </w:tr>
      <w:tr w:rsidR="009F6F3E" w:rsidRPr="00225A1D" w:rsidTr="00663BED">
        <w:trPr>
          <w:trHeight w:val="779"/>
        </w:trPr>
        <w:tc>
          <w:tcPr>
            <w:tcW w:w="1126" w:type="dxa"/>
          </w:tcPr>
          <w:p w:rsidR="009F6F3E" w:rsidRPr="00225A1D" w:rsidRDefault="009F6F3E" w:rsidP="009F6F3E">
            <w:pPr>
              <w:jc w:val="center"/>
              <w:rPr>
                <w:rFonts w:cs="Arial"/>
                <w:szCs w:val="22"/>
              </w:rPr>
            </w:pPr>
            <w:r w:rsidRPr="00225A1D">
              <w:rPr>
                <w:rFonts w:cs="Arial"/>
                <w:szCs w:val="22"/>
              </w:rPr>
              <w:t>1997</w:t>
            </w:r>
          </w:p>
          <w:p w:rsidR="009F6F3E" w:rsidRPr="00225A1D" w:rsidRDefault="009F6F3E" w:rsidP="009F6F3E">
            <w:pPr>
              <w:jc w:val="center"/>
              <w:rPr>
                <w:rFonts w:cs="Arial"/>
                <w:szCs w:val="22"/>
              </w:rPr>
            </w:pPr>
            <w:r w:rsidRPr="00225A1D">
              <w:rPr>
                <w:rFonts w:cs="Arial"/>
                <w:szCs w:val="22"/>
              </w:rPr>
              <w:t>NZNNS</w:t>
            </w:r>
          </w:p>
        </w:tc>
        <w:tc>
          <w:tcPr>
            <w:tcW w:w="1045" w:type="dxa"/>
          </w:tcPr>
          <w:p w:rsidR="009F6F3E" w:rsidRPr="00225A1D" w:rsidRDefault="009F6F3E" w:rsidP="009F6F3E">
            <w:pPr>
              <w:jc w:val="center"/>
              <w:rPr>
                <w:rFonts w:cs="Arial"/>
                <w:szCs w:val="22"/>
              </w:rPr>
            </w:pPr>
            <w:r w:rsidRPr="00225A1D">
              <w:rPr>
                <w:rFonts w:cs="Arial"/>
                <w:szCs w:val="22"/>
              </w:rPr>
              <w:t>15+ years</w:t>
            </w:r>
          </w:p>
          <w:p w:rsidR="009F6F3E" w:rsidRPr="00225A1D" w:rsidRDefault="009F6F3E" w:rsidP="009F6F3E">
            <w:pPr>
              <w:jc w:val="center"/>
              <w:rPr>
                <w:rFonts w:cs="Arial"/>
                <w:szCs w:val="22"/>
              </w:rPr>
            </w:pPr>
          </w:p>
        </w:tc>
        <w:tc>
          <w:tcPr>
            <w:tcW w:w="1291" w:type="dxa"/>
          </w:tcPr>
          <w:p w:rsidR="009F6F3E" w:rsidRPr="00225A1D" w:rsidRDefault="009F6F3E" w:rsidP="009F6F3E">
            <w:pPr>
              <w:widowControl/>
              <w:jc w:val="right"/>
              <w:rPr>
                <w:rFonts w:cs="Arial"/>
                <w:szCs w:val="22"/>
                <w:lang w:bidi="ar-SA"/>
              </w:rPr>
            </w:pPr>
            <w:r w:rsidRPr="00225A1D">
              <w:rPr>
                <w:rFonts w:cs="Arial"/>
                <w:szCs w:val="22"/>
                <w:lang w:bidi="ar-SA"/>
              </w:rPr>
              <w:t>4,346</w:t>
            </w:r>
          </w:p>
        </w:tc>
        <w:tc>
          <w:tcPr>
            <w:tcW w:w="873" w:type="dxa"/>
          </w:tcPr>
          <w:p w:rsidR="009F6F3E" w:rsidRPr="00225A1D" w:rsidRDefault="009F6F3E" w:rsidP="009F6F3E">
            <w:pPr>
              <w:widowControl/>
              <w:jc w:val="right"/>
              <w:rPr>
                <w:rFonts w:cs="Arial"/>
                <w:szCs w:val="22"/>
                <w:lang w:bidi="ar-SA"/>
              </w:rPr>
            </w:pPr>
            <w:r w:rsidRPr="00225A1D">
              <w:rPr>
                <w:rFonts w:cs="Arial"/>
                <w:szCs w:val="22"/>
                <w:lang w:bidi="ar-SA"/>
              </w:rPr>
              <w:t>2,867</w:t>
            </w:r>
          </w:p>
        </w:tc>
        <w:tc>
          <w:tcPr>
            <w:tcW w:w="1585" w:type="dxa"/>
          </w:tcPr>
          <w:p w:rsidR="009F6F3E" w:rsidRPr="00225A1D" w:rsidRDefault="009F6F3E" w:rsidP="009F6F3E">
            <w:pPr>
              <w:jc w:val="right"/>
              <w:rPr>
                <w:rFonts w:cs="Arial"/>
                <w:szCs w:val="22"/>
              </w:rPr>
            </w:pPr>
            <w:r w:rsidRPr="00225A1D">
              <w:rPr>
                <w:rFonts w:cs="Arial"/>
                <w:szCs w:val="22"/>
              </w:rPr>
              <w:t>4,636</w:t>
            </w:r>
          </w:p>
        </w:tc>
        <w:tc>
          <w:tcPr>
            <w:tcW w:w="1328" w:type="dxa"/>
          </w:tcPr>
          <w:p w:rsidR="009F6F3E" w:rsidRPr="00225A1D" w:rsidRDefault="009F6F3E" w:rsidP="009F6F3E">
            <w:pPr>
              <w:widowControl/>
              <w:jc w:val="right"/>
              <w:rPr>
                <w:rFonts w:cs="Arial"/>
                <w:szCs w:val="22"/>
                <w:lang w:bidi="ar-SA"/>
              </w:rPr>
            </w:pPr>
            <w:r w:rsidRPr="00225A1D">
              <w:rPr>
                <w:rFonts w:cs="Arial"/>
                <w:szCs w:val="22"/>
                <w:lang w:bidi="ar-SA"/>
              </w:rPr>
              <w:t>94</w:t>
            </w:r>
          </w:p>
        </w:tc>
        <w:tc>
          <w:tcPr>
            <w:tcW w:w="981" w:type="dxa"/>
          </w:tcPr>
          <w:p w:rsidR="009F6F3E" w:rsidRPr="00225A1D" w:rsidRDefault="009F6F3E" w:rsidP="009F6F3E">
            <w:pPr>
              <w:widowControl/>
              <w:jc w:val="right"/>
              <w:rPr>
                <w:rFonts w:cs="Arial"/>
                <w:szCs w:val="22"/>
                <w:lang w:bidi="ar-SA"/>
              </w:rPr>
            </w:pPr>
            <w:r w:rsidRPr="00225A1D">
              <w:rPr>
                <w:rFonts w:cs="Arial"/>
                <w:szCs w:val="22"/>
                <w:lang w:bidi="ar-SA"/>
              </w:rPr>
              <w:t>62</w:t>
            </w:r>
          </w:p>
        </w:tc>
        <w:tc>
          <w:tcPr>
            <w:tcW w:w="1377" w:type="dxa"/>
          </w:tcPr>
          <w:p w:rsidR="009F6F3E" w:rsidRPr="00225A1D" w:rsidRDefault="009F6F3E" w:rsidP="009F6F3E">
            <w:pPr>
              <w:widowControl/>
              <w:jc w:val="right"/>
              <w:rPr>
                <w:rFonts w:cs="Arial"/>
                <w:szCs w:val="22"/>
                <w:lang w:bidi="ar-SA"/>
              </w:rPr>
            </w:pPr>
            <w:r w:rsidRPr="00225A1D">
              <w:rPr>
                <w:rFonts w:cs="Arial"/>
                <w:szCs w:val="22"/>
                <w:lang w:bidi="ar-SA"/>
              </w:rPr>
              <w:t>24</w:t>
            </w:r>
          </w:p>
        </w:tc>
        <w:tc>
          <w:tcPr>
            <w:tcW w:w="1134" w:type="dxa"/>
          </w:tcPr>
          <w:p w:rsidR="009F6F3E" w:rsidRPr="00225A1D" w:rsidRDefault="009F6F3E" w:rsidP="009F6F3E">
            <w:pPr>
              <w:widowControl/>
              <w:jc w:val="right"/>
              <w:rPr>
                <w:rFonts w:cs="Arial"/>
                <w:szCs w:val="22"/>
                <w:lang w:bidi="ar-SA"/>
              </w:rPr>
            </w:pPr>
            <w:r w:rsidRPr="00225A1D">
              <w:rPr>
                <w:rFonts w:cs="Arial"/>
                <w:szCs w:val="22"/>
                <w:lang w:bidi="ar-SA"/>
              </w:rPr>
              <w:t>4</w:t>
            </w:r>
          </w:p>
        </w:tc>
        <w:tc>
          <w:tcPr>
            <w:tcW w:w="1275" w:type="dxa"/>
          </w:tcPr>
          <w:p w:rsidR="009F6F3E" w:rsidRPr="00225A1D" w:rsidRDefault="009F6F3E" w:rsidP="009F6F3E">
            <w:pPr>
              <w:widowControl/>
              <w:jc w:val="right"/>
              <w:rPr>
                <w:rFonts w:cs="Arial"/>
                <w:szCs w:val="22"/>
                <w:lang w:bidi="ar-SA"/>
              </w:rPr>
            </w:pPr>
            <w:r w:rsidRPr="00225A1D">
              <w:rPr>
                <w:rFonts w:cs="Arial"/>
                <w:szCs w:val="22"/>
                <w:lang w:bidi="ar-SA"/>
              </w:rPr>
              <w:t>4</w:t>
            </w:r>
            <w:r w:rsidR="00E24FD3" w:rsidRPr="00225A1D">
              <w:rPr>
                <w:rFonts w:cs="Arial"/>
                <w:szCs w:val="22"/>
                <w:lang w:bidi="ar-SA"/>
              </w:rPr>
              <w:t>9</w:t>
            </w:r>
          </w:p>
        </w:tc>
        <w:tc>
          <w:tcPr>
            <w:tcW w:w="1134" w:type="dxa"/>
          </w:tcPr>
          <w:p w:rsidR="009F6F3E" w:rsidRPr="00225A1D" w:rsidRDefault="00E24FD3" w:rsidP="009F6F3E">
            <w:pPr>
              <w:widowControl/>
              <w:jc w:val="right"/>
              <w:rPr>
                <w:rFonts w:cs="Arial"/>
                <w:szCs w:val="22"/>
                <w:lang w:bidi="ar-SA"/>
              </w:rPr>
            </w:pPr>
            <w:r w:rsidRPr="00225A1D">
              <w:rPr>
                <w:rFonts w:cs="Arial"/>
                <w:szCs w:val="22"/>
                <w:lang w:bidi="ar-SA"/>
              </w:rPr>
              <w:t>10</w:t>
            </w:r>
          </w:p>
        </w:tc>
      </w:tr>
    </w:tbl>
    <w:p w:rsidR="009F6F3E" w:rsidRPr="00225A1D" w:rsidRDefault="009F6F3E" w:rsidP="009F6F3E">
      <w:pPr>
        <w:rPr>
          <w:rFonts w:cs="Arial"/>
          <w:b/>
          <w:szCs w:val="22"/>
        </w:rPr>
      </w:pPr>
    </w:p>
    <w:p w:rsidR="00E24FD3" w:rsidRPr="00225A1D" w:rsidRDefault="00E24FD3" w:rsidP="00F51EFB">
      <w:pPr>
        <w:rPr>
          <w:rFonts w:cs="Arial"/>
          <w:b/>
          <w:szCs w:val="22"/>
        </w:rPr>
      </w:pPr>
    </w:p>
    <w:p w:rsidR="00F51EFB" w:rsidRPr="000E422D" w:rsidRDefault="00F51EFB" w:rsidP="00F51EFB">
      <w:pPr>
        <w:rPr>
          <w:rFonts w:cs="Arial"/>
          <w:b/>
          <w:szCs w:val="22"/>
        </w:rPr>
      </w:pPr>
      <w:r w:rsidRPr="000E422D">
        <w:rPr>
          <w:rFonts w:cs="Arial"/>
          <w:b/>
          <w:szCs w:val="22"/>
        </w:rPr>
        <w:t xml:space="preserve">Table </w:t>
      </w:r>
      <w:r w:rsidR="009674A1" w:rsidRPr="000E422D">
        <w:rPr>
          <w:rFonts w:cs="Arial"/>
          <w:b/>
          <w:szCs w:val="22"/>
        </w:rPr>
        <w:t>A2</w:t>
      </w:r>
      <w:r w:rsidRPr="000E422D">
        <w:rPr>
          <w:rFonts w:cs="Arial"/>
          <w:b/>
          <w:szCs w:val="22"/>
        </w:rPr>
        <w:t>.</w:t>
      </w:r>
      <w:r w:rsidR="00E24FD3" w:rsidRPr="000E422D">
        <w:rPr>
          <w:rFonts w:cs="Arial"/>
          <w:b/>
          <w:szCs w:val="22"/>
        </w:rPr>
        <w:t>4</w:t>
      </w:r>
      <w:r w:rsidRPr="000E422D">
        <w:rPr>
          <w:rFonts w:cs="Arial"/>
          <w:b/>
          <w:szCs w:val="22"/>
        </w:rPr>
        <w:t xml:space="preserve">: </w:t>
      </w:r>
      <w:r w:rsidR="00E317F9">
        <w:rPr>
          <w:rFonts w:cs="Arial"/>
          <w:b/>
          <w:szCs w:val="22"/>
        </w:rPr>
        <w:t>Predicted</w:t>
      </w:r>
      <w:r w:rsidRPr="000E422D">
        <w:rPr>
          <w:rFonts w:cs="Arial"/>
          <w:b/>
          <w:szCs w:val="22"/>
        </w:rPr>
        <w:t xml:space="preserve"> dietary exposures </w:t>
      </w:r>
      <w:r w:rsidR="00996DAE" w:rsidRPr="000E422D">
        <w:rPr>
          <w:rFonts w:cs="Arial"/>
          <w:b/>
          <w:szCs w:val="22"/>
        </w:rPr>
        <w:t xml:space="preserve">for </w:t>
      </w:r>
      <w:r w:rsidR="00BF4616">
        <w:rPr>
          <w:rFonts w:cs="Arial"/>
          <w:b/>
          <w:szCs w:val="22"/>
        </w:rPr>
        <w:t xml:space="preserve">consumers of </w:t>
      </w:r>
      <w:r w:rsidR="00E3403B">
        <w:rPr>
          <w:rFonts w:cs="Arial"/>
          <w:b/>
          <w:szCs w:val="22"/>
        </w:rPr>
        <w:t>quillaia</w:t>
      </w:r>
      <w:r w:rsidR="00BF4616" w:rsidRPr="00225A1D">
        <w:rPr>
          <w:rFonts w:cs="Arial"/>
          <w:b/>
          <w:szCs w:val="22"/>
        </w:rPr>
        <w:t xml:space="preserve"> saponins </w:t>
      </w:r>
      <w:r w:rsidRPr="000E422D">
        <w:rPr>
          <w:rFonts w:cs="Arial"/>
          <w:b/>
          <w:szCs w:val="22"/>
        </w:rPr>
        <w:t xml:space="preserve">per kilogram of body weight and </w:t>
      </w:r>
      <w:r w:rsidR="00225A1D" w:rsidRPr="000E422D">
        <w:rPr>
          <w:rFonts w:cs="Arial"/>
          <w:b/>
          <w:szCs w:val="22"/>
        </w:rPr>
        <w:t>as a percentage of the ADI</w:t>
      </w:r>
      <w:r w:rsidRPr="000E422D">
        <w:rPr>
          <w:rFonts w:cs="Arial"/>
          <w:b/>
          <w:szCs w:val="22"/>
        </w:rPr>
        <w:t xml:space="preserve"> </w:t>
      </w:r>
      <w:r w:rsidR="00E317F9">
        <w:rPr>
          <w:rFonts w:cs="Arial"/>
          <w:b/>
          <w:szCs w:val="22"/>
        </w:rPr>
        <w:t>–</w:t>
      </w:r>
      <w:r w:rsidR="00225A1D" w:rsidRPr="000E422D">
        <w:rPr>
          <w:rFonts w:cs="Arial"/>
          <w:b/>
          <w:szCs w:val="22"/>
        </w:rPr>
        <w:t xml:space="preserve"> </w:t>
      </w:r>
      <w:r w:rsidR="00E317F9">
        <w:rPr>
          <w:rFonts w:cs="Arial"/>
          <w:b/>
          <w:szCs w:val="22"/>
        </w:rPr>
        <w:t>Modified c</w:t>
      </w:r>
      <w:r w:rsidR="00225A1D" w:rsidRPr="000E422D">
        <w:rPr>
          <w:rFonts w:cs="Arial"/>
          <w:b/>
          <w:szCs w:val="22"/>
        </w:rPr>
        <w:t>onsumer behaviour approach</w:t>
      </w:r>
    </w:p>
    <w:p w:rsidR="00E24FD3" w:rsidRPr="000E422D" w:rsidRDefault="00E24FD3" w:rsidP="00E24FD3">
      <w:pPr>
        <w:rPr>
          <w:rFonts w:cs="Arial"/>
          <w:szCs w:val="22"/>
        </w:rPr>
      </w:pPr>
    </w:p>
    <w:tbl>
      <w:tblPr>
        <w:tblStyle w:val="TableGrid"/>
        <w:tblW w:w="13249" w:type="dxa"/>
        <w:tblLayout w:type="fixed"/>
        <w:tblLook w:val="04A0" w:firstRow="1" w:lastRow="0" w:firstColumn="1" w:lastColumn="0" w:noHBand="0" w:noVBand="1"/>
      </w:tblPr>
      <w:tblGrid>
        <w:gridCol w:w="1351"/>
        <w:gridCol w:w="1586"/>
        <w:gridCol w:w="1409"/>
        <w:gridCol w:w="939"/>
        <w:gridCol w:w="1409"/>
        <w:gridCol w:w="1096"/>
        <w:gridCol w:w="1566"/>
        <w:gridCol w:w="1096"/>
        <w:gridCol w:w="1565"/>
        <w:gridCol w:w="1232"/>
      </w:tblGrid>
      <w:tr w:rsidR="00E24FD3" w:rsidRPr="000E422D" w:rsidTr="0040374B">
        <w:trPr>
          <w:trHeight w:val="544"/>
        </w:trPr>
        <w:tc>
          <w:tcPr>
            <w:tcW w:w="1351" w:type="dxa"/>
            <w:vMerge w:val="restart"/>
          </w:tcPr>
          <w:p w:rsidR="00E24FD3" w:rsidRPr="000E422D" w:rsidRDefault="00E24FD3" w:rsidP="006A3FB3">
            <w:pPr>
              <w:jc w:val="center"/>
              <w:rPr>
                <w:rFonts w:cs="Arial"/>
                <w:b/>
                <w:szCs w:val="22"/>
              </w:rPr>
            </w:pPr>
          </w:p>
          <w:p w:rsidR="00E24FD3" w:rsidRPr="000E422D" w:rsidRDefault="00E24FD3" w:rsidP="006A3FB3">
            <w:pPr>
              <w:jc w:val="center"/>
              <w:rPr>
                <w:rFonts w:cs="Arial"/>
                <w:b/>
                <w:szCs w:val="22"/>
              </w:rPr>
            </w:pPr>
            <w:r w:rsidRPr="000E422D">
              <w:rPr>
                <w:rFonts w:cs="Arial"/>
                <w:b/>
                <w:szCs w:val="22"/>
              </w:rPr>
              <w:t>Survey</w:t>
            </w:r>
          </w:p>
        </w:tc>
        <w:tc>
          <w:tcPr>
            <w:tcW w:w="1586" w:type="dxa"/>
            <w:vMerge w:val="restart"/>
          </w:tcPr>
          <w:p w:rsidR="00E24FD3" w:rsidRPr="000E422D" w:rsidRDefault="00E24FD3" w:rsidP="006A3FB3">
            <w:pPr>
              <w:jc w:val="center"/>
              <w:rPr>
                <w:rFonts w:cs="Arial"/>
                <w:b/>
                <w:szCs w:val="22"/>
              </w:rPr>
            </w:pPr>
          </w:p>
          <w:p w:rsidR="00E24FD3" w:rsidRPr="000E422D" w:rsidRDefault="00E24FD3" w:rsidP="006A3FB3">
            <w:pPr>
              <w:jc w:val="center"/>
              <w:rPr>
                <w:rFonts w:cs="Arial"/>
                <w:b/>
                <w:szCs w:val="22"/>
              </w:rPr>
            </w:pPr>
            <w:r w:rsidRPr="000E422D">
              <w:rPr>
                <w:rFonts w:cs="Arial"/>
                <w:b/>
                <w:szCs w:val="22"/>
              </w:rPr>
              <w:t>Age group</w:t>
            </w:r>
          </w:p>
        </w:tc>
        <w:tc>
          <w:tcPr>
            <w:tcW w:w="4853" w:type="dxa"/>
            <w:gridSpan w:val="4"/>
          </w:tcPr>
          <w:p w:rsidR="00E24FD3" w:rsidRPr="000E422D" w:rsidRDefault="00E24FD3" w:rsidP="00E24FD3">
            <w:pPr>
              <w:rPr>
                <w:rFonts w:cs="Arial"/>
                <w:b/>
                <w:szCs w:val="22"/>
              </w:rPr>
            </w:pPr>
            <w:r w:rsidRPr="000E422D">
              <w:rPr>
                <w:rFonts w:cs="Arial"/>
                <w:b/>
                <w:szCs w:val="22"/>
              </w:rPr>
              <w:t xml:space="preserve">Dietary exposure (mg/kg </w:t>
            </w:r>
            <w:r w:rsidR="00E92912">
              <w:rPr>
                <w:rFonts w:cs="Arial"/>
                <w:b/>
                <w:szCs w:val="22"/>
              </w:rPr>
              <w:t>bw</w:t>
            </w:r>
            <w:r w:rsidRPr="000E422D">
              <w:rPr>
                <w:rFonts w:cs="Arial"/>
                <w:b/>
                <w:szCs w:val="22"/>
              </w:rPr>
              <w:t>/day)</w:t>
            </w:r>
          </w:p>
        </w:tc>
        <w:tc>
          <w:tcPr>
            <w:tcW w:w="5458" w:type="dxa"/>
            <w:gridSpan w:val="4"/>
          </w:tcPr>
          <w:p w:rsidR="00E24FD3" w:rsidRPr="000E422D" w:rsidRDefault="00E24FD3" w:rsidP="00E24FD3">
            <w:pPr>
              <w:rPr>
                <w:rFonts w:cs="Arial"/>
                <w:b/>
                <w:szCs w:val="22"/>
              </w:rPr>
            </w:pPr>
            <w:r w:rsidRPr="000E422D">
              <w:rPr>
                <w:rFonts w:cs="Arial"/>
                <w:b/>
                <w:szCs w:val="22"/>
              </w:rPr>
              <w:t xml:space="preserve">Dietary exposure </w:t>
            </w:r>
            <w:r w:rsidR="00342987">
              <w:rPr>
                <w:rFonts w:cs="Arial"/>
                <w:b/>
                <w:szCs w:val="22"/>
              </w:rPr>
              <w:t>%</w:t>
            </w:r>
            <w:r w:rsidR="00B740BC">
              <w:rPr>
                <w:rFonts w:cs="Arial"/>
                <w:b/>
                <w:szCs w:val="22"/>
              </w:rPr>
              <w:t xml:space="preserve"> </w:t>
            </w:r>
            <w:r w:rsidR="00342987">
              <w:rPr>
                <w:rFonts w:cs="Arial"/>
                <w:b/>
                <w:szCs w:val="22"/>
              </w:rPr>
              <w:t xml:space="preserve">ADI </w:t>
            </w:r>
            <w:r w:rsidRPr="000E422D">
              <w:rPr>
                <w:rFonts w:cs="Arial"/>
                <w:b/>
                <w:szCs w:val="22"/>
              </w:rPr>
              <w:t>(ADI = 1 mg/kg bw)</w:t>
            </w:r>
          </w:p>
        </w:tc>
      </w:tr>
      <w:tr w:rsidR="00E24FD3" w:rsidRPr="000E422D" w:rsidTr="0040374B">
        <w:trPr>
          <w:trHeight w:val="69"/>
        </w:trPr>
        <w:tc>
          <w:tcPr>
            <w:tcW w:w="1351" w:type="dxa"/>
            <w:vMerge/>
          </w:tcPr>
          <w:p w:rsidR="00E24FD3" w:rsidRPr="000E422D" w:rsidRDefault="00E24FD3" w:rsidP="006A3FB3">
            <w:pPr>
              <w:jc w:val="center"/>
              <w:rPr>
                <w:rFonts w:cs="Arial"/>
                <w:szCs w:val="22"/>
              </w:rPr>
            </w:pPr>
          </w:p>
        </w:tc>
        <w:tc>
          <w:tcPr>
            <w:tcW w:w="1586" w:type="dxa"/>
            <w:vMerge/>
          </w:tcPr>
          <w:p w:rsidR="00E24FD3" w:rsidRPr="000E422D" w:rsidRDefault="00E24FD3" w:rsidP="006A3FB3">
            <w:pPr>
              <w:jc w:val="center"/>
              <w:rPr>
                <w:rFonts w:cs="Arial"/>
                <w:szCs w:val="22"/>
              </w:rPr>
            </w:pPr>
          </w:p>
        </w:tc>
        <w:tc>
          <w:tcPr>
            <w:tcW w:w="2348" w:type="dxa"/>
            <w:gridSpan w:val="2"/>
          </w:tcPr>
          <w:p w:rsidR="00E24FD3" w:rsidRPr="000E422D" w:rsidRDefault="00E24FD3" w:rsidP="006A3FB3">
            <w:pPr>
              <w:jc w:val="center"/>
              <w:rPr>
                <w:rFonts w:cs="Arial"/>
                <w:b/>
                <w:szCs w:val="22"/>
              </w:rPr>
            </w:pPr>
            <w:r w:rsidRPr="000E422D">
              <w:rPr>
                <w:rFonts w:cs="Arial"/>
                <w:b/>
                <w:szCs w:val="22"/>
              </w:rPr>
              <w:t>Mean</w:t>
            </w:r>
          </w:p>
        </w:tc>
        <w:tc>
          <w:tcPr>
            <w:tcW w:w="2505" w:type="dxa"/>
            <w:gridSpan w:val="2"/>
          </w:tcPr>
          <w:p w:rsidR="00E24FD3" w:rsidRPr="000E422D" w:rsidRDefault="00E24FD3" w:rsidP="006A3FB3">
            <w:pPr>
              <w:jc w:val="center"/>
              <w:rPr>
                <w:rFonts w:cs="Arial"/>
                <w:b/>
                <w:szCs w:val="22"/>
              </w:rPr>
            </w:pPr>
            <w:r w:rsidRPr="000E422D">
              <w:rPr>
                <w:rFonts w:cs="Arial"/>
                <w:b/>
                <w:szCs w:val="22"/>
              </w:rPr>
              <w:t>P90</w:t>
            </w:r>
          </w:p>
        </w:tc>
        <w:tc>
          <w:tcPr>
            <w:tcW w:w="2661" w:type="dxa"/>
            <w:gridSpan w:val="2"/>
          </w:tcPr>
          <w:p w:rsidR="00E24FD3" w:rsidRPr="000E422D" w:rsidRDefault="00E24FD3" w:rsidP="006A3FB3">
            <w:pPr>
              <w:jc w:val="center"/>
              <w:rPr>
                <w:rFonts w:cs="Arial"/>
                <w:b/>
                <w:szCs w:val="22"/>
              </w:rPr>
            </w:pPr>
            <w:r w:rsidRPr="000E422D">
              <w:rPr>
                <w:rFonts w:cs="Arial"/>
                <w:b/>
                <w:szCs w:val="22"/>
              </w:rPr>
              <w:t>Mean</w:t>
            </w:r>
          </w:p>
        </w:tc>
        <w:tc>
          <w:tcPr>
            <w:tcW w:w="2797" w:type="dxa"/>
            <w:gridSpan w:val="2"/>
          </w:tcPr>
          <w:p w:rsidR="00E24FD3" w:rsidRPr="000E422D" w:rsidRDefault="00E24FD3" w:rsidP="006A3FB3">
            <w:pPr>
              <w:jc w:val="center"/>
              <w:rPr>
                <w:rFonts w:cs="Arial"/>
                <w:b/>
                <w:szCs w:val="22"/>
              </w:rPr>
            </w:pPr>
            <w:r w:rsidRPr="000E422D">
              <w:rPr>
                <w:rFonts w:cs="Arial"/>
                <w:b/>
                <w:szCs w:val="22"/>
              </w:rPr>
              <w:t>P90</w:t>
            </w:r>
          </w:p>
        </w:tc>
      </w:tr>
      <w:tr w:rsidR="00E24FD3" w:rsidRPr="000E422D" w:rsidTr="0040374B">
        <w:trPr>
          <w:trHeight w:val="652"/>
        </w:trPr>
        <w:tc>
          <w:tcPr>
            <w:tcW w:w="1351" w:type="dxa"/>
            <w:vMerge/>
          </w:tcPr>
          <w:p w:rsidR="00E24FD3" w:rsidRPr="000E422D" w:rsidRDefault="00E24FD3" w:rsidP="006A3FB3">
            <w:pPr>
              <w:jc w:val="center"/>
              <w:rPr>
                <w:rFonts w:cs="Arial"/>
                <w:szCs w:val="22"/>
              </w:rPr>
            </w:pPr>
          </w:p>
        </w:tc>
        <w:tc>
          <w:tcPr>
            <w:tcW w:w="1586" w:type="dxa"/>
            <w:vMerge/>
          </w:tcPr>
          <w:p w:rsidR="00E24FD3" w:rsidRPr="000E422D" w:rsidRDefault="00E24FD3" w:rsidP="006A3FB3">
            <w:pPr>
              <w:jc w:val="center"/>
              <w:rPr>
                <w:rFonts w:cs="Arial"/>
                <w:szCs w:val="22"/>
              </w:rPr>
            </w:pPr>
          </w:p>
        </w:tc>
        <w:tc>
          <w:tcPr>
            <w:tcW w:w="1409" w:type="dxa"/>
          </w:tcPr>
          <w:p w:rsidR="00E24FD3" w:rsidRPr="000E422D" w:rsidRDefault="00E24FD3" w:rsidP="006A3FB3">
            <w:pPr>
              <w:jc w:val="center"/>
              <w:rPr>
                <w:rFonts w:cs="Arial"/>
                <w:b/>
                <w:szCs w:val="22"/>
              </w:rPr>
            </w:pPr>
            <w:r w:rsidRPr="000E422D">
              <w:rPr>
                <w:rFonts w:cs="Arial"/>
                <w:b/>
                <w:szCs w:val="22"/>
              </w:rPr>
              <w:t>Maximum MPL</w:t>
            </w:r>
          </w:p>
        </w:tc>
        <w:tc>
          <w:tcPr>
            <w:tcW w:w="939" w:type="dxa"/>
          </w:tcPr>
          <w:p w:rsidR="00E24FD3" w:rsidRPr="000E422D" w:rsidRDefault="00E24FD3" w:rsidP="006A3FB3">
            <w:pPr>
              <w:jc w:val="center"/>
              <w:rPr>
                <w:rFonts w:cs="Arial"/>
                <w:b/>
                <w:szCs w:val="22"/>
              </w:rPr>
            </w:pPr>
            <w:r w:rsidRPr="000E422D">
              <w:rPr>
                <w:rFonts w:cs="Arial"/>
                <w:b/>
                <w:szCs w:val="22"/>
              </w:rPr>
              <w:t>Zero MPL</w:t>
            </w:r>
          </w:p>
        </w:tc>
        <w:tc>
          <w:tcPr>
            <w:tcW w:w="1409" w:type="dxa"/>
          </w:tcPr>
          <w:p w:rsidR="00E24FD3" w:rsidRPr="000E422D" w:rsidRDefault="00E24FD3" w:rsidP="006A3FB3">
            <w:pPr>
              <w:jc w:val="center"/>
              <w:rPr>
                <w:rFonts w:cs="Arial"/>
                <w:b/>
                <w:szCs w:val="22"/>
              </w:rPr>
            </w:pPr>
            <w:r w:rsidRPr="000E422D">
              <w:rPr>
                <w:rFonts w:cs="Arial"/>
                <w:b/>
                <w:szCs w:val="22"/>
              </w:rPr>
              <w:t>Maximum MPL</w:t>
            </w:r>
          </w:p>
        </w:tc>
        <w:tc>
          <w:tcPr>
            <w:tcW w:w="1096" w:type="dxa"/>
          </w:tcPr>
          <w:p w:rsidR="00E24FD3" w:rsidRPr="000E422D" w:rsidRDefault="00E24FD3" w:rsidP="006A3FB3">
            <w:pPr>
              <w:jc w:val="center"/>
              <w:rPr>
                <w:rFonts w:cs="Arial"/>
                <w:b/>
                <w:szCs w:val="22"/>
              </w:rPr>
            </w:pPr>
            <w:r w:rsidRPr="000E422D">
              <w:rPr>
                <w:rFonts w:cs="Arial"/>
                <w:b/>
                <w:szCs w:val="22"/>
              </w:rPr>
              <w:t>Zero MPL</w:t>
            </w:r>
          </w:p>
        </w:tc>
        <w:tc>
          <w:tcPr>
            <w:tcW w:w="1566" w:type="dxa"/>
          </w:tcPr>
          <w:p w:rsidR="00E24FD3" w:rsidRPr="000E422D" w:rsidRDefault="00E24FD3" w:rsidP="006A3FB3">
            <w:pPr>
              <w:jc w:val="center"/>
              <w:rPr>
                <w:rFonts w:cs="Arial"/>
                <w:b/>
                <w:szCs w:val="22"/>
              </w:rPr>
            </w:pPr>
            <w:r w:rsidRPr="000E422D">
              <w:rPr>
                <w:rFonts w:cs="Arial"/>
                <w:b/>
                <w:szCs w:val="22"/>
              </w:rPr>
              <w:t>Maximum MPL</w:t>
            </w:r>
          </w:p>
        </w:tc>
        <w:tc>
          <w:tcPr>
            <w:tcW w:w="1096" w:type="dxa"/>
          </w:tcPr>
          <w:p w:rsidR="00E24FD3" w:rsidRPr="000E422D" w:rsidRDefault="00E24FD3" w:rsidP="006A3FB3">
            <w:pPr>
              <w:jc w:val="center"/>
              <w:rPr>
                <w:rFonts w:cs="Arial"/>
                <w:b/>
                <w:szCs w:val="22"/>
              </w:rPr>
            </w:pPr>
            <w:r w:rsidRPr="000E422D">
              <w:rPr>
                <w:rFonts w:cs="Arial"/>
                <w:b/>
                <w:szCs w:val="22"/>
              </w:rPr>
              <w:t>Zero MPL</w:t>
            </w:r>
          </w:p>
        </w:tc>
        <w:tc>
          <w:tcPr>
            <w:tcW w:w="1565" w:type="dxa"/>
          </w:tcPr>
          <w:p w:rsidR="00E24FD3" w:rsidRPr="000E422D" w:rsidRDefault="00E24FD3" w:rsidP="006A3FB3">
            <w:pPr>
              <w:jc w:val="center"/>
              <w:rPr>
                <w:rFonts w:cs="Arial"/>
                <w:b/>
                <w:szCs w:val="22"/>
              </w:rPr>
            </w:pPr>
            <w:r w:rsidRPr="000E422D">
              <w:rPr>
                <w:rFonts w:cs="Arial"/>
                <w:b/>
                <w:szCs w:val="22"/>
              </w:rPr>
              <w:t>Maximum MPL</w:t>
            </w:r>
          </w:p>
        </w:tc>
        <w:tc>
          <w:tcPr>
            <w:tcW w:w="1232" w:type="dxa"/>
          </w:tcPr>
          <w:p w:rsidR="00E24FD3" w:rsidRPr="000E422D" w:rsidRDefault="00E24FD3" w:rsidP="006A3FB3">
            <w:pPr>
              <w:jc w:val="center"/>
              <w:rPr>
                <w:rFonts w:cs="Arial"/>
                <w:b/>
                <w:szCs w:val="22"/>
              </w:rPr>
            </w:pPr>
            <w:r w:rsidRPr="000E422D">
              <w:rPr>
                <w:rFonts w:cs="Arial"/>
                <w:b/>
                <w:szCs w:val="22"/>
              </w:rPr>
              <w:t>Zero MPL</w:t>
            </w:r>
          </w:p>
        </w:tc>
      </w:tr>
      <w:tr w:rsidR="00E24FD3" w:rsidRPr="000E422D" w:rsidTr="0040374B">
        <w:trPr>
          <w:trHeight w:val="612"/>
        </w:trPr>
        <w:tc>
          <w:tcPr>
            <w:tcW w:w="1351" w:type="dxa"/>
          </w:tcPr>
          <w:p w:rsidR="00E24FD3" w:rsidRPr="000E422D" w:rsidRDefault="00E24FD3" w:rsidP="006A3FB3">
            <w:pPr>
              <w:jc w:val="center"/>
              <w:rPr>
                <w:rFonts w:cs="Arial"/>
                <w:szCs w:val="22"/>
              </w:rPr>
            </w:pPr>
            <w:r w:rsidRPr="000E422D">
              <w:rPr>
                <w:rFonts w:cs="Arial"/>
                <w:szCs w:val="22"/>
              </w:rPr>
              <w:t>1995</w:t>
            </w:r>
          </w:p>
          <w:p w:rsidR="00E24FD3" w:rsidRPr="000E422D" w:rsidRDefault="00E24FD3" w:rsidP="006A3FB3">
            <w:pPr>
              <w:jc w:val="center"/>
              <w:rPr>
                <w:rFonts w:cs="Arial"/>
                <w:szCs w:val="22"/>
              </w:rPr>
            </w:pPr>
            <w:r w:rsidRPr="000E422D">
              <w:rPr>
                <w:rFonts w:cs="Arial"/>
                <w:szCs w:val="22"/>
              </w:rPr>
              <w:t>AusNNS</w:t>
            </w:r>
          </w:p>
        </w:tc>
        <w:tc>
          <w:tcPr>
            <w:tcW w:w="1586" w:type="dxa"/>
          </w:tcPr>
          <w:p w:rsidR="00E24FD3" w:rsidRPr="000E422D" w:rsidRDefault="00E24FD3" w:rsidP="006A3FB3">
            <w:pPr>
              <w:jc w:val="center"/>
              <w:rPr>
                <w:rFonts w:cs="Arial"/>
                <w:szCs w:val="22"/>
              </w:rPr>
            </w:pPr>
            <w:r w:rsidRPr="000E422D">
              <w:rPr>
                <w:rFonts w:cs="Arial"/>
                <w:szCs w:val="22"/>
              </w:rPr>
              <w:t>17+ years</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0.36</w:t>
            </w:r>
          </w:p>
        </w:tc>
        <w:tc>
          <w:tcPr>
            <w:tcW w:w="939" w:type="dxa"/>
          </w:tcPr>
          <w:p w:rsidR="00E24FD3" w:rsidRPr="000E422D" w:rsidRDefault="00E24FD3" w:rsidP="006A3FB3">
            <w:pPr>
              <w:widowControl/>
              <w:jc w:val="right"/>
              <w:rPr>
                <w:rFonts w:cs="Arial"/>
                <w:szCs w:val="22"/>
                <w:lang w:bidi="ar-SA"/>
              </w:rPr>
            </w:pPr>
            <w:r w:rsidRPr="000E422D">
              <w:rPr>
                <w:rFonts w:cs="Arial"/>
                <w:szCs w:val="22"/>
                <w:lang w:bidi="ar-SA"/>
              </w:rPr>
              <w:t>0.08</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0.73</w:t>
            </w:r>
          </w:p>
        </w:tc>
        <w:tc>
          <w:tcPr>
            <w:tcW w:w="1096" w:type="dxa"/>
          </w:tcPr>
          <w:p w:rsidR="00E24FD3" w:rsidRPr="000E422D" w:rsidRDefault="00E24FD3" w:rsidP="006A3FB3">
            <w:pPr>
              <w:widowControl/>
              <w:jc w:val="right"/>
              <w:rPr>
                <w:rFonts w:cs="Arial"/>
                <w:szCs w:val="22"/>
                <w:lang w:bidi="ar-SA"/>
              </w:rPr>
            </w:pPr>
            <w:r w:rsidRPr="000E422D">
              <w:rPr>
                <w:rFonts w:cs="Arial"/>
                <w:szCs w:val="22"/>
                <w:lang w:bidi="ar-SA"/>
              </w:rPr>
              <w:t>0.18</w:t>
            </w:r>
          </w:p>
        </w:tc>
        <w:tc>
          <w:tcPr>
            <w:tcW w:w="1566" w:type="dxa"/>
          </w:tcPr>
          <w:p w:rsidR="00E24FD3" w:rsidRPr="000E422D" w:rsidRDefault="00E24FD3" w:rsidP="00E24FD3">
            <w:pPr>
              <w:widowControl/>
              <w:jc w:val="right"/>
              <w:rPr>
                <w:rFonts w:cs="Arial"/>
                <w:szCs w:val="22"/>
                <w:lang w:bidi="ar-SA"/>
              </w:rPr>
            </w:pPr>
            <w:r w:rsidRPr="000E422D">
              <w:rPr>
                <w:rFonts w:cs="Arial"/>
                <w:szCs w:val="22"/>
                <w:lang w:bidi="ar-SA"/>
              </w:rPr>
              <w:t>36</w:t>
            </w:r>
          </w:p>
        </w:tc>
        <w:tc>
          <w:tcPr>
            <w:tcW w:w="1096" w:type="dxa"/>
          </w:tcPr>
          <w:p w:rsidR="00E24FD3" w:rsidRPr="000E422D" w:rsidRDefault="00E24FD3" w:rsidP="00E24FD3">
            <w:pPr>
              <w:widowControl/>
              <w:jc w:val="right"/>
              <w:rPr>
                <w:rFonts w:cs="Arial"/>
                <w:szCs w:val="22"/>
                <w:lang w:bidi="ar-SA"/>
              </w:rPr>
            </w:pPr>
            <w:r w:rsidRPr="000E422D">
              <w:rPr>
                <w:rFonts w:cs="Arial"/>
                <w:szCs w:val="22"/>
                <w:lang w:bidi="ar-SA"/>
              </w:rPr>
              <w:t>8</w:t>
            </w:r>
          </w:p>
        </w:tc>
        <w:tc>
          <w:tcPr>
            <w:tcW w:w="1565" w:type="dxa"/>
          </w:tcPr>
          <w:p w:rsidR="00E24FD3" w:rsidRPr="000E422D" w:rsidRDefault="00E24FD3" w:rsidP="006A3FB3">
            <w:pPr>
              <w:widowControl/>
              <w:jc w:val="right"/>
              <w:rPr>
                <w:rFonts w:cs="Arial"/>
                <w:szCs w:val="22"/>
                <w:lang w:bidi="ar-SA"/>
              </w:rPr>
            </w:pPr>
            <w:r w:rsidRPr="000E422D">
              <w:rPr>
                <w:rFonts w:cs="Arial"/>
                <w:szCs w:val="22"/>
                <w:lang w:bidi="ar-SA"/>
              </w:rPr>
              <w:t>73</w:t>
            </w:r>
          </w:p>
        </w:tc>
        <w:tc>
          <w:tcPr>
            <w:tcW w:w="1232" w:type="dxa"/>
          </w:tcPr>
          <w:p w:rsidR="00E24FD3" w:rsidRPr="000E422D" w:rsidRDefault="00E24FD3" w:rsidP="006A3FB3">
            <w:pPr>
              <w:widowControl/>
              <w:jc w:val="right"/>
              <w:rPr>
                <w:rFonts w:cs="Arial"/>
                <w:szCs w:val="22"/>
                <w:lang w:bidi="ar-SA"/>
              </w:rPr>
            </w:pPr>
            <w:r w:rsidRPr="000E422D">
              <w:rPr>
                <w:rFonts w:cs="Arial"/>
                <w:szCs w:val="22"/>
                <w:lang w:bidi="ar-SA"/>
              </w:rPr>
              <w:t>18</w:t>
            </w:r>
          </w:p>
        </w:tc>
      </w:tr>
      <w:tr w:rsidR="00E24FD3" w:rsidRPr="000E422D" w:rsidTr="0040374B">
        <w:trPr>
          <w:trHeight w:val="635"/>
        </w:trPr>
        <w:tc>
          <w:tcPr>
            <w:tcW w:w="1351" w:type="dxa"/>
          </w:tcPr>
          <w:p w:rsidR="00E24FD3" w:rsidRPr="000E422D" w:rsidRDefault="00E24FD3" w:rsidP="006A3FB3">
            <w:pPr>
              <w:jc w:val="center"/>
              <w:rPr>
                <w:rFonts w:cs="Arial"/>
                <w:szCs w:val="22"/>
              </w:rPr>
            </w:pPr>
            <w:r w:rsidRPr="000E422D">
              <w:rPr>
                <w:rFonts w:cs="Arial"/>
                <w:szCs w:val="22"/>
              </w:rPr>
              <w:t>1997</w:t>
            </w:r>
          </w:p>
          <w:p w:rsidR="00E24FD3" w:rsidRPr="000E422D" w:rsidRDefault="00E24FD3" w:rsidP="006A3FB3">
            <w:pPr>
              <w:jc w:val="center"/>
              <w:rPr>
                <w:rFonts w:cs="Arial"/>
                <w:szCs w:val="22"/>
              </w:rPr>
            </w:pPr>
            <w:r w:rsidRPr="000E422D">
              <w:rPr>
                <w:rFonts w:cs="Arial"/>
                <w:szCs w:val="22"/>
              </w:rPr>
              <w:t>NZNNS</w:t>
            </w:r>
          </w:p>
        </w:tc>
        <w:tc>
          <w:tcPr>
            <w:tcW w:w="1586" w:type="dxa"/>
          </w:tcPr>
          <w:p w:rsidR="00E24FD3" w:rsidRPr="000E422D" w:rsidRDefault="00E24FD3" w:rsidP="006A3FB3">
            <w:pPr>
              <w:jc w:val="center"/>
              <w:rPr>
                <w:rFonts w:cs="Arial"/>
                <w:szCs w:val="22"/>
              </w:rPr>
            </w:pPr>
            <w:r w:rsidRPr="000E422D">
              <w:rPr>
                <w:rFonts w:cs="Arial"/>
                <w:szCs w:val="22"/>
              </w:rPr>
              <w:t>15+ years</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0.33</w:t>
            </w:r>
          </w:p>
        </w:tc>
        <w:tc>
          <w:tcPr>
            <w:tcW w:w="939" w:type="dxa"/>
          </w:tcPr>
          <w:p w:rsidR="00E24FD3" w:rsidRPr="000E422D" w:rsidRDefault="00E24FD3" w:rsidP="006A3FB3">
            <w:pPr>
              <w:widowControl/>
              <w:jc w:val="right"/>
              <w:rPr>
                <w:rFonts w:cs="Arial"/>
                <w:szCs w:val="22"/>
                <w:lang w:bidi="ar-SA"/>
              </w:rPr>
            </w:pPr>
            <w:r w:rsidRPr="000E422D">
              <w:rPr>
                <w:rFonts w:cs="Arial"/>
                <w:szCs w:val="22"/>
                <w:lang w:bidi="ar-SA"/>
              </w:rPr>
              <w:t>0.06</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0.67</w:t>
            </w:r>
          </w:p>
        </w:tc>
        <w:tc>
          <w:tcPr>
            <w:tcW w:w="1096" w:type="dxa"/>
          </w:tcPr>
          <w:p w:rsidR="00E24FD3" w:rsidRPr="000E422D" w:rsidRDefault="00E24FD3" w:rsidP="006A3FB3">
            <w:pPr>
              <w:widowControl/>
              <w:jc w:val="right"/>
              <w:rPr>
                <w:rFonts w:cs="Arial"/>
                <w:szCs w:val="22"/>
                <w:lang w:bidi="ar-SA"/>
              </w:rPr>
            </w:pPr>
            <w:r w:rsidRPr="000E422D">
              <w:rPr>
                <w:rFonts w:cs="Arial"/>
                <w:szCs w:val="22"/>
                <w:lang w:bidi="ar-SA"/>
              </w:rPr>
              <w:t>0.13</w:t>
            </w:r>
          </w:p>
        </w:tc>
        <w:tc>
          <w:tcPr>
            <w:tcW w:w="1566" w:type="dxa"/>
          </w:tcPr>
          <w:p w:rsidR="00E24FD3" w:rsidRPr="000E422D" w:rsidRDefault="00E24FD3" w:rsidP="006A3FB3">
            <w:pPr>
              <w:widowControl/>
              <w:jc w:val="right"/>
              <w:rPr>
                <w:rFonts w:cs="Arial"/>
                <w:szCs w:val="22"/>
                <w:lang w:bidi="ar-SA"/>
              </w:rPr>
            </w:pPr>
            <w:r w:rsidRPr="000E422D">
              <w:rPr>
                <w:rFonts w:cs="Arial"/>
                <w:szCs w:val="22"/>
                <w:lang w:bidi="ar-SA"/>
              </w:rPr>
              <w:t>33</w:t>
            </w:r>
          </w:p>
        </w:tc>
        <w:tc>
          <w:tcPr>
            <w:tcW w:w="1096" w:type="dxa"/>
          </w:tcPr>
          <w:p w:rsidR="00E24FD3" w:rsidRPr="000E422D" w:rsidRDefault="00E24FD3" w:rsidP="00E24FD3">
            <w:pPr>
              <w:widowControl/>
              <w:jc w:val="right"/>
              <w:rPr>
                <w:rFonts w:cs="Arial"/>
                <w:szCs w:val="22"/>
                <w:lang w:bidi="ar-SA"/>
              </w:rPr>
            </w:pPr>
            <w:r w:rsidRPr="000E422D">
              <w:rPr>
                <w:rFonts w:cs="Arial"/>
                <w:szCs w:val="22"/>
                <w:lang w:bidi="ar-SA"/>
              </w:rPr>
              <w:t>56</w:t>
            </w:r>
          </w:p>
        </w:tc>
        <w:tc>
          <w:tcPr>
            <w:tcW w:w="1565" w:type="dxa"/>
          </w:tcPr>
          <w:p w:rsidR="00E24FD3" w:rsidRPr="000E422D" w:rsidRDefault="00E24FD3" w:rsidP="006A3FB3">
            <w:pPr>
              <w:widowControl/>
              <w:jc w:val="right"/>
              <w:rPr>
                <w:rFonts w:cs="Arial"/>
                <w:szCs w:val="22"/>
                <w:lang w:bidi="ar-SA"/>
              </w:rPr>
            </w:pPr>
            <w:r w:rsidRPr="000E422D">
              <w:rPr>
                <w:rFonts w:cs="Arial"/>
                <w:szCs w:val="22"/>
                <w:lang w:bidi="ar-SA"/>
              </w:rPr>
              <w:t>67</w:t>
            </w:r>
          </w:p>
        </w:tc>
        <w:tc>
          <w:tcPr>
            <w:tcW w:w="1232" w:type="dxa"/>
          </w:tcPr>
          <w:p w:rsidR="00E24FD3" w:rsidRPr="000E422D" w:rsidRDefault="00E24FD3" w:rsidP="006A3FB3">
            <w:pPr>
              <w:widowControl/>
              <w:jc w:val="right"/>
              <w:rPr>
                <w:rFonts w:cs="Arial"/>
                <w:szCs w:val="22"/>
                <w:lang w:bidi="ar-SA"/>
              </w:rPr>
            </w:pPr>
            <w:r w:rsidRPr="000E422D">
              <w:rPr>
                <w:rFonts w:cs="Arial"/>
                <w:szCs w:val="22"/>
                <w:lang w:bidi="ar-SA"/>
              </w:rPr>
              <w:t>13</w:t>
            </w:r>
          </w:p>
        </w:tc>
      </w:tr>
    </w:tbl>
    <w:p w:rsidR="004E1C38" w:rsidRPr="000E422D" w:rsidRDefault="004E1C38" w:rsidP="00F83163">
      <w:pPr>
        <w:rPr>
          <w:rFonts w:cs="Arial"/>
          <w:b/>
          <w:szCs w:val="22"/>
        </w:rPr>
        <w:sectPr w:rsidR="004E1C38" w:rsidRPr="000E422D" w:rsidSect="004E1C38">
          <w:footerReference w:type="default" r:id="rId32"/>
          <w:pgSz w:w="16838" w:h="11906" w:orient="landscape"/>
          <w:pgMar w:top="1440" w:right="1440" w:bottom="1440" w:left="1440" w:header="709" w:footer="709" w:gutter="0"/>
          <w:cols w:space="708"/>
          <w:docGrid w:linePitch="360"/>
        </w:sectPr>
      </w:pPr>
    </w:p>
    <w:p w:rsidR="009F6F3E" w:rsidRPr="00170E3B" w:rsidRDefault="009F6F3E" w:rsidP="009F6F3E">
      <w:pPr>
        <w:rPr>
          <w:rFonts w:cs="Arial"/>
          <w:b/>
          <w:szCs w:val="22"/>
        </w:rPr>
      </w:pPr>
      <w:r w:rsidRPr="00170E3B">
        <w:rPr>
          <w:rFonts w:cs="Arial"/>
          <w:b/>
          <w:szCs w:val="22"/>
        </w:rPr>
        <w:lastRenderedPageBreak/>
        <w:t xml:space="preserve">Table A2.5: Food contributors to </w:t>
      </w:r>
      <w:r w:rsidR="00E317F9">
        <w:rPr>
          <w:rFonts w:cs="Arial"/>
          <w:b/>
          <w:szCs w:val="22"/>
        </w:rPr>
        <w:t>predicted</w:t>
      </w:r>
      <w:r w:rsidRPr="00170E3B">
        <w:rPr>
          <w:rFonts w:cs="Arial"/>
          <w:b/>
          <w:szCs w:val="22"/>
        </w:rPr>
        <w:t xml:space="preserve"> </w:t>
      </w:r>
      <w:r w:rsidR="00E3403B">
        <w:rPr>
          <w:rFonts w:cs="Arial"/>
          <w:b/>
          <w:szCs w:val="22"/>
        </w:rPr>
        <w:t>quillaia</w:t>
      </w:r>
      <w:r w:rsidRPr="00170E3B">
        <w:rPr>
          <w:rFonts w:cs="Arial"/>
          <w:b/>
          <w:szCs w:val="22"/>
        </w:rPr>
        <w:t xml:space="preserve"> saponins exposure </w:t>
      </w:r>
      <w:r w:rsidR="00225A1D" w:rsidRPr="00170E3B">
        <w:rPr>
          <w:rFonts w:cs="Arial"/>
          <w:b/>
          <w:szCs w:val="22"/>
        </w:rPr>
        <w:t>– Population approach</w:t>
      </w:r>
    </w:p>
    <w:p w:rsidR="00E24FD3" w:rsidRPr="00170E3B" w:rsidRDefault="00E24FD3" w:rsidP="009F6F3E">
      <w:pPr>
        <w:rPr>
          <w:rFonts w:cs="Arial"/>
          <w:szCs w:val="22"/>
        </w:rPr>
      </w:pPr>
    </w:p>
    <w:tbl>
      <w:tblPr>
        <w:tblStyle w:val="TableGrid"/>
        <w:tblW w:w="9162" w:type="dxa"/>
        <w:tblLayout w:type="fixed"/>
        <w:tblLook w:val="04A0" w:firstRow="1" w:lastRow="0" w:firstColumn="1" w:lastColumn="0" w:noHBand="0" w:noVBand="1"/>
      </w:tblPr>
      <w:tblGrid>
        <w:gridCol w:w="4341"/>
        <w:gridCol w:w="1003"/>
        <w:gridCol w:w="1344"/>
        <w:gridCol w:w="1209"/>
        <w:gridCol w:w="1265"/>
      </w:tblGrid>
      <w:tr w:rsidR="009F6F3E" w:rsidRPr="0083317C" w:rsidTr="0083317C">
        <w:trPr>
          <w:trHeight w:val="235"/>
        </w:trPr>
        <w:tc>
          <w:tcPr>
            <w:tcW w:w="4341" w:type="dxa"/>
            <w:vMerge w:val="restart"/>
          </w:tcPr>
          <w:p w:rsidR="009F6F3E" w:rsidRPr="0083317C" w:rsidRDefault="009F6F3E" w:rsidP="009F6F3E">
            <w:pPr>
              <w:rPr>
                <w:rFonts w:cs="Arial"/>
                <w:b/>
                <w:sz w:val="20"/>
                <w:szCs w:val="20"/>
              </w:rPr>
            </w:pPr>
          </w:p>
          <w:p w:rsidR="009F6F3E" w:rsidRPr="0083317C" w:rsidRDefault="009F6F3E" w:rsidP="009F6F3E">
            <w:pPr>
              <w:rPr>
                <w:rFonts w:cs="Arial"/>
                <w:b/>
                <w:sz w:val="20"/>
                <w:szCs w:val="20"/>
              </w:rPr>
            </w:pPr>
          </w:p>
          <w:p w:rsidR="009F6F3E" w:rsidRPr="0083317C" w:rsidRDefault="009F6F3E" w:rsidP="009F6F3E">
            <w:pPr>
              <w:rPr>
                <w:rFonts w:cs="Arial"/>
                <w:b/>
                <w:sz w:val="20"/>
                <w:szCs w:val="20"/>
              </w:rPr>
            </w:pPr>
            <w:r w:rsidRPr="0083317C">
              <w:rPr>
                <w:rFonts w:cs="Arial"/>
                <w:b/>
                <w:sz w:val="20"/>
                <w:szCs w:val="20"/>
              </w:rPr>
              <w:t>Food group name</w:t>
            </w:r>
          </w:p>
        </w:tc>
        <w:tc>
          <w:tcPr>
            <w:tcW w:w="4820" w:type="dxa"/>
            <w:gridSpan w:val="4"/>
          </w:tcPr>
          <w:p w:rsidR="009F6F3E" w:rsidRPr="0083317C" w:rsidRDefault="009F6F3E" w:rsidP="009F6F3E">
            <w:pPr>
              <w:jc w:val="center"/>
              <w:rPr>
                <w:rFonts w:cs="Arial"/>
                <w:b/>
                <w:sz w:val="20"/>
                <w:szCs w:val="20"/>
              </w:rPr>
            </w:pPr>
            <w:r w:rsidRPr="0083317C">
              <w:rPr>
                <w:rFonts w:cs="Arial"/>
                <w:b/>
                <w:sz w:val="20"/>
                <w:szCs w:val="20"/>
              </w:rPr>
              <w:t xml:space="preserve">% contribution to </w:t>
            </w:r>
            <w:r w:rsidR="00E3403B">
              <w:rPr>
                <w:rFonts w:cs="Arial"/>
                <w:b/>
                <w:sz w:val="20"/>
                <w:szCs w:val="20"/>
              </w:rPr>
              <w:t>quillaia</w:t>
            </w:r>
            <w:r w:rsidRPr="0083317C">
              <w:rPr>
                <w:rFonts w:cs="Arial"/>
                <w:b/>
                <w:sz w:val="20"/>
                <w:szCs w:val="20"/>
              </w:rPr>
              <w:t xml:space="preserve"> saponins exposure</w:t>
            </w:r>
          </w:p>
        </w:tc>
      </w:tr>
      <w:tr w:rsidR="009F6F3E" w:rsidRPr="0083317C" w:rsidTr="0083317C">
        <w:trPr>
          <w:trHeight w:val="235"/>
        </w:trPr>
        <w:tc>
          <w:tcPr>
            <w:tcW w:w="4341" w:type="dxa"/>
            <w:vMerge/>
          </w:tcPr>
          <w:p w:rsidR="009F6F3E" w:rsidRPr="0083317C" w:rsidRDefault="009F6F3E" w:rsidP="009F6F3E">
            <w:pPr>
              <w:rPr>
                <w:rFonts w:cs="Arial"/>
                <w:sz w:val="20"/>
                <w:szCs w:val="20"/>
              </w:rPr>
            </w:pPr>
          </w:p>
        </w:tc>
        <w:tc>
          <w:tcPr>
            <w:tcW w:w="2347" w:type="dxa"/>
            <w:gridSpan w:val="2"/>
          </w:tcPr>
          <w:p w:rsidR="009F6F3E" w:rsidRPr="0083317C" w:rsidRDefault="009F6F3E" w:rsidP="009F6F3E">
            <w:pPr>
              <w:jc w:val="center"/>
              <w:rPr>
                <w:rFonts w:cs="Arial"/>
                <w:b/>
                <w:sz w:val="20"/>
                <w:szCs w:val="20"/>
              </w:rPr>
            </w:pPr>
            <w:r w:rsidRPr="0083317C">
              <w:rPr>
                <w:rFonts w:cs="Arial"/>
                <w:b/>
                <w:sz w:val="20"/>
                <w:szCs w:val="20"/>
              </w:rPr>
              <w:t>Australia</w:t>
            </w:r>
          </w:p>
        </w:tc>
        <w:tc>
          <w:tcPr>
            <w:tcW w:w="2474" w:type="dxa"/>
            <w:gridSpan w:val="2"/>
          </w:tcPr>
          <w:p w:rsidR="009F6F3E" w:rsidRPr="0083317C" w:rsidRDefault="009F6F3E" w:rsidP="009F6F3E">
            <w:pPr>
              <w:jc w:val="center"/>
              <w:rPr>
                <w:rFonts w:cs="Arial"/>
                <w:b/>
                <w:sz w:val="20"/>
                <w:szCs w:val="20"/>
              </w:rPr>
            </w:pPr>
            <w:r w:rsidRPr="0083317C">
              <w:rPr>
                <w:rFonts w:cs="Arial"/>
                <w:b/>
                <w:sz w:val="20"/>
                <w:szCs w:val="20"/>
              </w:rPr>
              <w:t>New Zealand</w:t>
            </w:r>
          </w:p>
        </w:tc>
      </w:tr>
      <w:tr w:rsidR="009F6F3E" w:rsidRPr="0083317C" w:rsidTr="0083317C">
        <w:trPr>
          <w:trHeight w:val="472"/>
        </w:trPr>
        <w:tc>
          <w:tcPr>
            <w:tcW w:w="4341" w:type="dxa"/>
            <w:vMerge/>
          </w:tcPr>
          <w:p w:rsidR="009F6F3E" w:rsidRPr="0083317C" w:rsidRDefault="009F6F3E" w:rsidP="009F6F3E">
            <w:pPr>
              <w:rPr>
                <w:rFonts w:cs="Arial"/>
                <w:sz w:val="20"/>
                <w:szCs w:val="20"/>
              </w:rPr>
            </w:pPr>
          </w:p>
        </w:tc>
        <w:tc>
          <w:tcPr>
            <w:tcW w:w="1003" w:type="dxa"/>
          </w:tcPr>
          <w:p w:rsidR="009F6F3E" w:rsidRPr="0083317C" w:rsidRDefault="009F6F3E" w:rsidP="009F6F3E">
            <w:pPr>
              <w:jc w:val="center"/>
              <w:rPr>
                <w:rFonts w:cs="Arial"/>
                <w:b/>
                <w:sz w:val="20"/>
                <w:szCs w:val="20"/>
              </w:rPr>
            </w:pPr>
            <w:r w:rsidRPr="0083317C">
              <w:rPr>
                <w:rFonts w:cs="Arial"/>
                <w:b/>
                <w:sz w:val="20"/>
                <w:szCs w:val="20"/>
              </w:rPr>
              <w:t>2-16 years</w:t>
            </w:r>
          </w:p>
        </w:tc>
        <w:tc>
          <w:tcPr>
            <w:tcW w:w="1344" w:type="dxa"/>
          </w:tcPr>
          <w:p w:rsidR="009F6F3E" w:rsidRPr="0083317C" w:rsidRDefault="009F6F3E" w:rsidP="009F6F3E">
            <w:pPr>
              <w:jc w:val="center"/>
              <w:rPr>
                <w:rFonts w:cs="Arial"/>
                <w:b/>
                <w:sz w:val="20"/>
                <w:szCs w:val="20"/>
              </w:rPr>
            </w:pPr>
            <w:r w:rsidRPr="0083317C">
              <w:rPr>
                <w:rFonts w:cs="Arial"/>
                <w:b/>
                <w:sz w:val="20"/>
                <w:szCs w:val="20"/>
              </w:rPr>
              <w:t>17 years and above</w:t>
            </w:r>
          </w:p>
        </w:tc>
        <w:tc>
          <w:tcPr>
            <w:tcW w:w="1209" w:type="dxa"/>
          </w:tcPr>
          <w:p w:rsidR="009F6F3E" w:rsidRPr="0083317C" w:rsidRDefault="009F6F3E" w:rsidP="009F6F3E">
            <w:pPr>
              <w:jc w:val="center"/>
              <w:rPr>
                <w:rFonts w:cs="Arial"/>
                <w:b/>
                <w:sz w:val="20"/>
                <w:szCs w:val="20"/>
              </w:rPr>
            </w:pPr>
            <w:r w:rsidRPr="0083317C">
              <w:rPr>
                <w:rFonts w:cs="Arial"/>
                <w:b/>
                <w:sz w:val="20"/>
                <w:szCs w:val="20"/>
              </w:rPr>
              <w:t>5-14 years</w:t>
            </w:r>
          </w:p>
        </w:tc>
        <w:tc>
          <w:tcPr>
            <w:tcW w:w="1264" w:type="dxa"/>
          </w:tcPr>
          <w:p w:rsidR="009F6F3E" w:rsidRPr="0083317C" w:rsidRDefault="009F6F3E" w:rsidP="009F6F3E">
            <w:pPr>
              <w:jc w:val="center"/>
              <w:rPr>
                <w:rFonts w:cs="Arial"/>
                <w:b/>
                <w:sz w:val="20"/>
                <w:szCs w:val="20"/>
              </w:rPr>
            </w:pPr>
            <w:r w:rsidRPr="0083317C">
              <w:rPr>
                <w:rFonts w:cs="Arial"/>
                <w:b/>
                <w:sz w:val="20"/>
                <w:szCs w:val="20"/>
              </w:rPr>
              <w:t>15 years and above</w:t>
            </w:r>
          </w:p>
        </w:tc>
      </w:tr>
      <w:tr w:rsidR="009F6F3E" w:rsidRPr="0083317C" w:rsidTr="0083317C">
        <w:trPr>
          <w:trHeight w:val="224"/>
        </w:trPr>
        <w:tc>
          <w:tcPr>
            <w:tcW w:w="4341" w:type="dxa"/>
          </w:tcPr>
          <w:p w:rsidR="009F6F3E" w:rsidRPr="0083317C" w:rsidRDefault="009F6F3E" w:rsidP="009F6F3E">
            <w:pPr>
              <w:rPr>
                <w:rFonts w:cs="Arial"/>
                <w:sz w:val="20"/>
                <w:szCs w:val="20"/>
              </w:rPr>
            </w:pPr>
            <w:r w:rsidRPr="0083317C">
              <w:rPr>
                <w:rFonts w:cs="Arial"/>
                <w:sz w:val="20"/>
                <w:szCs w:val="20"/>
                <w:lang w:eastAsia="en-GB"/>
              </w:rPr>
              <w:t>Water based flavoured drinks</w:t>
            </w:r>
          </w:p>
        </w:tc>
        <w:tc>
          <w:tcPr>
            <w:tcW w:w="1003" w:type="dxa"/>
          </w:tcPr>
          <w:p w:rsidR="009F6F3E" w:rsidRPr="0083317C" w:rsidRDefault="009F6F3E" w:rsidP="009F6F3E">
            <w:pPr>
              <w:jc w:val="right"/>
              <w:rPr>
                <w:rFonts w:cs="Arial"/>
                <w:sz w:val="20"/>
                <w:szCs w:val="20"/>
              </w:rPr>
            </w:pPr>
            <w:r w:rsidRPr="0083317C">
              <w:rPr>
                <w:rFonts w:cs="Arial"/>
                <w:sz w:val="20"/>
                <w:szCs w:val="20"/>
              </w:rPr>
              <w:t>79</w:t>
            </w:r>
          </w:p>
        </w:tc>
        <w:tc>
          <w:tcPr>
            <w:tcW w:w="1344" w:type="dxa"/>
          </w:tcPr>
          <w:p w:rsidR="009F6F3E" w:rsidRPr="0083317C" w:rsidRDefault="00811EDB" w:rsidP="009F6F3E">
            <w:pPr>
              <w:jc w:val="right"/>
              <w:rPr>
                <w:rFonts w:cs="Arial"/>
                <w:sz w:val="20"/>
                <w:szCs w:val="20"/>
              </w:rPr>
            </w:pPr>
            <w:r w:rsidRPr="0083317C">
              <w:rPr>
                <w:rFonts w:cs="Arial"/>
                <w:sz w:val="20"/>
                <w:szCs w:val="20"/>
              </w:rPr>
              <w:t>26</w:t>
            </w:r>
          </w:p>
        </w:tc>
        <w:tc>
          <w:tcPr>
            <w:tcW w:w="1209" w:type="dxa"/>
          </w:tcPr>
          <w:p w:rsidR="009F6F3E" w:rsidRPr="0083317C" w:rsidRDefault="009F6F3E" w:rsidP="009F6F3E">
            <w:pPr>
              <w:jc w:val="right"/>
              <w:rPr>
                <w:rFonts w:cs="Arial"/>
                <w:sz w:val="20"/>
                <w:szCs w:val="20"/>
              </w:rPr>
            </w:pPr>
            <w:r w:rsidRPr="0083317C">
              <w:rPr>
                <w:rFonts w:cs="Arial"/>
                <w:sz w:val="20"/>
                <w:szCs w:val="20"/>
              </w:rPr>
              <w:t>82</w:t>
            </w:r>
          </w:p>
        </w:tc>
        <w:tc>
          <w:tcPr>
            <w:tcW w:w="1264" w:type="dxa"/>
          </w:tcPr>
          <w:p w:rsidR="009F6F3E" w:rsidRPr="0083317C" w:rsidRDefault="00E244D0" w:rsidP="009F6F3E">
            <w:pPr>
              <w:jc w:val="right"/>
              <w:rPr>
                <w:rFonts w:cs="Arial"/>
                <w:sz w:val="20"/>
                <w:szCs w:val="20"/>
              </w:rPr>
            </w:pPr>
            <w:r w:rsidRPr="0083317C">
              <w:rPr>
                <w:rFonts w:cs="Arial"/>
                <w:sz w:val="20"/>
                <w:szCs w:val="20"/>
              </w:rPr>
              <w:t>29</w:t>
            </w:r>
          </w:p>
        </w:tc>
      </w:tr>
      <w:tr w:rsidR="009F6F3E" w:rsidRPr="0083317C" w:rsidTr="0083317C">
        <w:trPr>
          <w:trHeight w:val="267"/>
        </w:trPr>
        <w:tc>
          <w:tcPr>
            <w:tcW w:w="4341" w:type="dxa"/>
            <w:vAlign w:val="bottom"/>
          </w:tcPr>
          <w:p w:rsidR="009F6F3E" w:rsidRPr="0083317C" w:rsidRDefault="009F6F3E" w:rsidP="009F6F3E">
            <w:pPr>
              <w:rPr>
                <w:rFonts w:cs="Arial"/>
                <w:sz w:val="20"/>
                <w:szCs w:val="20"/>
                <w:lang w:eastAsia="en-GB"/>
              </w:rPr>
            </w:pPr>
            <w:r w:rsidRPr="0083317C">
              <w:rPr>
                <w:rFonts w:cs="Arial"/>
                <w:sz w:val="20"/>
                <w:szCs w:val="20"/>
                <w:lang w:eastAsia="en-GB"/>
              </w:rPr>
              <w:t>Fruit &amp; vegetable juice products</w:t>
            </w:r>
          </w:p>
        </w:tc>
        <w:tc>
          <w:tcPr>
            <w:tcW w:w="1003" w:type="dxa"/>
          </w:tcPr>
          <w:p w:rsidR="009F6F3E" w:rsidRPr="0083317C" w:rsidRDefault="009F6F3E" w:rsidP="009F6F3E">
            <w:pPr>
              <w:jc w:val="right"/>
              <w:rPr>
                <w:rFonts w:cs="Arial"/>
                <w:sz w:val="20"/>
                <w:szCs w:val="20"/>
              </w:rPr>
            </w:pPr>
            <w:r w:rsidRPr="0083317C">
              <w:rPr>
                <w:rFonts w:cs="Arial"/>
                <w:sz w:val="20"/>
                <w:szCs w:val="20"/>
              </w:rPr>
              <w:t>12</w:t>
            </w:r>
          </w:p>
        </w:tc>
        <w:tc>
          <w:tcPr>
            <w:tcW w:w="1344" w:type="dxa"/>
          </w:tcPr>
          <w:p w:rsidR="009F6F3E" w:rsidRPr="0083317C" w:rsidRDefault="00811EDB" w:rsidP="009F6F3E">
            <w:pPr>
              <w:jc w:val="right"/>
              <w:rPr>
                <w:rFonts w:cs="Arial"/>
                <w:sz w:val="20"/>
                <w:szCs w:val="20"/>
              </w:rPr>
            </w:pPr>
            <w:r w:rsidRPr="0083317C">
              <w:rPr>
                <w:rFonts w:cs="Arial"/>
                <w:sz w:val="20"/>
                <w:szCs w:val="20"/>
              </w:rPr>
              <w:t>3</w:t>
            </w:r>
          </w:p>
        </w:tc>
        <w:tc>
          <w:tcPr>
            <w:tcW w:w="1209" w:type="dxa"/>
          </w:tcPr>
          <w:p w:rsidR="009F6F3E" w:rsidRPr="0083317C" w:rsidRDefault="009F6F3E" w:rsidP="009F6F3E">
            <w:pPr>
              <w:jc w:val="right"/>
              <w:rPr>
                <w:rFonts w:cs="Arial"/>
                <w:sz w:val="20"/>
                <w:szCs w:val="20"/>
              </w:rPr>
            </w:pPr>
            <w:r w:rsidRPr="0083317C">
              <w:rPr>
                <w:rFonts w:cs="Arial"/>
                <w:sz w:val="20"/>
                <w:szCs w:val="20"/>
              </w:rPr>
              <w:t>6</w:t>
            </w:r>
          </w:p>
        </w:tc>
        <w:tc>
          <w:tcPr>
            <w:tcW w:w="1264" w:type="dxa"/>
            <w:vAlign w:val="bottom"/>
          </w:tcPr>
          <w:p w:rsidR="009F6F3E" w:rsidRPr="0083317C" w:rsidRDefault="00E244D0" w:rsidP="009F6F3E">
            <w:pPr>
              <w:tabs>
                <w:tab w:val="left" w:pos="1404"/>
              </w:tabs>
              <w:jc w:val="right"/>
              <w:rPr>
                <w:rFonts w:cs="Arial"/>
                <w:sz w:val="20"/>
                <w:szCs w:val="20"/>
              </w:rPr>
            </w:pPr>
            <w:r w:rsidRPr="0083317C">
              <w:rPr>
                <w:rFonts w:cs="Arial"/>
                <w:sz w:val="20"/>
                <w:szCs w:val="20"/>
              </w:rPr>
              <w:t>2</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rPr>
              <w:t>Tea</w:t>
            </w:r>
            <w:r w:rsidR="009A4145" w:rsidRPr="0083317C">
              <w:rPr>
                <w:rFonts w:cs="Arial"/>
                <w:sz w:val="20"/>
                <w:szCs w:val="20"/>
              </w:rPr>
              <w:t xml:space="preserve"> (includes flavoured tea)</w:t>
            </w:r>
          </w:p>
        </w:tc>
        <w:tc>
          <w:tcPr>
            <w:tcW w:w="1003" w:type="dxa"/>
          </w:tcPr>
          <w:p w:rsidR="009F6F3E" w:rsidRPr="0083317C" w:rsidRDefault="009F6F3E" w:rsidP="009F6F3E">
            <w:pPr>
              <w:jc w:val="right"/>
              <w:rPr>
                <w:rFonts w:cs="Arial"/>
                <w:sz w:val="20"/>
                <w:szCs w:val="20"/>
              </w:rPr>
            </w:pPr>
            <w:r w:rsidRPr="0083317C">
              <w:rPr>
                <w:rFonts w:cs="Arial"/>
                <w:sz w:val="20"/>
                <w:szCs w:val="20"/>
              </w:rPr>
              <w:t>5</w:t>
            </w:r>
          </w:p>
        </w:tc>
        <w:tc>
          <w:tcPr>
            <w:tcW w:w="1344" w:type="dxa"/>
          </w:tcPr>
          <w:p w:rsidR="009F6F3E" w:rsidRPr="0083317C" w:rsidRDefault="00811EDB" w:rsidP="009F6F3E">
            <w:pPr>
              <w:jc w:val="right"/>
              <w:rPr>
                <w:rFonts w:cs="Arial"/>
                <w:sz w:val="20"/>
                <w:szCs w:val="20"/>
              </w:rPr>
            </w:pPr>
            <w:r w:rsidRPr="0083317C">
              <w:rPr>
                <w:rFonts w:cs="Arial"/>
                <w:sz w:val="20"/>
                <w:szCs w:val="20"/>
              </w:rPr>
              <w:t>13</w:t>
            </w:r>
          </w:p>
        </w:tc>
        <w:tc>
          <w:tcPr>
            <w:tcW w:w="1209" w:type="dxa"/>
          </w:tcPr>
          <w:p w:rsidR="009F6F3E" w:rsidRPr="0083317C" w:rsidRDefault="009F6F3E" w:rsidP="009F6F3E">
            <w:pPr>
              <w:jc w:val="right"/>
              <w:rPr>
                <w:rFonts w:cs="Arial"/>
                <w:sz w:val="20"/>
                <w:szCs w:val="20"/>
              </w:rPr>
            </w:pPr>
            <w:r w:rsidRPr="0083317C">
              <w:rPr>
                <w:rFonts w:cs="Arial"/>
                <w:sz w:val="20"/>
                <w:szCs w:val="20"/>
              </w:rPr>
              <w:t>5</w:t>
            </w:r>
          </w:p>
        </w:tc>
        <w:tc>
          <w:tcPr>
            <w:tcW w:w="1264" w:type="dxa"/>
          </w:tcPr>
          <w:p w:rsidR="009F6F3E" w:rsidRPr="0083317C" w:rsidRDefault="00E244D0" w:rsidP="009F6F3E">
            <w:pPr>
              <w:jc w:val="right"/>
              <w:rPr>
                <w:rFonts w:cs="Arial"/>
                <w:sz w:val="20"/>
                <w:szCs w:val="20"/>
              </w:rPr>
            </w:pPr>
            <w:r w:rsidRPr="0083317C">
              <w:rPr>
                <w:rFonts w:cs="Arial"/>
                <w:sz w:val="20"/>
                <w:szCs w:val="20"/>
              </w:rPr>
              <w:t>19</w:t>
            </w:r>
          </w:p>
        </w:tc>
      </w:tr>
      <w:tr w:rsidR="009F6F3E" w:rsidRPr="0083317C" w:rsidTr="0083317C">
        <w:trPr>
          <w:trHeight w:val="235"/>
        </w:trPr>
        <w:tc>
          <w:tcPr>
            <w:tcW w:w="4341" w:type="dxa"/>
          </w:tcPr>
          <w:p w:rsidR="009A4145" w:rsidRPr="0083317C" w:rsidRDefault="009A4145" w:rsidP="009F6F3E">
            <w:pPr>
              <w:rPr>
                <w:rFonts w:cs="Arial"/>
                <w:sz w:val="20"/>
                <w:szCs w:val="20"/>
                <w:lang w:eastAsia="en-GB"/>
              </w:rPr>
            </w:pPr>
            <w:r w:rsidRPr="0083317C">
              <w:rPr>
                <w:rFonts w:cs="Arial"/>
                <w:sz w:val="20"/>
                <w:szCs w:val="20"/>
                <w:lang w:eastAsia="en-GB"/>
              </w:rPr>
              <w:t>Coffee beverage, caffeinated</w:t>
            </w:r>
            <w:r w:rsidR="009F6F3E" w:rsidRPr="0083317C">
              <w:rPr>
                <w:rFonts w:cs="Arial"/>
                <w:sz w:val="20"/>
                <w:szCs w:val="20"/>
                <w:lang w:eastAsia="en-GB"/>
              </w:rPr>
              <w:t>, instant powder/granules</w:t>
            </w:r>
            <w:r w:rsidRPr="0083317C">
              <w:rPr>
                <w:rFonts w:cs="Arial"/>
                <w:sz w:val="20"/>
                <w:szCs w:val="20"/>
                <w:lang w:eastAsia="en-GB"/>
              </w:rPr>
              <w:t xml:space="preserve"> (includes flavoured coffee)</w:t>
            </w:r>
          </w:p>
        </w:tc>
        <w:tc>
          <w:tcPr>
            <w:tcW w:w="1003" w:type="dxa"/>
          </w:tcPr>
          <w:p w:rsidR="009F6F3E" w:rsidRPr="0083317C" w:rsidRDefault="009F6F3E" w:rsidP="009F6F3E">
            <w:pPr>
              <w:jc w:val="right"/>
              <w:rPr>
                <w:rFonts w:cs="Arial"/>
                <w:sz w:val="20"/>
                <w:szCs w:val="20"/>
              </w:rPr>
            </w:pPr>
            <w:r w:rsidRPr="0083317C">
              <w:rPr>
                <w:rFonts w:cs="Arial"/>
                <w:sz w:val="20"/>
                <w:szCs w:val="20"/>
              </w:rPr>
              <w:t>2</w:t>
            </w:r>
          </w:p>
        </w:tc>
        <w:tc>
          <w:tcPr>
            <w:tcW w:w="1344" w:type="dxa"/>
          </w:tcPr>
          <w:p w:rsidR="009F6F3E" w:rsidRPr="0083317C" w:rsidRDefault="00811EDB" w:rsidP="009F6F3E">
            <w:pPr>
              <w:jc w:val="right"/>
              <w:rPr>
                <w:rFonts w:cs="Arial"/>
                <w:sz w:val="20"/>
                <w:szCs w:val="20"/>
              </w:rPr>
            </w:pPr>
            <w:r w:rsidRPr="0083317C">
              <w:rPr>
                <w:rFonts w:cs="Arial"/>
                <w:sz w:val="20"/>
                <w:szCs w:val="20"/>
              </w:rPr>
              <w:t>30</w:t>
            </w:r>
          </w:p>
        </w:tc>
        <w:tc>
          <w:tcPr>
            <w:tcW w:w="1209" w:type="dxa"/>
          </w:tcPr>
          <w:p w:rsidR="009F6F3E" w:rsidRPr="0083317C" w:rsidRDefault="009F6F3E" w:rsidP="009F6F3E">
            <w:pPr>
              <w:jc w:val="right"/>
              <w:rPr>
                <w:rFonts w:cs="Arial"/>
                <w:sz w:val="20"/>
                <w:szCs w:val="20"/>
              </w:rPr>
            </w:pPr>
            <w:r w:rsidRPr="0083317C">
              <w:rPr>
                <w:rFonts w:cs="Arial"/>
                <w:sz w:val="20"/>
                <w:szCs w:val="20"/>
              </w:rPr>
              <w:t>&lt;1</w:t>
            </w:r>
          </w:p>
        </w:tc>
        <w:tc>
          <w:tcPr>
            <w:tcW w:w="1264" w:type="dxa"/>
          </w:tcPr>
          <w:p w:rsidR="009F6F3E" w:rsidRPr="0083317C" w:rsidRDefault="00E244D0" w:rsidP="009F6F3E">
            <w:pPr>
              <w:jc w:val="right"/>
              <w:rPr>
                <w:rFonts w:cs="Arial"/>
                <w:sz w:val="20"/>
                <w:szCs w:val="20"/>
              </w:rPr>
            </w:pPr>
            <w:r w:rsidRPr="0083317C">
              <w:rPr>
                <w:rFonts w:cs="Arial"/>
                <w:sz w:val="20"/>
                <w:szCs w:val="20"/>
              </w:rPr>
              <w:t>19</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Carbonated, mineralised &amp; soda waters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1</w:t>
            </w:r>
          </w:p>
        </w:tc>
        <w:tc>
          <w:tcPr>
            <w:tcW w:w="1209" w:type="dxa"/>
          </w:tcPr>
          <w:p w:rsidR="009F6F3E" w:rsidRPr="0083317C" w:rsidRDefault="009F6F3E" w:rsidP="009F6F3E">
            <w:pPr>
              <w:jc w:val="right"/>
              <w:rPr>
                <w:rFonts w:cs="Arial"/>
                <w:sz w:val="20"/>
                <w:szCs w:val="20"/>
              </w:rPr>
            </w:pPr>
            <w:r w:rsidRPr="0083317C">
              <w:rPr>
                <w:rFonts w:cs="Arial"/>
                <w:sz w:val="20"/>
                <w:szCs w:val="20"/>
              </w:rPr>
              <w:t>2</w:t>
            </w:r>
          </w:p>
        </w:tc>
        <w:tc>
          <w:tcPr>
            <w:tcW w:w="1264" w:type="dxa"/>
          </w:tcPr>
          <w:p w:rsidR="009F6F3E" w:rsidRPr="0083317C" w:rsidRDefault="00E244D0" w:rsidP="009F6F3E">
            <w:pPr>
              <w:jc w:val="right"/>
              <w:rPr>
                <w:rFonts w:cs="Arial"/>
                <w:sz w:val="20"/>
                <w:szCs w:val="20"/>
              </w:rPr>
            </w:pPr>
            <w:r w:rsidRPr="0083317C">
              <w:rPr>
                <w:rFonts w:cs="Arial"/>
                <w:sz w:val="20"/>
                <w:szCs w:val="20"/>
              </w:rPr>
              <w:t>&lt;1</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Herbal infusions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2</w:t>
            </w:r>
          </w:p>
        </w:tc>
        <w:tc>
          <w:tcPr>
            <w:tcW w:w="1209" w:type="dxa"/>
          </w:tcPr>
          <w:p w:rsidR="009F6F3E" w:rsidRPr="0083317C" w:rsidRDefault="009F6F3E" w:rsidP="009F6F3E">
            <w:pPr>
              <w:jc w:val="right"/>
              <w:rPr>
                <w:rFonts w:cs="Arial"/>
                <w:sz w:val="20"/>
                <w:szCs w:val="20"/>
              </w:rPr>
            </w:pPr>
            <w:r w:rsidRPr="0083317C">
              <w:rPr>
                <w:rFonts w:cs="Arial"/>
                <w:sz w:val="20"/>
                <w:szCs w:val="20"/>
              </w:rPr>
              <w:t>&lt;1</w:t>
            </w:r>
          </w:p>
        </w:tc>
        <w:tc>
          <w:tcPr>
            <w:tcW w:w="1264" w:type="dxa"/>
          </w:tcPr>
          <w:p w:rsidR="009F6F3E" w:rsidRPr="0083317C" w:rsidRDefault="00E244D0" w:rsidP="009F6F3E">
            <w:pPr>
              <w:jc w:val="right"/>
              <w:rPr>
                <w:rFonts w:cs="Arial"/>
                <w:sz w:val="20"/>
                <w:szCs w:val="20"/>
              </w:rPr>
            </w:pPr>
            <w:r w:rsidRPr="0083317C">
              <w:rPr>
                <w:rFonts w:cs="Arial"/>
                <w:sz w:val="20"/>
                <w:szCs w:val="20"/>
              </w:rPr>
              <w:t>2</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Coffee beverage, decaffeinated, instant powder/granules</w:t>
            </w:r>
            <w:r w:rsidR="009A4145" w:rsidRPr="0083317C">
              <w:rPr>
                <w:rFonts w:cs="Arial"/>
                <w:sz w:val="20"/>
                <w:szCs w:val="20"/>
                <w:lang w:eastAsia="en-GB"/>
              </w:rPr>
              <w:t xml:space="preserve"> (includes flavoured coffee)</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2</w:t>
            </w:r>
          </w:p>
        </w:tc>
        <w:tc>
          <w:tcPr>
            <w:tcW w:w="1209" w:type="dxa"/>
          </w:tcPr>
          <w:p w:rsidR="009F6F3E" w:rsidRPr="0083317C" w:rsidRDefault="009F6F3E" w:rsidP="009F6F3E">
            <w:pPr>
              <w:jc w:val="right"/>
              <w:rPr>
                <w:rFonts w:cs="Arial"/>
                <w:sz w:val="20"/>
                <w:szCs w:val="20"/>
              </w:rPr>
            </w:pPr>
            <w:r w:rsidRPr="0083317C">
              <w:rPr>
                <w:rFonts w:cs="Arial"/>
                <w:sz w:val="20"/>
                <w:szCs w:val="20"/>
              </w:rPr>
              <w:t>&lt;1</w:t>
            </w:r>
          </w:p>
        </w:tc>
        <w:tc>
          <w:tcPr>
            <w:tcW w:w="1264" w:type="dxa"/>
          </w:tcPr>
          <w:p w:rsidR="009F6F3E" w:rsidRPr="0083317C" w:rsidRDefault="00E244D0" w:rsidP="009F6F3E">
            <w:pPr>
              <w:jc w:val="right"/>
              <w:rPr>
                <w:rFonts w:cs="Arial"/>
                <w:sz w:val="20"/>
                <w:szCs w:val="20"/>
              </w:rPr>
            </w:pPr>
            <w:r w:rsidRPr="0083317C">
              <w:rPr>
                <w:rFonts w:cs="Arial"/>
                <w:sz w:val="20"/>
                <w:szCs w:val="20"/>
              </w:rPr>
              <w:t>&lt;1</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Formulated beverages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9A4145" w:rsidP="009F6F3E">
            <w:pPr>
              <w:jc w:val="right"/>
              <w:rPr>
                <w:rFonts w:cs="Arial"/>
                <w:sz w:val="20"/>
                <w:szCs w:val="20"/>
              </w:rPr>
            </w:pPr>
            <w:r w:rsidRPr="0083317C">
              <w:rPr>
                <w:rFonts w:cs="Arial"/>
                <w:sz w:val="20"/>
                <w:szCs w:val="20"/>
              </w:rPr>
              <w:t>N/A</w:t>
            </w:r>
          </w:p>
        </w:tc>
        <w:tc>
          <w:tcPr>
            <w:tcW w:w="1209" w:type="dxa"/>
          </w:tcPr>
          <w:p w:rsidR="009F6F3E" w:rsidRPr="0083317C" w:rsidRDefault="00811EDB" w:rsidP="009F6F3E">
            <w:pPr>
              <w:jc w:val="right"/>
              <w:rPr>
                <w:rFonts w:cs="Arial"/>
                <w:sz w:val="20"/>
                <w:szCs w:val="20"/>
              </w:rPr>
            </w:pPr>
            <w:r w:rsidRPr="0083317C">
              <w:rPr>
                <w:rFonts w:cs="Arial"/>
                <w:sz w:val="20"/>
                <w:szCs w:val="20"/>
              </w:rPr>
              <w:t>3</w:t>
            </w:r>
          </w:p>
        </w:tc>
        <w:tc>
          <w:tcPr>
            <w:tcW w:w="1264" w:type="dxa"/>
          </w:tcPr>
          <w:p w:rsidR="009F6F3E" w:rsidRPr="0083317C" w:rsidRDefault="00E244D0" w:rsidP="009F6F3E">
            <w:pPr>
              <w:jc w:val="right"/>
              <w:rPr>
                <w:rFonts w:cs="Arial"/>
                <w:sz w:val="20"/>
                <w:szCs w:val="20"/>
              </w:rPr>
            </w:pPr>
            <w:r w:rsidRPr="0083317C">
              <w:rPr>
                <w:rFonts w:cs="Arial"/>
                <w:sz w:val="20"/>
                <w:szCs w:val="20"/>
              </w:rPr>
              <w:t>N/A</w:t>
            </w:r>
          </w:p>
        </w:tc>
      </w:tr>
      <w:tr w:rsidR="009F6F3E" w:rsidRPr="0083317C" w:rsidTr="0083317C">
        <w:trPr>
          <w:trHeight w:val="248"/>
        </w:trPr>
        <w:tc>
          <w:tcPr>
            <w:tcW w:w="4341" w:type="dxa"/>
          </w:tcPr>
          <w:p w:rsidR="009F6F3E" w:rsidRPr="0083317C" w:rsidRDefault="009F6F3E" w:rsidP="009F6F3E">
            <w:pPr>
              <w:rPr>
                <w:rFonts w:cs="Arial"/>
                <w:sz w:val="20"/>
                <w:szCs w:val="20"/>
              </w:rPr>
            </w:pPr>
            <w:r w:rsidRPr="0083317C">
              <w:rPr>
                <w:rFonts w:cs="Arial"/>
                <w:sz w:val="20"/>
                <w:szCs w:val="20"/>
                <w:lang w:eastAsia="en-GB"/>
              </w:rPr>
              <w:t>Beer &amp; related products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22</w:t>
            </w:r>
          </w:p>
        </w:tc>
        <w:tc>
          <w:tcPr>
            <w:tcW w:w="1209" w:type="dxa"/>
          </w:tcPr>
          <w:p w:rsidR="009F6F3E" w:rsidRPr="0083317C" w:rsidRDefault="00E244D0" w:rsidP="009F6F3E">
            <w:pPr>
              <w:jc w:val="right"/>
              <w:rPr>
                <w:rFonts w:cs="Arial"/>
                <w:sz w:val="20"/>
                <w:szCs w:val="20"/>
              </w:rPr>
            </w:pPr>
            <w:r w:rsidRPr="0083317C">
              <w:rPr>
                <w:rFonts w:cs="Arial"/>
                <w:sz w:val="20"/>
                <w:szCs w:val="20"/>
              </w:rPr>
              <w:t>0</w:t>
            </w:r>
          </w:p>
        </w:tc>
        <w:tc>
          <w:tcPr>
            <w:tcW w:w="1264" w:type="dxa"/>
          </w:tcPr>
          <w:p w:rsidR="009F6F3E" w:rsidRPr="0083317C" w:rsidRDefault="00E244D0" w:rsidP="009F6F3E">
            <w:pPr>
              <w:jc w:val="right"/>
              <w:rPr>
                <w:rFonts w:cs="Arial"/>
                <w:sz w:val="20"/>
                <w:szCs w:val="20"/>
              </w:rPr>
            </w:pPr>
            <w:r w:rsidRPr="0083317C">
              <w:rPr>
                <w:rFonts w:cs="Arial"/>
                <w:sz w:val="20"/>
                <w:szCs w:val="20"/>
              </w:rPr>
              <w:t>26</w:t>
            </w:r>
          </w:p>
        </w:tc>
      </w:tr>
      <w:tr w:rsidR="009F6F3E" w:rsidRPr="0083317C" w:rsidTr="0083317C">
        <w:trPr>
          <w:trHeight w:val="248"/>
        </w:trPr>
        <w:tc>
          <w:tcPr>
            <w:tcW w:w="4341" w:type="dxa"/>
          </w:tcPr>
          <w:p w:rsidR="009F6F3E" w:rsidRPr="0083317C" w:rsidRDefault="009F6F3E" w:rsidP="009F6F3E">
            <w:pPr>
              <w:rPr>
                <w:rFonts w:cs="Arial"/>
                <w:sz w:val="20"/>
                <w:szCs w:val="20"/>
                <w:lang w:eastAsia="en-GB"/>
              </w:rPr>
            </w:pPr>
            <w:r w:rsidRPr="0083317C">
              <w:rPr>
                <w:rFonts w:cs="Arial"/>
                <w:sz w:val="20"/>
                <w:szCs w:val="20"/>
                <w:lang w:eastAsia="en-GB"/>
              </w:rPr>
              <w:t>Coffee substitutes beverage</w:t>
            </w:r>
          </w:p>
        </w:tc>
        <w:tc>
          <w:tcPr>
            <w:tcW w:w="1003" w:type="dxa"/>
          </w:tcPr>
          <w:p w:rsidR="009F6F3E" w:rsidRPr="0083317C" w:rsidRDefault="009A4145" w:rsidP="009F6F3E">
            <w:pPr>
              <w:jc w:val="right"/>
              <w:rPr>
                <w:rFonts w:cs="Arial"/>
                <w:sz w:val="20"/>
                <w:szCs w:val="20"/>
              </w:rPr>
            </w:pPr>
            <w:r w:rsidRPr="0083317C">
              <w:rPr>
                <w:rFonts w:cs="Arial"/>
                <w:sz w:val="20"/>
                <w:szCs w:val="20"/>
              </w:rPr>
              <w:t>0</w:t>
            </w:r>
          </w:p>
        </w:tc>
        <w:tc>
          <w:tcPr>
            <w:tcW w:w="1344" w:type="dxa"/>
          </w:tcPr>
          <w:p w:rsidR="009F6F3E" w:rsidRPr="0083317C" w:rsidRDefault="00811EDB" w:rsidP="009F6F3E">
            <w:pPr>
              <w:jc w:val="right"/>
              <w:rPr>
                <w:rFonts w:cs="Arial"/>
                <w:sz w:val="20"/>
                <w:szCs w:val="20"/>
              </w:rPr>
            </w:pPr>
            <w:r w:rsidRPr="0083317C">
              <w:rPr>
                <w:rFonts w:cs="Arial"/>
                <w:sz w:val="20"/>
                <w:szCs w:val="20"/>
              </w:rPr>
              <w:t>&lt;1</w:t>
            </w:r>
          </w:p>
        </w:tc>
        <w:tc>
          <w:tcPr>
            <w:tcW w:w="1209" w:type="dxa"/>
          </w:tcPr>
          <w:p w:rsidR="009F6F3E" w:rsidRPr="0083317C" w:rsidRDefault="00E244D0" w:rsidP="009F6F3E">
            <w:pPr>
              <w:jc w:val="right"/>
              <w:rPr>
                <w:rFonts w:cs="Arial"/>
                <w:sz w:val="20"/>
                <w:szCs w:val="20"/>
              </w:rPr>
            </w:pPr>
            <w:r w:rsidRPr="0083317C">
              <w:rPr>
                <w:rFonts w:cs="Arial"/>
                <w:sz w:val="20"/>
                <w:szCs w:val="20"/>
              </w:rPr>
              <w:t>0</w:t>
            </w:r>
          </w:p>
        </w:tc>
        <w:tc>
          <w:tcPr>
            <w:tcW w:w="1264" w:type="dxa"/>
          </w:tcPr>
          <w:p w:rsidR="009F6F3E" w:rsidRPr="0083317C" w:rsidRDefault="00E244D0" w:rsidP="009F6F3E">
            <w:pPr>
              <w:jc w:val="right"/>
              <w:rPr>
                <w:rFonts w:cs="Arial"/>
                <w:sz w:val="20"/>
                <w:szCs w:val="20"/>
              </w:rPr>
            </w:pPr>
            <w:r w:rsidRPr="0083317C">
              <w:rPr>
                <w:rFonts w:cs="Arial"/>
                <w:sz w:val="20"/>
                <w:szCs w:val="20"/>
              </w:rPr>
              <w:t>&lt;1</w:t>
            </w:r>
          </w:p>
        </w:tc>
      </w:tr>
      <w:tr w:rsidR="009A4145" w:rsidRPr="0083317C" w:rsidTr="0083317C">
        <w:trPr>
          <w:trHeight w:val="248"/>
        </w:trPr>
        <w:tc>
          <w:tcPr>
            <w:tcW w:w="4341" w:type="dxa"/>
            <w:vAlign w:val="bottom"/>
          </w:tcPr>
          <w:p w:rsidR="009A4145" w:rsidRPr="0083317C" w:rsidRDefault="009A4145" w:rsidP="00D054E6">
            <w:pPr>
              <w:rPr>
                <w:rFonts w:cs="Arial"/>
                <w:sz w:val="20"/>
                <w:szCs w:val="20"/>
                <w:lang w:eastAsia="en-GB"/>
              </w:rPr>
            </w:pPr>
            <w:r w:rsidRPr="0083317C">
              <w:rPr>
                <w:rFonts w:cs="Arial"/>
                <w:sz w:val="20"/>
                <w:szCs w:val="20"/>
                <w:lang w:eastAsia="en-GB"/>
              </w:rPr>
              <w:t>Wine based drinks &amp; reduced alcohol wines</w:t>
            </w:r>
          </w:p>
        </w:tc>
        <w:tc>
          <w:tcPr>
            <w:tcW w:w="1003" w:type="dxa"/>
          </w:tcPr>
          <w:p w:rsidR="009A4145" w:rsidRPr="0083317C" w:rsidRDefault="009A4145" w:rsidP="00D054E6">
            <w:pPr>
              <w:jc w:val="right"/>
              <w:rPr>
                <w:rFonts w:cs="Arial"/>
                <w:sz w:val="20"/>
                <w:szCs w:val="20"/>
              </w:rPr>
            </w:pPr>
            <w:r w:rsidRPr="0083317C">
              <w:rPr>
                <w:rFonts w:cs="Arial"/>
                <w:sz w:val="20"/>
                <w:szCs w:val="20"/>
              </w:rPr>
              <w:t>&lt;1</w:t>
            </w:r>
          </w:p>
        </w:tc>
        <w:tc>
          <w:tcPr>
            <w:tcW w:w="1344" w:type="dxa"/>
          </w:tcPr>
          <w:p w:rsidR="00811EDB" w:rsidRPr="0083317C" w:rsidRDefault="00811EDB" w:rsidP="00811EDB">
            <w:pPr>
              <w:jc w:val="right"/>
              <w:rPr>
                <w:rFonts w:cs="Arial"/>
                <w:sz w:val="20"/>
                <w:szCs w:val="20"/>
              </w:rPr>
            </w:pPr>
            <w:r w:rsidRPr="0083317C">
              <w:rPr>
                <w:rFonts w:cs="Arial"/>
                <w:sz w:val="20"/>
                <w:szCs w:val="20"/>
              </w:rPr>
              <w:t>&lt;1</w:t>
            </w:r>
          </w:p>
        </w:tc>
        <w:tc>
          <w:tcPr>
            <w:tcW w:w="1209" w:type="dxa"/>
          </w:tcPr>
          <w:p w:rsidR="009A4145" w:rsidRPr="0083317C" w:rsidRDefault="00811EDB" w:rsidP="009F6F3E">
            <w:pPr>
              <w:jc w:val="right"/>
              <w:rPr>
                <w:rFonts w:cs="Arial"/>
                <w:sz w:val="20"/>
                <w:szCs w:val="20"/>
              </w:rPr>
            </w:pPr>
            <w:r w:rsidRPr="0083317C">
              <w:rPr>
                <w:rFonts w:cs="Arial"/>
                <w:sz w:val="20"/>
                <w:szCs w:val="20"/>
              </w:rPr>
              <w:t>&lt;1</w:t>
            </w:r>
          </w:p>
        </w:tc>
        <w:tc>
          <w:tcPr>
            <w:tcW w:w="1264" w:type="dxa"/>
          </w:tcPr>
          <w:p w:rsidR="009A4145" w:rsidRPr="0083317C" w:rsidRDefault="00E244D0" w:rsidP="009F6F3E">
            <w:pPr>
              <w:jc w:val="right"/>
              <w:rPr>
                <w:rFonts w:cs="Arial"/>
                <w:sz w:val="20"/>
                <w:szCs w:val="20"/>
              </w:rPr>
            </w:pPr>
            <w:r w:rsidRPr="0083317C">
              <w:rPr>
                <w:rFonts w:cs="Arial"/>
                <w:sz w:val="20"/>
                <w:szCs w:val="20"/>
              </w:rPr>
              <w:t>&lt;1</w:t>
            </w:r>
          </w:p>
        </w:tc>
      </w:tr>
      <w:tr w:rsidR="009A4145" w:rsidRPr="0083317C" w:rsidTr="0083317C">
        <w:trPr>
          <w:trHeight w:val="248"/>
        </w:trPr>
        <w:tc>
          <w:tcPr>
            <w:tcW w:w="4341" w:type="dxa"/>
            <w:vAlign w:val="bottom"/>
          </w:tcPr>
          <w:p w:rsidR="009A4145" w:rsidRPr="0083317C" w:rsidRDefault="009A4145" w:rsidP="00D054E6">
            <w:pPr>
              <w:rPr>
                <w:rFonts w:cs="Arial"/>
                <w:sz w:val="20"/>
                <w:szCs w:val="20"/>
                <w:lang w:eastAsia="en-GB"/>
              </w:rPr>
            </w:pPr>
            <w:r w:rsidRPr="0083317C">
              <w:rPr>
                <w:rFonts w:cs="Arial"/>
                <w:sz w:val="20"/>
                <w:szCs w:val="20"/>
                <w:lang w:eastAsia="en-GB"/>
              </w:rPr>
              <w:t>Spirits &amp; liqueurs</w:t>
            </w:r>
          </w:p>
        </w:tc>
        <w:tc>
          <w:tcPr>
            <w:tcW w:w="1003" w:type="dxa"/>
          </w:tcPr>
          <w:p w:rsidR="009A4145" w:rsidRPr="0083317C" w:rsidRDefault="009A4145" w:rsidP="00D054E6">
            <w:pPr>
              <w:jc w:val="right"/>
              <w:rPr>
                <w:rFonts w:cs="Arial"/>
                <w:sz w:val="20"/>
                <w:szCs w:val="20"/>
              </w:rPr>
            </w:pPr>
            <w:r w:rsidRPr="0083317C">
              <w:rPr>
                <w:rFonts w:cs="Arial"/>
                <w:sz w:val="20"/>
                <w:szCs w:val="20"/>
              </w:rPr>
              <w:t>&lt;1</w:t>
            </w:r>
          </w:p>
        </w:tc>
        <w:tc>
          <w:tcPr>
            <w:tcW w:w="1344" w:type="dxa"/>
          </w:tcPr>
          <w:p w:rsidR="00811EDB" w:rsidRPr="0083317C" w:rsidRDefault="00811EDB" w:rsidP="00811EDB">
            <w:pPr>
              <w:jc w:val="right"/>
              <w:rPr>
                <w:rFonts w:cs="Arial"/>
                <w:sz w:val="20"/>
                <w:szCs w:val="20"/>
              </w:rPr>
            </w:pPr>
            <w:r w:rsidRPr="0083317C">
              <w:rPr>
                <w:rFonts w:cs="Arial"/>
                <w:sz w:val="20"/>
                <w:szCs w:val="20"/>
              </w:rPr>
              <w:t>&lt;1</w:t>
            </w:r>
          </w:p>
        </w:tc>
        <w:tc>
          <w:tcPr>
            <w:tcW w:w="1209" w:type="dxa"/>
          </w:tcPr>
          <w:p w:rsidR="009A4145" w:rsidRPr="0083317C" w:rsidRDefault="00811EDB" w:rsidP="00D054E6">
            <w:pPr>
              <w:jc w:val="right"/>
              <w:rPr>
                <w:rFonts w:cs="Arial"/>
                <w:sz w:val="20"/>
                <w:szCs w:val="20"/>
              </w:rPr>
            </w:pPr>
            <w:r w:rsidRPr="0083317C">
              <w:rPr>
                <w:rFonts w:cs="Arial"/>
                <w:sz w:val="20"/>
                <w:szCs w:val="20"/>
              </w:rPr>
              <w:t>&lt;1</w:t>
            </w:r>
          </w:p>
        </w:tc>
        <w:tc>
          <w:tcPr>
            <w:tcW w:w="1264" w:type="dxa"/>
          </w:tcPr>
          <w:p w:rsidR="009A4145" w:rsidRPr="0083317C" w:rsidRDefault="00E244D0" w:rsidP="00D054E6">
            <w:pPr>
              <w:jc w:val="right"/>
              <w:rPr>
                <w:rFonts w:cs="Arial"/>
                <w:sz w:val="20"/>
                <w:szCs w:val="20"/>
              </w:rPr>
            </w:pPr>
            <w:r w:rsidRPr="0083317C">
              <w:rPr>
                <w:rFonts w:cs="Arial"/>
                <w:sz w:val="20"/>
                <w:szCs w:val="20"/>
              </w:rPr>
              <w:t>&lt;1</w:t>
            </w:r>
          </w:p>
        </w:tc>
      </w:tr>
      <w:tr w:rsidR="009A4145" w:rsidRPr="0083317C" w:rsidTr="0083317C">
        <w:trPr>
          <w:trHeight w:val="248"/>
        </w:trPr>
        <w:tc>
          <w:tcPr>
            <w:tcW w:w="4341" w:type="dxa"/>
            <w:vAlign w:val="bottom"/>
          </w:tcPr>
          <w:p w:rsidR="009A4145" w:rsidRPr="0083317C" w:rsidRDefault="009A4145" w:rsidP="00D054E6">
            <w:pPr>
              <w:rPr>
                <w:rFonts w:cs="Arial"/>
                <w:sz w:val="20"/>
                <w:szCs w:val="20"/>
                <w:lang w:eastAsia="en-GB"/>
              </w:rPr>
            </w:pPr>
            <w:r w:rsidRPr="0083317C">
              <w:rPr>
                <w:rFonts w:cs="Arial"/>
                <w:sz w:val="20"/>
                <w:szCs w:val="20"/>
                <w:lang w:eastAsia="en-GB"/>
              </w:rPr>
              <w:t>Other alcoholic beverages not already specified (i.e. not included in item 14.2)</w:t>
            </w:r>
          </w:p>
        </w:tc>
        <w:tc>
          <w:tcPr>
            <w:tcW w:w="1003" w:type="dxa"/>
          </w:tcPr>
          <w:p w:rsidR="009A4145" w:rsidRPr="0083317C" w:rsidRDefault="009A4145" w:rsidP="00D054E6">
            <w:pPr>
              <w:jc w:val="right"/>
              <w:rPr>
                <w:rFonts w:cs="Arial"/>
                <w:sz w:val="20"/>
                <w:szCs w:val="20"/>
              </w:rPr>
            </w:pPr>
            <w:r w:rsidRPr="0083317C">
              <w:rPr>
                <w:rFonts w:cs="Arial"/>
                <w:sz w:val="20"/>
                <w:szCs w:val="20"/>
              </w:rPr>
              <w:t>0</w:t>
            </w:r>
          </w:p>
        </w:tc>
        <w:tc>
          <w:tcPr>
            <w:tcW w:w="1344" w:type="dxa"/>
          </w:tcPr>
          <w:p w:rsidR="009A4145" w:rsidRPr="0083317C" w:rsidRDefault="00811EDB" w:rsidP="00D054E6">
            <w:pPr>
              <w:jc w:val="right"/>
              <w:rPr>
                <w:rFonts w:cs="Arial"/>
                <w:sz w:val="20"/>
                <w:szCs w:val="20"/>
              </w:rPr>
            </w:pPr>
            <w:r w:rsidRPr="0083317C">
              <w:rPr>
                <w:rFonts w:cs="Arial"/>
                <w:sz w:val="20"/>
                <w:szCs w:val="20"/>
              </w:rPr>
              <w:t>&lt;1</w:t>
            </w:r>
          </w:p>
        </w:tc>
        <w:tc>
          <w:tcPr>
            <w:tcW w:w="1209" w:type="dxa"/>
          </w:tcPr>
          <w:p w:rsidR="009A4145" w:rsidRPr="0083317C" w:rsidRDefault="00E244D0" w:rsidP="00D054E6">
            <w:pPr>
              <w:jc w:val="right"/>
              <w:rPr>
                <w:rFonts w:cs="Arial"/>
                <w:sz w:val="20"/>
                <w:szCs w:val="20"/>
              </w:rPr>
            </w:pPr>
            <w:r w:rsidRPr="0083317C">
              <w:rPr>
                <w:rFonts w:cs="Arial"/>
                <w:sz w:val="20"/>
                <w:szCs w:val="20"/>
              </w:rPr>
              <w:t>0</w:t>
            </w:r>
          </w:p>
        </w:tc>
        <w:tc>
          <w:tcPr>
            <w:tcW w:w="1264" w:type="dxa"/>
          </w:tcPr>
          <w:p w:rsidR="009A4145" w:rsidRPr="0083317C" w:rsidRDefault="00E244D0" w:rsidP="00D054E6">
            <w:pPr>
              <w:jc w:val="right"/>
              <w:rPr>
                <w:rFonts w:cs="Arial"/>
                <w:sz w:val="20"/>
                <w:szCs w:val="20"/>
              </w:rPr>
            </w:pPr>
            <w:r w:rsidRPr="0083317C">
              <w:rPr>
                <w:rFonts w:cs="Arial"/>
                <w:sz w:val="20"/>
                <w:szCs w:val="20"/>
              </w:rPr>
              <w:t>&lt;1</w:t>
            </w:r>
          </w:p>
          <w:p w:rsidR="00E244D0" w:rsidRPr="0083317C" w:rsidRDefault="00E244D0" w:rsidP="00D054E6">
            <w:pPr>
              <w:jc w:val="right"/>
              <w:rPr>
                <w:rFonts w:cs="Arial"/>
                <w:sz w:val="20"/>
                <w:szCs w:val="20"/>
              </w:rPr>
            </w:pPr>
          </w:p>
        </w:tc>
      </w:tr>
    </w:tbl>
    <w:p w:rsidR="009F6F3E" w:rsidRPr="0083317C" w:rsidRDefault="009F6F3E" w:rsidP="009F6F3E">
      <w:pPr>
        <w:rPr>
          <w:rFonts w:cs="Arial"/>
          <w:b/>
          <w:sz w:val="20"/>
          <w:szCs w:val="20"/>
        </w:rPr>
      </w:pPr>
      <w:r w:rsidRPr="0083317C">
        <w:rPr>
          <w:rFonts w:cs="Arial"/>
          <w:sz w:val="20"/>
          <w:szCs w:val="20"/>
        </w:rPr>
        <w:t>N/A = not applicable to the assessments based on 1995 and 1997 nutrition survey data.</w:t>
      </w:r>
      <w:r w:rsidR="00E24FD3" w:rsidRPr="0083317C">
        <w:rPr>
          <w:rFonts w:cs="Arial"/>
          <w:sz w:val="20"/>
          <w:szCs w:val="20"/>
        </w:rPr>
        <w:t xml:space="preserve">       </w:t>
      </w:r>
    </w:p>
    <w:p w:rsidR="00811EDB" w:rsidRDefault="00811EDB" w:rsidP="00F83163">
      <w:pPr>
        <w:rPr>
          <w:rFonts w:cs="Arial"/>
          <w:b/>
          <w:sz w:val="20"/>
          <w:szCs w:val="20"/>
        </w:rPr>
      </w:pPr>
    </w:p>
    <w:p w:rsidR="00811EDB" w:rsidRDefault="00811EDB" w:rsidP="00F83163">
      <w:pPr>
        <w:rPr>
          <w:rFonts w:cs="Arial"/>
          <w:b/>
          <w:sz w:val="20"/>
          <w:szCs w:val="20"/>
        </w:rPr>
      </w:pPr>
    </w:p>
    <w:p w:rsidR="00F51EFB" w:rsidRPr="00170E3B" w:rsidRDefault="00F51EFB" w:rsidP="00F51EFB">
      <w:pPr>
        <w:rPr>
          <w:rFonts w:cs="Arial"/>
          <w:b/>
          <w:szCs w:val="22"/>
        </w:rPr>
      </w:pPr>
    </w:p>
    <w:p w:rsidR="00ED4D12" w:rsidRDefault="00ED4D12">
      <w:pPr>
        <w:widowControl/>
        <w:rPr>
          <w:sz w:val="20"/>
          <w:szCs w:val="20"/>
        </w:rPr>
      </w:pPr>
    </w:p>
    <w:sectPr w:rsidR="00ED4D12" w:rsidSect="00493B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281" w:rsidRDefault="001D4281">
      <w:r>
        <w:separator/>
      </w:r>
    </w:p>
    <w:p w:rsidR="001D4281" w:rsidRDefault="001D4281"/>
  </w:endnote>
  <w:endnote w:type="continuationSeparator" w:id="0">
    <w:p w:rsidR="001D4281" w:rsidRDefault="001D4281">
      <w:r>
        <w:continuationSeparator/>
      </w:r>
    </w:p>
    <w:p w:rsidR="001D4281" w:rsidRDefault="001D4281"/>
  </w:endnote>
  <w:endnote w:type="continuationNotice" w:id="1">
    <w:p w:rsidR="001D4281" w:rsidRDefault="001D4281"/>
    <w:p w:rsidR="001D4281" w:rsidRDefault="001D4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VKFAZ+Helvetica-Bold">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478737"/>
      <w:docPartObj>
        <w:docPartGallery w:val="Page Numbers (Bottom of Page)"/>
        <w:docPartUnique/>
      </w:docPartObj>
    </w:sdtPr>
    <w:sdtEndPr>
      <w:rPr>
        <w:noProof/>
        <w:sz w:val="20"/>
      </w:rPr>
    </w:sdtEndPr>
    <w:sdtContent>
      <w:p w:rsidR="001D4281" w:rsidRPr="00B0129D" w:rsidRDefault="001D4281" w:rsidP="00B0129D">
        <w:pPr>
          <w:pStyle w:val="Footer"/>
          <w:jc w:val="center"/>
          <w:rPr>
            <w:sz w:val="20"/>
          </w:rPr>
        </w:pPr>
        <w:r w:rsidRPr="00B0129D">
          <w:rPr>
            <w:sz w:val="20"/>
          </w:rPr>
          <w:fldChar w:fldCharType="begin"/>
        </w:r>
        <w:r w:rsidRPr="00B0129D">
          <w:rPr>
            <w:sz w:val="20"/>
          </w:rPr>
          <w:instrText xml:space="preserve"> PAGE   \* MERGEFORMAT </w:instrText>
        </w:r>
        <w:r w:rsidRPr="00B0129D">
          <w:rPr>
            <w:sz w:val="20"/>
          </w:rPr>
          <w:fldChar w:fldCharType="separate"/>
        </w:r>
        <w:r w:rsidR="00B86DF8">
          <w:rPr>
            <w:noProof/>
            <w:sz w:val="20"/>
          </w:rPr>
          <w:t>4</w:t>
        </w:r>
        <w:r w:rsidRPr="00B0129D">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281" w:rsidRPr="007D0AF2" w:rsidRDefault="001D4281">
    <w:pPr>
      <w:pStyle w:val="Footer"/>
      <w:jc w:val="center"/>
      <w:rPr>
        <w:sz w:val="18"/>
        <w:szCs w:val="18"/>
      </w:rPr>
    </w:pPr>
    <w:r w:rsidRPr="007D0AF2">
      <w:rPr>
        <w:sz w:val="18"/>
        <w:szCs w:val="18"/>
      </w:rPr>
      <w:fldChar w:fldCharType="begin"/>
    </w:r>
    <w:r w:rsidRPr="007D0AF2">
      <w:rPr>
        <w:sz w:val="18"/>
        <w:szCs w:val="18"/>
      </w:rPr>
      <w:instrText xml:space="preserve"> PAGE   \* MERGEFORMAT </w:instrText>
    </w:r>
    <w:r w:rsidRPr="007D0AF2">
      <w:rPr>
        <w:sz w:val="18"/>
        <w:szCs w:val="18"/>
      </w:rPr>
      <w:fldChar w:fldCharType="separate"/>
    </w:r>
    <w:r w:rsidR="00B86DF8">
      <w:rPr>
        <w:noProof/>
        <w:sz w:val="18"/>
        <w:szCs w:val="18"/>
      </w:rPr>
      <w:t>41</w:t>
    </w:r>
    <w:r w:rsidRPr="007D0AF2">
      <w:rPr>
        <w:sz w:val="18"/>
        <w:szCs w:val="18"/>
      </w:rPr>
      <w:fldChar w:fldCharType="end"/>
    </w:r>
  </w:p>
  <w:p w:rsidR="001D4281" w:rsidRDefault="001D4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281" w:rsidRDefault="001D4281">
      <w:r>
        <w:separator/>
      </w:r>
    </w:p>
    <w:p w:rsidR="001D4281" w:rsidRDefault="001D4281"/>
  </w:footnote>
  <w:footnote w:type="continuationSeparator" w:id="0">
    <w:p w:rsidR="001D4281" w:rsidRDefault="001D4281">
      <w:r>
        <w:continuationSeparator/>
      </w:r>
    </w:p>
    <w:p w:rsidR="001D4281" w:rsidRDefault="001D4281"/>
  </w:footnote>
  <w:footnote w:type="continuationNotice" w:id="1">
    <w:p w:rsidR="001D4281" w:rsidRDefault="001D4281"/>
    <w:p w:rsidR="001D4281" w:rsidRDefault="001D4281"/>
  </w:footnote>
  <w:footnote w:id="2">
    <w:p w:rsidR="001D4281" w:rsidRPr="003F1918" w:rsidRDefault="001D4281">
      <w:pPr>
        <w:pStyle w:val="FootnoteText"/>
        <w:rPr>
          <w:lang w:val="en-AU"/>
        </w:rPr>
      </w:pPr>
      <w:r w:rsidRPr="000764E9">
        <w:rPr>
          <w:rStyle w:val="FootnoteReference"/>
          <w:sz w:val="18"/>
          <w:szCs w:val="18"/>
        </w:rPr>
        <w:footnoteRef/>
      </w:r>
      <w:r w:rsidRPr="000764E9">
        <w:rPr>
          <w:sz w:val="18"/>
          <w:szCs w:val="18"/>
        </w:rPr>
        <w:t xml:space="preserve"> </w:t>
      </w:r>
      <w:r w:rsidRPr="000764E9">
        <w:rPr>
          <w:sz w:val="18"/>
          <w:szCs w:val="18"/>
          <w:lang w:val="en-AU"/>
        </w:rPr>
        <w:t>Quillaja extract is the term used by the Applicant when the application was submitted to FSANZ. However, the technically correct term is Quillaia, as all the safety studies and JECFA specifications are based on the term quillaia extract. Therefore, for consistency FSANZ has used the term quillaia in all reports.</w:t>
      </w:r>
      <w:r w:rsidRPr="00E3403B">
        <w:rPr>
          <w:sz w:val="18"/>
          <w:szCs w:val="18"/>
          <w:lang w:val="en-AU"/>
        </w:rPr>
        <w:t xml:space="preserve"> </w:t>
      </w:r>
    </w:p>
  </w:footnote>
  <w:footnote w:id="3">
    <w:p w:rsidR="001D4281" w:rsidRPr="003F5614" w:rsidRDefault="001D4281" w:rsidP="003F5614">
      <w:pPr>
        <w:pStyle w:val="CommentText"/>
        <w:rPr>
          <w:rFonts w:ascii="Arial" w:hAnsi="Arial" w:cs="Arial"/>
          <w:sz w:val="18"/>
          <w:szCs w:val="18"/>
        </w:rPr>
      </w:pPr>
      <w:r w:rsidRPr="003F5614">
        <w:rPr>
          <w:rStyle w:val="FootnoteReference"/>
          <w:rFonts w:ascii="Arial" w:hAnsi="Arial" w:cs="Arial"/>
          <w:sz w:val="18"/>
          <w:szCs w:val="18"/>
        </w:rPr>
        <w:footnoteRef/>
      </w:r>
      <w:r w:rsidRPr="003F5614">
        <w:rPr>
          <w:rFonts w:ascii="Arial" w:hAnsi="Arial" w:cs="Arial"/>
          <w:sz w:val="18"/>
          <w:szCs w:val="18"/>
        </w:rPr>
        <w:t xml:space="preserve"> The term ‘decreased elev</w:t>
      </w:r>
      <w:r>
        <w:rPr>
          <w:rFonts w:ascii="Arial" w:hAnsi="Arial" w:cs="Arial"/>
          <w:sz w:val="18"/>
          <w:szCs w:val="18"/>
        </w:rPr>
        <w:t xml:space="preserve">ated blood pressure’ was a direct reference from the abstract of the Efimova et al 1966 study, obtained from the </w:t>
      </w:r>
      <w:r w:rsidRPr="003F5614">
        <w:rPr>
          <w:rFonts w:ascii="Arial" w:hAnsi="Arial" w:cs="Arial"/>
          <w:sz w:val="18"/>
          <w:szCs w:val="18"/>
        </w:rPr>
        <w:t>J</w:t>
      </w:r>
      <w:r>
        <w:rPr>
          <w:rFonts w:ascii="Arial" w:hAnsi="Arial" w:cs="Arial"/>
          <w:sz w:val="18"/>
          <w:szCs w:val="18"/>
        </w:rPr>
        <w:t xml:space="preserve">ECFA Report (2005) </w:t>
      </w:r>
    </w:p>
    <w:p w:rsidR="001D4281" w:rsidRPr="003F5614" w:rsidRDefault="001D4281">
      <w:pPr>
        <w:pStyle w:val="FootnoteText"/>
        <w:rPr>
          <w:lang w:val="en-AU"/>
        </w:rPr>
      </w:pPr>
    </w:p>
  </w:footnote>
  <w:footnote w:id="4">
    <w:p w:rsidR="001D4281" w:rsidRDefault="001D4281" w:rsidP="009F6F3E">
      <w:pPr>
        <w:pStyle w:val="FootnoteText"/>
      </w:pPr>
      <w:r>
        <w:rPr>
          <w:rStyle w:val="FootnoteReference"/>
        </w:rPr>
        <w:footnoteRef/>
      </w:r>
      <w:r>
        <w:t xml:space="preserve"> The 2007NNS data used was weighted and the average of 2-days of 24-hour food records</w:t>
      </w:r>
    </w:p>
    <w:p w:rsidR="001D4281" w:rsidRPr="004059C4" w:rsidRDefault="001D4281" w:rsidP="009F6F3E">
      <w:pPr>
        <w:pStyle w:val="FootnoteText"/>
      </w:pPr>
      <w:r>
        <w:t xml:space="preserve"> (Tables A2.1 to A2.4) </w:t>
      </w:r>
    </w:p>
  </w:footnote>
  <w:footnote w:id="5">
    <w:p w:rsidR="001D4281" w:rsidRDefault="001D4281" w:rsidP="009F6F3E">
      <w:pPr>
        <w:pStyle w:val="FootnoteText"/>
      </w:pPr>
      <w:r>
        <w:rPr>
          <w:rStyle w:val="FootnoteReference"/>
        </w:rPr>
        <w:footnoteRef/>
      </w:r>
      <w:r>
        <w:t xml:space="preserve"> The data used for the other three surveys were single day 24-hour food records </w:t>
      </w:r>
    </w:p>
    <w:p w:rsidR="001D4281" w:rsidRPr="004059C4" w:rsidRDefault="001D4281" w:rsidP="009F6F3E">
      <w:pPr>
        <w:pStyle w:val="FootnoteText"/>
        <w:rPr>
          <w:lang w:val="en-AU"/>
        </w:rPr>
      </w:pPr>
      <w:r>
        <w:t>(Tables A2.1 to A2.4)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DA40736C"/>
    <w:lvl w:ilvl="0" w:tplc="6B5AB52C">
      <w:start w:val="1"/>
      <w:numFmt w:val="bullet"/>
      <w:pStyle w:val="FS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442D4"/>
    <w:multiLevelType w:val="hybridMultilevel"/>
    <w:tmpl w:val="37AC4E4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70C3A25"/>
    <w:multiLevelType w:val="hybridMultilevel"/>
    <w:tmpl w:val="A626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3ACC6F04"/>
    <w:multiLevelType w:val="hybridMultilevel"/>
    <w:tmpl w:val="9766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3DC1942"/>
    <w:multiLevelType w:val="hybridMultilevel"/>
    <w:tmpl w:val="642C88AA"/>
    <w:lvl w:ilvl="0" w:tplc="0C090001">
      <w:start w:val="1"/>
      <w:numFmt w:val="bullet"/>
      <w:pStyle w:val="Dashpoint"/>
      <w:lvlText w:val="-"/>
      <w:lvlJc w:val="left"/>
      <w:pPr>
        <w:tabs>
          <w:tab w:val="num" w:pos="1134"/>
        </w:tabs>
        <w:ind w:left="1134"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5465D2D"/>
    <w:multiLevelType w:val="hybridMultilevel"/>
    <w:tmpl w:val="93F6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23524C"/>
    <w:multiLevelType w:val="hybridMultilevel"/>
    <w:tmpl w:val="F82EB014"/>
    <w:lvl w:ilvl="0" w:tplc="0C090019">
      <w:start w:val="1"/>
      <w:numFmt w:val="lowerLetter"/>
      <w:lvlText w:val="%1."/>
      <w:lvlJc w:val="left"/>
      <w:pPr>
        <w:ind w:left="726" w:hanging="360"/>
      </w:p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9">
    <w:nsid w:val="4BDE5926"/>
    <w:multiLevelType w:val="hybridMultilevel"/>
    <w:tmpl w:val="AB4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2B3811"/>
    <w:multiLevelType w:val="hybridMultilevel"/>
    <w:tmpl w:val="4A703842"/>
    <w:lvl w:ilvl="0" w:tplc="A440CB4C">
      <w:numFmt w:val="bullet"/>
      <w:pStyle w:val="Dash"/>
      <w:lvlText w:val="-"/>
      <w:lvlJc w:val="left"/>
      <w:pPr>
        <w:tabs>
          <w:tab w:val="num" w:pos="583"/>
        </w:tabs>
        <w:ind w:left="583" w:hanging="360"/>
      </w:pPr>
      <w:rPr>
        <w:rFonts w:ascii="Times New Roman" w:eastAsia="Times New Roman" w:hAnsi="Times New Roman" w:cs="Times New Roman" w:hint="default"/>
      </w:rPr>
    </w:lvl>
    <w:lvl w:ilvl="1" w:tplc="9BCA2148" w:tentative="1">
      <w:start w:val="1"/>
      <w:numFmt w:val="bullet"/>
      <w:lvlText w:val="o"/>
      <w:lvlJc w:val="left"/>
      <w:pPr>
        <w:tabs>
          <w:tab w:val="num" w:pos="1440"/>
        </w:tabs>
        <w:ind w:left="1440" w:hanging="360"/>
      </w:pPr>
      <w:rPr>
        <w:rFonts w:ascii="Courier New" w:hAnsi="Courier New" w:cs="Courier New" w:hint="default"/>
      </w:rPr>
    </w:lvl>
    <w:lvl w:ilvl="2" w:tplc="07F6C9BC" w:tentative="1">
      <w:start w:val="1"/>
      <w:numFmt w:val="bullet"/>
      <w:lvlText w:val=""/>
      <w:lvlJc w:val="left"/>
      <w:pPr>
        <w:tabs>
          <w:tab w:val="num" w:pos="2160"/>
        </w:tabs>
        <w:ind w:left="2160" w:hanging="360"/>
      </w:pPr>
      <w:rPr>
        <w:rFonts w:ascii="Wingdings" w:hAnsi="Wingdings" w:hint="default"/>
      </w:rPr>
    </w:lvl>
    <w:lvl w:ilvl="3" w:tplc="E60CD978" w:tentative="1">
      <w:start w:val="1"/>
      <w:numFmt w:val="bullet"/>
      <w:lvlText w:val=""/>
      <w:lvlJc w:val="left"/>
      <w:pPr>
        <w:tabs>
          <w:tab w:val="num" w:pos="2880"/>
        </w:tabs>
        <w:ind w:left="2880" w:hanging="360"/>
      </w:pPr>
      <w:rPr>
        <w:rFonts w:ascii="Symbol" w:hAnsi="Symbol" w:hint="default"/>
      </w:rPr>
    </w:lvl>
    <w:lvl w:ilvl="4" w:tplc="65780D44" w:tentative="1">
      <w:start w:val="1"/>
      <w:numFmt w:val="bullet"/>
      <w:lvlText w:val="o"/>
      <w:lvlJc w:val="left"/>
      <w:pPr>
        <w:tabs>
          <w:tab w:val="num" w:pos="3600"/>
        </w:tabs>
        <w:ind w:left="3600" w:hanging="360"/>
      </w:pPr>
      <w:rPr>
        <w:rFonts w:ascii="Courier New" w:hAnsi="Courier New" w:cs="Courier New" w:hint="default"/>
      </w:rPr>
    </w:lvl>
    <w:lvl w:ilvl="5" w:tplc="4E50DEF0" w:tentative="1">
      <w:start w:val="1"/>
      <w:numFmt w:val="bullet"/>
      <w:lvlText w:val=""/>
      <w:lvlJc w:val="left"/>
      <w:pPr>
        <w:tabs>
          <w:tab w:val="num" w:pos="4320"/>
        </w:tabs>
        <w:ind w:left="4320" w:hanging="360"/>
      </w:pPr>
      <w:rPr>
        <w:rFonts w:ascii="Wingdings" w:hAnsi="Wingdings" w:hint="default"/>
      </w:rPr>
    </w:lvl>
    <w:lvl w:ilvl="6" w:tplc="1CCC1B14" w:tentative="1">
      <w:start w:val="1"/>
      <w:numFmt w:val="bullet"/>
      <w:lvlText w:val=""/>
      <w:lvlJc w:val="left"/>
      <w:pPr>
        <w:tabs>
          <w:tab w:val="num" w:pos="5040"/>
        </w:tabs>
        <w:ind w:left="5040" w:hanging="360"/>
      </w:pPr>
      <w:rPr>
        <w:rFonts w:ascii="Symbol" w:hAnsi="Symbol" w:hint="default"/>
      </w:rPr>
    </w:lvl>
    <w:lvl w:ilvl="7" w:tplc="3BE05FB4" w:tentative="1">
      <w:start w:val="1"/>
      <w:numFmt w:val="bullet"/>
      <w:lvlText w:val="o"/>
      <w:lvlJc w:val="left"/>
      <w:pPr>
        <w:tabs>
          <w:tab w:val="num" w:pos="5760"/>
        </w:tabs>
        <w:ind w:left="5760" w:hanging="360"/>
      </w:pPr>
      <w:rPr>
        <w:rFonts w:ascii="Courier New" w:hAnsi="Courier New" w:cs="Courier New" w:hint="default"/>
      </w:rPr>
    </w:lvl>
    <w:lvl w:ilvl="8" w:tplc="07EE8774" w:tentative="1">
      <w:start w:val="1"/>
      <w:numFmt w:val="bullet"/>
      <w:lvlText w:val=""/>
      <w:lvlJc w:val="left"/>
      <w:pPr>
        <w:tabs>
          <w:tab w:val="num" w:pos="6480"/>
        </w:tabs>
        <w:ind w:left="6480" w:hanging="360"/>
      </w:pPr>
      <w:rPr>
        <w:rFonts w:ascii="Wingdings" w:hAnsi="Wingdings" w:hint="default"/>
      </w:rPr>
    </w:lvl>
  </w:abstractNum>
  <w:abstractNum w:abstractNumId="12">
    <w:nsid w:val="5F08100C"/>
    <w:multiLevelType w:val="hybridMultilevel"/>
    <w:tmpl w:val="430200FA"/>
    <w:lvl w:ilvl="0" w:tplc="67AEE210">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5D3094C"/>
    <w:multiLevelType w:val="hybridMultilevel"/>
    <w:tmpl w:val="CC34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5">
    <w:nsid w:val="79D245AE"/>
    <w:multiLevelType w:val="hybridMultilevel"/>
    <w:tmpl w:val="D98450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AC951A6"/>
    <w:multiLevelType w:val="hybridMultilevel"/>
    <w:tmpl w:val="1E9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7469A8"/>
    <w:multiLevelType w:val="hybridMultilevel"/>
    <w:tmpl w:val="C6DC5A9A"/>
    <w:lvl w:ilvl="0" w:tplc="0C090017">
      <w:start w:val="1"/>
      <w:numFmt w:val="bullet"/>
      <w:lvlText w:val=""/>
      <w:lvlJc w:val="left"/>
      <w:pPr>
        <w:tabs>
          <w:tab w:val="num" w:pos="577"/>
        </w:tabs>
        <w:ind w:left="577" w:hanging="510"/>
      </w:pPr>
      <w:rPr>
        <w:rFonts w:ascii="Symbol" w:hAnsi="Symbol" w:hint="default"/>
      </w:rPr>
    </w:lvl>
    <w:lvl w:ilvl="1" w:tplc="0C090019">
      <w:start w:val="1"/>
      <w:numFmt w:val="bullet"/>
      <w:lvlText w:val=""/>
      <w:lvlJc w:val="left"/>
      <w:pPr>
        <w:tabs>
          <w:tab w:val="num" w:pos="1601"/>
        </w:tabs>
        <w:ind w:left="1601" w:hanging="454"/>
      </w:pPr>
      <w:rPr>
        <w:rFonts w:ascii="Symbol" w:hAnsi="Symbol"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nsid w:val="7CBA3330"/>
    <w:multiLevelType w:val="multilevel"/>
    <w:tmpl w:val="BDA639F4"/>
    <w:lvl w:ilvl="0">
      <w:start w:val="1"/>
      <w:numFmt w:val="decimal"/>
      <w:lvlText w:val="%1."/>
      <w:lvlJc w:val="left"/>
      <w:pPr>
        <w:ind w:left="644" w:hanging="360"/>
      </w:pPr>
      <w:rPr>
        <w:rFonts w:hint="default"/>
      </w:rPr>
    </w:lvl>
    <w:lvl w:ilvl="1">
      <w:start w:val="1"/>
      <w:numFmt w:val="decimal"/>
      <w:isLgl/>
      <w:lvlText w:val="%1.%2"/>
      <w:lvlJc w:val="left"/>
      <w:pPr>
        <w:ind w:left="712" w:hanging="57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0"/>
  </w:num>
  <w:num w:numId="2">
    <w:abstractNumId w:val="18"/>
  </w:num>
  <w:num w:numId="3">
    <w:abstractNumId w:val="11"/>
  </w:num>
  <w:num w:numId="4">
    <w:abstractNumId w:val="12"/>
  </w:num>
  <w:num w:numId="5">
    <w:abstractNumId w:val="6"/>
  </w:num>
  <w:num w:numId="6">
    <w:abstractNumId w:val="1"/>
  </w:num>
  <w:num w:numId="7">
    <w:abstractNumId w:val="16"/>
  </w:num>
  <w:num w:numId="8">
    <w:abstractNumId w:val="8"/>
  </w:num>
  <w:num w:numId="9">
    <w:abstractNumId w:val="15"/>
  </w:num>
  <w:num w:numId="10">
    <w:abstractNumId w:val="14"/>
  </w:num>
  <w:num w:numId="11">
    <w:abstractNumId w:val="5"/>
  </w:num>
  <w:num w:numId="12">
    <w:abstractNumId w:val="10"/>
  </w:num>
  <w:num w:numId="13">
    <w:abstractNumId w:val="17"/>
  </w:num>
  <w:num w:numId="14">
    <w:abstractNumId w:val="7"/>
  </w:num>
  <w:num w:numId="15">
    <w:abstractNumId w:val="13"/>
  </w:num>
  <w:num w:numId="16">
    <w:abstractNumId w:val="9"/>
  </w:num>
  <w:num w:numId="17">
    <w:abstractNumId w:val="4"/>
  </w:num>
  <w:num w:numId="18">
    <w:abstractNumId w:val="3"/>
  </w:num>
  <w:num w:numId="19">
    <w:abstractNumId w:val="2"/>
  </w:num>
  <w:num w:numId="20">
    <w:abstractNumId w:val="14"/>
  </w:num>
  <w:num w:numId="21">
    <w:abstractNumId w:val="14"/>
  </w:num>
  <w:num w:numId="2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noPunctuationKerning/>
  <w:characterSpacingControl w:val="doNotCompress"/>
  <w:hdrShapeDefaults>
    <o:shapedefaults v:ext="edit" spidmax="272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5F7342"/>
    <w:rsid w:val="000002E0"/>
    <w:rsid w:val="00000974"/>
    <w:rsid w:val="00000E10"/>
    <w:rsid w:val="00000EC6"/>
    <w:rsid w:val="00000FDD"/>
    <w:rsid w:val="00001706"/>
    <w:rsid w:val="0000198F"/>
    <w:rsid w:val="0000247B"/>
    <w:rsid w:val="000027EC"/>
    <w:rsid w:val="00002979"/>
    <w:rsid w:val="00002C18"/>
    <w:rsid w:val="00002F81"/>
    <w:rsid w:val="00003081"/>
    <w:rsid w:val="00003817"/>
    <w:rsid w:val="00003C08"/>
    <w:rsid w:val="0000469B"/>
    <w:rsid w:val="00004BC2"/>
    <w:rsid w:val="00005941"/>
    <w:rsid w:val="00006014"/>
    <w:rsid w:val="0000660E"/>
    <w:rsid w:val="00007037"/>
    <w:rsid w:val="000073A3"/>
    <w:rsid w:val="0001004F"/>
    <w:rsid w:val="000107E7"/>
    <w:rsid w:val="00010A08"/>
    <w:rsid w:val="00010B53"/>
    <w:rsid w:val="00011425"/>
    <w:rsid w:val="000125F2"/>
    <w:rsid w:val="000144CA"/>
    <w:rsid w:val="000147DB"/>
    <w:rsid w:val="00015D4C"/>
    <w:rsid w:val="000164CD"/>
    <w:rsid w:val="000166D5"/>
    <w:rsid w:val="00016AEE"/>
    <w:rsid w:val="00016FBC"/>
    <w:rsid w:val="000177F5"/>
    <w:rsid w:val="00017AC8"/>
    <w:rsid w:val="00017DD5"/>
    <w:rsid w:val="00020B26"/>
    <w:rsid w:val="000215CA"/>
    <w:rsid w:val="00021E70"/>
    <w:rsid w:val="0002214B"/>
    <w:rsid w:val="00023619"/>
    <w:rsid w:val="00024577"/>
    <w:rsid w:val="00024626"/>
    <w:rsid w:val="00024BBC"/>
    <w:rsid w:val="00025509"/>
    <w:rsid w:val="00026B7C"/>
    <w:rsid w:val="00026ED9"/>
    <w:rsid w:val="0002731A"/>
    <w:rsid w:val="00030548"/>
    <w:rsid w:val="00030B43"/>
    <w:rsid w:val="00031188"/>
    <w:rsid w:val="00031698"/>
    <w:rsid w:val="00031703"/>
    <w:rsid w:val="000318A9"/>
    <w:rsid w:val="00032130"/>
    <w:rsid w:val="00032274"/>
    <w:rsid w:val="0003283F"/>
    <w:rsid w:val="00033664"/>
    <w:rsid w:val="000336EF"/>
    <w:rsid w:val="000345C1"/>
    <w:rsid w:val="00034B9B"/>
    <w:rsid w:val="0003547F"/>
    <w:rsid w:val="000358F9"/>
    <w:rsid w:val="00035DE8"/>
    <w:rsid w:val="0003647F"/>
    <w:rsid w:val="000366A7"/>
    <w:rsid w:val="000370D7"/>
    <w:rsid w:val="00037C66"/>
    <w:rsid w:val="000416D9"/>
    <w:rsid w:val="00041863"/>
    <w:rsid w:val="000420FD"/>
    <w:rsid w:val="00042111"/>
    <w:rsid w:val="00042658"/>
    <w:rsid w:val="000429F8"/>
    <w:rsid w:val="000438C7"/>
    <w:rsid w:val="00043CAD"/>
    <w:rsid w:val="0004423D"/>
    <w:rsid w:val="00044BD2"/>
    <w:rsid w:val="00046FB3"/>
    <w:rsid w:val="0004765A"/>
    <w:rsid w:val="00047F03"/>
    <w:rsid w:val="0005025F"/>
    <w:rsid w:val="00050DDB"/>
    <w:rsid w:val="00050E98"/>
    <w:rsid w:val="0005120B"/>
    <w:rsid w:val="00051F96"/>
    <w:rsid w:val="00053294"/>
    <w:rsid w:val="00053FC6"/>
    <w:rsid w:val="0005400B"/>
    <w:rsid w:val="0005452E"/>
    <w:rsid w:val="000545FA"/>
    <w:rsid w:val="000550EB"/>
    <w:rsid w:val="0005530D"/>
    <w:rsid w:val="0005638A"/>
    <w:rsid w:val="000563A9"/>
    <w:rsid w:val="00056DA1"/>
    <w:rsid w:val="00057FBD"/>
    <w:rsid w:val="0006016B"/>
    <w:rsid w:val="00060215"/>
    <w:rsid w:val="00060E90"/>
    <w:rsid w:val="000613EB"/>
    <w:rsid w:val="000614B8"/>
    <w:rsid w:val="0006168D"/>
    <w:rsid w:val="00061D55"/>
    <w:rsid w:val="00061EAC"/>
    <w:rsid w:val="00062727"/>
    <w:rsid w:val="00062B8D"/>
    <w:rsid w:val="000630A2"/>
    <w:rsid w:val="00063115"/>
    <w:rsid w:val="00063285"/>
    <w:rsid w:val="000633C3"/>
    <w:rsid w:val="000636AC"/>
    <w:rsid w:val="00063917"/>
    <w:rsid w:val="000647E6"/>
    <w:rsid w:val="000648DC"/>
    <w:rsid w:val="00064B2D"/>
    <w:rsid w:val="00064EA4"/>
    <w:rsid w:val="00065460"/>
    <w:rsid w:val="00065F1F"/>
    <w:rsid w:val="00066789"/>
    <w:rsid w:val="00066805"/>
    <w:rsid w:val="00066DA9"/>
    <w:rsid w:val="00067761"/>
    <w:rsid w:val="0006783F"/>
    <w:rsid w:val="00067B6F"/>
    <w:rsid w:val="00067D5C"/>
    <w:rsid w:val="000712A3"/>
    <w:rsid w:val="0007137F"/>
    <w:rsid w:val="00071DD6"/>
    <w:rsid w:val="00072867"/>
    <w:rsid w:val="00072C67"/>
    <w:rsid w:val="00073914"/>
    <w:rsid w:val="0007395F"/>
    <w:rsid w:val="0007405C"/>
    <w:rsid w:val="000742C3"/>
    <w:rsid w:val="00074612"/>
    <w:rsid w:val="00074764"/>
    <w:rsid w:val="0007564F"/>
    <w:rsid w:val="000756A3"/>
    <w:rsid w:val="000764E9"/>
    <w:rsid w:val="0007691B"/>
    <w:rsid w:val="00077521"/>
    <w:rsid w:val="00077F75"/>
    <w:rsid w:val="0008024F"/>
    <w:rsid w:val="0008105E"/>
    <w:rsid w:val="0008181F"/>
    <w:rsid w:val="00081986"/>
    <w:rsid w:val="00081987"/>
    <w:rsid w:val="00081FB5"/>
    <w:rsid w:val="0008268E"/>
    <w:rsid w:val="000828EB"/>
    <w:rsid w:val="00082ABD"/>
    <w:rsid w:val="000840AA"/>
    <w:rsid w:val="000844B1"/>
    <w:rsid w:val="0008470E"/>
    <w:rsid w:val="00084957"/>
    <w:rsid w:val="00084D1B"/>
    <w:rsid w:val="00084DC9"/>
    <w:rsid w:val="000855D7"/>
    <w:rsid w:val="00085BD3"/>
    <w:rsid w:val="000866A6"/>
    <w:rsid w:val="00086903"/>
    <w:rsid w:val="00086928"/>
    <w:rsid w:val="00086A5C"/>
    <w:rsid w:val="00086AEB"/>
    <w:rsid w:val="00086DCE"/>
    <w:rsid w:val="000903B2"/>
    <w:rsid w:val="00090A48"/>
    <w:rsid w:val="00091500"/>
    <w:rsid w:val="00092326"/>
    <w:rsid w:val="00092BBD"/>
    <w:rsid w:val="000932E9"/>
    <w:rsid w:val="00093C9E"/>
    <w:rsid w:val="00093DED"/>
    <w:rsid w:val="00093E79"/>
    <w:rsid w:val="00093F3A"/>
    <w:rsid w:val="0009444F"/>
    <w:rsid w:val="00094A04"/>
    <w:rsid w:val="00095170"/>
    <w:rsid w:val="000953AF"/>
    <w:rsid w:val="00095945"/>
    <w:rsid w:val="000959E8"/>
    <w:rsid w:val="00096FEA"/>
    <w:rsid w:val="0009747B"/>
    <w:rsid w:val="000A07BD"/>
    <w:rsid w:val="000A0EEF"/>
    <w:rsid w:val="000A1BA3"/>
    <w:rsid w:val="000A1D4D"/>
    <w:rsid w:val="000A2008"/>
    <w:rsid w:val="000A28ED"/>
    <w:rsid w:val="000A2A03"/>
    <w:rsid w:val="000A2B85"/>
    <w:rsid w:val="000A2C9A"/>
    <w:rsid w:val="000A2CE1"/>
    <w:rsid w:val="000A2EF7"/>
    <w:rsid w:val="000A3529"/>
    <w:rsid w:val="000A3B1F"/>
    <w:rsid w:val="000A3D8B"/>
    <w:rsid w:val="000A3E15"/>
    <w:rsid w:val="000A412A"/>
    <w:rsid w:val="000A4834"/>
    <w:rsid w:val="000A4A0D"/>
    <w:rsid w:val="000A4D94"/>
    <w:rsid w:val="000A4DC7"/>
    <w:rsid w:val="000A4FDE"/>
    <w:rsid w:val="000A5373"/>
    <w:rsid w:val="000A5F86"/>
    <w:rsid w:val="000A7FA8"/>
    <w:rsid w:val="000B0878"/>
    <w:rsid w:val="000B0EC7"/>
    <w:rsid w:val="000B136E"/>
    <w:rsid w:val="000B1634"/>
    <w:rsid w:val="000B16B9"/>
    <w:rsid w:val="000B19A8"/>
    <w:rsid w:val="000B1C43"/>
    <w:rsid w:val="000B1E69"/>
    <w:rsid w:val="000B2175"/>
    <w:rsid w:val="000B25A2"/>
    <w:rsid w:val="000B2E62"/>
    <w:rsid w:val="000B4800"/>
    <w:rsid w:val="000B4873"/>
    <w:rsid w:val="000B48BC"/>
    <w:rsid w:val="000B4D9D"/>
    <w:rsid w:val="000B540F"/>
    <w:rsid w:val="000B5BC8"/>
    <w:rsid w:val="000B5F0C"/>
    <w:rsid w:val="000B6130"/>
    <w:rsid w:val="000B6892"/>
    <w:rsid w:val="000B6A5B"/>
    <w:rsid w:val="000B6CEA"/>
    <w:rsid w:val="000B75A2"/>
    <w:rsid w:val="000B7638"/>
    <w:rsid w:val="000B7A19"/>
    <w:rsid w:val="000C1446"/>
    <w:rsid w:val="000C16AD"/>
    <w:rsid w:val="000C1D0F"/>
    <w:rsid w:val="000C1D43"/>
    <w:rsid w:val="000C24A8"/>
    <w:rsid w:val="000C2579"/>
    <w:rsid w:val="000C2BFB"/>
    <w:rsid w:val="000C2D79"/>
    <w:rsid w:val="000C3518"/>
    <w:rsid w:val="000C360B"/>
    <w:rsid w:val="000C360D"/>
    <w:rsid w:val="000C54DE"/>
    <w:rsid w:val="000C60D1"/>
    <w:rsid w:val="000C64F2"/>
    <w:rsid w:val="000C6F0B"/>
    <w:rsid w:val="000C73DE"/>
    <w:rsid w:val="000C7D21"/>
    <w:rsid w:val="000D12B6"/>
    <w:rsid w:val="000D1DC4"/>
    <w:rsid w:val="000D23AA"/>
    <w:rsid w:val="000D2CB0"/>
    <w:rsid w:val="000D2F93"/>
    <w:rsid w:val="000D32C1"/>
    <w:rsid w:val="000D32DB"/>
    <w:rsid w:val="000D372E"/>
    <w:rsid w:val="000D39AA"/>
    <w:rsid w:val="000D3A2E"/>
    <w:rsid w:val="000D3A74"/>
    <w:rsid w:val="000D3F56"/>
    <w:rsid w:val="000D46B7"/>
    <w:rsid w:val="000D4D8E"/>
    <w:rsid w:val="000D510D"/>
    <w:rsid w:val="000D56B4"/>
    <w:rsid w:val="000D5FBE"/>
    <w:rsid w:val="000D60BF"/>
    <w:rsid w:val="000D6116"/>
    <w:rsid w:val="000D629A"/>
    <w:rsid w:val="000D6952"/>
    <w:rsid w:val="000D6E34"/>
    <w:rsid w:val="000D6FD4"/>
    <w:rsid w:val="000D72B2"/>
    <w:rsid w:val="000D7A32"/>
    <w:rsid w:val="000D7EB2"/>
    <w:rsid w:val="000E0AE4"/>
    <w:rsid w:val="000E102D"/>
    <w:rsid w:val="000E1C29"/>
    <w:rsid w:val="000E1D1C"/>
    <w:rsid w:val="000E1F93"/>
    <w:rsid w:val="000E2049"/>
    <w:rsid w:val="000E238C"/>
    <w:rsid w:val="000E2608"/>
    <w:rsid w:val="000E2958"/>
    <w:rsid w:val="000E378C"/>
    <w:rsid w:val="000E380C"/>
    <w:rsid w:val="000E39ED"/>
    <w:rsid w:val="000E3DBC"/>
    <w:rsid w:val="000E422D"/>
    <w:rsid w:val="000E4501"/>
    <w:rsid w:val="000E4656"/>
    <w:rsid w:val="000E47FE"/>
    <w:rsid w:val="000E4DC6"/>
    <w:rsid w:val="000E578E"/>
    <w:rsid w:val="000E5C9B"/>
    <w:rsid w:val="000E6472"/>
    <w:rsid w:val="000E6554"/>
    <w:rsid w:val="000E66C5"/>
    <w:rsid w:val="000E7B04"/>
    <w:rsid w:val="000E7E17"/>
    <w:rsid w:val="000F0DEB"/>
    <w:rsid w:val="000F0E54"/>
    <w:rsid w:val="000F1437"/>
    <w:rsid w:val="000F146B"/>
    <w:rsid w:val="000F1473"/>
    <w:rsid w:val="000F2257"/>
    <w:rsid w:val="000F22B1"/>
    <w:rsid w:val="000F2415"/>
    <w:rsid w:val="000F2678"/>
    <w:rsid w:val="000F29EB"/>
    <w:rsid w:val="000F3579"/>
    <w:rsid w:val="000F3DCE"/>
    <w:rsid w:val="000F4043"/>
    <w:rsid w:val="000F4220"/>
    <w:rsid w:val="000F4ACB"/>
    <w:rsid w:val="000F4D07"/>
    <w:rsid w:val="000F5755"/>
    <w:rsid w:val="000F577A"/>
    <w:rsid w:val="000F63F4"/>
    <w:rsid w:val="000F6814"/>
    <w:rsid w:val="000F6944"/>
    <w:rsid w:val="000F76C9"/>
    <w:rsid w:val="00100338"/>
    <w:rsid w:val="00100489"/>
    <w:rsid w:val="001004A3"/>
    <w:rsid w:val="00100B35"/>
    <w:rsid w:val="00100BA1"/>
    <w:rsid w:val="00101220"/>
    <w:rsid w:val="00101554"/>
    <w:rsid w:val="00101B08"/>
    <w:rsid w:val="001021A7"/>
    <w:rsid w:val="001021E1"/>
    <w:rsid w:val="00102592"/>
    <w:rsid w:val="0010297D"/>
    <w:rsid w:val="00102D34"/>
    <w:rsid w:val="00103021"/>
    <w:rsid w:val="00103275"/>
    <w:rsid w:val="001034DC"/>
    <w:rsid w:val="00103F5B"/>
    <w:rsid w:val="00104B4C"/>
    <w:rsid w:val="00104E49"/>
    <w:rsid w:val="001052A8"/>
    <w:rsid w:val="00105363"/>
    <w:rsid w:val="00105B7C"/>
    <w:rsid w:val="0010687D"/>
    <w:rsid w:val="00106AC5"/>
    <w:rsid w:val="00106C20"/>
    <w:rsid w:val="00106FB0"/>
    <w:rsid w:val="00107988"/>
    <w:rsid w:val="001079AF"/>
    <w:rsid w:val="00107F8A"/>
    <w:rsid w:val="001101EC"/>
    <w:rsid w:val="001109D6"/>
    <w:rsid w:val="00110C6D"/>
    <w:rsid w:val="00110E26"/>
    <w:rsid w:val="00110E9E"/>
    <w:rsid w:val="00110F66"/>
    <w:rsid w:val="00111A5D"/>
    <w:rsid w:val="00112453"/>
    <w:rsid w:val="0011290B"/>
    <w:rsid w:val="00113452"/>
    <w:rsid w:val="0011358C"/>
    <w:rsid w:val="001141D4"/>
    <w:rsid w:val="00115060"/>
    <w:rsid w:val="00115728"/>
    <w:rsid w:val="0011582B"/>
    <w:rsid w:val="00117166"/>
    <w:rsid w:val="001172AA"/>
    <w:rsid w:val="001172BB"/>
    <w:rsid w:val="0011741D"/>
    <w:rsid w:val="00117673"/>
    <w:rsid w:val="00117C24"/>
    <w:rsid w:val="0012047C"/>
    <w:rsid w:val="00122447"/>
    <w:rsid w:val="00122506"/>
    <w:rsid w:val="001234FC"/>
    <w:rsid w:val="00123B07"/>
    <w:rsid w:val="00123BB6"/>
    <w:rsid w:val="00123F7C"/>
    <w:rsid w:val="00124721"/>
    <w:rsid w:val="0012532A"/>
    <w:rsid w:val="0012590B"/>
    <w:rsid w:val="00126490"/>
    <w:rsid w:val="0012649B"/>
    <w:rsid w:val="001265B4"/>
    <w:rsid w:val="0012674E"/>
    <w:rsid w:val="0012697A"/>
    <w:rsid w:val="00127B36"/>
    <w:rsid w:val="00127B39"/>
    <w:rsid w:val="00127DAE"/>
    <w:rsid w:val="00127EA1"/>
    <w:rsid w:val="001304C7"/>
    <w:rsid w:val="0013074F"/>
    <w:rsid w:val="00130817"/>
    <w:rsid w:val="00130F76"/>
    <w:rsid w:val="001310FD"/>
    <w:rsid w:val="00131207"/>
    <w:rsid w:val="0013137A"/>
    <w:rsid w:val="001314DD"/>
    <w:rsid w:val="00131853"/>
    <w:rsid w:val="001324E3"/>
    <w:rsid w:val="001332B7"/>
    <w:rsid w:val="001336BB"/>
    <w:rsid w:val="001336F1"/>
    <w:rsid w:val="00134531"/>
    <w:rsid w:val="0013486B"/>
    <w:rsid w:val="00134F64"/>
    <w:rsid w:val="0013632A"/>
    <w:rsid w:val="00137236"/>
    <w:rsid w:val="001377F3"/>
    <w:rsid w:val="001406B9"/>
    <w:rsid w:val="0014088C"/>
    <w:rsid w:val="00140B38"/>
    <w:rsid w:val="00140D56"/>
    <w:rsid w:val="00140FBE"/>
    <w:rsid w:val="001418B3"/>
    <w:rsid w:val="00141E3A"/>
    <w:rsid w:val="0014310D"/>
    <w:rsid w:val="001438C9"/>
    <w:rsid w:val="00143E40"/>
    <w:rsid w:val="00144446"/>
    <w:rsid w:val="001450E0"/>
    <w:rsid w:val="001455FE"/>
    <w:rsid w:val="001458E2"/>
    <w:rsid w:val="00146C9D"/>
    <w:rsid w:val="00146F4F"/>
    <w:rsid w:val="00146FAB"/>
    <w:rsid w:val="001509A6"/>
    <w:rsid w:val="00150A4F"/>
    <w:rsid w:val="00150B88"/>
    <w:rsid w:val="00150C75"/>
    <w:rsid w:val="00150D50"/>
    <w:rsid w:val="00151792"/>
    <w:rsid w:val="00151D0C"/>
    <w:rsid w:val="00151E5D"/>
    <w:rsid w:val="001520AD"/>
    <w:rsid w:val="0015219F"/>
    <w:rsid w:val="001522BA"/>
    <w:rsid w:val="00152B41"/>
    <w:rsid w:val="00152DFA"/>
    <w:rsid w:val="0015442A"/>
    <w:rsid w:val="00154459"/>
    <w:rsid w:val="00155152"/>
    <w:rsid w:val="001556AC"/>
    <w:rsid w:val="00155820"/>
    <w:rsid w:val="00156F62"/>
    <w:rsid w:val="00157086"/>
    <w:rsid w:val="001571DD"/>
    <w:rsid w:val="00157A49"/>
    <w:rsid w:val="00160BD1"/>
    <w:rsid w:val="001615DF"/>
    <w:rsid w:val="0016168F"/>
    <w:rsid w:val="00161952"/>
    <w:rsid w:val="00161E63"/>
    <w:rsid w:val="00162832"/>
    <w:rsid w:val="0016331B"/>
    <w:rsid w:val="0016342E"/>
    <w:rsid w:val="0016455E"/>
    <w:rsid w:val="0016585D"/>
    <w:rsid w:val="00165988"/>
    <w:rsid w:val="00165FBB"/>
    <w:rsid w:val="001661E8"/>
    <w:rsid w:val="00166441"/>
    <w:rsid w:val="00166CA6"/>
    <w:rsid w:val="00166EBF"/>
    <w:rsid w:val="0016759A"/>
    <w:rsid w:val="00167A47"/>
    <w:rsid w:val="00167C4C"/>
    <w:rsid w:val="001704BB"/>
    <w:rsid w:val="00170E3B"/>
    <w:rsid w:val="001722A2"/>
    <w:rsid w:val="0017231C"/>
    <w:rsid w:val="00172C47"/>
    <w:rsid w:val="00173250"/>
    <w:rsid w:val="00173D75"/>
    <w:rsid w:val="00173F59"/>
    <w:rsid w:val="00174155"/>
    <w:rsid w:val="001749A5"/>
    <w:rsid w:val="001754BE"/>
    <w:rsid w:val="001755FB"/>
    <w:rsid w:val="001758BA"/>
    <w:rsid w:val="00175DE5"/>
    <w:rsid w:val="001768FA"/>
    <w:rsid w:val="00177CB0"/>
    <w:rsid w:val="0018114A"/>
    <w:rsid w:val="00181311"/>
    <w:rsid w:val="001816F1"/>
    <w:rsid w:val="00181B88"/>
    <w:rsid w:val="00182C4C"/>
    <w:rsid w:val="0018320E"/>
    <w:rsid w:val="00183982"/>
    <w:rsid w:val="00184951"/>
    <w:rsid w:val="00184EA1"/>
    <w:rsid w:val="00184F09"/>
    <w:rsid w:val="00185321"/>
    <w:rsid w:val="001857B1"/>
    <w:rsid w:val="00186ACB"/>
    <w:rsid w:val="00187261"/>
    <w:rsid w:val="00187663"/>
    <w:rsid w:val="00187EB4"/>
    <w:rsid w:val="001904CA"/>
    <w:rsid w:val="00190AEC"/>
    <w:rsid w:val="00190C4C"/>
    <w:rsid w:val="00190EC0"/>
    <w:rsid w:val="001917FC"/>
    <w:rsid w:val="001919D1"/>
    <w:rsid w:val="00191A59"/>
    <w:rsid w:val="00192012"/>
    <w:rsid w:val="00192861"/>
    <w:rsid w:val="0019297E"/>
    <w:rsid w:val="00192F8C"/>
    <w:rsid w:val="001931E5"/>
    <w:rsid w:val="00193463"/>
    <w:rsid w:val="0019350C"/>
    <w:rsid w:val="0019367C"/>
    <w:rsid w:val="00193846"/>
    <w:rsid w:val="0019438D"/>
    <w:rsid w:val="0019461D"/>
    <w:rsid w:val="00195EA3"/>
    <w:rsid w:val="001967CA"/>
    <w:rsid w:val="00196EFB"/>
    <w:rsid w:val="00196F3A"/>
    <w:rsid w:val="00197006"/>
    <w:rsid w:val="00197155"/>
    <w:rsid w:val="00197349"/>
    <w:rsid w:val="001A0C45"/>
    <w:rsid w:val="001A1838"/>
    <w:rsid w:val="001A1A75"/>
    <w:rsid w:val="001A1BFE"/>
    <w:rsid w:val="001A2087"/>
    <w:rsid w:val="001A2365"/>
    <w:rsid w:val="001A2E0C"/>
    <w:rsid w:val="001A387D"/>
    <w:rsid w:val="001A4783"/>
    <w:rsid w:val="001A49FC"/>
    <w:rsid w:val="001A5BD4"/>
    <w:rsid w:val="001A5CFD"/>
    <w:rsid w:val="001A5E39"/>
    <w:rsid w:val="001A6249"/>
    <w:rsid w:val="001A796E"/>
    <w:rsid w:val="001B0002"/>
    <w:rsid w:val="001B0589"/>
    <w:rsid w:val="001B09B0"/>
    <w:rsid w:val="001B1882"/>
    <w:rsid w:val="001B1BE9"/>
    <w:rsid w:val="001B1BED"/>
    <w:rsid w:val="001B256F"/>
    <w:rsid w:val="001B2A93"/>
    <w:rsid w:val="001B30D1"/>
    <w:rsid w:val="001B334B"/>
    <w:rsid w:val="001B38D8"/>
    <w:rsid w:val="001B3EF5"/>
    <w:rsid w:val="001B4AF2"/>
    <w:rsid w:val="001B4D48"/>
    <w:rsid w:val="001B4FDE"/>
    <w:rsid w:val="001B54EB"/>
    <w:rsid w:val="001B57E2"/>
    <w:rsid w:val="001B6E7B"/>
    <w:rsid w:val="001B746D"/>
    <w:rsid w:val="001B7AF8"/>
    <w:rsid w:val="001B7C79"/>
    <w:rsid w:val="001B7DE7"/>
    <w:rsid w:val="001B7EAA"/>
    <w:rsid w:val="001C08AD"/>
    <w:rsid w:val="001C126C"/>
    <w:rsid w:val="001C1C00"/>
    <w:rsid w:val="001C24A4"/>
    <w:rsid w:val="001C27A3"/>
    <w:rsid w:val="001C2BB6"/>
    <w:rsid w:val="001C342D"/>
    <w:rsid w:val="001C4027"/>
    <w:rsid w:val="001C4CA3"/>
    <w:rsid w:val="001C4D17"/>
    <w:rsid w:val="001C5E71"/>
    <w:rsid w:val="001C6160"/>
    <w:rsid w:val="001C640A"/>
    <w:rsid w:val="001C6CB1"/>
    <w:rsid w:val="001C73F1"/>
    <w:rsid w:val="001C74D0"/>
    <w:rsid w:val="001C7765"/>
    <w:rsid w:val="001C7899"/>
    <w:rsid w:val="001D0728"/>
    <w:rsid w:val="001D08E9"/>
    <w:rsid w:val="001D1025"/>
    <w:rsid w:val="001D142D"/>
    <w:rsid w:val="001D1812"/>
    <w:rsid w:val="001D1FB8"/>
    <w:rsid w:val="001D236E"/>
    <w:rsid w:val="001D2656"/>
    <w:rsid w:val="001D2B36"/>
    <w:rsid w:val="001D2BF6"/>
    <w:rsid w:val="001D2E7F"/>
    <w:rsid w:val="001D2F48"/>
    <w:rsid w:val="001D3034"/>
    <w:rsid w:val="001D34F5"/>
    <w:rsid w:val="001D3A13"/>
    <w:rsid w:val="001D3A59"/>
    <w:rsid w:val="001D4281"/>
    <w:rsid w:val="001D4317"/>
    <w:rsid w:val="001D43E5"/>
    <w:rsid w:val="001D44C5"/>
    <w:rsid w:val="001D4E1E"/>
    <w:rsid w:val="001D5115"/>
    <w:rsid w:val="001D5D64"/>
    <w:rsid w:val="001D5FA2"/>
    <w:rsid w:val="001D5FC4"/>
    <w:rsid w:val="001D6206"/>
    <w:rsid w:val="001D6513"/>
    <w:rsid w:val="001D6CE8"/>
    <w:rsid w:val="001D6D9E"/>
    <w:rsid w:val="001D796C"/>
    <w:rsid w:val="001E0018"/>
    <w:rsid w:val="001E09FA"/>
    <w:rsid w:val="001E14B5"/>
    <w:rsid w:val="001E1763"/>
    <w:rsid w:val="001E1789"/>
    <w:rsid w:val="001E1FE0"/>
    <w:rsid w:val="001E2691"/>
    <w:rsid w:val="001E2DD3"/>
    <w:rsid w:val="001E412A"/>
    <w:rsid w:val="001E4361"/>
    <w:rsid w:val="001E5188"/>
    <w:rsid w:val="001E5711"/>
    <w:rsid w:val="001E5DC4"/>
    <w:rsid w:val="001E5FD6"/>
    <w:rsid w:val="001E6334"/>
    <w:rsid w:val="001E6966"/>
    <w:rsid w:val="001E6E26"/>
    <w:rsid w:val="001E7609"/>
    <w:rsid w:val="001E783E"/>
    <w:rsid w:val="001E786B"/>
    <w:rsid w:val="001F0E52"/>
    <w:rsid w:val="001F1D53"/>
    <w:rsid w:val="001F2688"/>
    <w:rsid w:val="001F2B42"/>
    <w:rsid w:val="001F3192"/>
    <w:rsid w:val="001F39A5"/>
    <w:rsid w:val="001F46EC"/>
    <w:rsid w:val="001F4B6E"/>
    <w:rsid w:val="001F4BF5"/>
    <w:rsid w:val="001F5510"/>
    <w:rsid w:val="001F56F8"/>
    <w:rsid w:val="001F5C58"/>
    <w:rsid w:val="001F5C6A"/>
    <w:rsid w:val="001F635F"/>
    <w:rsid w:val="001F6D19"/>
    <w:rsid w:val="001F6F27"/>
    <w:rsid w:val="001F6F9F"/>
    <w:rsid w:val="001F7119"/>
    <w:rsid w:val="001F743E"/>
    <w:rsid w:val="001F76A0"/>
    <w:rsid w:val="001F7F7D"/>
    <w:rsid w:val="00200662"/>
    <w:rsid w:val="002006CC"/>
    <w:rsid w:val="0020133B"/>
    <w:rsid w:val="00201BB9"/>
    <w:rsid w:val="00202004"/>
    <w:rsid w:val="00202778"/>
    <w:rsid w:val="00203656"/>
    <w:rsid w:val="002037C6"/>
    <w:rsid w:val="002037F7"/>
    <w:rsid w:val="002039BE"/>
    <w:rsid w:val="002045BE"/>
    <w:rsid w:val="00204735"/>
    <w:rsid w:val="0020493F"/>
    <w:rsid w:val="00204EC0"/>
    <w:rsid w:val="00205062"/>
    <w:rsid w:val="00205171"/>
    <w:rsid w:val="00205F28"/>
    <w:rsid w:val="0020698F"/>
    <w:rsid w:val="0020739C"/>
    <w:rsid w:val="00207D45"/>
    <w:rsid w:val="00207D91"/>
    <w:rsid w:val="00207D96"/>
    <w:rsid w:val="002101B8"/>
    <w:rsid w:val="002108FF"/>
    <w:rsid w:val="002131B9"/>
    <w:rsid w:val="0021324C"/>
    <w:rsid w:val="00213CC3"/>
    <w:rsid w:val="00213F03"/>
    <w:rsid w:val="0021422D"/>
    <w:rsid w:val="00214B8C"/>
    <w:rsid w:val="00214C62"/>
    <w:rsid w:val="00214D00"/>
    <w:rsid w:val="00214DA2"/>
    <w:rsid w:val="00215573"/>
    <w:rsid w:val="0021557D"/>
    <w:rsid w:val="0021558F"/>
    <w:rsid w:val="00215D91"/>
    <w:rsid w:val="00217A87"/>
    <w:rsid w:val="00217C21"/>
    <w:rsid w:val="00220853"/>
    <w:rsid w:val="00220D8E"/>
    <w:rsid w:val="00220E31"/>
    <w:rsid w:val="00221197"/>
    <w:rsid w:val="002216F0"/>
    <w:rsid w:val="0022182F"/>
    <w:rsid w:val="00221D07"/>
    <w:rsid w:val="00221F4D"/>
    <w:rsid w:val="002233D8"/>
    <w:rsid w:val="00223990"/>
    <w:rsid w:val="00225017"/>
    <w:rsid w:val="00225A1D"/>
    <w:rsid w:val="002268F7"/>
    <w:rsid w:val="002271F3"/>
    <w:rsid w:val="00227E4A"/>
    <w:rsid w:val="0023001A"/>
    <w:rsid w:val="00231A7B"/>
    <w:rsid w:val="00231AA8"/>
    <w:rsid w:val="00231F65"/>
    <w:rsid w:val="00232665"/>
    <w:rsid w:val="002334E9"/>
    <w:rsid w:val="002340D8"/>
    <w:rsid w:val="00235241"/>
    <w:rsid w:val="00235892"/>
    <w:rsid w:val="00235D88"/>
    <w:rsid w:val="00235FE8"/>
    <w:rsid w:val="002364AE"/>
    <w:rsid w:val="0023737D"/>
    <w:rsid w:val="00237415"/>
    <w:rsid w:val="0024087A"/>
    <w:rsid w:val="00241D0C"/>
    <w:rsid w:val="00242202"/>
    <w:rsid w:val="002428DE"/>
    <w:rsid w:val="00242F32"/>
    <w:rsid w:val="00243687"/>
    <w:rsid w:val="002438C4"/>
    <w:rsid w:val="00244168"/>
    <w:rsid w:val="002453E2"/>
    <w:rsid w:val="00245452"/>
    <w:rsid w:val="00245470"/>
    <w:rsid w:val="00245905"/>
    <w:rsid w:val="0024614C"/>
    <w:rsid w:val="00246627"/>
    <w:rsid w:val="0024666D"/>
    <w:rsid w:val="00246C9D"/>
    <w:rsid w:val="00246DF2"/>
    <w:rsid w:val="002479E7"/>
    <w:rsid w:val="00247A46"/>
    <w:rsid w:val="00250175"/>
    <w:rsid w:val="002506CE"/>
    <w:rsid w:val="00250BB9"/>
    <w:rsid w:val="002514C0"/>
    <w:rsid w:val="00252F47"/>
    <w:rsid w:val="002532FD"/>
    <w:rsid w:val="00253493"/>
    <w:rsid w:val="002534BF"/>
    <w:rsid w:val="00253DF2"/>
    <w:rsid w:val="002544A0"/>
    <w:rsid w:val="00254729"/>
    <w:rsid w:val="00254ACB"/>
    <w:rsid w:val="002553F5"/>
    <w:rsid w:val="00256252"/>
    <w:rsid w:val="00256A8D"/>
    <w:rsid w:val="00256BF0"/>
    <w:rsid w:val="00257AF7"/>
    <w:rsid w:val="0026022F"/>
    <w:rsid w:val="002604DE"/>
    <w:rsid w:val="00260A16"/>
    <w:rsid w:val="00260C22"/>
    <w:rsid w:val="00260F9D"/>
    <w:rsid w:val="0026199D"/>
    <w:rsid w:val="00261FD0"/>
    <w:rsid w:val="00262442"/>
    <w:rsid w:val="00262721"/>
    <w:rsid w:val="00262C62"/>
    <w:rsid w:val="00263861"/>
    <w:rsid w:val="0026493E"/>
    <w:rsid w:val="00264EB8"/>
    <w:rsid w:val="00264F11"/>
    <w:rsid w:val="0026581E"/>
    <w:rsid w:val="002660F3"/>
    <w:rsid w:val="00266657"/>
    <w:rsid w:val="00266862"/>
    <w:rsid w:val="00266A2A"/>
    <w:rsid w:val="00267372"/>
    <w:rsid w:val="0026767A"/>
    <w:rsid w:val="0027002C"/>
    <w:rsid w:val="002704F7"/>
    <w:rsid w:val="00270546"/>
    <w:rsid w:val="002705BF"/>
    <w:rsid w:val="00270607"/>
    <w:rsid w:val="00270767"/>
    <w:rsid w:val="00271AA5"/>
    <w:rsid w:val="00272170"/>
    <w:rsid w:val="00272DA7"/>
    <w:rsid w:val="00272FA5"/>
    <w:rsid w:val="002732EC"/>
    <w:rsid w:val="002744C7"/>
    <w:rsid w:val="00274655"/>
    <w:rsid w:val="0027487D"/>
    <w:rsid w:val="002749F1"/>
    <w:rsid w:val="00274A59"/>
    <w:rsid w:val="00274B23"/>
    <w:rsid w:val="00274C90"/>
    <w:rsid w:val="00274EBD"/>
    <w:rsid w:val="00275E43"/>
    <w:rsid w:val="0027685F"/>
    <w:rsid w:val="00277778"/>
    <w:rsid w:val="00277AD0"/>
    <w:rsid w:val="00277C6F"/>
    <w:rsid w:val="00280A20"/>
    <w:rsid w:val="00280E4E"/>
    <w:rsid w:val="002817CE"/>
    <w:rsid w:val="00283CC4"/>
    <w:rsid w:val="00284CCC"/>
    <w:rsid w:val="002854F5"/>
    <w:rsid w:val="00285FD5"/>
    <w:rsid w:val="002867FB"/>
    <w:rsid w:val="002877C4"/>
    <w:rsid w:val="00287D47"/>
    <w:rsid w:val="00287E49"/>
    <w:rsid w:val="00287F04"/>
    <w:rsid w:val="0029033E"/>
    <w:rsid w:val="0029086B"/>
    <w:rsid w:val="0029144B"/>
    <w:rsid w:val="002918D2"/>
    <w:rsid w:val="002919FB"/>
    <w:rsid w:val="002926D3"/>
    <w:rsid w:val="00292DE8"/>
    <w:rsid w:val="00293691"/>
    <w:rsid w:val="002937BC"/>
    <w:rsid w:val="002937D0"/>
    <w:rsid w:val="00293E9C"/>
    <w:rsid w:val="0029421D"/>
    <w:rsid w:val="0029448B"/>
    <w:rsid w:val="00294EE2"/>
    <w:rsid w:val="00295ADA"/>
    <w:rsid w:val="00295AE5"/>
    <w:rsid w:val="002968FF"/>
    <w:rsid w:val="00297375"/>
    <w:rsid w:val="002A0194"/>
    <w:rsid w:val="002A131B"/>
    <w:rsid w:val="002A19E6"/>
    <w:rsid w:val="002A1A67"/>
    <w:rsid w:val="002A22AE"/>
    <w:rsid w:val="002A255A"/>
    <w:rsid w:val="002A274D"/>
    <w:rsid w:val="002A284F"/>
    <w:rsid w:val="002A2908"/>
    <w:rsid w:val="002A2C04"/>
    <w:rsid w:val="002A2FE7"/>
    <w:rsid w:val="002A3493"/>
    <w:rsid w:val="002A4F59"/>
    <w:rsid w:val="002A511B"/>
    <w:rsid w:val="002A540F"/>
    <w:rsid w:val="002A5AD6"/>
    <w:rsid w:val="002A6A9A"/>
    <w:rsid w:val="002A710C"/>
    <w:rsid w:val="002A730F"/>
    <w:rsid w:val="002A754B"/>
    <w:rsid w:val="002A75A4"/>
    <w:rsid w:val="002A7AB4"/>
    <w:rsid w:val="002B00F7"/>
    <w:rsid w:val="002B04D2"/>
    <w:rsid w:val="002B051E"/>
    <w:rsid w:val="002B090D"/>
    <w:rsid w:val="002B0ABC"/>
    <w:rsid w:val="002B106F"/>
    <w:rsid w:val="002B174F"/>
    <w:rsid w:val="002B1C59"/>
    <w:rsid w:val="002B2123"/>
    <w:rsid w:val="002B2DEC"/>
    <w:rsid w:val="002B2ED9"/>
    <w:rsid w:val="002B3A05"/>
    <w:rsid w:val="002B45B5"/>
    <w:rsid w:val="002B461C"/>
    <w:rsid w:val="002B4B72"/>
    <w:rsid w:val="002B4E37"/>
    <w:rsid w:val="002B4F1F"/>
    <w:rsid w:val="002B4F82"/>
    <w:rsid w:val="002B50C9"/>
    <w:rsid w:val="002B5D5B"/>
    <w:rsid w:val="002B6C7A"/>
    <w:rsid w:val="002B74D4"/>
    <w:rsid w:val="002B7D1A"/>
    <w:rsid w:val="002C0DA3"/>
    <w:rsid w:val="002C0F34"/>
    <w:rsid w:val="002C158A"/>
    <w:rsid w:val="002C1908"/>
    <w:rsid w:val="002C1B6A"/>
    <w:rsid w:val="002C1BF7"/>
    <w:rsid w:val="002C2435"/>
    <w:rsid w:val="002C39F8"/>
    <w:rsid w:val="002C3F99"/>
    <w:rsid w:val="002C41FF"/>
    <w:rsid w:val="002C423D"/>
    <w:rsid w:val="002C43B0"/>
    <w:rsid w:val="002C440C"/>
    <w:rsid w:val="002C45C9"/>
    <w:rsid w:val="002C4BB7"/>
    <w:rsid w:val="002C5529"/>
    <w:rsid w:val="002C61E7"/>
    <w:rsid w:val="002C62CD"/>
    <w:rsid w:val="002C6302"/>
    <w:rsid w:val="002C635E"/>
    <w:rsid w:val="002C64C8"/>
    <w:rsid w:val="002C65A9"/>
    <w:rsid w:val="002C65F4"/>
    <w:rsid w:val="002C7323"/>
    <w:rsid w:val="002C7B2F"/>
    <w:rsid w:val="002C7D79"/>
    <w:rsid w:val="002D0110"/>
    <w:rsid w:val="002D0128"/>
    <w:rsid w:val="002D0A1C"/>
    <w:rsid w:val="002D230B"/>
    <w:rsid w:val="002D24D0"/>
    <w:rsid w:val="002D35F9"/>
    <w:rsid w:val="002D425D"/>
    <w:rsid w:val="002D4B14"/>
    <w:rsid w:val="002D564A"/>
    <w:rsid w:val="002D5BE3"/>
    <w:rsid w:val="002D5EBC"/>
    <w:rsid w:val="002D65E8"/>
    <w:rsid w:val="002D67B0"/>
    <w:rsid w:val="002D6A00"/>
    <w:rsid w:val="002D6AA2"/>
    <w:rsid w:val="002D6AA6"/>
    <w:rsid w:val="002D72CB"/>
    <w:rsid w:val="002D7938"/>
    <w:rsid w:val="002D79E9"/>
    <w:rsid w:val="002E0B8A"/>
    <w:rsid w:val="002E0D4A"/>
    <w:rsid w:val="002E2E30"/>
    <w:rsid w:val="002E3A7D"/>
    <w:rsid w:val="002E3CD6"/>
    <w:rsid w:val="002E3F16"/>
    <w:rsid w:val="002E3FDA"/>
    <w:rsid w:val="002E42F0"/>
    <w:rsid w:val="002E4606"/>
    <w:rsid w:val="002E46CC"/>
    <w:rsid w:val="002E5506"/>
    <w:rsid w:val="002E5D1F"/>
    <w:rsid w:val="002E68EE"/>
    <w:rsid w:val="002E6905"/>
    <w:rsid w:val="002F0287"/>
    <w:rsid w:val="002F02AD"/>
    <w:rsid w:val="002F0839"/>
    <w:rsid w:val="002F1232"/>
    <w:rsid w:val="002F1708"/>
    <w:rsid w:val="002F1F8F"/>
    <w:rsid w:val="002F25D1"/>
    <w:rsid w:val="002F287F"/>
    <w:rsid w:val="002F30EA"/>
    <w:rsid w:val="002F497E"/>
    <w:rsid w:val="002F51DC"/>
    <w:rsid w:val="002F5B83"/>
    <w:rsid w:val="002F6488"/>
    <w:rsid w:val="002F6618"/>
    <w:rsid w:val="002F6C51"/>
    <w:rsid w:val="002F7CEB"/>
    <w:rsid w:val="002F7FC9"/>
    <w:rsid w:val="00300E4F"/>
    <w:rsid w:val="003014E9"/>
    <w:rsid w:val="003015E5"/>
    <w:rsid w:val="003018E3"/>
    <w:rsid w:val="00301A06"/>
    <w:rsid w:val="00301D39"/>
    <w:rsid w:val="00301D69"/>
    <w:rsid w:val="0030298B"/>
    <w:rsid w:val="00302E3C"/>
    <w:rsid w:val="00302FDA"/>
    <w:rsid w:val="003030FF"/>
    <w:rsid w:val="00303135"/>
    <w:rsid w:val="003036D7"/>
    <w:rsid w:val="00303B2B"/>
    <w:rsid w:val="003041B4"/>
    <w:rsid w:val="003047B0"/>
    <w:rsid w:val="00304E9D"/>
    <w:rsid w:val="0030675B"/>
    <w:rsid w:val="00306CAE"/>
    <w:rsid w:val="00306DE4"/>
    <w:rsid w:val="00306FE8"/>
    <w:rsid w:val="0030737D"/>
    <w:rsid w:val="003074F7"/>
    <w:rsid w:val="00307605"/>
    <w:rsid w:val="00307D65"/>
    <w:rsid w:val="00310048"/>
    <w:rsid w:val="003103B1"/>
    <w:rsid w:val="00310BEB"/>
    <w:rsid w:val="003116F9"/>
    <w:rsid w:val="00311A6A"/>
    <w:rsid w:val="00311E34"/>
    <w:rsid w:val="003126E3"/>
    <w:rsid w:val="00313373"/>
    <w:rsid w:val="003134EC"/>
    <w:rsid w:val="003137ED"/>
    <w:rsid w:val="00313880"/>
    <w:rsid w:val="00314023"/>
    <w:rsid w:val="0031458B"/>
    <w:rsid w:val="003148FA"/>
    <w:rsid w:val="00314AA5"/>
    <w:rsid w:val="00314FCA"/>
    <w:rsid w:val="00315414"/>
    <w:rsid w:val="00315416"/>
    <w:rsid w:val="00315634"/>
    <w:rsid w:val="00315A17"/>
    <w:rsid w:val="003168FE"/>
    <w:rsid w:val="0031707A"/>
    <w:rsid w:val="003170EA"/>
    <w:rsid w:val="0031798A"/>
    <w:rsid w:val="00320552"/>
    <w:rsid w:val="00321027"/>
    <w:rsid w:val="003213F9"/>
    <w:rsid w:val="00321F4D"/>
    <w:rsid w:val="00321FC7"/>
    <w:rsid w:val="00322F1B"/>
    <w:rsid w:val="003234BA"/>
    <w:rsid w:val="00323DBF"/>
    <w:rsid w:val="0032497A"/>
    <w:rsid w:val="00325672"/>
    <w:rsid w:val="0032598C"/>
    <w:rsid w:val="00325FD0"/>
    <w:rsid w:val="00326001"/>
    <w:rsid w:val="00326D99"/>
    <w:rsid w:val="00330DC9"/>
    <w:rsid w:val="0033103F"/>
    <w:rsid w:val="003317BF"/>
    <w:rsid w:val="00332026"/>
    <w:rsid w:val="003323DF"/>
    <w:rsid w:val="0033288A"/>
    <w:rsid w:val="00332B12"/>
    <w:rsid w:val="0033353F"/>
    <w:rsid w:val="0033406E"/>
    <w:rsid w:val="003340A2"/>
    <w:rsid w:val="003340EC"/>
    <w:rsid w:val="00334F74"/>
    <w:rsid w:val="003351C8"/>
    <w:rsid w:val="003353F5"/>
    <w:rsid w:val="00335975"/>
    <w:rsid w:val="00335D39"/>
    <w:rsid w:val="0033618B"/>
    <w:rsid w:val="00336938"/>
    <w:rsid w:val="00336C90"/>
    <w:rsid w:val="00337979"/>
    <w:rsid w:val="00337ADA"/>
    <w:rsid w:val="00337EF7"/>
    <w:rsid w:val="00340E68"/>
    <w:rsid w:val="00341262"/>
    <w:rsid w:val="00341528"/>
    <w:rsid w:val="003417CB"/>
    <w:rsid w:val="00341B99"/>
    <w:rsid w:val="00341D57"/>
    <w:rsid w:val="00341FB0"/>
    <w:rsid w:val="00342823"/>
    <w:rsid w:val="00342987"/>
    <w:rsid w:val="003429AC"/>
    <w:rsid w:val="00342E58"/>
    <w:rsid w:val="00342EDF"/>
    <w:rsid w:val="003442AB"/>
    <w:rsid w:val="00344571"/>
    <w:rsid w:val="0034478A"/>
    <w:rsid w:val="00345007"/>
    <w:rsid w:val="0034543E"/>
    <w:rsid w:val="00345921"/>
    <w:rsid w:val="00345E06"/>
    <w:rsid w:val="00345EA1"/>
    <w:rsid w:val="003460C0"/>
    <w:rsid w:val="00346348"/>
    <w:rsid w:val="003463D2"/>
    <w:rsid w:val="003502AE"/>
    <w:rsid w:val="0035038F"/>
    <w:rsid w:val="00350570"/>
    <w:rsid w:val="0035058B"/>
    <w:rsid w:val="00350A57"/>
    <w:rsid w:val="0035114D"/>
    <w:rsid w:val="00351437"/>
    <w:rsid w:val="00351CF4"/>
    <w:rsid w:val="003527E0"/>
    <w:rsid w:val="00353B19"/>
    <w:rsid w:val="00353D34"/>
    <w:rsid w:val="0035498B"/>
    <w:rsid w:val="00354FC4"/>
    <w:rsid w:val="0035534E"/>
    <w:rsid w:val="00355999"/>
    <w:rsid w:val="00355AE0"/>
    <w:rsid w:val="00355EE1"/>
    <w:rsid w:val="003560B9"/>
    <w:rsid w:val="003561BC"/>
    <w:rsid w:val="00357100"/>
    <w:rsid w:val="003600C2"/>
    <w:rsid w:val="003601A8"/>
    <w:rsid w:val="00361C9D"/>
    <w:rsid w:val="00361D65"/>
    <w:rsid w:val="00361E7F"/>
    <w:rsid w:val="00361FB2"/>
    <w:rsid w:val="00362164"/>
    <w:rsid w:val="00362A82"/>
    <w:rsid w:val="00363AF5"/>
    <w:rsid w:val="00364158"/>
    <w:rsid w:val="0036505A"/>
    <w:rsid w:val="00365163"/>
    <w:rsid w:val="00365AAB"/>
    <w:rsid w:val="00365E30"/>
    <w:rsid w:val="00366629"/>
    <w:rsid w:val="00367C94"/>
    <w:rsid w:val="00367FB4"/>
    <w:rsid w:val="00370BDB"/>
    <w:rsid w:val="0037168A"/>
    <w:rsid w:val="00371933"/>
    <w:rsid w:val="00371B29"/>
    <w:rsid w:val="00371DF9"/>
    <w:rsid w:val="00371EF9"/>
    <w:rsid w:val="00372438"/>
    <w:rsid w:val="00372547"/>
    <w:rsid w:val="003725FF"/>
    <w:rsid w:val="0037277A"/>
    <w:rsid w:val="00374D86"/>
    <w:rsid w:val="00375442"/>
    <w:rsid w:val="0037553D"/>
    <w:rsid w:val="00375F7D"/>
    <w:rsid w:val="003761BC"/>
    <w:rsid w:val="0037663D"/>
    <w:rsid w:val="00376C19"/>
    <w:rsid w:val="00376C33"/>
    <w:rsid w:val="003770D7"/>
    <w:rsid w:val="003779A8"/>
    <w:rsid w:val="003779E4"/>
    <w:rsid w:val="003802A6"/>
    <w:rsid w:val="00380335"/>
    <w:rsid w:val="00380FCD"/>
    <w:rsid w:val="00381020"/>
    <w:rsid w:val="003813A8"/>
    <w:rsid w:val="00381745"/>
    <w:rsid w:val="00381942"/>
    <w:rsid w:val="0038203B"/>
    <w:rsid w:val="00382141"/>
    <w:rsid w:val="003825B9"/>
    <w:rsid w:val="00383220"/>
    <w:rsid w:val="00383282"/>
    <w:rsid w:val="00383419"/>
    <w:rsid w:val="0038357F"/>
    <w:rsid w:val="00383AE4"/>
    <w:rsid w:val="00383F02"/>
    <w:rsid w:val="00385020"/>
    <w:rsid w:val="003855CA"/>
    <w:rsid w:val="003861A6"/>
    <w:rsid w:val="003861B9"/>
    <w:rsid w:val="003863F5"/>
    <w:rsid w:val="00386F5F"/>
    <w:rsid w:val="0038706F"/>
    <w:rsid w:val="003872C1"/>
    <w:rsid w:val="00387461"/>
    <w:rsid w:val="003878B0"/>
    <w:rsid w:val="00387B6B"/>
    <w:rsid w:val="00390B96"/>
    <w:rsid w:val="00390E32"/>
    <w:rsid w:val="00391769"/>
    <w:rsid w:val="00391886"/>
    <w:rsid w:val="00392028"/>
    <w:rsid w:val="00392073"/>
    <w:rsid w:val="00392A27"/>
    <w:rsid w:val="00392A8D"/>
    <w:rsid w:val="00392DD6"/>
    <w:rsid w:val="00393184"/>
    <w:rsid w:val="0039324F"/>
    <w:rsid w:val="003933CB"/>
    <w:rsid w:val="00393501"/>
    <w:rsid w:val="003935E5"/>
    <w:rsid w:val="0039412D"/>
    <w:rsid w:val="00394610"/>
    <w:rsid w:val="003948EA"/>
    <w:rsid w:val="00394AA5"/>
    <w:rsid w:val="00394C43"/>
    <w:rsid w:val="0039502C"/>
    <w:rsid w:val="003953E1"/>
    <w:rsid w:val="003958BD"/>
    <w:rsid w:val="00395A14"/>
    <w:rsid w:val="00396A6C"/>
    <w:rsid w:val="00396B5D"/>
    <w:rsid w:val="00397B93"/>
    <w:rsid w:val="00397ED6"/>
    <w:rsid w:val="003A14F2"/>
    <w:rsid w:val="003A19C8"/>
    <w:rsid w:val="003A1C50"/>
    <w:rsid w:val="003A29D5"/>
    <w:rsid w:val="003A3F84"/>
    <w:rsid w:val="003A3FDD"/>
    <w:rsid w:val="003A421A"/>
    <w:rsid w:val="003A4753"/>
    <w:rsid w:val="003A4B1C"/>
    <w:rsid w:val="003A4B2E"/>
    <w:rsid w:val="003A4EA6"/>
    <w:rsid w:val="003A5457"/>
    <w:rsid w:val="003A6376"/>
    <w:rsid w:val="003A68BE"/>
    <w:rsid w:val="003A6EFC"/>
    <w:rsid w:val="003A7A13"/>
    <w:rsid w:val="003A7D38"/>
    <w:rsid w:val="003B014A"/>
    <w:rsid w:val="003B0B4F"/>
    <w:rsid w:val="003B0E7D"/>
    <w:rsid w:val="003B0F70"/>
    <w:rsid w:val="003B128E"/>
    <w:rsid w:val="003B16BA"/>
    <w:rsid w:val="003B228D"/>
    <w:rsid w:val="003B2426"/>
    <w:rsid w:val="003B3AA5"/>
    <w:rsid w:val="003B3B74"/>
    <w:rsid w:val="003B3CC2"/>
    <w:rsid w:val="003B412E"/>
    <w:rsid w:val="003B44F2"/>
    <w:rsid w:val="003B4E56"/>
    <w:rsid w:val="003B4FAF"/>
    <w:rsid w:val="003B5054"/>
    <w:rsid w:val="003B509A"/>
    <w:rsid w:val="003B5576"/>
    <w:rsid w:val="003B56FE"/>
    <w:rsid w:val="003B5D0C"/>
    <w:rsid w:val="003B5F5D"/>
    <w:rsid w:val="003B67AC"/>
    <w:rsid w:val="003B6AF0"/>
    <w:rsid w:val="003B6DEA"/>
    <w:rsid w:val="003B7091"/>
    <w:rsid w:val="003B7A79"/>
    <w:rsid w:val="003B7A8A"/>
    <w:rsid w:val="003B7B24"/>
    <w:rsid w:val="003C0309"/>
    <w:rsid w:val="003C0925"/>
    <w:rsid w:val="003C0926"/>
    <w:rsid w:val="003C0950"/>
    <w:rsid w:val="003C0A74"/>
    <w:rsid w:val="003C0B3A"/>
    <w:rsid w:val="003C0DEC"/>
    <w:rsid w:val="003C1295"/>
    <w:rsid w:val="003C21E4"/>
    <w:rsid w:val="003C2484"/>
    <w:rsid w:val="003C2687"/>
    <w:rsid w:val="003C290C"/>
    <w:rsid w:val="003C2A67"/>
    <w:rsid w:val="003C329C"/>
    <w:rsid w:val="003C3474"/>
    <w:rsid w:val="003C354F"/>
    <w:rsid w:val="003C3D51"/>
    <w:rsid w:val="003C3FD1"/>
    <w:rsid w:val="003C4969"/>
    <w:rsid w:val="003C4B8B"/>
    <w:rsid w:val="003C4B9C"/>
    <w:rsid w:val="003C4D7E"/>
    <w:rsid w:val="003C4EF7"/>
    <w:rsid w:val="003C5517"/>
    <w:rsid w:val="003C5E1B"/>
    <w:rsid w:val="003C6386"/>
    <w:rsid w:val="003C661F"/>
    <w:rsid w:val="003C6D94"/>
    <w:rsid w:val="003C723A"/>
    <w:rsid w:val="003C7249"/>
    <w:rsid w:val="003C793B"/>
    <w:rsid w:val="003D1B1A"/>
    <w:rsid w:val="003D1B9B"/>
    <w:rsid w:val="003D212D"/>
    <w:rsid w:val="003D2613"/>
    <w:rsid w:val="003D26DA"/>
    <w:rsid w:val="003D2842"/>
    <w:rsid w:val="003D292D"/>
    <w:rsid w:val="003D2D6D"/>
    <w:rsid w:val="003D33D4"/>
    <w:rsid w:val="003D3EF6"/>
    <w:rsid w:val="003D3F54"/>
    <w:rsid w:val="003D42EE"/>
    <w:rsid w:val="003D4D2B"/>
    <w:rsid w:val="003D56CA"/>
    <w:rsid w:val="003D5C6A"/>
    <w:rsid w:val="003D64E3"/>
    <w:rsid w:val="003D74B7"/>
    <w:rsid w:val="003D779A"/>
    <w:rsid w:val="003D7A84"/>
    <w:rsid w:val="003E0BC2"/>
    <w:rsid w:val="003E15A9"/>
    <w:rsid w:val="003E2A0C"/>
    <w:rsid w:val="003E2EB5"/>
    <w:rsid w:val="003E3DF3"/>
    <w:rsid w:val="003E4080"/>
    <w:rsid w:val="003E41D5"/>
    <w:rsid w:val="003E46BA"/>
    <w:rsid w:val="003E4CE2"/>
    <w:rsid w:val="003E50D3"/>
    <w:rsid w:val="003E511B"/>
    <w:rsid w:val="003E583F"/>
    <w:rsid w:val="003E59C9"/>
    <w:rsid w:val="003E68DD"/>
    <w:rsid w:val="003E6A5A"/>
    <w:rsid w:val="003E7605"/>
    <w:rsid w:val="003F021C"/>
    <w:rsid w:val="003F0433"/>
    <w:rsid w:val="003F0952"/>
    <w:rsid w:val="003F14A6"/>
    <w:rsid w:val="003F1918"/>
    <w:rsid w:val="003F1B3F"/>
    <w:rsid w:val="003F25C6"/>
    <w:rsid w:val="003F2751"/>
    <w:rsid w:val="003F275D"/>
    <w:rsid w:val="003F3DD2"/>
    <w:rsid w:val="003F4A5B"/>
    <w:rsid w:val="003F4B58"/>
    <w:rsid w:val="003F4B8D"/>
    <w:rsid w:val="003F51D0"/>
    <w:rsid w:val="003F51DF"/>
    <w:rsid w:val="003F5614"/>
    <w:rsid w:val="003F5A26"/>
    <w:rsid w:val="003F5B56"/>
    <w:rsid w:val="003F5D53"/>
    <w:rsid w:val="003F5D81"/>
    <w:rsid w:val="003F60F9"/>
    <w:rsid w:val="003F63CE"/>
    <w:rsid w:val="003F6E5F"/>
    <w:rsid w:val="003F6EA8"/>
    <w:rsid w:val="003F7717"/>
    <w:rsid w:val="003F7EFB"/>
    <w:rsid w:val="00400775"/>
    <w:rsid w:val="00400D8C"/>
    <w:rsid w:val="004011E4"/>
    <w:rsid w:val="0040147A"/>
    <w:rsid w:val="00401489"/>
    <w:rsid w:val="00401FB3"/>
    <w:rsid w:val="004021DD"/>
    <w:rsid w:val="004023B1"/>
    <w:rsid w:val="00402899"/>
    <w:rsid w:val="0040357D"/>
    <w:rsid w:val="0040374B"/>
    <w:rsid w:val="00403A9E"/>
    <w:rsid w:val="00404090"/>
    <w:rsid w:val="00404316"/>
    <w:rsid w:val="0040443D"/>
    <w:rsid w:val="004049C7"/>
    <w:rsid w:val="0040571E"/>
    <w:rsid w:val="00405B1A"/>
    <w:rsid w:val="004062F7"/>
    <w:rsid w:val="00406BE1"/>
    <w:rsid w:val="00406C3C"/>
    <w:rsid w:val="0040756E"/>
    <w:rsid w:val="004100EE"/>
    <w:rsid w:val="00410109"/>
    <w:rsid w:val="0041039A"/>
    <w:rsid w:val="0041092E"/>
    <w:rsid w:val="00410B7D"/>
    <w:rsid w:val="00410C62"/>
    <w:rsid w:val="004115B0"/>
    <w:rsid w:val="004115E9"/>
    <w:rsid w:val="00411641"/>
    <w:rsid w:val="004116B2"/>
    <w:rsid w:val="00411907"/>
    <w:rsid w:val="00411FF0"/>
    <w:rsid w:val="00412594"/>
    <w:rsid w:val="004129E6"/>
    <w:rsid w:val="0041313C"/>
    <w:rsid w:val="004133A3"/>
    <w:rsid w:val="00413C5C"/>
    <w:rsid w:val="00413CC1"/>
    <w:rsid w:val="00413D93"/>
    <w:rsid w:val="004148B9"/>
    <w:rsid w:val="00414978"/>
    <w:rsid w:val="00414EEE"/>
    <w:rsid w:val="00414F43"/>
    <w:rsid w:val="00415A66"/>
    <w:rsid w:val="00416F90"/>
    <w:rsid w:val="00417EE3"/>
    <w:rsid w:val="00420344"/>
    <w:rsid w:val="00420635"/>
    <w:rsid w:val="004223BA"/>
    <w:rsid w:val="004224E3"/>
    <w:rsid w:val="004225E7"/>
    <w:rsid w:val="00422890"/>
    <w:rsid w:val="004228B2"/>
    <w:rsid w:val="00422E8E"/>
    <w:rsid w:val="004235C8"/>
    <w:rsid w:val="00423FE3"/>
    <w:rsid w:val="00424CB1"/>
    <w:rsid w:val="00424E5F"/>
    <w:rsid w:val="004253A4"/>
    <w:rsid w:val="00425523"/>
    <w:rsid w:val="00425B6A"/>
    <w:rsid w:val="00425EC8"/>
    <w:rsid w:val="00426746"/>
    <w:rsid w:val="00426E4F"/>
    <w:rsid w:val="00427819"/>
    <w:rsid w:val="0042781E"/>
    <w:rsid w:val="0042793A"/>
    <w:rsid w:val="00430695"/>
    <w:rsid w:val="00430973"/>
    <w:rsid w:val="004309AC"/>
    <w:rsid w:val="0043185F"/>
    <w:rsid w:val="00432F1F"/>
    <w:rsid w:val="004330EE"/>
    <w:rsid w:val="004332AB"/>
    <w:rsid w:val="004336B8"/>
    <w:rsid w:val="00433877"/>
    <w:rsid w:val="00433A33"/>
    <w:rsid w:val="0043497D"/>
    <w:rsid w:val="00434A09"/>
    <w:rsid w:val="0043530C"/>
    <w:rsid w:val="00435659"/>
    <w:rsid w:val="00435E22"/>
    <w:rsid w:val="004362E7"/>
    <w:rsid w:val="004373B1"/>
    <w:rsid w:val="00437701"/>
    <w:rsid w:val="004400B5"/>
    <w:rsid w:val="00440B2B"/>
    <w:rsid w:val="00441470"/>
    <w:rsid w:val="00441CD7"/>
    <w:rsid w:val="00442BD7"/>
    <w:rsid w:val="00442F34"/>
    <w:rsid w:val="004432E4"/>
    <w:rsid w:val="004442C3"/>
    <w:rsid w:val="00444302"/>
    <w:rsid w:val="00444403"/>
    <w:rsid w:val="00444730"/>
    <w:rsid w:val="00444B21"/>
    <w:rsid w:val="00444F08"/>
    <w:rsid w:val="004451A4"/>
    <w:rsid w:val="0044562D"/>
    <w:rsid w:val="00445DAD"/>
    <w:rsid w:val="004462F0"/>
    <w:rsid w:val="004464EA"/>
    <w:rsid w:val="00447159"/>
    <w:rsid w:val="00447380"/>
    <w:rsid w:val="004474A0"/>
    <w:rsid w:val="004478AB"/>
    <w:rsid w:val="00447929"/>
    <w:rsid w:val="00447E2B"/>
    <w:rsid w:val="00447F1B"/>
    <w:rsid w:val="004509FA"/>
    <w:rsid w:val="00450E83"/>
    <w:rsid w:val="00452963"/>
    <w:rsid w:val="00452B99"/>
    <w:rsid w:val="00452CA3"/>
    <w:rsid w:val="0045339C"/>
    <w:rsid w:val="00454731"/>
    <w:rsid w:val="004550A6"/>
    <w:rsid w:val="00455CA6"/>
    <w:rsid w:val="004562AD"/>
    <w:rsid w:val="00457849"/>
    <w:rsid w:val="00460843"/>
    <w:rsid w:val="00461F42"/>
    <w:rsid w:val="00462266"/>
    <w:rsid w:val="00462309"/>
    <w:rsid w:val="00463227"/>
    <w:rsid w:val="004633FC"/>
    <w:rsid w:val="00464028"/>
    <w:rsid w:val="00464643"/>
    <w:rsid w:val="00464ABE"/>
    <w:rsid w:val="00466342"/>
    <w:rsid w:val="00466FDA"/>
    <w:rsid w:val="00467257"/>
    <w:rsid w:val="00470943"/>
    <w:rsid w:val="00470976"/>
    <w:rsid w:val="00470FAF"/>
    <w:rsid w:val="004717B9"/>
    <w:rsid w:val="00471968"/>
    <w:rsid w:val="00471CF3"/>
    <w:rsid w:val="004722E0"/>
    <w:rsid w:val="0047278C"/>
    <w:rsid w:val="00472A78"/>
    <w:rsid w:val="004737B5"/>
    <w:rsid w:val="00474757"/>
    <w:rsid w:val="00474999"/>
    <w:rsid w:val="004754BF"/>
    <w:rsid w:val="0047568A"/>
    <w:rsid w:val="00475F8C"/>
    <w:rsid w:val="00476ECB"/>
    <w:rsid w:val="004800DE"/>
    <w:rsid w:val="00480593"/>
    <w:rsid w:val="00480E00"/>
    <w:rsid w:val="00481627"/>
    <w:rsid w:val="00482270"/>
    <w:rsid w:val="0048292F"/>
    <w:rsid w:val="00482970"/>
    <w:rsid w:val="00482A2B"/>
    <w:rsid w:val="00482E2A"/>
    <w:rsid w:val="00483258"/>
    <w:rsid w:val="00483E49"/>
    <w:rsid w:val="00484512"/>
    <w:rsid w:val="00484530"/>
    <w:rsid w:val="0048538B"/>
    <w:rsid w:val="00485BDC"/>
    <w:rsid w:val="00485DDD"/>
    <w:rsid w:val="00486690"/>
    <w:rsid w:val="00486793"/>
    <w:rsid w:val="0048752D"/>
    <w:rsid w:val="0048763B"/>
    <w:rsid w:val="00491B98"/>
    <w:rsid w:val="00491E57"/>
    <w:rsid w:val="00491F1D"/>
    <w:rsid w:val="00492052"/>
    <w:rsid w:val="00492207"/>
    <w:rsid w:val="00492226"/>
    <w:rsid w:val="00492360"/>
    <w:rsid w:val="00492673"/>
    <w:rsid w:val="00492E3F"/>
    <w:rsid w:val="004936C4"/>
    <w:rsid w:val="00493755"/>
    <w:rsid w:val="00493B22"/>
    <w:rsid w:val="00493CC7"/>
    <w:rsid w:val="00493EB8"/>
    <w:rsid w:val="004940BE"/>
    <w:rsid w:val="00494148"/>
    <w:rsid w:val="00494442"/>
    <w:rsid w:val="00494784"/>
    <w:rsid w:val="00494928"/>
    <w:rsid w:val="00494F2D"/>
    <w:rsid w:val="00495DAF"/>
    <w:rsid w:val="0049682C"/>
    <w:rsid w:val="00496886"/>
    <w:rsid w:val="00496D03"/>
    <w:rsid w:val="00496D9B"/>
    <w:rsid w:val="004974B3"/>
    <w:rsid w:val="00497AB4"/>
    <w:rsid w:val="004A13D2"/>
    <w:rsid w:val="004A264E"/>
    <w:rsid w:val="004A26F7"/>
    <w:rsid w:val="004A293B"/>
    <w:rsid w:val="004A2D2F"/>
    <w:rsid w:val="004A2E5F"/>
    <w:rsid w:val="004A383A"/>
    <w:rsid w:val="004A410C"/>
    <w:rsid w:val="004A45FD"/>
    <w:rsid w:val="004A4AB9"/>
    <w:rsid w:val="004A51BC"/>
    <w:rsid w:val="004A61A8"/>
    <w:rsid w:val="004A67D9"/>
    <w:rsid w:val="004A6905"/>
    <w:rsid w:val="004A6AF7"/>
    <w:rsid w:val="004A7044"/>
    <w:rsid w:val="004A737B"/>
    <w:rsid w:val="004B0789"/>
    <w:rsid w:val="004B09B5"/>
    <w:rsid w:val="004B1BF6"/>
    <w:rsid w:val="004B1FDC"/>
    <w:rsid w:val="004B2BA5"/>
    <w:rsid w:val="004B33B9"/>
    <w:rsid w:val="004B33BA"/>
    <w:rsid w:val="004B35F0"/>
    <w:rsid w:val="004B3B7D"/>
    <w:rsid w:val="004B41CA"/>
    <w:rsid w:val="004B4DF2"/>
    <w:rsid w:val="004B4FC6"/>
    <w:rsid w:val="004B547F"/>
    <w:rsid w:val="004B57C3"/>
    <w:rsid w:val="004B5BA9"/>
    <w:rsid w:val="004B6FB3"/>
    <w:rsid w:val="004B7A8F"/>
    <w:rsid w:val="004C07BC"/>
    <w:rsid w:val="004C0CD4"/>
    <w:rsid w:val="004C0D6D"/>
    <w:rsid w:val="004C1390"/>
    <w:rsid w:val="004C1AF5"/>
    <w:rsid w:val="004C1B22"/>
    <w:rsid w:val="004C239E"/>
    <w:rsid w:val="004C3503"/>
    <w:rsid w:val="004C38B1"/>
    <w:rsid w:val="004C4234"/>
    <w:rsid w:val="004C43CF"/>
    <w:rsid w:val="004C5816"/>
    <w:rsid w:val="004C683A"/>
    <w:rsid w:val="004C72A9"/>
    <w:rsid w:val="004D1041"/>
    <w:rsid w:val="004D10FE"/>
    <w:rsid w:val="004D13D9"/>
    <w:rsid w:val="004D14F4"/>
    <w:rsid w:val="004D1D9E"/>
    <w:rsid w:val="004D26F2"/>
    <w:rsid w:val="004D2854"/>
    <w:rsid w:val="004D3661"/>
    <w:rsid w:val="004D393F"/>
    <w:rsid w:val="004D3D19"/>
    <w:rsid w:val="004D418B"/>
    <w:rsid w:val="004D4D4B"/>
    <w:rsid w:val="004D5CF9"/>
    <w:rsid w:val="004D6234"/>
    <w:rsid w:val="004D7511"/>
    <w:rsid w:val="004D796C"/>
    <w:rsid w:val="004E19D6"/>
    <w:rsid w:val="004E1C38"/>
    <w:rsid w:val="004E2187"/>
    <w:rsid w:val="004E2490"/>
    <w:rsid w:val="004E2E50"/>
    <w:rsid w:val="004E386F"/>
    <w:rsid w:val="004E3924"/>
    <w:rsid w:val="004E40AA"/>
    <w:rsid w:val="004E4603"/>
    <w:rsid w:val="004E4AFE"/>
    <w:rsid w:val="004E4C49"/>
    <w:rsid w:val="004E5181"/>
    <w:rsid w:val="004E603D"/>
    <w:rsid w:val="004E722A"/>
    <w:rsid w:val="004E75CD"/>
    <w:rsid w:val="004E765A"/>
    <w:rsid w:val="004E7E44"/>
    <w:rsid w:val="004F086A"/>
    <w:rsid w:val="004F0EA0"/>
    <w:rsid w:val="004F1090"/>
    <w:rsid w:val="004F10B2"/>
    <w:rsid w:val="004F1422"/>
    <w:rsid w:val="004F1B99"/>
    <w:rsid w:val="004F1DA6"/>
    <w:rsid w:val="004F2B81"/>
    <w:rsid w:val="004F3271"/>
    <w:rsid w:val="004F37A3"/>
    <w:rsid w:val="004F3EF0"/>
    <w:rsid w:val="004F4839"/>
    <w:rsid w:val="004F4F98"/>
    <w:rsid w:val="004F6018"/>
    <w:rsid w:val="004F61DE"/>
    <w:rsid w:val="004F67C5"/>
    <w:rsid w:val="004F6DB4"/>
    <w:rsid w:val="004F6FEB"/>
    <w:rsid w:val="004F71DC"/>
    <w:rsid w:val="004F7595"/>
    <w:rsid w:val="004F79AC"/>
    <w:rsid w:val="004F7BCC"/>
    <w:rsid w:val="004F7D67"/>
    <w:rsid w:val="004F7D86"/>
    <w:rsid w:val="004F7DB1"/>
    <w:rsid w:val="00500535"/>
    <w:rsid w:val="005014D6"/>
    <w:rsid w:val="00501525"/>
    <w:rsid w:val="00501B28"/>
    <w:rsid w:val="00501F4A"/>
    <w:rsid w:val="0050227A"/>
    <w:rsid w:val="005023DC"/>
    <w:rsid w:val="005026EC"/>
    <w:rsid w:val="0050274D"/>
    <w:rsid w:val="00502DF2"/>
    <w:rsid w:val="005034AC"/>
    <w:rsid w:val="00503BDA"/>
    <w:rsid w:val="00503F22"/>
    <w:rsid w:val="00503FA6"/>
    <w:rsid w:val="00504D72"/>
    <w:rsid w:val="0050550D"/>
    <w:rsid w:val="00505718"/>
    <w:rsid w:val="00506873"/>
    <w:rsid w:val="00506D93"/>
    <w:rsid w:val="00507A1F"/>
    <w:rsid w:val="00507B84"/>
    <w:rsid w:val="00507ED0"/>
    <w:rsid w:val="005109DE"/>
    <w:rsid w:val="005111B5"/>
    <w:rsid w:val="00511371"/>
    <w:rsid w:val="005114C7"/>
    <w:rsid w:val="00511529"/>
    <w:rsid w:val="00511BF6"/>
    <w:rsid w:val="005124BF"/>
    <w:rsid w:val="005138D5"/>
    <w:rsid w:val="0051435D"/>
    <w:rsid w:val="00514410"/>
    <w:rsid w:val="005145F9"/>
    <w:rsid w:val="005147C5"/>
    <w:rsid w:val="005152F8"/>
    <w:rsid w:val="005157A2"/>
    <w:rsid w:val="00515AD5"/>
    <w:rsid w:val="005168F3"/>
    <w:rsid w:val="00516BC2"/>
    <w:rsid w:val="00516E6E"/>
    <w:rsid w:val="00516F01"/>
    <w:rsid w:val="00516F53"/>
    <w:rsid w:val="0051769A"/>
    <w:rsid w:val="00517A1F"/>
    <w:rsid w:val="00520532"/>
    <w:rsid w:val="005206D8"/>
    <w:rsid w:val="005207D8"/>
    <w:rsid w:val="00520B14"/>
    <w:rsid w:val="00520CE3"/>
    <w:rsid w:val="00521010"/>
    <w:rsid w:val="00521F5A"/>
    <w:rsid w:val="005223EE"/>
    <w:rsid w:val="005235F0"/>
    <w:rsid w:val="00523820"/>
    <w:rsid w:val="00524762"/>
    <w:rsid w:val="00524A33"/>
    <w:rsid w:val="00524B34"/>
    <w:rsid w:val="00524C34"/>
    <w:rsid w:val="0052579B"/>
    <w:rsid w:val="00525B15"/>
    <w:rsid w:val="00525D32"/>
    <w:rsid w:val="00526B76"/>
    <w:rsid w:val="00527A15"/>
    <w:rsid w:val="00530C58"/>
    <w:rsid w:val="005317FB"/>
    <w:rsid w:val="00531D96"/>
    <w:rsid w:val="00531E25"/>
    <w:rsid w:val="00532218"/>
    <w:rsid w:val="00532908"/>
    <w:rsid w:val="00533559"/>
    <w:rsid w:val="00533873"/>
    <w:rsid w:val="00533DDD"/>
    <w:rsid w:val="00535350"/>
    <w:rsid w:val="005357BF"/>
    <w:rsid w:val="005363C0"/>
    <w:rsid w:val="0053653A"/>
    <w:rsid w:val="00537528"/>
    <w:rsid w:val="005400C4"/>
    <w:rsid w:val="00540487"/>
    <w:rsid w:val="0054118B"/>
    <w:rsid w:val="005418D3"/>
    <w:rsid w:val="00542769"/>
    <w:rsid w:val="0054285B"/>
    <w:rsid w:val="00542AA1"/>
    <w:rsid w:val="005439E8"/>
    <w:rsid w:val="00543AC7"/>
    <w:rsid w:val="00543B07"/>
    <w:rsid w:val="00543EA0"/>
    <w:rsid w:val="00543FD8"/>
    <w:rsid w:val="005441B0"/>
    <w:rsid w:val="0054465A"/>
    <w:rsid w:val="00544DC1"/>
    <w:rsid w:val="00544DF9"/>
    <w:rsid w:val="0054540D"/>
    <w:rsid w:val="005455C4"/>
    <w:rsid w:val="00545643"/>
    <w:rsid w:val="00545FF4"/>
    <w:rsid w:val="00550759"/>
    <w:rsid w:val="005509C7"/>
    <w:rsid w:val="0055112B"/>
    <w:rsid w:val="00551600"/>
    <w:rsid w:val="00552C86"/>
    <w:rsid w:val="00553478"/>
    <w:rsid w:val="005536A9"/>
    <w:rsid w:val="00554244"/>
    <w:rsid w:val="005544B7"/>
    <w:rsid w:val="0055480B"/>
    <w:rsid w:val="005558E1"/>
    <w:rsid w:val="00555D3A"/>
    <w:rsid w:val="00556032"/>
    <w:rsid w:val="0055628E"/>
    <w:rsid w:val="005604ED"/>
    <w:rsid w:val="00560997"/>
    <w:rsid w:val="00560C2D"/>
    <w:rsid w:val="00560DED"/>
    <w:rsid w:val="00560DF7"/>
    <w:rsid w:val="0056141D"/>
    <w:rsid w:val="005616C8"/>
    <w:rsid w:val="00561907"/>
    <w:rsid w:val="00561BF2"/>
    <w:rsid w:val="00561E65"/>
    <w:rsid w:val="00562A23"/>
    <w:rsid w:val="005630C5"/>
    <w:rsid w:val="0056364E"/>
    <w:rsid w:val="00563F5F"/>
    <w:rsid w:val="005640EE"/>
    <w:rsid w:val="00564642"/>
    <w:rsid w:val="00564B0D"/>
    <w:rsid w:val="00565060"/>
    <w:rsid w:val="005654D7"/>
    <w:rsid w:val="00565634"/>
    <w:rsid w:val="005656F8"/>
    <w:rsid w:val="00565FC9"/>
    <w:rsid w:val="00566B3D"/>
    <w:rsid w:val="005677E7"/>
    <w:rsid w:val="00567A3B"/>
    <w:rsid w:val="00567EC8"/>
    <w:rsid w:val="00572A64"/>
    <w:rsid w:val="00572AC8"/>
    <w:rsid w:val="00573B1E"/>
    <w:rsid w:val="0057581F"/>
    <w:rsid w:val="00576869"/>
    <w:rsid w:val="00577C10"/>
    <w:rsid w:val="00580420"/>
    <w:rsid w:val="005806DE"/>
    <w:rsid w:val="00580DC0"/>
    <w:rsid w:val="005821BC"/>
    <w:rsid w:val="005822FA"/>
    <w:rsid w:val="005829C6"/>
    <w:rsid w:val="0058314B"/>
    <w:rsid w:val="005838DD"/>
    <w:rsid w:val="0058420F"/>
    <w:rsid w:val="005845BA"/>
    <w:rsid w:val="005845EB"/>
    <w:rsid w:val="00584FD9"/>
    <w:rsid w:val="005850B3"/>
    <w:rsid w:val="0058529F"/>
    <w:rsid w:val="00585638"/>
    <w:rsid w:val="00585AFF"/>
    <w:rsid w:val="00585DC3"/>
    <w:rsid w:val="00586228"/>
    <w:rsid w:val="00586DD4"/>
    <w:rsid w:val="00586DD5"/>
    <w:rsid w:val="00587B2C"/>
    <w:rsid w:val="00590324"/>
    <w:rsid w:val="00590B52"/>
    <w:rsid w:val="00591015"/>
    <w:rsid w:val="00592F7E"/>
    <w:rsid w:val="00592F93"/>
    <w:rsid w:val="00593156"/>
    <w:rsid w:val="005941F6"/>
    <w:rsid w:val="00594211"/>
    <w:rsid w:val="005943D8"/>
    <w:rsid w:val="00594B7A"/>
    <w:rsid w:val="005955B7"/>
    <w:rsid w:val="00595754"/>
    <w:rsid w:val="00595F4D"/>
    <w:rsid w:val="00596D21"/>
    <w:rsid w:val="00596FEE"/>
    <w:rsid w:val="005978A4"/>
    <w:rsid w:val="00597A90"/>
    <w:rsid w:val="005A00E8"/>
    <w:rsid w:val="005A09C7"/>
    <w:rsid w:val="005A15A9"/>
    <w:rsid w:val="005A22B2"/>
    <w:rsid w:val="005A2AC2"/>
    <w:rsid w:val="005A3A85"/>
    <w:rsid w:val="005A444F"/>
    <w:rsid w:val="005A476B"/>
    <w:rsid w:val="005A4EC7"/>
    <w:rsid w:val="005A5A8D"/>
    <w:rsid w:val="005A5AD7"/>
    <w:rsid w:val="005A67C7"/>
    <w:rsid w:val="005A6A1D"/>
    <w:rsid w:val="005A703A"/>
    <w:rsid w:val="005A7818"/>
    <w:rsid w:val="005B04D4"/>
    <w:rsid w:val="005B0697"/>
    <w:rsid w:val="005B06BD"/>
    <w:rsid w:val="005B0A19"/>
    <w:rsid w:val="005B16B7"/>
    <w:rsid w:val="005B1A21"/>
    <w:rsid w:val="005B1E54"/>
    <w:rsid w:val="005B2ACD"/>
    <w:rsid w:val="005B3D29"/>
    <w:rsid w:val="005B405B"/>
    <w:rsid w:val="005B57F9"/>
    <w:rsid w:val="005B58BF"/>
    <w:rsid w:val="005B666A"/>
    <w:rsid w:val="005B6938"/>
    <w:rsid w:val="005B6AF4"/>
    <w:rsid w:val="005B6BA1"/>
    <w:rsid w:val="005B728B"/>
    <w:rsid w:val="005C0181"/>
    <w:rsid w:val="005C0442"/>
    <w:rsid w:val="005C04CB"/>
    <w:rsid w:val="005C080A"/>
    <w:rsid w:val="005C0F1A"/>
    <w:rsid w:val="005C1752"/>
    <w:rsid w:val="005C1947"/>
    <w:rsid w:val="005C2746"/>
    <w:rsid w:val="005C30A4"/>
    <w:rsid w:val="005C3443"/>
    <w:rsid w:val="005C384F"/>
    <w:rsid w:val="005C423A"/>
    <w:rsid w:val="005C42D9"/>
    <w:rsid w:val="005C4718"/>
    <w:rsid w:val="005C4E1B"/>
    <w:rsid w:val="005C6153"/>
    <w:rsid w:val="005C6205"/>
    <w:rsid w:val="005C63D4"/>
    <w:rsid w:val="005C757F"/>
    <w:rsid w:val="005C7A8F"/>
    <w:rsid w:val="005C7A9C"/>
    <w:rsid w:val="005C7BF4"/>
    <w:rsid w:val="005C7CB9"/>
    <w:rsid w:val="005C7F02"/>
    <w:rsid w:val="005D0009"/>
    <w:rsid w:val="005D07E2"/>
    <w:rsid w:val="005D0CE2"/>
    <w:rsid w:val="005D18A6"/>
    <w:rsid w:val="005D2215"/>
    <w:rsid w:val="005D26DD"/>
    <w:rsid w:val="005D2956"/>
    <w:rsid w:val="005D2EC2"/>
    <w:rsid w:val="005D2F03"/>
    <w:rsid w:val="005D3977"/>
    <w:rsid w:val="005D3CAA"/>
    <w:rsid w:val="005D3D98"/>
    <w:rsid w:val="005D427F"/>
    <w:rsid w:val="005D48A0"/>
    <w:rsid w:val="005D56FD"/>
    <w:rsid w:val="005D583B"/>
    <w:rsid w:val="005D66DE"/>
    <w:rsid w:val="005D674F"/>
    <w:rsid w:val="005D7060"/>
    <w:rsid w:val="005D72E1"/>
    <w:rsid w:val="005D7FE1"/>
    <w:rsid w:val="005E014F"/>
    <w:rsid w:val="005E0BC2"/>
    <w:rsid w:val="005E10AF"/>
    <w:rsid w:val="005E1F50"/>
    <w:rsid w:val="005E231F"/>
    <w:rsid w:val="005E23ED"/>
    <w:rsid w:val="005E2611"/>
    <w:rsid w:val="005E402F"/>
    <w:rsid w:val="005E445C"/>
    <w:rsid w:val="005E45D9"/>
    <w:rsid w:val="005E4C69"/>
    <w:rsid w:val="005E5168"/>
    <w:rsid w:val="005E5836"/>
    <w:rsid w:val="005E594D"/>
    <w:rsid w:val="005E5D20"/>
    <w:rsid w:val="005E621C"/>
    <w:rsid w:val="005E68C2"/>
    <w:rsid w:val="005E6D40"/>
    <w:rsid w:val="005E6ED0"/>
    <w:rsid w:val="005E7002"/>
    <w:rsid w:val="005E7909"/>
    <w:rsid w:val="005E790E"/>
    <w:rsid w:val="005F0A99"/>
    <w:rsid w:val="005F0D15"/>
    <w:rsid w:val="005F15A8"/>
    <w:rsid w:val="005F1622"/>
    <w:rsid w:val="005F175B"/>
    <w:rsid w:val="005F1F46"/>
    <w:rsid w:val="005F34A9"/>
    <w:rsid w:val="005F400E"/>
    <w:rsid w:val="005F4719"/>
    <w:rsid w:val="005F4D4E"/>
    <w:rsid w:val="005F5965"/>
    <w:rsid w:val="005F620D"/>
    <w:rsid w:val="005F6972"/>
    <w:rsid w:val="005F6A9D"/>
    <w:rsid w:val="005F723E"/>
    <w:rsid w:val="005F7342"/>
    <w:rsid w:val="00600283"/>
    <w:rsid w:val="0060104E"/>
    <w:rsid w:val="0060126F"/>
    <w:rsid w:val="00601492"/>
    <w:rsid w:val="0060186D"/>
    <w:rsid w:val="00601DB9"/>
    <w:rsid w:val="0060217B"/>
    <w:rsid w:val="00602360"/>
    <w:rsid w:val="00602977"/>
    <w:rsid w:val="00602B66"/>
    <w:rsid w:val="00603160"/>
    <w:rsid w:val="00603452"/>
    <w:rsid w:val="00603555"/>
    <w:rsid w:val="0060381C"/>
    <w:rsid w:val="00603FE5"/>
    <w:rsid w:val="006042A6"/>
    <w:rsid w:val="006051A4"/>
    <w:rsid w:val="00605381"/>
    <w:rsid w:val="00605AD4"/>
    <w:rsid w:val="006061E1"/>
    <w:rsid w:val="00606380"/>
    <w:rsid w:val="0060672D"/>
    <w:rsid w:val="00606870"/>
    <w:rsid w:val="00607701"/>
    <w:rsid w:val="006106CE"/>
    <w:rsid w:val="006109BE"/>
    <w:rsid w:val="00610A3C"/>
    <w:rsid w:val="00610E21"/>
    <w:rsid w:val="00610F19"/>
    <w:rsid w:val="00611335"/>
    <w:rsid w:val="0061190F"/>
    <w:rsid w:val="006119D2"/>
    <w:rsid w:val="006146E3"/>
    <w:rsid w:val="0061536F"/>
    <w:rsid w:val="006154E6"/>
    <w:rsid w:val="0061553C"/>
    <w:rsid w:val="00615DA0"/>
    <w:rsid w:val="00615E56"/>
    <w:rsid w:val="00616B63"/>
    <w:rsid w:val="00616F7E"/>
    <w:rsid w:val="0061764E"/>
    <w:rsid w:val="00617B29"/>
    <w:rsid w:val="00617FDE"/>
    <w:rsid w:val="00620D73"/>
    <w:rsid w:val="006216A6"/>
    <w:rsid w:val="00621BE3"/>
    <w:rsid w:val="00623A3D"/>
    <w:rsid w:val="00623D8C"/>
    <w:rsid w:val="00623EAD"/>
    <w:rsid w:val="00625AA9"/>
    <w:rsid w:val="00625B0F"/>
    <w:rsid w:val="006265A4"/>
    <w:rsid w:val="00626A6B"/>
    <w:rsid w:val="00626D9B"/>
    <w:rsid w:val="00626EA4"/>
    <w:rsid w:val="00627055"/>
    <w:rsid w:val="0062761F"/>
    <w:rsid w:val="00627778"/>
    <w:rsid w:val="00627F48"/>
    <w:rsid w:val="0063030E"/>
    <w:rsid w:val="00630777"/>
    <w:rsid w:val="00630A4C"/>
    <w:rsid w:val="00630CA2"/>
    <w:rsid w:val="00631DCB"/>
    <w:rsid w:val="0063269F"/>
    <w:rsid w:val="0063338F"/>
    <w:rsid w:val="00634140"/>
    <w:rsid w:val="006365D9"/>
    <w:rsid w:val="00636D3D"/>
    <w:rsid w:val="006379E7"/>
    <w:rsid w:val="00637B37"/>
    <w:rsid w:val="00640C97"/>
    <w:rsid w:val="0064102E"/>
    <w:rsid w:val="00641944"/>
    <w:rsid w:val="00641AA0"/>
    <w:rsid w:val="00642299"/>
    <w:rsid w:val="00642D8F"/>
    <w:rsid w:val="00643228"/>
    <w:rsid w:val="0064349E"/>
    <w:rsid w:val="00643C2B"/>
    <w:rsid w:val="00644337"/>
    <w:rsid w:val="006444F6"/>
    <w:rsid w:val="00644564"/>
    <w:rsid w:val="00644876"/>
    <w:rsid w:val="00644E28"/>
    <w:rsid w:val="00644FF1"/>
    <w:rsid w:val="006457A7"/>
    <w:rsid w:val="00645A6D"/>
    <w:rsid w:val="00645BEB"/>
    <w:rsid w:val="00645EC1"/>
    <w:rsid w:val="00646727"/>
    <w:rsid w:val="0064677E"/>
    <w:rsid w:val="00646DEB"/>
    <w:rsid w:val="00646FA6"/>
    <w:rsid w:val="006470D6"/>
    <w:rsid w:val="0065054F"/>
    <w:rsid w:val="00650744"/>
    <w:rsid w:val="00650851"/>
    <w:rsid w:val="0065097A"/>
    <w:rsid w:val="00650A29"/>
    <w:rsid w:val="00651F31"/>
    <w:rsid w:val="00652384"/>
    <w:rsid w:val="006524FF"/>
    <w:rsid w:val="0065263E"/>
    <w:rsid w:val="00653458"/>
    <w:rsid w:val="00654337"/>
    <w:rsid w:val="006543B2"/>
    <w:rsid w:val="00654D05"/>
    <w:rsid w:val="00654F2D"/>
    <w:rsid w:val="00655142"/>
    <w:rsid w:val="00655233"/>
    <w:rsid w:val="00655E0F"/>
    <w:rsid w:val="00656455"/>
    <w:rsid w:val="006564D6"/>
    <w:rsid w:val="006569EE"/>
    <w:rsid w:val="00656CE5"/>
    <w:rsid w:val="006577E5"/>
    <w:rsid w:val="006601C1"/>
    <w:rsid w:val="006603D7"/>
    <w:rsid w:val="00660433"/>
    <w:rsid w:val="006618B6"/>
    <w:rsid w:val="00661D6E"/>
    <w:rsid w:val="0066230A"/>
    <w:rsid w:val="00662E44"/>
    <w:rsid w:val="00663BED"/>
    <w:rsid w:val="00663FCF"/>
    <w:rsid w:val="00664D20"/>
    <w:rsid w:val="006652A1"/>
    <w:rsid w:val="006652A2"/>
    <w:rsid w:val="0066743B"/>
    <w:rsid w:val="00667940"/>
    <w:rsid w:val="00667DDE"/>
    <w:rsid w:val="00670273"/>
    <w:rsid w:val="00670ADA"/>
    <w:rsid w:val="00670E88"/>
    <w:rsid w:val="00670F0A"/>
    <w:rsid w:val="0067202D"/>
    <w:rsid w:val="00672A93"/>
    <w:rsid w:val="006738EE"/>
    <w:rsid w:val="00673A21"/>
    <w:rsid w:val="00673AD6"/>
    <w:rsid w:val="00673D7C"/>
    <w:rsid w:val="00674995"/>
    <w:rsid w:val="00674AC6"/>
    <w:rsid w:val="0067515D"/>
    <w:rsid w:val="00675C86"/>
    <w:rsid w:val="0067608D"/>
    <w:rsid w:val="00676676"/>
    <w:rsid w:val="0067690A"/>
    <w:rsid w:val="006770D2"/>
    <w:rsid w:val="006773D1"/>
    <w:rsid w:val="0067769C"/>
    <w:rsid w:val="006777A1"/>
    <w:rsid w:val="00677CAB"/>
    <w:rsid w:val="00677CDA"/>
    <w:rsid w:val="0068015A"/>
    <w:rsid w:val="006818A4"/>
    <w:rsid w:val="00681DE4"/>
    <w:rsid w:val="00681E17"/>
    <w:rsid w:val="00682304"/>
    <w:rsid w:val="00682F0D"/>
    <w:rsid w:val="00682FA8"/>
    <w:rsid w:val="00683390"/>
    <w:rsid w:val="006848E0"/>
    <w:rsid w:val="00684BAD"/>
    <w:rsid w:val="00685D4A"/>
    <w:rsid w:val="00685D4E"/>
    <w:rsid w:val="00686824"/>
    <w:rsid w:val="00687416"/>
    <w:rsid w:val="0068761E"/>
    <w:rsid w:val="00687880"/>
    <w:rsid w:val="00690105"/>
    <w:rsid w:val="006901B7"/>
    <w:rsid w:val="006906AB"/>
    <w:rsid w:val="00690F20"/>
    <w:rsid w:val="00691820"/>
    <w:rsid w:val="00691A31"/>
    <w:rsid w:val="00691C2A"/>
    <w:rsid w:val="0069206F"/>
    <w:rsid w:val="006920DF"/>
    <w:rsid w:val="0069233F"/>
    <w:rsid w:val="0069264B"/>
    <w:rsid w:val="00692968"/>
    <w:rsid w:val="00692C79"/>
    <w:rsid w:val="00692DDA"/>
    <w:rsid w:val="00693154"/>
    <w:rsid w:val="00693E13"/>
    <w:rsid w:val="00694BF3"/>
    <w:rsid w:val="00695855"/>
    <w:rsid w:val="00695ACA"/>
    <w:rsid w:val="006961D9"/>
    <w:rsid w:val="006964F7"/>
    <w:rsid w:val="00696D5C"/>
    <w:rsid w:val="00697643"/>
    <w:rsid w:val="0069779C"/>
    <w:rsid w:val="006A0018"/>
    <w:rsid w:val="006A0152"/>
    <w:rsid w:val="006A0BEA"/>
    <w:rsid w:val="006A1475"/>
    <w:rsid w:val="006A14BB"/>
    <w:rsid w:val="006A1C19"/>
    <w:rsid w:val="006A1DFF"/>
    <w:rsid w:val="006A1EFB"/>
    <w:rsid w:val="006A1FCF"/>
    <w:rsid w:val="006A20E5"/>
    <w:rsid w:val="006A21E9"/>
    <w:rsid w:val="006A222A"/>
    <w:rsid w:val="006A37AA"/>
    <w:rsid w:val="006A3A90"/>
    <w:rsid w:val="006A3FB3"/>
    <w:rsid w:val="006A4738"/>
    <w:rsid w:val="006A48A7"/>
    <w:rsid w:val="006A4B23"/>
    <w:rsid w:val="006A52D9"/>
    <w:rsid w:val="006A5549"/>
    <w:rsid w:val="006A55FE"/>
    <w:rsid w:val="006A566D"/>
    <w:rsid w:val="006A6DFA"/>
    <w:rsid w:val="006A6F22"/>
    <w:rsid w:val="006B00AE"/>
    <w:rsid w:val="006B0B0B"/>
    <w:rsid w:val="006B12C8"/>
    <w:rsid w:val="006B15FA"/>
    <w:rsid w:val="006B1F3B"/>
    <w:rsid w:val="006B27C5"/>
    <w:rsid w:val="006B3A95"/>
    <w:rsid w:val="006B3F0C"/>
    <w:rsid w:val="006B44C8"/>
    <w:rsid w:val="006B4A81"/>
    <w:rsid w:val="006B5884"/>
    <w:rsid w:val="006B5ECD"/>
    <w:rsid w:val="006B6F45"/>
    <w:rsid w:val="006B716A"/>
    <w:rsid w:val="006B7EB6"/>
    <w:rsid w:val="006C006F"/>
    <w:rsid w:val="006C0111"/>
    <w:rsid w:val="006C012A"/>
    <w:rsid w:val="006C0E00"/>
    <w:rsid w:val="006C0EDF"/>
    <w:rsid w:val="006C1693"/>
    <w:rsid w:val="006C16B0"/>
    <w:rsid w:val="006C1F70"/>
    <w:rsid w:val="006C2A7E"/>
    <w:rsid w:val="006C3805"/>
    <w:rsid w:val="006C3A94"/>
    <w:rsid w:val="006C3DAD"/>
    <w:rsid w:val="006C497F"/>
    <w:rsid w:val="006C51D2"/>
    <w:rsid w:val="006C5AFB"/>
    <w:rsid w:val="006C6323"/>
    <w:rsid w:val="006C73CC"/>
    <w:rsid w:val="006C7B18"/>
    <w:rsid w:val="006D09EC"/>
    <w:rsid w:val="006D1B00"/>
    <w:rsid w:val="006D2C27"/>
    <w:rsid w:val="006D2C94"/>
    <w:rsid w:val="006D3D3C"/>
    <w:rsid w:val="006D516B"/>
    <w:rsid w:val="006D532B"/>
    <w:rsid w:val="006D57C1"/>
    <w:rsid w:val="006D5A5A"/>
    <w:rsid w:val="006D5B58"/>
    <w:rsid w:val="006D5D17"/>
    <w:rsid w:val="006D6954"/>
    <w:rsid w:val="006E0176"/>
    <w:rsid w:val="006E0413"/>
    <w:rsid w:val="006E0502"/>
    <w:rsid w:val="006E0A0B"/>
    <w:rsid w:val="006E18FB"/>
    <w:rsid w:val="006E1FD1"/>
    <w:rsid w:val="006E29F9"/>
    <w:rsid w:val="006E2B76"/>
    <w:rsid w:val="006E2B9B"/>
    <w:rsid w:val="006E4797"/>
    <w:rsid w:val="006E4CCA"/>
    <w:rsid w:val="006E575C"/>
    <w:rsid w:val="006E5C7D"/>
    <w:rsid w:val="006E5DEE"/>
    <w:rsid w:val="006E62B2"/>
    <w:rsid w:val="006E7049"/>
    <w:rsid w:val="006E794B"/>
    <w:rsid w:val="006F0033"/>
    <w:rsid w:val="006F00C4"/>
    <w:rsid w:val="006F00DC"/>
    <w:rsid w:val="006F0905"/>
    <w:rsid w:val="006F0B6C"/>
    <w:rsid w:val="006F0E5E"/>
    <w:rsid w:val="006F0EEB"/>
    <w:rsid w:val="006F14EE"/>
    <w:rsid w:val="006F1B46"/>
    <w:rsid w:val="006F2343"/>
    <w:rsid w:val="006F3808"/>
    <w:rsid w:val="006F42A4"/>
    <w:rsid w:val="006F4A82"/>
    <w:rsid w:val="006F4BB7"/>
    <w:rsid w:val="006F51A9"/>
    <w:rsid w:val="006F5A97"/>
    <w:rsid w:val="006F66A1"/>
    <w:rsid w:val="006F6F5A"/>
    <w:rsid w:val="006F7A5D"/>
    <w:rsid w:val="0070003A"/>
    <w:rsid w:val="0070084A"/>
    <w:rsid w:val="00700DD6"/>
    <w:rsid w:val="00701135"/>
    <w:rsid w:val="00701762"/>
    <w:rsid w:val="0070180F"/>
    <w:rsid w:val="007020B5"/>
    <w:rsid w:val="00702E3A"/>
    <w:rsid w:val="00702FFE"/>
    <w:rsid w:val="0070386D"/>
    <w:rsid w:val="00703DF0"/>
    <w:rsid w:val="0070495D"/>
    <w:rsid w:val="00704967"/>
    <w:rsid w:val="007049D0"/>
    <w:rsid w:val="00704DE7"/>
    <w:rsid w:val="00705E92"/>
    <w:rsid w:val="00705F1B"/>
    <w:rsid w:val="0070628E"/>
    <w:rsid w:val="00706B66"/>
    <w:rsid w:val="00707A39"/>
    <w:rsid w:val="007101AD"/>
    <w:rsid w:val="00711215"/>
    <w:rsid w:val="00711C43"/>
    <w:rsid w:val="00711ED6"/>
    <w:rsid w:val="00714794"/>
    <w:rsid w:val="00714C54"/>
    <w:rsid w:val="007157C2"/>
    <w:rsid w:val="00716260"/>
    <w:rsid w:val="00716C87"/>
    <w:rsid w:val="00716D27"/>
    <w:rsid w:val="00717B24"/>
    <w:rsid w:val="00717F70"/>
    <w:rsid w:val="00721418"/>
    <w:rsid w:val="007216F2"/>
    <w:rsid w:val="00721A30"/>
    <w:rsid w:val="00721AED"/>
    <w:rsid w:val="00721FFB"/>
    <w:rsid w:val="00722287"/>
    <w:rsid w:val="00722B4E"/>
    <w:rsid w:val="007236DE"/>
    <w:rsid w:val="007237CC"/>
    <w:rsid w:val="00724F6D"/>
    <w:rsid w:val="00724FA4"/>
    <w:rsid w:val="007261D9"/>
    <w:rsid w:val="007271E7"/>
    <w:rsid w:val="00727215"/>
    <w:rsid w:val="0072770F"/>
    <w:rsid w:val="007277B6"/>
    <w:rsid w:val="00730800"/>
    <w:rsid w:val="00730A72"/>
    <w:rsid w:val="00730D84"/>
    <w:rsid w:val="00730FFF"/>
    <w:rsid w:val="007310D5"/>
    <w:rsid w:val="00731255"/>
    <w:rsid w:val="00731711"/>
    <w:rsid w:val="007319AB"/>
    <w:rsid w:val="00731A67"/>
    <w:rsid w:val="00732031"/>
    <w:rsid w:val="0073251B"/>
    <w:rsid w:val="00732632"/>
    <w:rsid w:val="00732C90"/>
    <w:rsid w:val="00732F13"/>
    <w:rsid w:val="0073301C"/>
    <w:rsid w:val="007337DF"/>
    <w:rsid w:val="00733FD1"/>
    <w:rsid w:val="00734B60"/>
    <w:rsid w:val="00734EC8"/>
    <w:rsid w:val="007350A4"/>
    <w:rsid w:val="00735249"/>
    <w:rsid w:val="007362A8"/>
    <w:rsid w:val="0073676D"/>
    <w:rsid w:val="00736869"/>
    <w:rsid w:val="00737C46"/>
    <w:rsid w:val="0074026F"/>
    <w:rsid w:val="00740E4A"/>
    <w:rsid w:val="00740EA9"/>
    <w:rsid w:val="0074113B"/>
    <w:rsid w:val="007411D5"/>
    <w:rsid w:val="00741E57"/>
    <w:rsid w:val="007421B2"/>
    <w:rsid w:val="00742742"/>
    <w:rsid w:val="00742930"/>
    <w:rsid w:val="00742D85"/>
    <w:rsid w:val="00742F81"/>
    <w:rsid w:val="00743FA6"/>
    <w:rsid w:val="00744039"/>
    <w:rsid w:val="00744256"/>
    <w:rsid w:val="00744892"/>
    <w:rsid w:val="007449D9"/>
    <w:rsid w:val="00744FD7"/>
    <w:rsid w:val="007457A6"/>
    <w:rsid w:val="0074590E"/>
    <w:rsid w:val="007463FD"/>
    <w:rsid w:val="007466CE"/>
    <w:rsid w:val="00746D6A"/>
    <w:rsid w:val="00747592"/>
    <w:rsid w:val="00747E48"/>
    <w:rsid w:val="0075009D"/>
    <w:rsid w:val="00750759"/>
    <w:rsid w:val="007508E2"/>
    <w:rsid w:val="00750C2B"/>
    <w:rsid w:val="00751830"/>
    <w:rsid w:val="007518D7"/>
    <w:rsid w:val="007532E5"/>
    <w:rsid w:val="007539C9"/>
    <w:rsid w:val="00753A53"/>
    <w:rsid w:val="00753CB4"/>
    <w:rsid w:val="00753F52"/>
    <w:rsid w:val="007540C0"/>
    <w:rsid w:val="007547A2"/>
    <w:rsid w:val="00754B8A"/>
    <w:rsid w:val="00755342"/>
    <w:rsid w:val="007553DF"/>
    <w:rsid w:val="007554F2"/>
    <w:rsid w:val="00755F5E"/>
    <w:rsid w:val="0075633C"/>
    <w:rsid w:val="00756686"/>
    <w:rsid w:val="0075672F"/>
    <w:rsid w:val="00757E73"/>
    <w:rsid w:val="007602AA"/>
    <w:rsid w:val="00760940"/>
    <w:rsid w:val="00760E6C"/>
    <w:rsid w:val="00761516"/>
    <w:rsid w:val="007625CE"/>
    <w:rsid w:val="0076298F"/>
    <w:rsid w:val="007630E3"/>
    <w:rsid w:val="0076337D"/>
    <w:rsid w:val="007644C4"/>
    <w:rsid w:val="00765133"/>
    <w:rsid w:val="00765455"/>
    <w:rsid w:val="00765B08"/>
    <w:rsid w:val="0076675D"/>
    <w:rsid w:val="00767974"/>
    <w:rsid w:val="007679CA"/>
    <w:rsid w:val="00767BC2"/>
    <w:rsid w:val="00767C48"/>
    <w:rsid w:val="0077040F"/>
    <w:rsid w:val="00770F31"/>
    <w:rsid w:val="00771BD0"/>
    <w:rsid w:val="0077252F"/>
    <w:rsid w:val="007725C3"/>
    <w:rsid w:val="00774A51"/>
    <w:rsid w:val="00774DE4"/>
    <w:rsid w:val="00776186"/>
    <w:rsid w:val="00777860"/>
    <w:rsid w:val="00780792"/>
    <w:rsid w:val="00781D5C"/>
    <w:rsid w:val="007820B0"/>
    <w:rsid w:val="007827BB"/>
    <w:rsid w:val="00783CC1"/>
    <w:rsid w:val="00784E1E"/>
    <w:rsid w:val="00784EC4"/>
    <w:rsid w:val="00785EB1"/>
    <w:rsid w:val="00785F90"/>
    <w:rsid w:val="0078678E"/>
    <w:rsid w:val="00786A3B"/>
    <w:rsid w:val="00787817"/>
    <w:rsid w:val="0079029F"/>
    <w:rsid w:val="00790AE2"/>
    <w:rsid w:val="00790FB6"/>
    <w:rsid w:val="00791A83"/>
    <w:rsid w:val="00792810"/>
    <w:rsid w:val="007931D5"/>
    <w:rsid w:val="0079336D"/>
    <w:rsid w:val="00793938"/>
    <w:rsid w:val="00793D76"/>
    <w:rsid w:val="007942D9"/>
    <w:rsid w:val="00794527"/>
    <w:rsid w:val="00794851"/>
    <w:rsid w:val="00794B32"/>
    <w:rsid w:val="00794CD3"/>
    <w:rsid w:val="00796BD5"/>
    <w:rsid w:val="00796C98"/>
    <w:rsid w:val="00796D71"/>
    <w:rsid w:val="00797541"/>
    <w:rsid w:val="00797A67"/>
    <w:rsid w:val="007A075B"/>
    <w:rsid w:val="007A0950"/>
    <w:rsid w:val="007A11DC"/>
    <w:rsid w:val="007A2B52"/>
    <w:rsid w:val="007A2F41"/>
    <w:rsid w:val="007A3C82"/>
    <w:rsid w:val="007A402D"/>
    <w:rsid w:val="007A442B"/>
    <w:rsid w:val="007A44B4"/>
    <w:rsid w:val="007A5150"/>
    <w:rsid w:val="007A5414"/>
    <w:rsid w:val="007A56C5"/>
    <w:rsid w:val="007A5DB2"/>
    <w:rsid w:val="007A7395"/>
    <w:rsid w:val="007A7436"/>
    <w:rsid w:val="007A798D"/>
    <w:rsid w:val="007A7D3D"/>
    <w:rsid w:val="007B04A8"/>
    <w:rsid w:val="007B0E97"/>
    <w:rsid w:val="007B0FCA"/>
    <w:rsid w:val="007B1145"/>
    <w:rsid w:val="007B18C8"/>
    <w:rsid w:val="007B225D"/>
    <w:rsid w:val="007B2CCC"/>
    <w:rsid w:val="007B3363"/>
    <w:rsid w:val="007B355F"/>
    <w:rsid w:val="007B3706"/>
    <w:rsid w:val="007B3907"/>
    <w:rsid w:val="007B3BE3"/>
    <w:rsid w:val="007B43EF"/>
    <w:rsid w:val="007B4AA3"/>
    <w:rsid w:val="007B4CD9"/>
    <w:rsid w:val="007B552F"/>
    <w:rsid w:val="007B5FF2"/>
    <w:rsid w:val="007B73CC"/>
    <w:rsid w:val="007B7A46"/>
    <w:rsid w:val="007C0DB1"/>
    <w:rsid w:val="007C0F37"/>
    <w:rsid w:val="007C108A"/>
    <w:rsid w:val="007C1B51"/>
    <w:rsid w:val="007C1C64"/>
    <w:rsid w:val="007C1E32"/>
    <w:rsid w:val="007C26CF"/>
    <w:rsid w:val="007C2F7E"/>
    <w:rsid w:val="007C34ED"/>
    <w:rsid w:val="007C36CE"/>
    <w:rsid w:val="007C3FFA"/>
    <w:rsid w:val="007C4469"/>
    <w:rsid w:val="007C524B"/>
    <w:rsid w:val="007C55F8"/>
    <w:rsid w:val="007C5943"/>
    <w:rsid w:val="007C5D5E"/>
    <w:rsid w:val="007C62B0"/>
    <w:rsid w:val="007C71AA"/>
    <w:rsid w:val="007C7B87"/>
    <w:rsid w:val="007C7EC4"/>
    <w:rsid w:val="007C7FA8"/>
    <w:rsid w:val="007D0201"/>
    <w:rsid w:val="007D0BE3"/>
    <w:rsid w:val="007D12B6"/>
    <w:rsid w:val="007D18A6"/>
    <w:rsid w:val="007D1A49"/>
    <w:rsid w:val="007D22FB"/>
    <w:rsid w:val="007D2B90"/>
    <w:rsid w:val="007D2B9F"/>
    <w:rsid w:val="007D2C5D"/>
    <w:rsid w:val="007D2E7E"/>
    <w:rsid w:val="007D2E9D"/>
    <w:rsid w:val="007D33E4"/>
    <w:rsid w:val="007D3AB8"/>
    <w:rsid w:val="007D3E24"/>
    <w:rsid w:val="007D457B"/>
    <w:rsid w:val="007D494F"/>
    <w:rsid w:val="007D6D61"/>
    <w:rsid w:val="007D728F"/>
    <w:rsid w:val="007D7442"/>
    <w:rsid w:val="007D789A"/>
    <w:rsid w:val="007D7C50"/>
    <w:rsid w:val="007D7E2C"/>
    <w:rsid w:val="007E089F"/>
    <w:rsid w:val="007E0F35"/>
    <w:rsid w:val="007E19BA"/>
    <w:rsid w:val="007E1D32"/>
    <w:rsid w:val="007E1DE4"/>
    <w:rsid w:val="007E2863"/>
    <w:rsid w:val="007E2B08"/>
    <w:rsid w:val="007E3319"/>
    <w:rsid w:val="007E37BE"/>
    <w:rsid w:val="007E3841"/>
    <w:rsid w:val="007E38E9"/>
    <w:rsid w:val="007E39EB"/>
    <w:rsid w:val="007E3ADE"/>
    <w:rsid w:val="007E3EB2"/>
    <w:rsid w:val="007E48BC"/>
    <w:rsid w:val="007E50C0"/>
    <w:rsid w:val="007E5FAC"/>
    <w:rsid w:val="007E68DB"/>
    <w:rsid w:val="007E6C25"/>
    <w:rsid w:val="007E7376"/>
    <w:rsid w:val="007E768D"/>
    <w:rsid w:val="007E79F7"/>
    <w:rsid w:val="007E7C59"/>
    <w:rsid w:val="007E7ED2"/>
    <w:rsid w:val="007F00E9"/>
    <w:rsid w:val="007F01A7"/>
    <w:rsid w:val="007F074D"/>
    <w:rsid w:val="007F16C5"/>
    <w:rsid w:val="007F1743"/>
    <w:rsid w:val="007F1D47"/>
    <w:rsid w:val="007F24E4"/>
    <w:rsid w:val="007F276A"/>
    <w:rsid w:val="007F277A"/>
    <w:rsid w:val="007F31F4"/>
    <w:rsid w:val="007F3272"/>
    <w:rsid w:val="007F35E0"/>
    <w:rsid w:val="007F3630"/>
    <w:rsid w:val="007F40B7"/>
    <w:rsid w:val="007F4F42"/>
    <w:rsid w:val="007F53FE"/>
    <w:rsid w:val="007F58BF"/>
    <w:rsid w:val="007F5C2B"/>
    <w:rsid w:val="007F62FC"/>
    <w:rsid w:val="007F6757"/>
    <w:rsid w:val="007F721C"/>
    <w:rsid w:val="007F765C"/>
    <w:rsid w:val="007F7B3D"/>
    <w:rsid w:val="007F7D4B"/>
    <w:rsid w:val="00800624"/>
    <w:rsid w:val="00800AB5"/>
    <w:rsid w:val="00800D46"/>
    <w:rsid w:val="00801ECC"/>
    <w:rsid w:val="00802D81"/>
    <w:rsid w:val="00802EDD"/>
    <w:rsid w:val="00803080"/>
    <w:rsid w:val="00803B6D"/>
    <w:rsid w:val="00804A57"/>
    <w:rsid w:val="008059FD"/>
    <w:rsid w:val="00805B67"/>
    <w:rsid w:val="00805BB0"/>
    <w:rsid w:val="00805F63"/>
    <w:rsid w:val="00807559"/>
    <w:rsid w:val="00807FDC"/>
    <w:rsid w:val="0081020F"/>
    <w:rsid w:val="00810708"/>
    <w:rsid w:val="00810764"/>
    <w:rsid w:val="00810D2C"/>
    <w:rsid w:val="008112BB"/>
    <w:rsid w:val="00811EDB"/>
    <w:rsid w:val="00812163"/>
    <w:rsid w:val="00813A17"/>
    <w:rsid w:val="008145B4"/>
    <w:rsid w:val="00814B84"/>
    <w:rsid w:val="00814D4B"/>
    <w:rsid w:val="00815D9E"/>
    <w:rsid w:val="00815E4F"/>
    <w:rsid w:val="00816452"/>
    <w:rsid w:val="0081655D"/>
    <w:rsid w:val="0081693F"/>
    <w:rsid w:val="008169BC"/>
    <w:rsid w:val="00816CA1"/>
    <w:rsid w:val="00816FFC"/>
    <w:rsid w:val="0081748D"/>
    <w:rsid w:val="008176BE"/>
    <w:rsid w:val="00817AD1"/>
    <w:rsid w:val="0082003F"/>
    <w:rsid w:val="008213F0"/>
    <w:rsid w:val="00822093"/>
    <w:rsid w:val="008222A5"/>
    <w:rsid w:val="0082243A"/>
    <w:rsid w:val="0082270E"/>
    <w:rsid w:val="00823107"/>
    <w:rsid w:val="00823145"/>
    <w:rsid w:val="008231FC"/>
    <w:rsid w:val="008238F9"/>
    <w:rsid w:val="00823968"/>
    <w:rsid w:val="008247EE"/>
    <w:rsid w:val="00824881"/>
    <w:rsid w:val="00824935"/>
    <w:rsid w:val="0082497A"/>
    <w:rsid w:val="008249D2"/>
    <w:rsid w:val="0082528D"/>
    <w:rsid w:val="00825D64"/>
    <w:rsid w:val="0082612D"/>
    <w:rsid w:val="0082665A"/>
    <w:rsid w:val="0082736E"/>
    <w:rsid w:val="0082765E"/>
    <w:rsid w:val="0083068A"/>
    <w:rsid w:val="008306DA"/>
    <w:rsid w:val="008308A1"/>
    <w:rsid w:val="00830B26"/>
    <w:rsid w:val="00830CD7"/>
    <w:rsid w:val="00831640"/>
    <w:rsid w:val="00831DC9"/>
    <w:rsid w:val="008322FD"/>
    <w:rsid w:val="00832413"/>
    <w:rsid w:val="00832562"/>
    <w:rsid w:val="008329E4"/>
    <w:rsid w:val="0083317C"/>
    <w:rsid w:val="0083339C"/>
    <w:rsid w:val="0083394E"/>
    <w:rsid w:val="00833A0B"/>
    <w:rsid w:val="00833B4B"/>
    <w:rsid w:val="00833E69"/>
    <w:rsid w:val="0083450C"/>
    <w:rsid w:val="008349C7"/>
    <w:rsid w:val="00834DC3"/>
    <w:rsid w:val="00835124"/>
    <w:rsid w:val="00835B07"/>
    <w:rsid w:val="00836544"/>
    <w:rsid w:val="00837046"/>
    <w:rsid w:val="00837915"/>
    <w:rsid w:val="00837E5F"/>
    <w:rsid w:val="00840663"/>
    <w:rsid w:val="00840E98"/>
    <w:rsid w:val="00841A65"/>
    <w:rsid w:val="00841D64"/>
    <w:rsid w:val="00842009"/>
    <w:rsid w:val="00842815"/>
    <w:rsid w:val="008428BA"/>
    <w:rsid w:val="00842DE8"/>
    <w:rsid w:val="00843E1B"/>
    <w:rsid w:val="00844111"/>
    <w:rsid w:val="00844ABB"/>
    <w:rsid w:val="008450BC"/>
    <w:rsid w:val="008466FA"/>
    <w:rsid w:val="00847567"/>
    <w:rsid w:val="0084788B"/>
    <w:rsid w:val="00847AC0"/>
    <w:rsid w:val="00847BDA"/>
    <w:rsid w:val="0085036D"/>
    <w:rsid w:val="00850861"/>
    <w:rsid w:val="00852170"/>
    <w:rsid w:val="00852506"/>
    <w:rsid w:val="008529F5"/>
    <w:rsid w:val="00852E27"/>
    <w:rsid w:val="0085368C"/>
    <w:rsid w:val="008536D6"/>
    <w:rsid w:val="00853A8F"/>
    <w:rsid w:val="008542F1"/>
    <w:rsid w:val="008548D7"/>
    <w:rsid w:val="00854D6D"/>
    <w:rsid w:val="00855703"/>
    <w:rsid w:val="008561F2"/>
    <w:rsid w:val="00856711"/>
    <w:rsid w:val="008567D3"/>
    <w:rsid w:val="008570C4"/>
    <w:rsid w:val="00857630"/>
    <w:rsid w:val="008577C4"/>
    <w:rsid w:val="00857E4B"/>
    <w:rsid w:val="008605B5"/>
    <w:rsid w:val="008610BB"/>
    <w:rsid w:val="00861464"/>
    <w:rsid w:val="00861E87"/>
    <w:rsid w:val="00861E96"/>
    <w:rsid w:val="008621BB"/>
    <w:rsid w:val="00862833"/>
    <w:rsid w:val="00862BC0"/>
    <w:rsid w:val="00862D37"/>
    <w:rsid w:val="00862EFD"/>
    <w:rsid w:val="008630DB"/>
    <w:rsid w:val="00863BBB"/>
    <w:rsid w:val="00863D73"/>
    <w:rsid w:val="00864780"/>
    <w:rsid w:val="00865395"/>
    <w:rsid w:val="008653AF"/>
    <w:rsid w:val="0086612A"/>
    <w:rsid w:val="00866D70"/>
    <w:rsid w:val="00867D65"/>
    <w:rsid w:val="00867D8E"/>
    <w:rsid w:val="008700B1"/>
    <w:rsid w:val="00870214"/>
    <w:rsid w:val="0087081A"/>
    <w:rsid w:val="00870CC4"/>
    <w:rsid w:val="00871236"/>
    <w:rsid w:val="00871336"/>
    <w:rsid w:val="00871B56"/>
    <w:rsid w:val="00871EE6"/>
    <w:rsid w:val="0087278A"/>
    <w:rsid w:val="00872C5A"/>
    <w:rsid w:val="0087311B"/>
    <w:rsid w:val="008734AC"/>
    <w:rsid w:val="008739D8"/>
    <w:rsid w:val="00873A33"/>
    <w:rsid w:val="00873EF6"/>
    <w:rsid w:val="00874074"/>
    <w:rsid w:val="008743F1"/>
    <w:rsid w:val="00874CD6"/>
    <w:rsid w:val="0087522E"/>
    <w:rsid w:val="00875742"/>
    <w:rsid w:val="008759A6"/>
    <w:rsid w:val="00876149"/>
    <w:rsid w:val="0087619A"/>
    <w:rsid w:val="008775F8"/>
    <w:rsid w:val="00877A33"/>
    <w:rsid w:val="00877A45"/>
    <w:rsid w:val="0088026F"/>
    <w:rsid w:val="008813D1"/>
    <w:rsid w:val="00882AAF"/>
    <w:rsid w:val="00882AF7"/>
    <w:rsid w:val="0088315E"/>
    <w:rsid w:val="00883944"/>
    <w:rsid w:val="00883EDB"/>
    <w:rsid w:val="00883EE7"/>
    <w:rsid w:val="00884C3C"/>
    <w:rsid w:val="0088505D"/>
    <w:rsid w:val="008856ED"/>
    <w:rsid w:val="00885CA6"/>
    <w:rsid w:val="008860CC"/>
    <w:rsid w:val="00887533"/>
    <w:rsid w:val="00887D9A"/>
    <w:rsid w:val="00887FEE"/>
    <w:rsid w:val="00890BBB"/>
    <w:rsid w:val="008912B9"/>
    <w:rsid w:val="0089165D"/>
    <w:rsid w:val="00892DCB"/>
    <w:rsid w:val="00892EF0"/>
    <w:rsid w:val="008940AA"/>
    <w:rsid w:val="00894586"/>
    <w:rsid w:val="008946DA"/>
    <w:rsid w:val="008948AC"/>
    <w:rsid w:val="00894A13"/>
    <w:rsid w:val="00895624"/>
    <w:rsid w:val="00895763"/>
    <w:rsid w:val="008959A7"/>
    <w:rsid w:val="00896913"/>
    <w:rsid w:val="00896B85"/>
    <w:rsid w:val="00897908"/>
    <w:rsid w:val="00897BA6"/>
    <w:rsid w:val="00897E33"/>
    <w:rsid w:val="00897FAF"/>
    <w:rsid w:val="008A09A4"/>
    <w:rsid w:val="008A0AD8"/>
    <w:rsid w:val="008A0D2D"/>
    <w:rsid w:val="008A1D80"/>
    <w:rsid w:val="008A24B0"/>
    <w:rsid w:val="008A29CF"/>
    <w:rsid w:val="008A30A8"/>
    <w:rsid w:val="008A3281"/>
    <w:rsid w:val="008A3313"/>
    <w:rsid w:val="008A374F"/>
    <w:rsid w:val="008A3E1F"/>
    <w:rsid w:val="008A4A81"/>
    <w:rsid w:val="008A4ACA"/>
    <w:rsid w:val="008A4CA6"/>
    <w:rsid w:val="008A5957"/>
    <w:rsid w:val="008A5A51"/>
    <w:rsid w:val="008A5BFE"/>
    <w:rsid w:val="008A6948"/>
    <w:rsid w:val="008B0802"/>
    <w:rsid w:val="008B0BCB"/>
    <w:rsid w:val="008B0C9E"/>
    <w:rsid w:val="008B0E64"/>
    <w:rsid w:val="008B14CA"/>
    <w:rsid w:val="008B4768"/>
    <w:rsid w:val="008B494E"/>
    <w:rsid w:val="008B4C46"/>
    <w:rsid w:val="008B55D2"/>
    <w:rsid w:val="008B5A82"/>
    <w:rsid w:val="008B6656"/>
    <w:rsid w:val="008B683C"/>
    <w:rsid w:val="008B69E2"/>
    <w:rsid w:val="008B6AA3"/>
    <w:rsid w:val="008B7075"/>
    <w:rsid w:val="008B796A"/>
    <w:rsid w:val="008B7D5C"/>
    <w:rsid w:val="008C00BC"/>
    <w:rsid w:val="008C04D4"/>
    <w:rsid w:val="008C0844"/>
    <w:rsid w:val="008C0EAD"/>
    <w:rsid w:val="008C2DF2"/>
    <w:rsid w:val="008C321B"/>
    <w:rsid w:val="008C3231"/>
    <w:rsid w:val="008C3598"/>
    <w:rsid w:val="008C46CC"/>
    <w:rsid w:val="008C494D"/>
    <w:rsid w:val="008C5327"/>
    <w:rsid w:val="008C5B67"/>
    <w:rsid w:val="008C615D"/>
    <w:rsid w:val="008C6324"/>
    <w:rsid w:val="008C6699"/>
    <w:rsid w:val="008C68B3"/>
    <w:rsid w:val="008C698E"/>
    <w:rsid w:val="008C6E17"/>
    <w:rsid w:val="008C7EAF"/>
    <w:rsid w:val="008D02AF"/>
    <w:rsid w:val="008D06C6"/>
    <w:rsid w:val="008D118B"/>
    <w:rsid w:val="008D1254"/>
    <w:rsid w:val="008D12D6"/>
    <w:rsid w:val="008D1351"/>
    <w:rsid w:val="008D1662"/>
    <w:rsid w:val="008D2415"/>
    <w:rsid w:val="008D2673"/>
    <w:rsid w:val="008D2FE8"/>
    <w:rsid w:val="008D38BB"/>
    <w:rsid w:val="008D3BB2"/>
    <w:rsid w:val="008D3E52"/>
    <w:rsid w:val="008D4465"/>
    <w:rsid w:val="008D472D"/>
    <w:rsid w:val="008D4CBA"/>
    <w:rsid w:val="008D4D12"/>
    <w:rsid w:val="008D4F89"/>
    <w:rsid w:val="008D5499"/>
    <w:rsid w:val="008D59FB"/>
    <w:rsid w:val="008D5A73"/>
    <w:rsid w:val="008D5C28"/>
    <w:rsid w:val="008D61B2"/>
    <w:rsid w:val="008D6230"/>
    <w:rsid w:val="008D6EC8"/>
    <w:rsid w:val="008D7413"/>
    <w:rsid w:val="008D7AD4"/>
    <w:rsid w:val="008D7D80"/>
    <w:rsid w:val="008E01D5"/>
    <w:rsid w:val="008E22EF"/>
    <w:rsid w:val="008E2869"/>
    <w:rsid w:val="008E2E12"/>
    <w:rsid w:val="008E3757"/>
    <w:rsid w:val="008E3B7F"/>
    <w:rsid w:val="008E409F"/>
    <w:rsid w:val="008E43DA"/>
    <w:rsid w:val="008E44E7"/>
    <w:rsid w:val="008E4F5A"/>
    <w:rsid w:val="008E55BD"/>
    <w:rsid w:val="008E6250"/>
    <w:rsid w:val="008E626B"/>
    <w:rsid w:val="008E63C2"/>
    <w:rsid w:val="008E6F25"/>
    <w:rsid w:val="008E767A"/>
    <w:rsid w:val="008F0036"/>
    <w:rsid w:val="008F0512"/>
    <w:rsid w:val="008F1311"/>
    <w:rsid w:val="008F1590"/>
    <w:rsid w:val="008F1B53"/>
    <w:rsid w:val="008F2E40"/>
    <w:rsid w:val="008F3510"/>
    <w:rsid w:val="008F36E6"/>
    <w:rsid w:val="008F3DA3"/>
    <w:rsid w:val="008F3EB3"/>
    <w:rsid w:val="008F43D6"/>
    <w:rsid w:val="008F4437"/>
    <w:rsid w:val="008F4730"/>
    <w:rsid w:val="008F4E3A"/>
    <w:rsid w:val="008F50D7"/>
    <w:rsid w:val="008F5E24"/>
    <w:rsid w:val="008F642C"/>
    <w:rsid w:val="008F6BB2"/>
    <w:rsid w:val="008F7219"/>
    <w:rsid w:val="00900637"/>
    <w:rsid w:val="009008C8"/>
    <w:rsid w:val="009014E0"/>
    <w:rsid w:val="009019D2"/>
    <w:rsid w:val="00902395"/>
    <w:rsid w:val="0090329B"/>
    <w:rsid w:val="009039E1"/>
    <w:rsid w:val="00904026"/>
    <w:rsid w:val="00904746"/>
    <w:rsid w:val="0090492B"/>
    <w:rsid w:val="00904ABE"/>
    <w:rsid w:val="00904F0E"/>
    <w:rsid w:val="00905066"/>
    <w:rsid w:val="0090531A"/>
    <w:rsid w:val="0090629A"/>
    <w:rsid w:val="0090779D"/>
    <w:rsid w:val="009079D8"/>
    <w:rsid w:val="00907EB3"/>
    <w:rsid w:val="00910292"/>
    <w:rsid w:val="00910825"/>
    <w:rsid w:val="0091084B"/>
    <w:rsid w:val="009109BD"/>
    <w:rsid w:val="0091130C"/>
    <w:rsid w:val="0091140F"/>
    <w:rsid w:val="00911917"/>
    <w:rsid w:val="0091285C"/>
    <w:rsid w:val="00912869"/>
    <w:rsid w:val="00912893"/>
    <w:rsid w:val="00912928"/>
    <w:rsid w:val="009144C8"/>
    <w:rsid w:val="009149FE"/>
    <w:rsid w:val="00916EA8"/>
    <w:rsid w:val="009172C2"/>
    <w:rsid w:val="00917673"/>
    <w:rsid w:val="0091796C"/>
    <w:rsid w:val="00920249"/>
    <w:rsid w:val="00920515"/>
    <w:rsid w:val="009205A5"/>
    <w:rsid w:val="009206A9"/>
    <w:rsid w:val="009207AF"/>
    <w:rsid w:val="00920827"/>
    <w:rsid w:val="00920923"/>
    <w:rsid w:val="009213B5"/>
    <w:rsid w:val="00921FC6"/>
    <w:rsid w:val="00922149"/>
    <w:rsid w:val="0092254B"/>
    <w:rsid w:val="00922650"/>
    <w:rsid w:val="009226CB"/>
    <w:rsid w:val="0092296D"/>
    <w:rsid w:val="009230C0"/>
    <w:rsid w:val="0092381F"/>
    <w:rsid w:val="009238F5"/>
    <w:rsid w:val="00923F37"/>
    <w:rsid w:val="0092423F"/>
    <w:rsid w:val="00924B86"/>
    <w:rsid w:val="00925051"/>
    <w:rsid w:val="00925288"/>
    <w:rsid w:val="0092567A"/>
    <w:rsid w:val="009258C6"/>
    <w:rsid w:val="0092632B"/>
    <w:rsid w:val="00926A71"/>
    <w:rsid w:val="00926BFC"/>
    <w:rsid w:val="00926CA3"/>
    <w:rsid w:val="00926EBA"/>
    <w:rsid w:val="00927694"/>
    <w:rsid w:val="00927F77"/>
    <w:rsid w:val="00930458"/>
    <w:rsid w:val="00931355"/>
    <w:rsid w:val="0093157B"/>
    <w:rsid w:val="009318ED"/>
    <w:rsid w:val="00931972"/>
    <w:rsid w:val="00931991"/>
    <w:rsid w:val="00932567"/>
    <w:rsid w:val="00932642"/>
    <w:rsid w:val="009327F1"/>
    <w:rsid w:val="009328EA"/>
    <w:rsid w:val="00932AAB"/>
    <w:rsid w:val="00932CA1"/>
    <w:rsid w:val="00932F48"/>
    <w:rsid w:val="00933196"/>
    <w:rsid w:val="009336C9"/>
    <w:rsid w:val="00933717"/>
    <w:rsid w:val="00933901"/>
    <w:rsid w:val="0093478A"/>
    <w:rsid w:val="00934790"/>
    <w:rsid w:val="00934AF3"/>
    <w:rsid w:val="00934B5B"/>
    <w:rsid w:val="00934E9D"/>
    <w:rsid w:val="0093536B"/>
    <w:rsid w:val="009357A0"/>
    <w:rsid w:val="00935B74"/>
    <w:rsid w:val="00935D50"/>
    <w:rsid w:val="0093600D"/>
    <w:rsid w:val="00936925"/>
    <w:rsid w:val="009372EF"/>
    <w:rsid w:val="0093738D"/>
    <w:rsid w:val="0093744F"/>
    <w:rsid w:val="00937738"/>
    <w:rsid w:val="00937944"/>
    <w:rsid w:val="00937996"/>
    <w:rsid w:val="00937BC1"/>
    <w:rsid w:val="00940560"/>
    <w:rsid w:val="00940620"/>
    <w:rsid w:val="009407E4"/>
    <w:rsid w:val="00940ADF"/>
    <w:rsid w:val="0094119B"/>
    <w:rsid w:val="00941FB7"/>
    <w:rsid w:val="00942EB9"/>
    <w:rsid w:val="00944A8C"/>
    <w:rsid w:val="00944BA9"/>
    <w:rsid w:val="00944D33"/>
    <w:rsid w:val="0094548F"/>
    <w:rsid w:val="009456B0"/>
    <w:rsid w:val="0094594D"/>
    <w:rsid w:val="009459AF"/>
    <w:rsid w:val="00946D05"/>
    <w:rsid w:val="00947022"/>
    <w:rsid w:val="00950239"/>
    <w:rsid w:val="00950801"/>
    <w:rsid w:val="009511BD"/>
    <w:rsid w:val="0095162F"/>
    <w:rsid w:val="00955317"/>
    <w:rsid w:val="00955AEE"/>
    <w:rsid w:val="00955BC5"/>
    <w:rsid w:val="0095630D"/>
    <w:rsid w:val="0095674F"/>
    <w:rsid w:val="00956D80"/>
    <w:rsid w:val="00957004"/>
    <w:rsid w:val="009577F9"/>
    <w:rsid w:val="0095797C"/>
    <w:rsid w:val="009579E1"/>
    <w:rsid w:val="00957B60"/>
    <w:rsid w:val="00957D63"/>
    <w:rsid w:val="00960084"/>
    <w:rsid w:val="009603BA"/>
    <w:rsid w:val="00960C09"/>
    <w:rsid w:val="009622B3"/>
    <w:rsid w:val="00962C7A"/>
    <w:rsid w:val="009630C3"/>
    <w:rsid w:val="0096476B"/>
    <w:rsid w:val="00964A10"/>
    <w:rsid w:val="00965224"/>
    <w:rsid w:val="00966292"/>
    <w:rsid w:val="009666D6"/>
    <w:rsid w:val="009667EE"/>
    <w:rsid w:val="00966CBA"/>
    <w:rsid w:val="009674A1"/>
    <w:rsid w:val="0097077B"/>
    <w:rsid w:val="009707CB"/>
    <w:rsid w:val="00970B20"/>
    <w:rsid w:val="00970C4E"/>
    <w:rsid w:val="009710E0"/>
    <w:rsid w:val="00971B85"/>
    <w:rsid w:val="0097208E"/>
    <w:rsid w:val="00972657"/>
    <w:rsid w:val="00972D06"/>
    <w:rsid w:val="00973528"/>
    <w:rsid w:val="00974098"/>
    <w:rsid w:val="0097436A"/>
    <w:rsid w:val="009744CC"/>
    <w:rsid w:val="00974D89"/>
    <w:rsid w:val="00975227"/>
    <w:rsid w:val="009759B6"/>
    <w:rsid w:val="00975E16"/>
    <w:rsid w:val="00976695"/>
    <w:rsid w:val="00976AA7"/>
    <w:rsid w:val="00976FB5"/>
    <w:rsid w:val="00977995"/>
    <w:rsid w:val="00977EDE"/>
    <w:rsid w:val="00980604"/>
    <w:rsid w:val="009808C2"/>
    <w:rsid w:val="00980A3C"/>
    <w:rsid w:val="00981063"/>
    <w:rsid w:val="009813C9"/>
    <w:rsid w:val="00981771"/>
    <w:rsid w:val="009825AD"/>
    <w:rsid w:val="00982773"/>
    <w:rsid w:val="00983452"/>
    <w:rsid w:val="0098357E"/>
    <w:rsid w:val="009836DE"/>
    <w:rsid w:val="009839ED"/>
    <w:rsid w:val="00983BC9"/>
    <w:rsid w:val="00984057"/>
    <w:rsid w:val="009843AF"/>
    <w:rsid w:val="00984778"/>
    <w:rsid w:val="00985542"/>
    <w:rsid w:val="0098584C"/>
    <w:rsid w:val="009858BB"/>
    <w:rsid w:val="009867E8"/>
    <w:rsid w:val="00986893"/>
    <w:rsid w:val="00986BDA"/>
    <w:rsid w:val="00987761"/>
    <w:rsid w:val="009878A8"/>
    <w:rsid w:val="00987A8C"/>
    <w:rsid w:val="0099118F"/>
    <w:rsid w:val="009916B3"/>
    <w:rsid w:val="00992244"/>
    <w:rsid w:val="00993369"/>
    <w:rsid w:val="009935A5"/>
    <w:rsid w:val="00993652"/>
    <w:rsid w:val="009937C8"/>
    <w:rsid w:val="00993F31"/>
    <w:rsid w:val="00994DE9"/>
    <w:rsid w:val="0099533A"/>
    <w:rsid w:val="009958A2"/>
    <w:rsid w:val="00995D48"/>
    <w:rsid w:val="009962AA"/>
    <w:rsid w:val="009969EC"/>
    <w:rsid w:val="00996DAE"/>
    <w:rsid w:val="00997312"/>
    <w:rsid w:val="0099752A"/>
    <w:rsid w:val="00997590"/>
    <w:rsid w:val="0099798C"/>
    <w:rsid w:val="00997DFD"/>
    <w:rsid w:val="009A0445"/>
    <w:rsid w:val="009A0980"/>
    <w:rsid w:val="009A0B93"/>
    <w:rsid w:val="009A0FC5"/>
    <w:rsid w:val="009A2698"/>
    <w:rsid w:val="009A2B35"/>
    <w:rsid w:val="009A2C88"/>
    <w:rsid w:val="009A2DFB"/>
    <w:rsid w:val="009A391C"/>
    <w:rsid w:val="009A3E02"/>
    <w:rsid w:val="009A4145"/>
    <w:rsid w:val="009A473A"/>
    <w:rsid w:val="009A4BF4"/>
    <w:rsid w:val="009A6175"/>
    <w:rsid w:val="009A6765"/>
    <w:rsid w:val="009A73CF"/>
    <w:rsid w:val="009A76C9"/>
    <w:rsid w:val="009B0667"/>
    <w:rsid w:val="009B0CAF"/>
    <w:rsid w:val="009B12A2"/>
    <w:rsid w:val="009B1547"/>
    <w:rsid w:val="009B166D"/>
    <w:rsid w:val="009B195E"/>
    <w:rsid w:val="009B1AF3"/>
    <w:rsid w:val="009B2550"/>
    <w:rsid w:val="009B29A5"/>
    <w:rsid w:val="009B2C16"/>
    <w:rsid w:val="009B2D3E"/>
    <w:rsid w:val="009B307D"/>
    <w:rsid w:val="009B3193"/>
    <w:rsid w:val="009B3C7E"/>
    <w:rsid w:val="009B447F"/>
    <w:rsid w:val="009B48A6"/>
    <w:rsid w:val="009B56BB"/>
    <w:rsid w:val="009B5813"/>
    <w:rsid w:val="009B618A"/>
    <w:rsid w:val="009B67A4"/>
    <w:rsid w:val="009B67E0"/>
    <w:rsid w:val="009B7812"/>
    <w:rsid w:val="009B7A32"/>
    <w:rsid w:val="009C08DB"/>
    <w:rsid w:val="009C0C7B"/>
    <w:rsid w:val="009C1322"/>
    <w:rsid w:val="009C1810"/>
    <w:rsid w:val="009C1840"/>
    <w:rsid w:val="009C1C0F"/>
    <w:rsid w:val="009C28DA"/>
    <w:rsid w:val="009C2ABB"/>
    <w:rsid w:val="009C35FB"/>
    <w:rsid w:val="009C4B5C"/>
    <w:rsid w:val="009C4FE0"/>
    <w:rsid w:val="009C64A3"/>
    <w:rsid w:val="009C72D5"/>
    <w:rsid w:val="009C73F7"/>
    <w:rsid w:val="009C78E7"/>
    <w:rsid w:val="009C7946"/>
    <w:rsid w:val="009C7D26"/>
    <w:rsid w:val="009D106A"/>
    <w:rsid w:val="009D159A"/>
    <w:rsid w:val="009D1ADE"/>
    <w:rsid w:val="009D202E"/>
    <w:rsid w:val="009D26C1"/>
    <w:rsid w:val="009D2736"/>
    <w:rsid w:val="009D2CC0"/>
    <w:rsid w:val="009D3242"/>
    <w:rsid w:val="009D3248"/>
    <w:rsid w:val="009D337B"/>
    <w:rsid w:val="009D33F1"/>
    <w:rsid w:val="009D3765"/>
    <w:rsid w:val="009D3BCA"/>
    <w:rsid w:val="009D4224"/>
    <w:rsid w:val="009D4AC8"/>
    <w:rsid w:val="009D528A"/>
    <w:rsid w:val="009D529A"/>
    <w:rsid w:val="009D5503"/>
    <w:rsid w:val="009D5AC2"/>
    <w:rsid w:val="009D5DF8"/>
    <w:rsid w:val="009D6435"/>
    <w:rsid w:val="009D7772"/>
    <w:rsid w:val="009D7829"/>
    <w:rsid w:val="009D7A43"/>
    <w:rsid w:val="009D7CD5"/>
    <w:rsid w:val="009E02B7"/>
    <w:rsid w:val="009E08C0"/>
    <w:rsid w:val="009E0A06"/>
    <w:rsid w:val="009E0A61"/>
    <w:rsid w:val="009E124D"/>
    <w:rsid w:val="009E1802"/>
    <w:rsid w:val="009E18D1"/>
    <w:rsid w:val="009E1AC4"/>
    <w:rsid w:val="009E3010"/>
    <w:rsid w:val="009E3082"/>
    <w:rsid w:val="009E4240"/>
    <w:rsid w:val="009E4406"/>
    <w:rsid w:val="009E47CE"/>
    <w:rsid w:val="009E492A"/>
    <w:rsid w:val="009E4D78"/>
    <w:rsid w:val="009E5230"/>
    <w:rsid w:val="009E62B5"/>
    <w:rsid w:val="009E6403"/>
    <w:rsid w:val="009E6DE8"/>
    <w:rsid w:val="009F01C5"/>
    <w:rsid w:val="009F07C7"/>
    <w:rsid w:val="009F126C"/>
    <w:rsid w:val="009F2139"/>
    <w:rsid w:val="009F21C7"/>
    <w:rsid w:val="009F2888"/>
    <w:rsid w:val="009F2A55"/>
    <w:rsid w:val="009F2F3E"/>
    <w:rsid w:val="009F39EF"/>
    <w:rsid w:val="009F3F9A"/>
    <w:rsid w:val="009F42F1"/>
    <w:rsid w:val="009F4A31"/>
    <w:rsid w:val="009F55BF"/>
    <w:rsid w:val="009F6F3E"/>
    <w:rsid w:val="009F7065"/>
    <w:rsid w:val="009F7521"/>
    <w:rsid w:val="009F78F7"/>
    <w:rsid w:val="00A0089F"/>
    <w:rsid w:val="00A0219B"/>
    <w:rsid w:val="00A02818"/>
    <w:rsid w:val="00A02E22"/>
    <w:rsid w:val="00A02F21"/>
    <w:rsid w:val="00A03537"/>
    <w:rsid w:val="00A03639"/>
    <w:rsid w:val="00A03A07"/>
    <w:rsid w:val="00A03A30"/>
    <w:rsid w:val="00A03D2B"/>
    <w:rsid w:val="00A05AB8"/>
    <w:rsid w:val="00A061C4"/>
    <w:rsid w:val="00A065F7"/>
    <w:rsid w:val="00A069EB"/>
    <w:rsid w:val="00A0702D"/>
    <w:rsid w:val="00A1046F"/>
    <w:rsid w:val="00A107B1"/>
    <w:rsid w:val="00A117A9"/>
    <w:rsid w:val="00A11AAC"/>
    <w:rsid w:val="00A12CD5"/>
    <w:rsid w:val="00A12D8C"/>
    <w:rsid w:val="00A12EFA"/>
    <w:rsid w:val="00A13413"/>
    <w:rsid w:val="00A13570"/>
    <w:rsid w:val="00A13787"/>
    <w:rsid w:val="00A13E81"/>
    <w:rsid w:val="00A14374"/>
    <w:rsid w:val="00A14951"/>
    <w:rsid w:val="00A150AE"/>
    <w:rsid w:val="00A151D6"/>
    <w:rsid w:val="00A163C0"/>
    <w:rsid w:val="00A16D71"/>
    <w:rsid w:val="00A16E84"/>
    <w:rsid w:val="00A17D69"/>
    <w:rsid w:val="00A17DAA"/>
    <w:rsid w:val="00A17FC5"/>
    <w:rsid w:val="00A20F25"/>
    <w:rsid w:val="00A214F2"/>
    <w:rsid w:val="00A21B1C"/>
    <w:rsid w:val="00A220C1"/>
    <w:rsid w:val="00A22617"/>
    <w:rsid w:val="00A22B51"/>
    <w:rsid w:val="00A22BE8"/>
    <w:rsid w:val="00A248D1"/>
    <w:rsid w:val="00A2603B"/>
    <w:rsid w:val="00A26139"/>
    <w:rsid w:val="00A26194"/>
    <w:rsid w:val="00A263C0"/>
    <w:rsid w:val="00A2682B"/>
    <w:rsid w:val="00A26F9A"/>
    <w:rsid w:val="00A2706C"/>
    <w:rsid w:val="00A271C8"/>
    <w:rsid w:val="00A273C7"/>
    <w:rsid w:val="00A27DDA"/>
    <w:rsid w:val="00A30762"/>
    <w:rsid w:val="00A3087C"/>
    <w:rsid w:val="00A31335"/>
    <w:rsid w:val="00A317AA"/>
    <w:rsid w:val="00A31F50"/>
    <w:rsid w:val="00A3321C"/>
    <w:rsid w:val="00A334CF"/>
    <w:rsid w:val="00A337DD"/>
    <w:rsid w:val="00A33FA7"/>
    <w:rsid w:val="00A3412C"/>
    <w:rsid w:val="00A354CA"/>
    <w:rsid w:val="00A354FE"/>
    <w:rsid w:val="00A357C7"/>
    <w:rsid w:val="00A358EE"/>
    <w:rsid w:val="00A35E96"/>
    <w:rsid w:val="00A35FEF"/>
    <w:rsid w:val="00A37409"/>
    <w:rsid w:val="00A37A29"/>
    <w:rsid w:val="00A40F2B"/>
    <w:rsid w:val="00A41874"/>
    <w:rsid w:val="00A41EEF"/>
    <w:rsid w:val="00A420E1"/>
    <w:rsid w:val="00A42275"/>
    <w:rsid w:val="00A427B4"/>
    <w:rsid w:val="00A42BAF"/>
    <w:rsid w:val="00A42CE6"/>
    <w:rsid w:val="00A42DC6"/>
    <w:rsid w:val="00A43C55"/>
    <w:rsid w:val="00A44185"/>
    <w:rsid w:val="00A4427B"/>
    <w:rsid w:val="00A44AB2"/>
    <w:rsid w:val="00A44B86"/>
    <w:rsid w:val="00A44BE5"/>
    <w:rsid w:val="00A457C4"/>
    <w:rsid w:val="00A45CBA"/>
    <w:rsid w:val="00A466CC"/>
    <w:rsid w:val="00A466FF"/>
    <w:rsid w:val="00A4692F"/>
    <w:rsid w:val="00A47522"/>
    <w:rsid w:val="00A477D7"/>
    <w:rsid w:val="00A5033A"/>
    <w:rsid w:val="00A50426"/>
    <w:rsid w:val="00A50698"/>
    <w:rsid w:val="00A507DA"/>
    <w:rsid w:val="00A50BFE"/>
    <w:rsid w:val="00A50EBC"/>
    <w:rsid w:val="00A51347"/>
    <w:rsid w:val="00A51A90"/>
    <w:rsid w:val="00A53D8F"/>
    <w:rsid w:val="00A53F1E"/>
    <w:rsid w:val="00A53F4C"/>
    <w:rsid w:val="00A53FA6"/>
    <w:rsid w:val="00A550E3"/>
    <w:rsid w:val="00A559CD"/>
    <w:rsid w:val="00A55A9D"/>
    <w:rsid w:val="00A55C27"/>
    <w:rsid w:val="00A56DC7"/>
    <w:rsid w:val="00A57268"/>
    <w:rsid w:val="00A575D4"/>
    <w:rsid w:val="00A57D7E"/>
    <w:rsid w:val="00A602D6"/>
    <w:rsid w:val="00A60681"/>
    <w:rsid w:val="00A6068B"/>
    <w:rsid w:val="00A60925"/>
    <w:rsid w:val="00A609FE"/>
    <w:rsid w:val="00A60B10"/>
    <w:rsid w:val="00A60B82"/>
    <w:rsid w:val="00A61556"/>
    <w:rsid w:val="00A61DC7"/>
    <w:rsid w:val="00A62660"/>
    <w:rsid w:val="00A63B7E"/>
    <w:rsid w:val="00A63DFE"/>
    <w:rsid w:val="00A640DC"/>
    <w:rsid w:val="00A66445"/>
    <w:rsid w:val="00A66B67"/>
    <w:rsid w:val="00A67272"/>
    <w:rsid w:val="00A673E1"/>
    <w:rsid w:val="00A679CE"/>
    <w:rsid w:val="00A70A0F"/>
    <w:rsid w:val="00A71A5C"/>
    <w:rsid w:val="00A72987"/>
    <w:rsid w:val="00A72E4C"/>
    <w:rsid w:val="00A7305D"/>
    <w:rsid w:val="00A73749"/>
    <w:rsid w:val="00A747A9"/>
    <w:rsid w:val="00A74B2C"/>
    <w:rsid w:val="00A74FD1"/>
    <w:rsid w:val="00A7519B"/>
    <w:rsid w:val="00A7572A"/>
    <w:rsid w:val="00A75D07"/>
    <w:rsid w:val="00A768D1"/>
    <w:rsid w:val="00A76C80"/>
    <w:rsid w:val="00A77173"/>
    <w:rsid w:val="00A77744"/>
    <w:rsid w:val="00A77C10"/>
    <w:rsid w:val="00A80861"/>
    <w:rsid w:val="00A81EC5"/>
    <w:rsid w:val="00A8280D"/>
    <w:rsid w:val="00A834CB"/>
    <w:rsid w:val="00A846A8"/>
    <w:rsid w:val="00A848BE"/>
    <w:rsid w:val="00A84A58"/>
    <w:rsid w:val="00A85216"/>
    <w:rsid w:val="00A853CE"/>
    <w:rsid w:val="00A85843"/>
    <w:rsid w:val="00A85BB1"/>
    <w:rsid w:val="00A85EEE"/>
    <w:rsid w:val="00A861E8"/>
    <w:rsid w:val="00A867DA"/>
    <w:rsid w:val="00A86FF2"/>
    <w:rsid w:val="00A9000A"/>
    <w:rsid w:val="00A90849"/>
    <w:rsid w:val="00A90C00"/>
    <w:rsid w:val="00A90F27"/>
    <w:rsid w:val="00A91666"/>
    <w:rsid w:val="00A9177C"/>
    <w:rsid w:val="00A919AB"/>
    <w:rsid w:val="00A9205E"/>
    <w:rsid w:val="00A921CB"/>
    <w:rsid w:val="00A926CE"/>
    <w:rsid w:val="00A92802"/>
    <w:rsid w:val="00A94854"/>
    <w:rsid w:val="00A94A88"/>
    <w:rsid w:val="00A94F81"/>
    <w:rsid w:val="00A95CF5"/>
    <w:rsid w:val="00A961BE"/>
    <w:rsid w:val="00A967B8"/>
    <w:rsid w:val="00A97289"/>
    <w:rsid w:val="00A977BC"/>
    <w:rsid w:val="00A977C4"/>
    <w:rsid w:val="00A97B58"/>
    <w:rsid w:val="00AA044B"/>
    <w:rsid w:val="00AA07B8"/>
    <w:rsid w:val="00AA0A3F"/>
    <w:rsid w:val="00AA0C3C"/>
    <w:rsid w:val="00AA110D"/>
    <w:rsid w:val="00AA13F2"/>
    <w:rsid w:val="00AA19F8"/>
    <w:rsid w:val="00AA3657"/>
    <w:rsid w:val="00AA414C"/>
    <w:rsid w:val="00AA43B9"/>
    <w:rsid w:val="00AA5B8A"/>
    <w:rsid w:val="00AA5D6B"/>
    <w:rsid w:val="00AA6C68"/>
    <w:rsid w:val="00AA6DE5"/>
    <w:rsid w:val="00AA704C"/>
    <w:rsid w:val="00AA7638"/>
    <w:rsid w:val="00AA7673"/>
    <w:rsid w:val="00AA7B2E"/>
    <w:rsid w:val="00AA7B60"/>
    <w:rsid w:val="00AA7C5B"/>
    <w:rsid w:val="00AB037E"/>
    <w:rsid w:val="00AB07E9"/>
    <w:rsid w:val="00AB09E4"/>
    <w:rsid w:val="00AB1195"/>
    <w:rsid w:val="00AB127C"/>
    <w:rsid w:val="00AB1919"/>
    <w:rsid w:val="00AB1BE2"/>
    <w:rsid w:val="00AB267D"/>
    <w:rsid w:val="00AB31ED"/>
    <w:rsid w:val="00AB3585"/>
    <w:rsid w:val="00AB3E2D"/>
    <w:rsid w:val="00AB402E"/>
    <w:rsid w:val="00AB418F"/>
    <w:rsid w:val="00AB4CE1"/>
    <w:rsid w:val="00AB5006"/>
    <w:rsid w:val="00AB565F"/>
    <w:rsid w:val="00AB6436"/>
    <w:rsid w:val="00AB6B27"/>
    <w:rsid w:val="00AB6C7D"/>
    <w:rsid w:val="00AB7470"/>
    <w:rsid w:val="00AB7548"/>
    <w:rsid w:val="00AB7625"/>
    <w:rsid w:val="00AC055A"/>
    <w:rsid w:val="00AC20A3"/>
    <w:rsid w:val="00AC23CB"/>
    <w:rsid w:val="00AC29B4"/>
    <w:rsid w:val="00AC490A"/>
    <w:rsid w:val="00AC50B4"/>
    <w:rsid w:val="00AC58CB"/>
    <w:rsid w:val="00AC6003"/>
    <w:rsid w:val="00AC7049"/>
    <w:rsid w:val="00AD037B"/>
    <w:rsid w:val="00AD09B3"/>
    <w:rsid w:val="00AD0BFF"/>
    <w:rsid w:val="00AD111E"/>
    <w:rsid w:val="00AD19E5"/>
    <w:rsid w:val="00AD1B46"/>
    <w:rsid w:val="00AD2495"/>
    <w:rsid w:val="00AD2594"/>
    <w:rsid w:val="00AD2D99"/>
    <w:rsid w:val="00AD49EB"/>
    <w:rsid w:val="00AD4A9B"/>
    <w:rsid w:val="00AD4AF2"/>
    <w:rsid w:val="00AD4FC5"/>
    <w:rsid w:val="00AD5183"/>
    <w:rsid w:val="00AD63A1"/>
    <w:rsid w:val="00AD653D"/>
    <w:rsid w:val="00AD6B5E"/>
    <w:rsid w:val="00AD6DDB"/>
    <w:rsid w:val="00AD72B1"/>
    <w:rsid w:val="00AD77C6"/>
    <w:rsid w:val="00AD7A28"/>
    <w:rsid w:val="00AD7FF9"/>
    <w:rsid w:val="00AE1279"/>
    <w:rsid w:val="00AE13C0"/>
    <w:rsid w:val="00AE18B0"/>
    <w:rsid w:val="00AE1BFD"/>
    <w:rsid w:val="00AE26DD"/>
    <w:rsid w:val="00AE29FD"/>
    <w:rsid w:val="00AE2DF2"/>
    <w:rsid w:val="00AE3050"/>
    <w:rsid w:val="00AE32FB"/>
    <w:rsid w:val="00AE3794"/>
    <w:rsid w:val="00AE3A09"/>
    <w:rsid w:val="00AE40B4"/>
    <w:rsid w:val="00AE4E1D"/>
    <w:rsid w:val="00AE54C0"/>
    <w:rsid w:val="00AE5C78"/>
    <w:rsid w:val="00AE5DB1"/>
    <w:rsid w:val="00AE613D"/>
    <w:rsid w:val="00AE61C0"/>
    <w:rsid w:val="00AE68AF"/>
    <w:rsid w:val="00AE72E9"/>
    <w:rsid w:val="00AE7425"/>
    <w:rsid w:val="00AF1449"/>
    <w:rsid w:val="00AF18AD"/>
    <w:rsid w:val="00AF254D"/>
    <w:rsid w:val="00AF2C25"/>
    <w:rsid w:val="00AF3FE3"/>
    <w:rsid w:val="00AF543E"/>
    <w:rsid w:val="00AF54B0"/>
    <w:rsid w:val="00AF558E"/>
    <w:rsid w:val="00AF5733"/>
    <w:rsid w:val="00AF5AB7"/>
    <w:rsid w:val="00AF5D2B"/>
    <w:rsid w:val="00AF6FBA"/>
    <w:rsid w:val="00AF79B0"/>
    <w:rsid w:val="00B0057B"/>
    <w:rsid w:val="00B00DC2"/>
    <w:rsid w:val="00B00E7F"/>
    <w:rsid w:val="00B010AC"/>
    <w:rsid w:val="00B0129D"/>
    <w:rsid w:val="00B01345"/>
    <w:rsid w:val="00B01A03"/>
    <w:rsid w:val="00B01CBD"/>
    <w:rsid w:val="00B01E8B"/>
    <w:rsid w:val="00B02847"/>
    <w:rsid w:val="00B02CC6"/>
    <w:rsid w:val="00B03C87"/>
    <w:rsid w:val="00B03CFE"/>
    <w:rsid w:val="00B04031"/>
    <w:rsid w:val="00B041FA"/>
    <w:rsid w:val="00B045E0"/>
    <w:rsid w:val="00B046AC"/>
    <w:rsid w:val="00B04746"/>
    <w:rsid w:val="00B0490C"/>
    <w:rsid w:val="00B05290"/>
    <w:rsid w:val="00B05626"/>
    <w:rsid w:val="00B0577D"/>
    <w:rsid w:val="00B05C12"/>
    <w:rsid w:val="00B05CD3"/>
    <w:rsid w:val="00B06040"/>
    <w:rsid w:val="00B06141"/>
    <w:rsid w:val="00B063CB"/>
    <w:rsid w:val="00B065CC"/>
    <w:rsid w:val="00B0666D"/>
    <w:rsid w:val="00B105A8"/>
    <w:rsid w:val="00B10F07"/>
    <w:rsid w:val="00B10F48"/>
    <w:rsid w:val="00B1149A"/>
    <w:rsid w:val="00B116FE"/>
    <w:rsid w:val="00B11ABA"/>
    <w:rsid w:val="00B11BF2"/>
    <w:rsid w:val="00B11EE6"/>
    <w:rsid w:val="00B121ED"/>
    <w:rsid w:val="00B12882"/>
    <w:rsid w:val="00B13287"/>
    <w:rsid w:val="00B134D9"/>
    <w:rsid w:val="00B13F64"/>
    <w:rsid w:val="00B14BFC"/>
    <w:rsid w:val="00B15073"/>
    <w:rsid w:val="00B15914"/>
    <w:rsid w:val="00B163E7"/>
    <w:rsid w:val="00B167EC"/>
    <w:rsid w:val="00B17BB3"/>
    <w:rsid w:val="00B21367"/>
    <w:rsid w:val="00B2153C"/>
    <w:rsid w:val="00B21883"/>
    <w:rsid w:val="00B21DCC"/>
    <w:rsid w:val="00B21F8B"/>
    <w:rsid w:val="00B22122"/>
    <w:rsid w:val="00B22260"/>
    <w:rsid w:val="00B22319"/>
    <w:rsid w:val="00B23E59"/>
    <w:rsid w:val="00B23F16"/>
    <w:rsid w:val="00B24664"/>
    <w:rsid w:val="00B24734"/>
    <w:rsid w:val="00B24B74"/>
    <w:rsid w:val="00B2508C"/>
    <w:rsid w:val="00B252C6"/>
    <w:rsid w:val="00B25F23"/>
    <w:rsid w:val="00B261E0"/>
    <w:rsid w:val="00B264E4"/>
    <w:rsid w:val="00B268BE"/>
    <w:rsid w:val="00B271DF"/>
    <w:rsid w:val="00B27A76"/>
    <w:rsid w:val="00B312DD"/>
    <w:rsid w:val="00B32D58"/>
    <w:rsid w:val="00B338BF"/>
    <w:rsid w:val="00B33F29"/>
    <w:rsid w:val="00B35327"/>
    <w:rsid w:val="00B35EF1"/>
    <w:rsid w:val="00B35FE1"/>
    <w:rsid w:val="00B365FE"/>
    <w:rsid w:val="00B369A8"/>
    <w:rsid w:val="00B369B8"/>
    <w:rsid w:val="00B3706D"/>
    <w:rsid w:val="00B37182"/>
    <w:rsid w:val="00B3772C"/>
    <w:rsid w:val="00B37C4D"/>
    <w:rsid w:val="00B37FAB"/>
    <w:rsid w:val="00B42040"/>
    <w:rsid w:val="00B4253D"/>
    <w:rsid w:val="00B42C14"/>
    <w:rsid w:val="00B434C2"/>
    <w:rsid w:val="00B43A4C"/>
    <w:rsid w:val="00B43EB9"/>
    <w:rsid w:val="00B44080"/>
    <w:rsid w:val="00B4615B"/>
    <w:rsid w:val="00B47CB5"/>
    <w:rsid w:val="00B50896"/>
    <w:rsid w:val="00B50BD7"/>
    <w:rsid w:val="00B50E5B"/>
    <w:rsid w:val="00B518FD"/>
    <w:rsid w:val="00B51BBF"/>
    <w:rsid w:val="00B521B0"/>
    <w:rsid w:val="00B52E0D"/>
    <w:rsid w:val="00B5372C"/>
    <w:rsid w:val="00B53A3C"/>
    <w:rsid w:val="00B54007"/>
    <w:rsid w:val="00B54098"/>
    <w:rsid w:val="00B551C9"/>
    <w:rsid w:val="00B55718"/>
    <w:rsid w:val="00B55FA1"/>
    <w:rsid w:val="00B564B2"/>
    <w:rsid w:val="00B57BF7"/>
    <w:rsid w:val="00B6030F"/>
    <w:rsid w:val="00B60995"/>
    <w:rsid w:val="00B60BB0"/>
    <w:rsid w:val="00B61504"/>
    <w:rsid w:val="00B62A75"/>
    <w:rsid w:val="00B62BF2"/>
    <w:rsid w:val="00B631B5"/>
    <w:rsid w:val="00B63673"/>
    <w:rsid w:val="00B64B14"/>
    <w:rsid w:val="00B659BD"/>
    <w:rsid w:val="00B661EA"/>
    <w:rsid w:val="00B66263"/>
    <w:rsid w:val="00B67A20"/>
    <w:rsid w:val="00B7000D"/>
    <w:rsid w:val="00B70026"/>
    <w:rsid w:val="00B705F4"/>
    <w:rsid w:val="00B70616"/>
    <w:rsid w:val="00B707A8"/>
    <w:rsid w:val="00B70808"/>
    <w:rsid w:val="00B71D47"/>
    <w:rsid w:val="00B724FC"/>
    <w:rsid w:val="00B7269C"/>
    <w:rsid w:val="00B72AD7"/>
    <w:rsid w:val="00B72D67"/>
    <w:rsid w:val="00B72E80"/>
    <w:rsid w:val="00B731D3"/>
    <w:rsid w:val="00B7342A"/>
    <w:rsid w:val="00B73471"/>
    <w:rsid w:val="00B73518"/>
    <w:rsid w:val="00B7361E"/>
    <w:rsid w:val="00B73DE1"/>
    <w:rsid w:val="00B740BC"/>
    <w:rsid w:val="00B74D44"/>
    <w:rsid w:val="00B74F1C"/>
    <w:rsid w:val="00B75658"/>
    <w:rsid w:val="00B75B09"/>
    <w:rsid w:val="00B762D5"/>
    <w:rsid w:val="00B76559"/>
    <w:rsid w:val="00B76DFF"/>
    <w:rsid w:val="00B77437"/>
    <w:rsid w:val="00B77648"/>
    <w:rsid w:val="00B77A1D"/>
    <w:rsid w:val="00B77A92"/>
    <w:rsid w:val="00B77E06"/>
    <w:rsid w:val="00B80777"/>
    <w:rsid w:val="00B81213"/>
    <w:rsid w:val="00B81628"/>
    <w:rsid w:val="00B817AB"/>
    <w:rsid w:val="00B827F2"/>
    <w:rsid w:val="00B835B6"/>
    <w:rsid w:val="00B83903"/>
    <w:rsid w:val="00B839A3"/>
    <w:rsid w:val="00B83DC6"/>
    <w:rsid w:val="00B83E3E"/>
    <w:rsid w:val="00B84400"/>
    <w:rsid w:val="00B848A6"/>
    <w:rsid w:val="00B849DE"/>
    <w:rsid w:val="00B8505B"/>
    <w:rsid w:val="00B856F7"/>
    <w:rsid w:val="00B8595A"/>
    <w:rsid w:val="00B85B93"/>
    <w:rsid w:val="00B86DF8"/>
    <w:rsid w:val="00B879C9"/>
    <w:rsid w:val="00B902BD"/>
    <w:rsid w:val="00B903E8"/>
    <w:rsid w:val="00B904A2"/>
    <w:rsid w:val="00B9118A"/>
    <w:rsid w:val="00B9280B"/>
    <w:rsid w:val="00B9282E"/>
    <w:rsid w:val="00B92865"/>
    <w:rsid w:val="00B92BAC"/>
    <w:rsid w:val="00B92EC3"/>
    <w:rsid w:val="00B92F28"/>
    <w:rsid w:val="00B933B0"/>
    <w:rsid w:val="00B9384B"/>
    <w:rsid w:val="00B94118"/>
    <w:rsid w:val="00B942D3"/>
    <w:rsid w:val="00B94CDA"/>
    <w:rsid w:val="00B95729"/>
    <w:rsid w:val="00B96D7E"/>
    <w:rsid w:val="00B974D2"/>
    <w:rsid w:val="00B979BC"/>
    <w:rsid w:val="00B97B12"/>
    <w:rsid w:val="00BA05EF"/>
    <w:rsid w:val="00BA0FD9"/>
    <w:rsid w:val="00BA13A2"/>
    <w:rsid w:val="00BA2CAD"/>
    <w:rsid w:val="00BA374C"/>
    <w:rsid w:val="00BA4161"/>
    <w:rsid w:val="00BA45D6"/>
    <w:rsid w:val="00BA4685"/>
    <w:rsid w:val="00BA5088"/>
    <w:rsid w:val="00BA6046"/>
    <w:rsid w:val="00BA60A0"/>
    <w:rsid w:val="00BA63D1"/>
    <w:rsid w:val="00BA6765"/>
    <w:rsid w:val="00BA6D76"/>
    <w:rsid w:val="00BA7253"/>
    <w:rsid w:val="00BA7D1C"/>
    <w:rsid w:val="00BB0086"/>
    <w:rsid w:val="00BB03AF"/>
    <w:rsid w:val="00BB047E"/>
    <w:rsid w:val="00BB0BE9"/>
    <w:rsid w:val="00BB1449"/>
    <w:rsid w:val="00BB16E6"/>
    <w:rsid w:val="00BB18F8"/>
    <w:rsid w:val="00BB2BFA"/>
    <w:rsid w:val="00BB48DF"/>
    <w:rsid w:val="00BB4A1F"/>
    <w:rsid w:val="00BB53AC"/>
    <w:rsid w:val="00BB5583"/>
    <w:rsid w:val="00BB62CF"/>
    <w:rsid w:val="00BB65F9"/>
    <w:rsid w:val="00BB6D89"/>
    <w:rsid w:val="00BB7205"/>
    <w:rsid w:val="00BB72E0"/>
    <w:rsid w:val="00BB797A"/>
    <w:rsid w:val="00BC02DC"/>
    <w:rsid w:val="00BC0751"/>
    <w:rsid w:val="00BC08E9"/>
    <w:rsid w:val="00BC0B0C"/>
    <w:rsid w:val="00BC121B"/>
    <w:rsid w:val="00BC1A61"/>
    <w:rsid w:val="00BC1BB7"/>
    <w:rsid w:val="00BC1C11"/>
    <w:rsid w:val="00BC2570"/>
    <w:rsid w:val="00BC2C63"/>
    <w:rsid w:val="00BC2E01"/>
    <w:rsid w:val="00BC313C"/>
    <w:rsid w:val="00BC3ACF"/>
    <w:rsid w:val="00BC3D14"/>
    <w:rsid w:val="00BC3FE4"/>
    <w:rsid w:val="00BC5057"/>
    <w:rsid w:val="00BC50C8"/>
    <w:rsid w:val="00BC52F1"/>
    <w:rsid w:val="00BC54F8"/>
    <w:rsid w:val="00BC5DCD"/>
    <w:rsid w:val="00BC60ED"/>
    <w:rsid w:val="00BC62AC"/>
    <w:rsid w:val="00BC679A"/>
    <w:rsid w:val="00BC729F"/>
    <w:rsid w:val="00BC77D2"/>
    <w:rsid w:val="00BC79FC"/>
    <w:rsid w:val="00BC7CCB"/>
    <w:rsid w:val="00BC7E7F"/>
    <w:rsid w:val="00BD04B0"/>
    <w:rsid w:val="00BD1B7B"/>
    <w:rsid w:val="00BD1C8A"/>
    <w:rsid w:val="00BD1D1A"/>
    <w:rsid w:val="00BD248A"/>
    <w:rsid w:val="00BD2A39"/>
    <w:rsid w:val="00BD2BFC"/>
    <w:rsid w:val="00BD2C28"/>
    <w:rsid w:val="00BD2E80"/>
    <w:rsid w:val="00BD3495"/>
    <w:rsid w:val="00BD4E21"/>
    <w:rsid w:val="00BD4F7A"/>
    <w:rsid w:val="00BD6687"/>
    <w:rsid w:val="00BE0553"/>
    <w:rsid w:val="00BE0779"/>
    <w:rsid w:val="00BE0F6F"/>
    <w:rsid w:val="00BE17C6"/>
    <w:rsid w:val="00BE1A71"/>
    <w:rsid w:val="00BE1AEA"/>
    <w:rsid w:val="00BE1B28"/>
    <w:rsid w:val="00BE2D35"/>
    <w:rsid w:val="00BE32E9"/>
    <w:rsid w:val="00BE355C"/>
    <w:rsid w:val="00BE36F6"/>
    <w:rsid w:val="00BE3BB5"/>
    <w:rsid w:val="00BE3F79"/>
    <w:rsid w:val="00BE4F14"/>
    <w:rsid w:val="00BE541A"/>
    <w:rsid w:val="00BE5432"/>
    <w:rsid w:val="00BE6ACE"/>
    <w:rsid w:val="00BE7A56"/>
    <w:rsid w:val="00BF1119"/>
    <w:rsid w:val="00BF16F2"/>
    <w:rsid w:val="00BF1AA8"/>
    <w:rsid w:val="00BF25C9"/>
    <w:rsid w:val="00BF27EE"/>
    <w:rsid w:val="00BF2AAE"/>
    <w:rsid w:val="00BF2B06"/>
    <w:rsid w:val="00BF4616"/>
    <w:rsid w:val="00BF4AE2"/>
    <w:rsid w:val="00BF5818"/>
    <w:rsid w:val="00BF6371"/>
    <w:rsid w:val="00BF6A2B"/>
    <w:rsid w:val="00BF7588"/>
    <w:rsid w:val="00BF7F21"/>
    <w:rsid w:val="00BF7FF0"/>
    <w:rsid w:val="00C00367"/>
    <w:rsid w:val="00C0054D"/>
    <w:rsid w:val="00C00D02"/>
    <w:rsid w:val="00C01840"/>
    <w:rsid w:val="00C01B21"/>
    <w:rsid w:val="00C01BF6"/>
    <w:rsid w:val="00C02F7F"/>
    <w:rsid w:val="00C03070"/>
    <w:rsid w:val="00C03A76"/>
    <w:rsid w:val="00C03D07"/>
    <w:rsid w:val="00C046D7"/>
    <w:rsid w:val="00C0483A"/>
    <w:rsid w:val="00C0554F"/>
    <w:rsid w:val="00C05BA9"/>
    <w:rsid w:val="00C06BF9"/>
    <w:rsid w:val="00C07245"/>
    <w:rsid w:val="00C074A8"/>
    <w:rsid w:val="00C074CD"/>
    <w:rsid w:val="00C074FD"/>
    <w:rsid w:val="00C07BAA"/>
    <w:rsid w:val="00C10FD9"/>
    <w:rsid w:val="00C11156"/>
    <w:rsid w:val="00C11159"/>
    <w:rsid w:val="00C1144F"/>
    <w:rsid w:val="00C11907"/>
    <w:rsid w:val="00C124E6"/>
    <w:rsid w:val="00C12502"/>
    <w:rsid w:val="00C12A8B"/>
    <w:rsid w:val="00C12AC1"/>
    <w:rsid w:val="00C131BC"/>
    <w:rsid w:val="00C145C8"/>
    <w:rsid w:val="00C147A1"/>
    <w:rsid w:val="00C14907"/>
    <w:rsid w:val="00C1511B"/>
    <w:rsid w:val="00C15676"/>
    <w:rsid w:val="00C163BC"/>
    <w:rsid w:val="00C17394"/>
    <w:rsid w:val="00C17507"/>
    <w:rsid w:val="00C1793D"/>
    <w:rsid w:val="00C17CF0"/>
    <w:rsid w:val="00C2000B"/>
    <w:rsid w:val="00C200A9"/>
    <w:rsid w:val="00C203E7"/>
    <w:rsid w:val="00C20A5A"/>
    <w:rsid w:val="00C2122C"/>
    <w:rsid w:val="00C213D8"/>
    <w:rsid w:val="00C21532"/>
    <w:rsid w:val="00C22147"/>
    <w:rsid w:val="00C22637"/>
    <w:rsid w:val="00C22F71"/>
    <w:rsid w:val="00C23237"/>
    <w:rsid w:val="00C232C0"/>
    <w:rsid w:val="00C2374E"/>
    <w:rsid w:val="00C23A69"/>
    <w:rsid w:val="00C24643"/>
    <w:rsid w:val="00C24BF5"/>
    <w:rsid w:val="00C24D31"/>
    <w:rsid w:val="00C257B4"/>
    <w:rsid w:val="00C25C7C"/>
    <w:rsid w:val="00C26054"/>
    <w:rsid w:val="00C26116"/>
    <w:rsid w:val="00C267F3"/>
    <w:rsid w:val="00C268CA"/>
    <w:rsid w:val="00C26ABE"/>
    <w:rsid w:val="00C271F2"/>
    <w:rsid w:val="00C273CA"/>
    <w:rsid w:val="00C27476"/>
    <w:rsid w:val="00C27716"/>
    <w:rsid w:val="00C30187"/>
    <w:rsid w:val="00C30BEC"/>
    <w:rsid w:val="00C30F0A"/>
    <w:rsid w:val="00C30F27"/>
    <w:rsid w:val="00C315DA"/>
    <w:rsid w:val="00C32222"/>
    <w:rsid w:val="00C32583"/>
    <w:rsid w:val="00C3336C"/>
    <w:rsid w:val="00C33E74"/>
    <w:rsid w:val="00C344C7"/>
    <w:rsid w:val="00C34993"/>
    <w:rsid w:val="00C35235"/>
    <w:rsid w:val="00C357A3"/>
    <w:rsid w:val="00C3599D"/>
    <w:rsid w:val="00C363C0"/>
    <w:rsid w:val="00C3679B"/>
    <w:rsid w:val="00C36C58"/>
    <w:rsid w:val="00C36E80"/>
    <w:rsid w:val="00C375C5"/>
    <w:rsid w:val="00C4013F"/>
    <w:rsid w:val="00C4105A"/>
    <w:rsid w:val="00C41BD1"/>
    <w:rsid w:val="00C41CC0"/>
    <w:rsid w:val="00C42E1F"/>
    <w:rsid w:val="00C43064"/>
    <w:rsid w:val="00C432A3"/>
    <w:rsid w:val="00C440FF"/>
    <w:rsid w:val="00C447AF"/>
    <w:rsid w:val="00C44E84"/>
    <w:rsid w:val="00C45530"/>
    <w:rsid w:val="00C45E44"/>
    <w:rsid w:val="00C464C9"/>
    <w:rsid w:val="00C46859"/>
    <w:rsid w:val="00C476D0"/>
    <w:rsid w:val="00C518A9"/>
    <w:rsid w:val="00C5220F"/>
    <w:rsid w:val="00C52759"/>
    <w:rsid w:val="00C52F04"/>
    <w:rsid w:val="00C52FA2"/>
    <w:rsid w:val="00C536F7"/>
    <w:rsid w:val="00C53AB3"/>
    <w:rsid w:val="00C53D9D"/>
    <w:rsid w:val="00C5457F"/>
    <w:rsid w:val="00C55670"/>
    <w:rsid w:val="00C559EA"/>
    <w:rsid w:val="00C56521"/>
    <w:rsid w:val="00C566E1"/>
    <w:rsid w:val="00C56A38"/>
    <w:rsid w:val="00C56B28"/>
    <w:rsid w:val="00C56D7A"/>
    <w:rsid w:val="00C57601"/>
    <w:rsid w:val="00C57A6A"/>
    <w:rsid w:val="00C60810"/>
    <w:rsid w:val="00C60885"/>
    <w:rsid w:val="00C613F0"/>
    <w:rsid w:val="00C61686"/>
    <w:rsid w:val="00C61849"/>
    <w:rsid w:val="00C6207B"/>
    <w:rsid w:val="00C6268C"/>
    <w:rsid w:val="00C626E5"/>
    <w:rsid w:val="00C628F4"/>
    <w:rsid w:val="00C62F1E"/>
    <w:rsid w:val="00C6323B"/>
    <w:rsid w:val="00C634F7"/>
    <w:rsid w:val="00C64FF0"/>
    <w:rsid w:val="00C65308"/>
    <w:rsid w:val="00C654A6"/>
    <w:rsid w:val="00C6558A"/>
    <w:rsid w:val="00C656EB"/>
    <w:rsid w:val="00C65BAC"/>
    <w:rsid w:val="00C66A0E"/>
    <w:rsid w:val="00C67043"/>
    <w:rsid w:val="00C673C7"/>
    <w:rsid w:val="00C7035C"/>
    <w:rsid w:val="00C70407"/>
    <w:rsid w:val="00C711FA"/>
    <w:rsid w:val="00C71549"/>
    <w:rsid w:val="00C71B41"/>
    <w:rsid w:val="00C71CCB"/>
    <w:rsid w:val="00C72A0E"/>
    <w:rsid w:val="00C72E50"/>
    <w:rsid w:val="00C72EE0"/>
    <w:rsid w:val="00C73541"/>
    <w:rsid w:val="00C73571"/>
    <w:rsid w:val="00C75328"/>
    <w:rsid w:val="00C75390"/>
    <w:rsid w:val="00C754F1"/>
    <w:rsid w:val="00C76EA7"/>
    <w:rsid w:val="00C77B2F"/>
    <w:rsid w:val="00C77BCA"/>
    <w:rsid w:val="00C80104"/>
    <w:rsid w:val="00C80D79"/>
    <w:rsid w:val="00C812D0"/>
    <w:rsid w:val="00C817D5"/>
    <w:rsid w:val="00C81A72"/>
    <w:rsid w:val="00C82A59"/>
    <w:rsid w:val="00C82D2C"/>
    <w:rsid w:val="00C831A0"/>
    <w:rsid w:val="00C831D5"/>
    <w:rsid w:val="00C83542"/>
    <w:rsid w:val="00C836E3"/>
    <w:rsid w:val="00C845A2"/>
    <w:rsid w:val="00C846BB"/>
    <w:rsid w:val="00C84B06"/>
    <w:rsid w:val="00C85305"/>
    <w:rsid w:val="00C8573B"/>
    <w:rsid w:val="00C86577"/>
    <w:rsid w:val="00C8669D"/>
    <w:rsid w:val="00C87164"/>
    <w:rsid w:val="00C87610"/>
    <w:rsid w:val="00C87728"/>
    <w:rsid w:val="00C87838"/>
    <w:rsid w:val="00C87E13"/>
    <w:rsid w:val="00C90600"/>
    <w:rsid w:val="00C90A12"/>
    <w:rsid w:val="00C90A7F"/>
    <w:rsid w:val="00C90F00"/>
    <w:rsid w:val="00C91BB4"/>
    <w:rsid w:val="00C92060"/>
    <w:rsid w:val="00C92508"/>
    <w:rsid w:val="00C9256A"/>
    <w:rsid w:val="00C92E07"/>
    <w:rsid w:val="00C94123"/>
    <w:rsid w:val="00C9414E"/>
    <w:rsid w:val="00C94187"/>
    <w:rsid w:val="00C9439C"/>
    <w:rsid w:val="00C955CC"/>
    <w:rsid w:val="00C959E5"/>
    <w:rsid w:val="00C95BCF"/>
    <w:rsid w:val="00C96684"/>
    <w:rsid w:val="00C96868"/>
    <w:rsid w:val="00C968F1"/>
    <w:rsid w:val="00C96B58"/>
    <w:rsid w:val="00C96D17"/>
    <w:rsid w:val="00C979B6"/>
    <w:rsid w:val="00C97C2C"/>
    <w:rsid w:val="00C97EBD"/>
    <w:rsid w:val="00CA0022"/>
    <w:rsid w:val="00CA0167"/>
    <w:rsid w:val="00CA0211"/>
    <w:rsid w:val="00CA0220"/>
    <w:rsid w:val="00CA0BE3"/>
    <w:rsid w:val="00CA0CB8"/>
    <w:rsid w:val="00CA0DAF"/>
    <w:rsid w:val="00CA10D7"/>
    <w:rsid w:val="00CA145D"/>
    <w:rsid w:val="00CA158C"/>
    <w:rsid w:val="00CA1A59"/>
    <w:rsid w:val="00CA20E5"/>
    <w:rsid w:val="00CA235C"/>
    <w:rsid w:val="00CA2E7A"/>
    <w:rsid w:val="00CA318F"/>
    <w:rsid w:val="00CA3D62"/>
    <w:rsid w:val="00CA41FE"/>
    <w:rsid w:val="00CA47E8"/>
    <w:rsid w:val="00CA5195"/>
    <w:rsid w:val="00CA661B"/>
    <w:rsid w:val="00CA696D"/>
    <w:rsid w:val="00CA6E9B"/>
    <w:rsid w:val="00CA7097"/>
    <w:rsid w:val="00CA71CB"/>
    <w:rsid w:val="00CB036A"/>
    <w:rsid w:val="00CB09B5"/>
    <w:rsid w:val="00CB111A"/>
    <w:rsid w:val="00CB19B0"/>
    <w:rsid w:val="00CB1E4C"/>
    <w:rsid w:val="00CB266E"/>
    <w:rsid w:val="00CB2670"/>
    <w:rsid w:val="00CB29AD"/>
    <w:rsid w:val="00CB2DF1"/>
    <w:rsid w:val="00CB40BD"/>
    <w:rsid w:val="00CB4C9E"/>
    <w:rsid w:val="00CB4EE5"/>
    <w:rsid w:val="00CB5C39"/>
    <w:rsid w:val="00CB7719"/>
    <w:rsid w:val="00CC1707"/>
    <w:rsid w:val="00CC21FB"/>
    <w:rsid w:val="00CC2ABB"/>
    <w:rsid w:val="00CC2BA0"/>
    <w:rsid w:val="00CC2D46"/>
    <w:rsid w:val="00CC3210"/>
    <w:rsid w:val="00CC36A8"/>
    <w:rsid w:val="00CC3E37"/>
    <w:rsid w:val="00CC5E26"/>
    <w:rsid w:val="00CC63BC"/>
    <w:rsid w:val="00CC68B7"/>
    <w:rsid w:val="00CC694B"/>
    <w:rsid w:val="00CC6CE6"/>
    <w:rsid w:val="00CC715C"/>
    <w:rsid w:val="00CC75E2"/>
    <w:rsid w:val="00CC7D08"/>
    <w:rsid w:val="00CD02BD"/>
    <w:rsid w:val="00CD0447"/>
    <w:rsid w:val="00CD05EF"/>
    <w:rsid w:val="00CD06A8"/>
    <w:rsid w:val="00CD0865"/>
    <w:rsid w:val="00CD0BC0"/>
    <w:rsid w:val="00CD1309"/>
    <w:rsid w:val="00CD13A8"/>
    <w:rsid w:val="00CD1725"/>
    <w:rsid w:val="00CD2931"/>
    <w:rsid w:val="00CD3B4A"/>
    <w:rsid w:val="00CD3D1A"/>
    <w:rsid w:val="00CD428F"/>
    <w:rsid w:val="00CD46EB"/>
    <w:rsid w:val="00CD50A9"/>
    <w:rsid w:val="00CD52EE"/>
    <w:rsid w:val="00CD537A"/>
    <w:rsid w:val="00CD5424"/>
    <w:rsid w:val="00CD567B"/>
    <w:rsid w:val="00CD60EB"/>
    <w:rsid w:val="00CD6453"/>
    <w:rsid w:val="00CD71E6"/>
    <w:rsid w:val="00CD7EBF"/>
    <w:rsid w:val="00CE0B96"/>
    <w:rsid w:val="00CE11DE"/>
    <w:rsid w:val="00CE1451"/>
    <w:rsid w:val="00CE1B5D"/>
    <w:rsid w:val="00CE1D8F"/>
    <w:rsid w:val="00CE200E"/>
    <w:rsid w:val="00CE315E"/>
    <w:rsid w:val="00CE335A"/>
    <w:rsid w:val="00CE34DE"/>
    <w:rsid w:val="00CE3D05"/>
    <w:rsid w:val="00CE3DC8"/>
    <w:rsid w:val="00CE4E42"/>
    <w:rsid w:val="00CE518E"/>
    <w:rsid w:val="00CE53A0"/>
    <w:rsid w:val="00CE56DC"/>
    <w:rsid w:val="00CE684E"/>
    <w:rsid w:val="00CE722B"/>
    <w:rsid w:val="00CE7599"/>
    <w:rsid w:val="00CF08EA"/>
    <w:rsid w:val="00CF10E8"/>
    <w:rsid w:val="00CF1C22"/>
    <w:rsid w:val="00CF1CF9"/>
    <w:rsid w:val="00CF1E40"/>
    <w:rsid w:val="00CF250D"/>
    <w:rsid w:val="00CF2AB2"/>
    <w:rsid w:val="00CF3695"/>
    <w:rsid w:val="00CF394D"/>
    <w:rsid w:val="00CF3A61"/>
    <w:rsid w:val="00CF3FCA"/>
    <w:rsid w:val="00CF5187"/>
    <w:rsid w:val="00CF5896"/>
    <w:rsid w:val="00CF657F"/>
    <w:rsid w:val="00CF6666"/>
    <w:rsid w:val="00CF6D0D"/>
    <w:rsid w:val="00CF6D61"/>
    <w:rsid w:val="00CF7425"/>
    <w:rsid w:val="00CF77F7"/>
    <w:rsid w:val="00CF7B09"/>
    <w:rsid w:val="00CF7F65"/>
    <w:rsid w:val="00D00171"/>
    <w:rsid w:val="00D004FF"/>
    <w:rsid w:val="00D007CA"/>
    <w:rsid w:val="00D0092B"/>
    <w:rsid w:val="00D0132F"/>
    <w:rsid w:val="00D018FD"/>
    <w:rsid w:val="00D01D66"/>
    <w:rsid w:val="00D0239C"/>
    <w:rsid w:val="00D025D0"/>
    <w:rsid w:val="00D02AE1"/>
    <w:rsid w:val="00D03326"/>
    <w:rsid w:val="00D04DED"/>
    <w:rsid w:val="00D051F2"/>
    <w:rsid w:val="00D054E6"/>
    <w:rsid w:val="00D056F1"/>
    <w:rsid w:val="00D05BA4"/>
    <w:rsid w:val="00D0699B"/>
    <w:rsid w:val="00D06C33"/>
    <w:rsid w:val="00D06D4B"/>
    <w:rsid w:val="00D074CF"/>
    <w:rsid w:val="00D07724"/>
    <w:rsid w:val="00D07D79"/>
    <w:rsid w:val="00D07D98"/>
    <w:rsid w:val="00D07F2C"/>
    <w:rsid w:val="00D10B7A"/>
    <w:rsid w:val="00D10D18"/>
    <w:rsid w:val="00D10DC6"/>
    <w:rsid w:val="00D11298"/>
    <w:rsid w:val="00D13479"/>
    <w:rsid w:val="00D13E54"/>
    <w:rsid w:val="00D13F14"/>
    <w:rsid w:val="00D14534"/>
    <w:rsid w:val="00D146BA"/>
    <w:rsid w:val="00D14AED"/>
    <w:rsid w:val="00D14C6B"/>
    <w:rsid w:val="00D154B3"/>
    <w:rsid w:val="00D155B5"/>
    <w:rsid w:val="00D15804"/>
    <w:rsid w:val="00D15981"/>
    <w:rsid w:val="00D1652A"/>
    <w:rsid w:val="00D16585"/>
    <w:rsid w:val="00D1665A"/>
    <w:rsid w:val="00D169BB"/>
    <w:rsid w:val="00D17E26"/>
    <w:rsid w:val="00D17E57"/>
    <w:rsid w:val="00D20296"/>
    <w:rsid w:val="00D211BD"/>
    <w:rsid w:val="00D21436"/>
    <w:rsid w:val="00D221C3"/>
    <w:rsid w:val="00D22977"/>
    <w:rsid w:val="00D22A6D"/>
    <w:rsid w:val="00D22E94"/>
    <w:rsid w:val="00D230A8"/>
    <w:rsid w:val="00D236C8"/>
    <w:rsid w:val="00D23F29"/>
    <w:rsid w:val="00D24277"/>
    <w:rsid w:val="00D242DF"/>
    <w:rsid w:val="00D24778"/>
    <w:rsid w:val="00D24C30"/>
    <w:rsid w:val="00D2579A"/>
    <w:rsid w:val="00D2598E"/>
    <w:rsid w:val="00D25B43"/>
    <w:rsid w:val="00D25C22"/>
    <w:rsid w:val="00D2612E"/>
    <w:rsid w:val="00D26272"/>
    <w:rsid w:val="00D2630A"/>
    <w:rsid w:val="00D26480"/>
    <w:rsid w:val="00D27BD2"/>
    <w:rsid w:val="00D27DE0"/>
    <w:rsid w:val="00D30D22"/>
    <w:rsid w:val="00D310FD"/>
    <w:rsid w:val="00D32AC1"/>
    <w:rsid w:val="00D33053"/>
    <w:rsid w:val="00D33FBE"/>
    <w:rsid w:val="00D34EE6"/>
    <w:rsid w:val="00D34F09"/>
    <w:rsid w:val="00D35253"/>
    <w:rsid w:val="00D359DE"/>
    <w:rsid w:val="00D36CAC"/>
    <w:rsid w:val="00D37075"/>
    <w:rsid w:val="00D3754D"/>
    <w:rsid w:val="00D402B9"/>
    <w:rsid w:val="00D40A04"/>
    <w:rsid w:val="00D40F9A"/>
    <w:rsid w:val="00D41042"/>
    <w:rsid w:val="00D4119A"/>
    <w:rsid w:val="00D41331"/>
    <w:rsid w:val="00D413E0"/>
    <w:rsid w:val="00D415FB"/>
    <w:rsid w:val="00D41B46"/>
    <w:rsid w:val="00D430C2"/>
    <w:rsid w:val="00D43839"/>
    <w:rsid w:val="00D43C16"/>
    <w:rsid w:val="00D4499F"/>
    <w:rsid w:val="00D449F6"/>
    <w:rsid w:val="00D44C6F"/>
    <w:rsid w:val="00D455A4"/>
    <w:rsid w:val="00D45A51"/>
    <w:rsid w:val="00D45D8F"/>
    <w:rsid w:val="00D462DC"/>
    <w:rsid w:val="00D46876"/>
    <w:rsid w:val="00D46E9F"/>
    <w:rsid w:val="00D47DCA"/>
    <w:rsid w:val="00D47E5C"/>
    <w:rsid w:val="00D50483"/>
    <w:rsid w:val="00D50668"/>
    <w:rsid w:val="00D50B56"/>
    <w:rsid w:val="00D50F4D"/>
    <w:rsid w:val="00D5100A"/>
    <w:rsid w:val="00D5170C"/>
    <w:rsid w:val="00D5197E"/>
    <w:rsid w:val="00D51A95"/>
    <w:rsid w:val="00D51E4E"/>
    <w:rsid w:val="00D52269"/>
    <w:rsid w:val="00D52C05"/>
    <w:rsid w:val="00D548E5"/>
    <w:rsid w:val="00D54A52"/>
    <w:rsid w:val="00D55D3E"/>
    <w:rsid w:val="00D563DD"/>
    <w:rsid w:val="00D566C4"/>
    <w:rsid w:val="00D571D3"/>
    <w:rsid w:val="00D57FCA"/>
    <w:rsid w:val="00D602FE"/>
    <w:rsid w:val="00D60568"/>
    <w:rsid w:val="00D6083E"/>
    <w:rsid w:val="00D60C26"/>
    <w:rsid w:val="00D62924"/>
    <w:rsid w:val="00D62B60"/>
    <w:rsid w:val="00D62FCC"/>
    <w:rsid w:val="00D632A4"/>
    <w:rsid w:val="00D63EFD"/>
    <w:rsid w:val="00D63F2A"/>
    <w:rsid w:val="00D64007"/>
    <w:rsid w:val="00D646CE"/>
    <w:rsid w:val="00D646D4"/>
    <w:rsid w:val="00D65772"/>
    <w:rsid w:val="00D6634B"/>
    <w:rsid w:val="00D679B9"/>
    <w:rsid w:val="00D67EE6"/>
    <w:rsid w:val="00D70877"/>
    <w:rsid w:val="00D70C7A"/>
    <w:rsid w:val="00D70D0E"/>
    <w:rsid w:val="00D711C4"/>
    <w:rsid w:val="00D720E8"/>
    <w:rsid w:val="00D72330"/>
    <w:rsid w:val="00D72692"/>
    <w:rsid w:val="00D72BDB"/>
    <w:rsid w:val="00D72DDD"/>
    <w:rsid w:val="00D72FB7"/>
    <w:rsid w:val="00D756D3"/>
    <w:rsid w:val="00D75DFB"/>
    <w:rsid w:val="00D76438"/>
    <w:rsid w:val="00D76AF7"/>
    <w:rsid w:val="00D76C8C"/>
    <w:rsid w:val="00D772D2"/>
    <w:rsid w:val="00D7761F"/>
    <w:rsid w:val="00D77A2D"/>
    <w:rsid w:val="00D77BBF"/>
    <w:rsid w:val="00D805F4"/>
    <w:rsid w:val="00D81ED3"/>
    <w:rsid w:val="00D82360"/>
    <w:rsid w:val="00D82C35"/>
    <w:rsid w:val="00D8308B"/>
    <w:rsid w:val="00D835B0"/>
    <w:rsid w:val="00D841A7"/>
    <w:rsid w:val="00D846F2"/>
    <w:rsid w:val="00D84B1D"/>
    <w:rsid w:val="00D84C61"/>
    <w:rsid w:val="00D85174"/>
    <w:rsid w:val="00D85E68"/>
    <w:rsid w:val="00D86682"/>
    <w:rsid w:val="00D86C6E"/>
    <w:rsid w:val="00D8735A"/>
    <w:rsid w:val="00D874BE"/>
    <w:rsid w:val="00D901BC"/>
    <w:rsid w:val="00D90A87"/>
    <w:rsid w:val="00D90C64"/>
    <w:rsid w:val="00D91190"/>
    <w:rsid w:val="00D912ED"/>
    <w:rsid w:val="00D929E5"/>
    <w:rsid w:val="00D92BE4"/>
    <w:rsid w:val="00D92E44"/>
    <w:rsid w:val="00D93038"/>
    <w:rsid w:val="00D93571"/>
    <w:rsid w:val="00D93B46"/>
    <w:rsid w:val="00D93E30"/>
    <w:rsid w:val="00D95ACD"/>
    <w:rsid w:val="00D95AFB"/>
    <w:rsid w:val="00D9697E"/>
    <w:rsid w:val="00D96F19"/>
    <w:rsid w:val="00D97C2C"/>
    <w:rsid w:val="00DA0659"/>
    <w:rsid w:val="00DA0A22"/>
    <w:rsid w:val="00DA0E60"/>
    <w:rsid w:val="00DA10A8"/>
    <w:rsid w:val="00DA1106"/>
    <w:rsid w:val="00DA123D"/>
    <w:rsid w:val="00DA185F"/>
    <w:rsid w:val="00DA1A72"/>
    <w:rsid w:val="00DA1B4E"/>
    <w:rsid w:val="00DA2688"/>
    <w:rsid w:val="00DA28B6"/>
    <w:rsid w:val="00DA2C7A"/>
    <w:rsid w:val="00DA36B3"/>
    <w:rsid w:val="00DA3993"/>
    <w:rsid w:val="00DA404B"/>
    <w:rsid w:val="00DA5271"/>
    <w:rsid w:val="00DA591D"/>
    <w:rsid w:val="00DA5B2E"/>
    <w:rsid w:val="00DA5C97"/>
    <w:rsid w:val="00DA5D76"/>
    <w:rsid w:val="00DA682B"/>
    <w:rsid w:val="00DA6A8A"/>
    <w:rsid w:val="00DA76B6"/>
    <w:rsid w:val="00DA7B9C"/>
    <w:rsid w:val="00DB0041"/>
    <w:rsid w:val="00DB02BA"/>
    <w:rsid w:val="00DB03F7"/>
    <w:rsid w:val="00DB052E"/>
    <w:rsid w:val="00DB06FA"/>
    <w:rsid w:val="00DB08C1"/>
    <w:rsid w:val="00DB0B08"/>
    <w:rsid w:val="00DB0E3C"/>
    <w:rsid w:val="00DB1A7A"/>
    <w:rsid w:val="00DB1CD3"/>
    <w:rsid w:val="00DB1E08"/>
    <w:rsid w:val="00DB24DE"/>
    <w:rsid w:val="00DB2973"/>
    <w:rsid w:val="00DB2A0C"/>
    <w:rsid w:val="00DB2C89"/>
    <w:rsid w:val="00DB2D86"/>
    <w:rsid w:val="00DB3162"/>
    <w:rsid w:val="00DB3509"/>
    <w:rsid w:val="00DB36CB"/>
    <w:rsid w:val="00DB3CBC"/>
    <w:rsid w:val="00DB44D2"/>
    <w:rsid w:val="00DB4560"/>
    <w:rsid w:val="00DB4F0F"/>
    <w:rsid w:val="00DB68DE"/>
    <w:rsid w:val="00DB68FA"/>
    <w:rsid w:val="00DB6C85"/>
    <w:rsid w:val="00DB720D"/>
    <w:rsid w:val="00DB73C2"/>
    <w:rsid w:val="00DB7442"/>
    <w:rsid w:val="00DB7F67"/>
    <w:rsid w:val="00DC0021"/>
    <w:rsid w:val="00DC0188"/>
    <w:rsid w:val="00DC02E9"/>
    <w:rsid w:val="00DC135F"/>
    <w:rsid w:val="00DC15EB"/>
    <w:rsid w:val="00DC19CA"/>
    <w:rsid w:val="00DC19F7"/>
    <w:rsid w:val="00DC1A7C"/>
    <w:rsid w:val="00DC2129"/>
    <w:rsid w:val="00DC2A5E"/>
    <w:rsid w:val="00DC2EF5"/>
    <w:rsid w:val="00DC37CB"/>
    <w:rsid w:val="00DC3816"/>
    <w:rsid w:val="00DC4282"/>
    <w:rsid w:val="00DC43D2"/>
    <w:rsid w:val="00DC477A"/>
    <w:rsid w:val="00DC4C79"/>
    <w:rsid w:val="00DC52C1"/>
    <w:rsid w:val="00DC541A"/>
    <w:rsid w:val="00DC56A9"/>
    <w:rsid w:val="00DC5FCA"/>
    <w:rsid w:val="00DC6570"/>
    <w:rsid w:val="00DC6D54"/>
    <w:rsid w:val="00DC76DA"/>
    <w:rsid w:val="00DC7A11"/>
    <w:rsid w:val="00DC7D68"/>
    <w:rsid w:val="00DC7DB9"/>
    <w:rsid w:val="00DD06A5"/>
    <w:rsid w:val="00DD09DE"/>
    <w:rsid w:val="00DD184E"/>
    <w:rsid w:val="00DD23FF"/>
    <w:rsid w:val="00DD3551"/>
    <w:rsid w:val="00DD3CE0"/>
    <w:rsid w:val="00DD4F5F"/>
    <w:rsid w:val="00DD5E27"/>
    <w:rsid w:val="00DD5F2C"/>
    <w:rsid w:val="00DD6235"/>
    <w:rsid w:val="00DD7170"/>
    <w:rsid w:val="00DE0304"/>
    <w:rsid w:val="00DE0659"/>
    <w:rsid w:val="00DE095E"/>
    <w:rsid w:val="00DE1ADA"/>
    <w:rsid w:val="00DE1C03"/>
    <w:rsid w:val="00DE2A0F"/>
    <w:rsid w:val="00DE376C"/>
    <w:rsid w:val="00DE420C"/>
    <w:rsid w:val="00DE47ED"/>
    <w:rsid w:val="00DE538F"/>
    <w:rsid w:val="00DE5AEB"/>
    <w:rsid w:val="00DE5EE4"/>
    <w:rsid w:val="00DE5EFF"/>
    <w:rsid w:val="00DE6D63"/>
    <w:rsid w:val="00DE7EF6"/>
    <w:rsid w:val="00DF04E2"/>
    <w:rsid w:val="00DF09F2"/>
    <w:rsid w:val="00DF0C7C"/>
    <w:rsid w:val="00DF0EB0"/>
    <w:rsid w:val="00DF1478"/>
    <w:rsid w:val="00DF1648"/>
    <w:rsid w:val="00DF25C3"/>
    <w:rsid w:val="00DF41D0"/>
    <w:rsid w:val="00DF509E"/>
    <w:rsid w:val="00DF5370"/>
    <w:rsid w:val="00DF57CA"/>
    <w:rsid w:val="00DF7545"/>
    <w:rsid w:val="00DF778C"/>
    <w:rsid w:val="00E0053C"/>
    <w:rsid w:val="00E0073E"/>
    <w:rsid w:val="00E0086E"/>
    <w:rsid w:val="00E00BC5"/>
    <w:rsid w:val="00E00EAC"/>
    <w:rsid w:val="00E01AEB"/>
    <w:rsid w:val="00E02C92"/>
    <w:rsid w:val="00E02E37"/>
    <w:rsid w:val="00E02FAB"/>
    <w:rsid w:val="00E030D2"/>
    <w:rsid w:val="00E0331B"/>
    <w:rsid w:val="00E03385"/>
    <w:rsid w:val="00E039E3"/>
    <w:rsid w:val="00E03A76"/>
    <w:rsid w:val="00E03D7A"/>
    <w:rsid w:val="00E04062"/>
    <w:rsid w:val="00E044CD"/>
    <w:rsid w:val="00E044ED"/>
    <w:rsid w:val="00E044FB"/>
    <w:rsid w:val="00E046C9"/>
    <w:rsid w:val="00E04948"/>
    <w:rsid w:val="00E04E9F"/>
    <w:rsid w:val="00E051E9"/>
    <w:rsid w:val="00E05765"/>
    <w:rsid w:val="00E05BF3"/>
    <w:rsid w:val="00E05C23"/>
    <w:rsid w:val="00E05EC5"/>
    <w:rsid w:val="00E07075"/>
    <w:rsid w:val="00E0709F"/>
    <w:rsid w:val="00E07CDE"/>
    <w:rsid w:val="00E07DD2"/>
    <w:rsid w:val="00E07E6F"/>
    <w:rsid w:val="00E10E65"/>
    <w:rsid w:val="00E1395E"/>
    <w:rsid w:val="00E13EBF"/>
    <w:rsid w:val="00E13F0B"/>
    <w:rsid w:val="00E141DB"/>
    <w:rsid w:val="00E143EA"/>
    <w:rsid w:val="00E14DE6"/>
    <w:rsid w:val="00E151A9"/>
    <w:rsid w:val="00E15204"/>
    <w:rsid w:val="00E16F40"/>
    <w:rsid w:val="00E175B3"/>
    <w:rsid w:val="00E178AA"/>
    <w:rsid w:val="00E17AFD"/>
    <w:rsid w:val="00E17CFA"/>
    <w:rsid w:val="00E17F3D"/>
    <w:rsid w:val="00E2003B"/>
    <w:rsid w:val="00E2049C"/>
    <w:rsid w:val="00E20607"/>
    <w:rsid w:val="00E20BE5"/>
    <w:rsid w:val="00E2160A"/>
    <w:rsid w:val="00E21B93"/>
    <w:rsid w:val="00E21D0B"/>
    <w:rsid w:val="00E21FD4"/>
    <w:rsid w:val="00E22224"/>
    <w:rsid w:val="00E23D5C"/>
    <w:rsid w:val="00E2406E"/>
    <w:rsid w:val="00E244D0"/>
    <w:rsid w:val="00E2484D"/>
    <w:rsid w:val="00E24F38"/>
    <w:rsid w:val="00E24FD3"/>
    <w:rsid w:val="00E25363"/>
    <w:rsid w:val="00E25A54"/>
    <w:rsid w:val="00E25D1A"/>
    <w:rsid w:val="00E25DA7"/>
    <w:rsid w:val="00E26E6B"/>
    <w:rsid w:val="00E274D6"/>
    <w:rsid w:val="00E2774B"/>
    <w:rsid w:val="00E306EB"/>
    <w:rsid w:val="00E30A9F"/>
    <w:rsid w:val="00E30C76"/>
    <w:rsid w:val="00E31618"/>
    <w:rsid w:val="00E317F9"/>
    <w:rsid w:val="00E319B1"/>
    <w:rsid w:val="00E32462"/>
    <w:rsid w:val="00E32E59"/>
    <w:rsid w:val="00E33490"/>
    <w:rsid w:val="00E3403B"/>
    <w:rsid w:val="00E3482E"/>
    <w:rsid w:val="00E35A15"/>
    <w:rsid w:val="00E362AB"/>
    <w:rsid w:val="00E36E8E"/>
    <w:rsid w:val="00E37517"/>
    <w:rsid w:val="00E40175"/>
    <w:rsid w:val="00E409C5"/>
    <w:rsid w:val="00E41A43"/>
    <w:rsid w:val="00E42574"/>
    <w:rsid w:val="00E427D6"/>
    <w:rsid w:val="00E42956"/>
    <w:rsid w:val="00E42969"/>
    <w:rsid w:val="00E449BE"/>
    <w:rsid w:val="00E44C11"/>
    <w:rsid w:val="00E44DA8"/>
    <w:rsid w:val="00E45AF3"/>
    <w:rsid w:val="00E46FBC"/>
    <w:rsid w:val="00E46FCF"/>
    <w:rsid w:val="00E47430"/>
    <w:rsid w:val="00E47F03"/>
    <w:rsid w:val="00E50211"/>
    <w:rsid w:val="00E504A3"/>
    <w:rsid w:val="00E50721"/>
    <w:rsid w:val="00E50AA8"/>
    <w:rsid w:val="00E51A71"/>
    <w:rsid w:val="00E5267B"/>
    <w:rsid w:val="00E53426"/>
    <w:rsid w:val="00E53613"/>
    <w:rsid w:val="00E53FAF"/>
    <w:rsid w:val="00E541E8"/>
    <w:rsid w:val="00E544BE"/>
    <w:rsid w:val="00E54B41"/>
    <w:rsid w:val="00E55308"/>
    <w:rsid w:val="00E55A3B"/>
    <w:rsid w:val="00E56040"/>
    <w:rsid w:val="00E564D0"/>
    <w:rsid w:val="00E56773"/>
    <w:rsid w:val="00E57156"/>
    <w:rsid w:val="00E5732E"/>
    <w:rsid w:val="00E57553"/>
    <w:rsid w:val="00E575DE"/>
    <w:rsid w:val="00E57975"/>
    <w:rsid w:val="00E57C3B"/>
    <w:rsid w:val="00E57F00"/>
    <w:rsid w:val="00E57F51"/>
    <w:rsid w:val="00E60AD1"/>
    <w:rsid w:val="00E60D1D"/>
    <w:rsid w:val="00E61A63"/>
    <w:rsid w:val="00E62AA4"/>
    <w:rsid w:val="00E62BF4"/>
    <w:rsid w:val="00E62C05"/>
    <w:rsid w:val="00E62FD9"/>
    <w:rsid w:val="00E63739"/>
    <w:rsid w:val="00E649EA"/>
    <w:rsid w:val="00E65A8B"/>
    <w:rsid w:val="00E660FF"/>
    <w:rsid w:val="00E662D2"/>
    <w:rsid w:val="00E6791F"/>
    <w:rsid w:val="00E70187"/>
    <w:rsid w:val="00E7033D"/>
    <w:rsid w:val="00E7281A"/>
    <w:rsid w:val="00E72D21"/>
    <w:rsid w:val="00E73400"/>
    <w:rsid w:val="00E73418"/>
    <w:rsid w:val="00E7343E"/>
    <w:rsid w:val="00E7351D"/>
    <w:rsid w:val="00E738CA"/>
    <w:rsid w:val="00E747AB"/>
    <w:rsid w:val="00E750E6"/>
    <w:rsid w:val="00E7520F"/>
    <w:rsid w:val="00E7567C"/>
    <w:rsid w:val="00E7568F"/>
    <w:rsid w:val="00E759DE"/>
    <w:rsid w:val="00E765B3"/>
    <w:rsid w:val="00E76946"/>
    <w:rsid w:val="00E777EC"/>
    <w:rsid w:val="00E77DC4"/>
    <w:rsid w:val="00E8099B"/>
    <w:rsid w:val="00E80F3E"/>
    <w:rsid w:val="00E80F4B"/>
    <w:rsid w:val="00E82655"/>
    <w:rsid w:val="00E83280"/>
    <w:rsid w:val="00E8367C"/>
    <w:rsid w:val="00E83BC1"/>
    <w:rsid w:val="00E8416D"/>
    <w:rsid w:val="00E841EB"/>
    <w:rsid w:val="00E84C88"/>
    <w:rsid w:val="00E851B9"/>
    <w:rsid w:val="00E85882"/>
    <w:rsid w:val="00E85D8D"/>
    <w:rsid w:val="00E86137"/>
    <w:rsid w:val="00E86AF5"/>
    <w:rsid w:val="00E90E19"/>
    <w:rsid w:val="00E9104D"/>
    <w:rsid w:val="00E916CB"/>
    <w:rsid w:val="00E91F2C"/>
    <w:rsid w:val="00E92023"/>
    <w:rsid w:val="00E92224"/>
    <w:rsid w:val="00E92912"/>
    <w:rsid w:val="00E938B5"/>
    <w:rsid w:val="00E944E3"/>
    <w:rsid w:val="00E945D1"/>
    <w:rsid w:val="00E947DF"/>
    <w:rsid w:val="00E954FF"/>
    <w:rsid w:val="00E95AE5"/>
    <w:rsid w:val="00E96420"/>
    <w:rsid w:val="00E977E5"/>
    <w:rsid w:val="00EA011D"/>
    <w:rsid w:val="00EA023A"/>
    <w:rsid w:val="00EA0641"/>
    <w:rsid w:val="00EA1A0C"/>
    <w:rsid w:val="00EA2A36"/>
    <w:rsid w:val="00EA39AD"/>
    <w:rsid w:val="00EA3BCD"/>
    <w:rsid w:val="00EA3FE5"/>
    <w:rsid w:val="00EA4CEB"/>
    <w:rsid w:val="00EA5E38"/>
    <w:rsid w:val="00EA6560"/>
    <w:rsid w:val="00EA65A8"/>
    <w:rsid w:val="00EA6697"/>
    <w:rsid w:val="00EA66FC"/>
    <w:rsid w:val="00EA711F"/>
    <w:rsid w:val="00EA71EA"/>
    <w:rsid w:val="00EA7F2F"/>
    <w:rsid w:val="00EB15D4"/>
    <w:rsid w:val="00EB1B5F"/>
    <w:rsid w:val="00EB2283"/>
    <w:rsid w:val="00EB2A7E"/>
    <w:rsid w:val="00EB3A06"/>
    <w:rsid w:val="00EB5619"/>
    <w:rsid w:val="00EB6025"/>
    <w:rsid w:val="00EB60F0"/>
    <w:rsid w:val="00EB6AD2"/>
    <w:rsid w:val="00EB77F4"/>
    <w:rsid w:val="00EC0034"/>
    <w:rsid w:val="00EC00DE"/>
    <w:rsid w:val="00EC0664"/>
    <w:rsid w:val="00EC0D02"/>
    <w:rsid w:val="00EC0D7B"/>
    <w:rsid w:val="00EC1068"/>
    <w:rsid w:val="00EC1361"/>
    <w:rsid w:val="00EC1814"/>
    <w:rsid w:val="00EC1DBD"/>
    <w:rsid w:val="00EC25DF"/>
    <w:rsid w:val="00EC2F14"/>
    <w:rsid w:val="00EC3020"/>
    <w:rsid w:val="00EC30E1"/>
    <w:rsid w:val="00EC4233"/>
    <w:rsid w:val="00EC42AD"/>
    <w:rsid w:val="00EC4DE2"/>
    <w:rsid w:val="00EC4E0E"/>
    <w:rsid w:val="00EC56CA"/>
    <w:rsid w:val="00EC5C80"/>
    <w:rsid w:val="00EC6846"/>
    <w:rsid w:val="00EC7C8A"/>
    <w:rsid w:val="00ED01B4"/>
    <w:rsid w:val="00ED0209"/>
    <w:rsid w:val="00ED0437"/>
    <w:rsid w:val="00ED04B2"/>
    <w:rsid w:val="00ED123E"/>
    <w:rsid w:val="00ED172A"/>
    <w:rsid w:val="00ED1A23"/>
    <w:rsid w:val="00ED1BB5"/>
    <w:rsid w:val="00ED1DDE"/>
    <w:rsid w:val="00ED1EBD"/>
    <w:rsid w:val="00ED3D61"/>
    <w:rsid w:val="00ED3D99"/>
    <w:rsid w:val="00ED40AF"/>
    <w:rsid w:val="00ED4987"/>
    <w:rsid w:val="00ED4B2F"/>
    <w:rsid w:val="00ED4B6F"/>
    <w:rsid w:val="00ED4D12"/>
    <w:rsid w:val="00ED4ECF"/>
    <w:rsid w:val="00ED6A5C"/>
    <w:rsid w:val="00EE0932"/>
    <w:rsid w:val="00EE0948"/>
    <w:rsid w:val="00EE19D6"/>
    <w:rsid w:val="00EE19E2"/>
    <w:rsid w:val="00EE1F23"/>
    <w:rsid w:val="00EE20DF"/>
    <w:rsid w:val="00EE29D7"/>
    <w:rsid w:val="00EE29FF"/>
    <w:rsid w:val="00EE32F8"/>
    <w:rsid w:val="00EE3C4D"/>
    <w:rsid w:val="00EE4615"/>
    <w:rsid w:val="00EE4E49"/>
    <w:rsid w:val="00EE4EA4"/>
    <w:rsid w:val="00EE5076"/>
    <w:rsid w:val="00EE5DEF"/>
    <w:rsid w:val="00EE6725"/>
    <w:rsid w:val="00EE6A67"/>
    <w:rsid w:val="00EE6DB3"/>
    <w:rsid w:val="00EE7437"/>
    <w:rsid w:val="00EF0155"/>
    <w:rsid w:val="00EF0406"/>
    <w:rsid w:val="00EF0424"/>
    <w:rsid w:val="00EF0704"/>
    <w:rsid w:val="00EF0B3E"/>
    <w:rsid w:val="00EF1ADE"/>
    <w:rsid w:val="00EF2692"/>
    <w:rsid w:val="00EF3B9D"/>
    <w:rsid w:val="00EF3EFE"/>
    <w:rsid w:val="00EF42D8"/>
    <w:rsid w:val="00EF4E2D"/>
    <w:rsid w:val="00EF506D"/>
    <w:rsid w:val="00EF5523"/>
    <w:rsid w:val="00EF57B5"/>
    <w:rsid w:val="00EF60F4"/>
    <w:rsid w:val="00EF613D"/>
    <w:rsid w:val="00EF72AD"/>
    <w:rsid w:val="00EF7615"/>
    <w:rsid w:val="00EF7784"/>
    <w:rsid w:val="00EF7F97"/>
    <w:rsid w:val="00F0066D"/>
    <w:rsid w:val="00F0073B"/>
    <w:rsid w:val="00F009F6"/>
    <w:rsid w:val="00F0122C"/>
    <w:rsid w:val="00F019FD"/>
    <w:rsid w:val="00F01B00"/>
    <w:rsid w:val="00F0203D"/>
    <w:rsid w:val="00F020DE"/>
    <w:rsid w:val="00F023B5"/>
    <w:rsid w:val="00F03829"/>
    <w:rsid w:val="00F03A27"/>
    <w:rsid w:val="00F04035"/>
    <w:rsid w:val="00F042ED"/>
    <w:rsid w:val="00F046F8"/>
    <w:rsid w:val="00F04C98"/>
    <w:rsid w:val="00F05125"/>
    <w:rsid w:val="00F052F4"/>
    <w:rsid w:val="00F05385"/>
    <w:rsid w:val="00F0539C"/>
    <w:rsid w:val="00F0574E"/>
    <w:rsid w:val="00F05B42"/>
    <w:rsid w:val="00F05D44"/>
    <w:rsid w:val="00F07124"/>
    <w:rsid w:val="00F07593"/>
    <w:rsid w:val="00F10143"/>
    <w:rsid w:val="00F101AA"/>
    <w:rsid w:val="00F1025B"/>
    <w:rsid w:val="00F1046F"/>
    <w:rsid w:val="00F109B8"/>
    <w:rsid w:val="00F111DB"/>
    <w:rsid w:val="00F117B3"/>
    <w:rsid w:val="00F11A0B"/>
    <w:rsid w:val="00F11CE9"/>
    <w:rsid w:val="00F12081"/>
    <w:rsid w:val="00F12617"/>
    <w:rsid w:val="00F129D4"/>
    <w:rsid w:val="00F12D7F"/>
    <w:rsid w:val="00F134B6"/>
    <w:rsid w:val="00F13C17"/>
    <w:rsid w:val="00F1418D"/>
    <w:rsid w:val="00F14572"/>
    <w:rsid w:val="00F1488A"/>
    <w:rsid w:val="00F14BEC"/>
    <w:rsid w:val="00F14D23"/>
    <w:rsid w:val="00F151C1"/>
    <w:rsid w:val="00F16527"/>
    <w:rsid w:val="00F1659E"/>
    <w:rsid w:val="00F16A1F"/>
    <w:rsid w:val="00F16D74"/>
    <w:rsid w:val="00F17329"/>
    <w:rsid w:val="00F204F5"/>
    <w:rsid w:val="00F209DD"/>
    <w:rsid w:val="00F225C5"/>
    <w:rsid w:val="00F2331F"/>
    <w:rsid w:val="00F23A25"/>
    <w:rsid w:val="00F23DE0"/>
    <w:rsid w:val="00F23F00"/>
    <w:rsid w:val="00F24508"/>
    <w:rsid w:val="00F24A17"/>
    <w:rsid w:val="00F24EEC"/>
    <w:rsid w:val="00F25C93"/>
    <w:rsid w:val="00F26112"/>
    <w:rsid w:val="00F26165"/>
    <w:rsid w:val="00F26E5F"/>
    <w:rsid w:val="00F27563"/>
    <w:rsid w:val="00F27D30"/>
    <w:rsid w:val="00F27DA5"/>
    <w:rsid w:val="00F3016F"/>
    <w:rsid w:val="00F30317"/>
    <w:rsid w:val="00F306BD"/>
    <w:rsid w:val="00F311D5"/>
    <w:rsid w:val="00F31DAC"/>
    <w:rsid w:val="00F31DC7"/>
    <w:rsid w:val="00F32019"/>
    <w:rsid w:val="00F322CB"/>
    <w:rsid w:val="00F32D1A"/>
    <w:rsid w:val="00F3304C"/>
    <w:rsid w:val="00F33289"/>
    <w:rsid w:val="00F3360A"/>
    <w:rsid w:val="00F339F6"/>
    <w:rsid w:val="00F3442F"/>
    <w:rsid w:val="00F344BF"/>
    <w:rsid w:val="00F346E3"/>
    <w:rsid w:val="00F35749"/>
    <w:rsid w:val="00F362FB"/>
    <w:rsid w:val="00F363B1"/>
    <w:rsid w:val="00F36ADB"/>
    <w:rsid w:val="00F3715D"/>
    <w:rsid w:val="00F376B9"/>
    <w:rsid w:val="00F377B2"/>
    <w:rsid w:val="00F37953"/>
    <w:rsid w:val="00F40148"/>
    <w:rsid w:val="00F404AE"/>
    <w:rsid w:val="00F4098A"/>
    <w:rsid w:val="00F420C8"/>
    <w:rsid w:val="00F42981"/>
    <w:rsid w:val="00F43142"/>
    <w:rsid w:val="00F44E00"/>
    <w:rsid w:val="00F44E41"/>
    <w:rsid w:val="00F45036"/>
    <w:rsid w:val="00F4529A"/>
    <w:rsid w:val="00F4580B"/>
    <w:rsid w:val="00F4586A"/>
    <w:rsid w:val="00F4587A"/>
    <w:rsid w:val="00F45B37"/>
    <w:rsid w:val="00F462AF"/>
    <w:rsid w:val="00F4733A"/>
    <w:rsid w:val="00F4757D"/>
    <w:rsid w:val="00F4796F"/>
    <w:rsid w:val="00F47A53"/>
    <w:rsid w:val="00F50F02"/>
    <w:rsid w:val="00F51419"/>
    <w:rsid w:val="00F51EFB"/>
    <w:rsid w:val="00F52306"/>
    <w:rsid w:val="00F527AA"/>
    <w:rsid w:val="00F528BB"/>
    <w:rsid w:val="00F53BA8"/>
    <w:rsid w:val="00F53DD6"/>
    <w:rsid w:val="00F55044"/>
    <w:rsid w:val="00F553E2"/>
    <w:rsid w:val="00F5544E"/>
    <w:rsid w:val="00F55516"/>
    <w:rsid w:val="00F56037"/>
    <w:rsid w:val="00F56754"/>
    <w:rsid w:val="00F56A13"/>
    <w:rsid w:val="00F56A2F"/>
    <w:rsid w:val="00F56B7A"/>
    <w:rsid w:val="00F572F3"/>
    <w:rsid w:val="00F600E4"/>
    <w:rsid w:val="00F604CC"/>
    <w:rsid w:val="00F60991"/>
    <w:rsid w:val="00F610A0"/>
    <w:rsid w:val="00F610C8"/>
    <w:rsid w:val="00F61178"/>
    <w:rsid w:val="00F6124C"/>
    <w:rsid w:val="00F6136B"/>
    <w:rsid w:val="00F6181E"/>
    <w:rsid w:val="00F620C6"/>
    <w:rsid w:val="00F62417"/>
    <w:rsid w:val="00F6260A"/>
    <w:rsid w:val="00F6308F"/>
    <w:rsid w:val="00F6317C"/>
    <w:rsid w:val="00F63701"/>
    <w:rsid w:val="00F6407A"/>
    <w:rsid w:val="00F64177"/>
    <w:rsid w:val="00F646EB"/>
    <w:rsid w:val="00F647BB"/>
    <w:rsid w:val="00F64F11"/>
    <w:rsid w:val="00F656BC"/>
    <w:rsid w:val="00F65A87"/>
    <w:rsid w:val="00F65BF4"/>
    <w:rsid w:val="00F66452"/>
    <w:rsid w:val="00F671B0"/>
    <w:rsid w:val="00F676D4"/>
    <w:rsid w:val="00F7010E"/>
    <w:rsid w:val="00F70530"/>
    <w:rsid w:val="00F706AF"/>
    <w:rsid w:val="00F708B2"/>
    <w:rsid w:val="00F70D22"/>
    <w:rsid w:val="00F70E2D"/>
    <w:rsid w:val="00F71098"/>
    <w:rsid w:val="00F71CA3"/>
    <w:rsid w:val="00F72F20"/>
    <w:rsid w:val="00F73387"/>
    <w:rsid w:val="00F73937"/>
    <w:rsid w:val="00F73A52"/>
    <w:rsid w:val="00F7418A"/>
    <w:rsid w:val="00F748BF"/>
    <w:rsid w:val="00F75718"/>
    <w:rsid w:val="00F765B2"/>
    <w:rsid w:val="00F805E5"/>
    <w:rsid w:val="00F807F8"/>
    <w:rsid w:val="00F80D05"/>
    <w:rsid w:val="00F810A8"/>
    <w:rsid w:val="00F81EFE"/>
    <w:rsid w:val="00F8224E"/>
    <w:rsid w:val="00F82AD1"/>
    <w:rsid w:val="00F83163"/>
    <w:rsid w:val="00F8322C"/>
    <w:rsid w:val="00F835F9"/>
    <w:rsid w:val="00F83A0E"/>
    <w:rsid w:val="00F83F91"/>
    <w:rsid w:val="00F84951"/>
    <w:rsid w:val="00F84D25"/>
    <w:rsid w:val="00F84D37"/>
    <w:rsid w:val="00F84D6F"/>
    <w:rsid w:val="00F84D8F"/>
    <w:rsid w:val="00F8676B"/>
    <w:rsid w:val="00F87302"/>
    <w:rsid w:val="00F87919"/>
    <w:rsid w:val="00F87AF8"/>
    <w:rsid w:val="00F900E6"/>
    <w:rsid w:val="00F90CAB"/>
    <w:rsid w:val="00F90D1E"/>
    <w:rsid w:val="00F910C4"/>
    <w:rsid w:val="00F91249"/>
    <w:rsid w:val="00F9155C"/>
    <w:rsid w:val="00F91834"/>
    <w:rsid w:val="00F91BE6"/>
    <w:rsid w:val="00F934E0"/>
    <w:rsid w:val="00F939B1"/>
    <w:rsid w:val="00F939B5"/>
    <w:rsid w:val="00F93C3D"/>
    <w:rsid w:val="00F943FF"/>
    <w:rsid w:val="00F957D7"/>
    <w:rsid w:val="00F95996"/>
    <w:rsid w:val="00F96691"/>
    <w:rsid w:val="00F966A2"/>
    <w:rsid w:val="00F96874"/>
    <w:rsid w:val="00F96D04"/>
    <w:rsid w:val="00F96FB6"/>
    <w:rsid w:val="00FA071B"/>
    <w:rsid w:val="00FA2669"/>
    <w:rsid w:val="00FA26C5"/>
    <w:rsid w:val="00FA2A45"/>
    <w:rsid w:val="00FA30E7"/>
    <w:rsid w:val="00FA31C4"/>
    <w:rsid w:val="00FA3AE4"/>
    <w:rsid w:val="00FA4362"/>
    <w:rsid w:val="00FA45B4"/>
    <w:rsid w:val="00FA5607"/>
    <w:rsid w:val="00FA61DA"/>
    <w:rsid w:val="00FA6CF9"/>
    <w:rsid w:val="00FA7939"/>
    <w:rsid w:val="00FA7B82"/>
    <w:rsid w:val="00FA7BDF"/>
    <w:rsid w:val="00FA7C0A"/>
    <w:rsid w:val="00FA7DEE"/>
    <w:rsid w:val="00FB01CB"/>
    <w:rsid w:val="00FB0621"/>
    <w:rsid w:val="00FB0D70"/>
    <w:rsid w:val="00FB104E"/>
    <w:rsid w:val="00FB20BB"/>
    <w:rsid w:val="00FB254B"/>
    <w:rsid w:val="00FB2814"/>
    <w:rsid w:val="00FB2BB3"/>
    <w:rsid w:val="00FB3143"/>
    <w:rsid w:val="00FB344A"/>
    <w:rsid w:val="00FB480B"/>
    <w:rsid w:val="00FB5C72"/>
    <w:rsid w:val="00FB5D0F"/>
    <w:rsid w:val="00FB67AC"/>
    <w:rsid w:val="00FB7512"/>
    <w:rsid w:val="00FB7BDF"/>
    <w:rsid w:val="00FC060B"/>
    <w:rsid w:val="00FC06C5"/>
    <w:rsid w:val="00FC080A"/>
    <w:rsid w:val="00FC09A1"/>
    <w:rsid w:val="00FC0D70"/>
    <w:rsid w:val="00FC0F44"/>
    <w:rsid w:val="00FC1244"/>
    <w:rsid w:val="00FC3093"/>
    <w:rsid w:val="00FC33B3"/>
    <w:rsid w:val="00FC3BAD"/>
    <w:rsid w:val="00FC3DBA"/>
    <w:rsid w:val="00FC3F2F"/>
    <w:rsid w:val="00FC460D"/>
    <w:rsid w:val="00FC487C"/>
    <w:rsid w:val="00FC487D"/>
    <w:rsid w:val="00FC4B9B"/>
    <w:rsid w:val="00FC4F63"/>
    <w:rsid w:val="00FC5006"/>
    <w:rsid w:val="00FC53EF"/>
    <w:rsid w:val="00FC6171"/>
    <w:rsid w:val="00FC65C2"/>
    <w:rsid w:val="00FC6A67"/>
    <w:rsid w:val="00FC6D0D"/>
    <w:rsid w:val="00FC77C3"/>
    <w:rsid w:val="00FC797A"/>
    <w:rsid w:val="00FC7A4E"/>
    <w:rsid w:val="00FC7AA5"/>
    <w:rsid w:val="00FC7BB8"/>
    <w:rsid w:val="00FD08E3"/>
    <w:rsid w:val="00FD091D"/>
    <w:rsid w:val="00FD0FD5"/>
    <w:rsid w:val="00FD11D3"/>
    <w:rsid w:val="00FD12B0"/>
    <w:rsid w:val="00FD1F66"/>
    <w:rsid w:val="00FD26A8"/>
    <w:rsid w:val="00FD29C9"/>
    <w:rsid w:val="00FD2D59"/>
    <w:rsid w:val="00FD3899"/>
    <w:rsid w:val="00FD4015"/>
    <w:rsid w:val="00FD4AFB"/>
    <w:rsid w:val="00FD50C3"/>
    <w:rsid w:val="00FD5359"/>
    <w:rsid w:val="00FD66AF"/>
    <w:rsid w:val="00FD6717"/>
    <w:rsid w:val="00FD7072"/>
    <w:rsid w:val="00FD7547"/>
    <w:rsid w:val="00FD7967"/>
    <w:rsid w:val="00FE02C7"/>
    <w:rsid w:val="00FE061F"/>
    <w:rsid w:val="00FE0655"/>
    <w:rsid w:val="00FE2D8F"/>
    <w:rsid w:val="00FE33F7"/>
    <w:rsid w:val="00FE3CAE"/>
    <w:rsid w:val="00FE3D46"/>
    <w:rsid w:val="00FE42D9"/>
    <w:rsid w:val="00FE447B"/>
    <w:rsid w:val="00FE45F0"/>
    <w:rsid w:val="00FE4E51"/>
    <w:rsid w:val="00FE4E74"/>
    <w:rsid w:val="00FE6160"/>
    <w:rsid w:val="00FE667E"/>
    <w:rsid w:val="00FE6B70"/>
    <w:rsid w:val="00FE6C38"/>
    <w:rsid w:val="00FE6E0D"/>
    <w:rsid w:val="00FE7FB1"/>
    <w:rsid w:val="00FF03DE"/>
    <w:rsid w:val="00FF07C0"/>
    <w:rsid w:val="00FF17DD"/>
    <w:rsid w:val="00FF18B4"/>
    <w:rsid w:val="00FF1A5F"/>
    <w:rsid w:val="00FF21A5"/>
    <w:rsid w:val="00FF25B6"/>
    <w:rsid w:val="00FF3626"/>
    <w:rsid w:val="00FF4C59"/>
    <w:rsid w:val="00FF5430"/>
    <w:rsid w:val="00FF5A87"/>
    <w:rsid w:val="00FF5BA7"/>
    <w:rsid w:val="00FF5F5C"/>
    <w:rsid w:val="00FF60FA"/>
    <w:rsid w:val="00FF6323"/>
    <w:rsid w:val="00FF6B6E"/>
    <w:rsid w:val="00FF6CE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2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annotation text" w:uiPriority="99"/>
    <w:lsdException w:name="header" w:uiPriority="99" w:qFormat="1"/>
    <w:lsdException w:name="footer" w:uiPriority="99"/>
    <w:lsdException w:name="caption" w:semiHidden="1" w:unhideWhenUsed="1"/>
    <w:lsdException w:name="footnote reference"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2AA"/>
    <w:pPr>
      <w:widowControl w:val="0"/>
    </w:pPr>
    <w:rPr>
      <w:rFonts w:ascii="Arial" w:hAnsi="Arial"/>
      <w:sz w:val="22"/>
      <w:szCs w:val="24"/>
      <w:lang w:eastAsia="en-US" w:bidi="en-US"/>
    </w:rPr>
  </w:style>
  <w:style w:type="paragraph" w:styleId="Heading1">
    <w:name w:val="heading 1"/>
    <w:aliases w:val="FS Heading 1,FSHeading 1,Chapter heading"/>
    <w:basedOn w:val="Normal"/>
    <w:next w:val="Normal"/>
    <w:link w:val="Heading1Char"/>
    <w:uiPriority w:val="9"/>
    <w:qFormat/>
    <w:rsid w:val="003E46BA"/>
    <w:pPr>
      <w:keepNext/>
      <w:ind w:left="851" w:hanging="851"/>
      <w:outlineLvl w:val="0"/>
    </w:pPr>
    <w:rPr>
      <w:rFonts w:ascii="Tahoma" w:hAnsi="Tahoma" w:cs="Tahoma"/>
      <w:b/>
      <w:bCs/>
      <w:kern w:val="32"/>
      <w:sz w:val="28"/>
      <w:szCs w:val="32"/>
      <w:u w:val="single"/>
    </w:rPr>
  </w:style>
  <w:style w:type="paragraph" w:styleId="Heading2">
    <w:name w:val="heading 2"/>
    <w:aliases w:val="FS Heading 2,FSHeading 2,Section heading"/>
    <w:basedOn w:val="Normal"/>
    <w:next w:val="Normal"/>
    <w:link w:val="Heading2Char"/>
    <w:uiPriority w:val="9"/>
    <w:unhideWhenUsed/>
    <w:qFormat/>
    <w:rsid w:val="003E46BA"/>
    <w:pPr>
      <w:keepNext/>
      <w:ind w:left="851" w:hanging="851"/>
      <w:outlineLvl w:val="1"/>
    </w:pPr>
    <w:rPr>
      <w:rFonts w:ascii="Arial Bold" w:hAnsi="Arial Bold" w:cs="Arial Unicode MS"/>
      <w:b/>
      <w:bCs/>
      <w:iCs/>
      <w:sz w:val="28"/>
      <w:szCs w:val="28"/>
    </w:rPr>
  </w:style>
  <w:style w:type="paragraph" w:styleId="Heading3">
    <w:name w:val="heading 3"/>
    <w:aliases w:val="FS Heading 3,FSHeading 3,Subheading 1"/>
    <w:basedOn w:val="Normal"/>
    <w:next w:val="Normal"/>
    <w:link w:val="Heading3Char"/>
    <w:uiPriority w:val="9"/>
    <w:unhideWhenUsed/>
    <w:qFormat/>
    <w:rsid w:val="00227E4A"/>
    <w:pPr>
      <w:keepNext/>
      <w:ind w:left="851" w:hanging="851"/>
      <w:outlineLvl w:val="2"/>
    </w:pPr>
    <w:rPr>
      <w:rFonts w:ascii="Arial Bold" w:hAnsi="Arial Bold" w:cs="Arial Unicode MS"/>
      <w:b/>
      <w:bCs/>
      <w:szCs w:val="26"/>
    </w:rPr>
  </w:style>
  <w:style w:type="paragraph" w:styleId="Heading4">
    <w:name w:val="heading 4"/>
    <w:aliases w:val="FS Heading 4,FSHeading 4,Subheading 2"/>
    <w:basedOn w:val="Normal"/>
    <w:next w:val="Normal"/>
    <w:link w:val="Heading4Char"/>
    <w:uiPriority w:val="9"/>
    <w:unhideWhenUsed/>
    <w:qFormat/>
    <w:rsid w:val="00227E4A"/>
    <w:pPr>
      <w:keepNext/>
      <w:ind w:left="851" w:hanging="851"/>
      <w:outlineLvl w:val="3"/>
    </w:pPr>
    <w:rPr>
      <w:bCs/>
      <w:i/>
      <w:szCs w:val="28"/>
    </w:rPr>
  </w:style>
  <w:style w:type="paragraph" w:styleId="Heading5">
    <w:name w:val="heading 5"/>
    <w:aliases w:val="FS Heading 5,FSHeading 5,Subheading 3"/>
    <w:basedOn w:val="Normal"/>
    <w:next w:val="Normal"/>
    <w:link w:val="Heading5Char"/>
    <w:uiPriority w:val="9"/>
    <w:unhideWhenUsed/>
    <w:qFormat/>
    <w:rsid w:val="00227E4A"/>
    <w:pPr>
      <w:ind w:left="851" w:hanging="851"/>
      <w:outlineLvl w:val="4"/>
    </w:pPr>
    <w:rPr>
      <w:bCs/>
      <w:iCs/>
      <w:szCs w:val="26"/>
      <w:u w:val="single"/>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qFormat/>
    <w:rsid w:val="00B731D3"/>
    <w:pPr>
      <w:spacing w:before="240" w:after="60"/>
      <w:outlineLvl w:val="6"/>
    </w:pPr>
  </w:style>
  <w:style w:type="paragraph" w:styleId="Heading8">
    <w:name w:val="heading 8"/>
    <w:basedOn w:val="Normal"/>
    <w:next w:val="Normal"/>
    <w:link w:val="Heading8Char"/>
    <w:uiPriority w:val="9"/>
    <w:unhideWhenUsed/>
    <w:qFormat/>
    <w:rsid w:val="00B731D3"/>
    <w:pPr>
      <w:spacing w:before="240" w:after="60"/>
      <w:outlineLvl w:val="7"/>
    </w:pPr>
    <w:rPr>
      <w:i/>
      <w:iCs/>
    </w:rPr>
  </w:style>
  <w:style w:type="paragraph" w:styleId="Heading9">
    <w:name w:val="heading 9"/>
    <w:basedOn w:val="Normal"/>
    <w:next w:val="Normal"/>
    <w:link w:val="Heading9Char"/>
    <w:uiPriority w:val="9"/>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 Heading 1 Char,FSHeading 1 Char,Chapter heading Char"/>
    <w:basedOn w:val="DefaultParagraphFont"/>
    <w:link w:val="Heading1"/>
    <w:uiPriority w:val="9"/>
    <w:rsid w:val="003E46BA"/>
    <w:rPr>
      <w:rFonts w:ascii="Tahoma" w:hAnsi="Tahoma" w:cs="Tahoma"/>
      <w:b/>
      <w:bCs/>
      <w:kern w:val="32"/>
      <w:sz w:val="28"/>
      <w:szCs w:val="32"/>
      <w:u w:val="single"/>
      <w:lang w:val="en-US" w:eastAsia="en-US" w:bidi="en-US"/>
    </w:rPr>
  </w:style>
  <w:style w:type="character" w:customStyle="1" w:styleId="Heading2Char">
    <w:name w:val="Heading 2 Char"/>
    <w:aliases w:val="FS Heading 2 Char,FSHeading 2 Char,Section heading Char"/>
    <w:basedOn w:val="DefaultParagraphFont"/>
    <w:link w:val="Heading2"/>
    <w:uiPriority w:val="9"/>
    <w:rsid w:val="003E46BA"/>
    <w:rPr>
      <w:rFonts w:ascii="Arial Bold" w:hAnsi="Arial Bold" w:cs="Arial Unicode MS"/>
      <w:b/>
      <w:bCs/>
      <w:iCs/>
      <w:sz w:val="28"/>
      <w:szCs w:val="28"/>
      <w:lang w:val="en-US" w:eastAsia="en-US" w:bidi="en-US"/>
    </w:rPr>
  </w:style>
  <w:style w:type="character" w:customStyle="1" w:styleId="Heading3Char">
    <w:name w:val="Heading 3 Char"/>
    <w:aliases w:val="FS Heading 3 Char,FSHeading 3 Char,Subheading 1 Char"/>
    <w:basedOn w:val="DefaultParagraphFont"/>
    <w:link w:val="Heading3"/>
    <w:uiPriority w:val="9"/>
    <w:rsid w:val="00227E4A"/>
    <w:rPr>
      <w:rFonts w:ascii="Arial Bold" w:hAnsi="Arial Bold" w:cs="Arial Unicode MS"/>
      <w:b/>
      <w:bCs/>
      <w:sz w:val="22"/>
      <w:szCs w:val="26"/>
      <w:lang w:val="en-US" w:eastAsia="en-US" w:bidi="en-US"/>
    </w:rPr>
  </w:style>
  <w:style w:type="character" w:customStyle="1" w:styleId="Heading4Char">
    <w:name w:val="Heading 4 Char"/>
    <w:aliases w:val="FS Heading 4 Char,FSHeading 4 Char,Subheading 2 Char"/>
    <w:basedOn w:val="DefaultParagraphFont"/>
    <w:link w:val="Heading4"/>
    <w:uiPriority w:val="9"/>
    <w:rsid w:val="00227E4A"/>
    <w:rPr>
      <w:rFonts w:ascii="Arial" w:hAnsi="Arial"/>
      <w:bCs/>
      <w:i/>
      <w:sz w:val="22"/>
      <w:szCs w:val="28"/>
      <w:lang w:val="en-US" w:eastAsia="en-US" w:bidi="en-US"/>
    </w:rPr>
  </w:style>
  <w:style w:type="character" w:customStyle="1" w:styleId="Heading5Char">
    <w:name w:val="Heading 5 Char"/>
    <w:aliases w:val="FS Heading 5 Char,FSHeading 5 Char,Subheading 3 Char"/>
    <w:basedOn w:val="DefaultParagraphFont"/>
    <w:link w:val="Heading5"/>
    <w:uiPriority w:val="9"/>
    <w:rsid w:val="00227E4A"/>
    <w:rPr>
      <w:rFonts w:ascii="Arial" w:hAnsi="Arial"/>
      <w:bCs/>
      <w:iCs/>
      <w:sz w:val="22"/>
      <w:szCs w:val="26"/>
      <w:u w:val="single"/>
      <w:lang w:val="en-US" w:eastAsia="en-US" w:bidi="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7F277A"/>
    <w:rPr>
      <w:color w:val="auto"/>
      <w:u w:val="single"/>
    </w:rPr>
  </w:style>
  <w:style w:type="paragraph" w:styleId="Header">
    <w:name w:val="header"/>
    <w:aliases w:val="FSHeader"/>
    <w:basedOn w:val="Normal"/>
    <w:link w:val="HeaderChar"/>
    <w:uiPriority w:val="99"/>
    <w:qFormat/>
    <w:rsid w:val="00E777EC"/>
  </w:style>
  <w:style w:type="character" w:customStyle="1" w:styleId="HeaderChar">
    <w:name w:val="Header Char"/>
    <w:aliases w:val="FSHeader Char"/>
    <w:basedOn w:val="DefaultParagraphFont"/>
    <w:link w:val="Header"/>
    <w:uiPriority w:val="99"/>
    <w:rsid w:val="00F83A0E"/>
    <w:rPr>
      <w:rFonts w:ascii="Arial" w:hAnsi="Arial"/>
      <w:sz w:val="22"/>
      <w:szCs w:val="24"/>
      <w:lang w:eastAsia="en-US" w:bidi="en-US"/>
    </w:rPr>
  </w:style>
  <w:style w:type="paragraph" w:customStyle="1" w:styleId="FSTitle">
    <w:name w:val="FS Title"/>
    <w:basedOn w:val="Normal"/>
    <w:qFormat/>
    <w:rsid w:val="00DB2973"/>
    <w:rPr>
      <w:rFonts w:ascii="Tahoma" w:hAnsi="Tahoma" w:cs="Tahoma"/>
      <w:b/>
      <w:bCs/>
      <w:sz w:val="36"/>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7D12B6"/>
    <w:pPr>
      <w:tabs>
        <w:tab w:val="left" w:pos="993"/>
        <w:tab w:val="right" w:leader="dot" w:pos="9016"/>
      </w:tabs>
      <w:spacing w:before="120" w:after="120"/>
      <w:ind w:left="993" w:hanging="993"/>
    </w:pPr>
    <w:rPr>
      <w:b/>
      <w:bCs/>
      <w:caps/>
    </w:rPr>
  </w:style>
  <w:style w:type="paragraph" w:styleId="TOC2">
    <w:name w:val="toc 2"/>
    <w:basedOn w:val="Normal"/>
    <w:next w:val="Normal"/>
    <w:autoRedefine/>
    <w:uiPriority w:val="39"/>
    <w:rsid w:val="00D462DC"/>
    <w:pPr>
      <w:tabs>
        <w:tab w:val="left" w:pos="960"/>
        <w:tab w:val="right" w:leader="dot" w:pos="9016"/>
      </w:tabs>
      <w:ind w:left="993" w:hanging="753"/>
    </w:pPr>
    <w:rPr>
      <w:smallCaps/>
    </w:rPr>
  </w:style>
  <w:style w:type="paragraph" w:styleId="Footer">
    <w:name w:val="footer"/>
    <w:aliases w:val="FSFooter"/>
    <w:basedOn w:val="Normal"/>
    <w:link w:val="FooterChar"/>
    <w:uiPriority w:val="99"/>
    <w:rsid w:val="007F277A"/>
    <w:pPr>
      <w:tabs>
        <w:tab w:val="center" w:pos="4153"/>
        <w:tab w:val="right" w:pos="8306"/>
      </w:tabs>
    </w:pPr>
  </w:style>
  <w:style w:type="character" w:customStyle="1" w:styleId="FooterChar">
    <w:name w:val="Footer Char"/>
    <w:aliases w:val="FSFooter Char"/>
    <w:basedOn w:val="DefaultParagraphFont"/>
    <w:link w:val="Footer"/>
    <w:uiPriority w:val="99"/>
    <w:rsid w:val="00F83A0E"/>
    <w:rPr>
      <w:rFonts w:ascii="Arial" w:hAnsi="Arial"/>
      <w:sz w:val="22"/>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rsid w:val="007F277A"/>
    <w:pPr>
      <w:ind w:left="480"/>
    </w:pPr>
    <w:rPr>
      <w:i/>
      <w:iCs/>
    </w:rPr>
  </w:style>
  <w:style w:type="paragraph" w:styleId="TOC4">
    <w:name w:val="toc 4"/>
    <w:basedOn w:val="Normal"/>
    <w:next w:val="Normal"/>
    <w:autoRedefine/>
    <w:semiHidden/>
    <w:rsid w:val="007F277A"/>
    <w:pPr>
      <w:ind w:left="720"/>
    </w:pPr>
    <w:rPr>
      <w:szCs w:val="21"/>
    </w:rPr>
  </w:style>
  <w:style w:type="paragraph" w:styleId="TOC5">
    <w:name w:val="toc 5"/>
    <w:basedOn w:val="Normal"/>
    <w:next w:val="Normal"/>
    <w:autoRedefine/>
    <w:semiHidden/>
    <w:rsid w:val="007F277A"/>
    <w:pPr>
      <w:ind w:left="960"/>
    </w:pPr>
    <w:rPr>
      <w:szCs w:val="21"/>
    </w:rPr>
  </w:style>
  <w:style w:type="character" w:styleId="FollowedHyperlink">
    <w:name w:val="FollowedHyperlink"/>
    <w:basedOn w:val="DefaultParagraphFont"/>
    <w:uiPriority w:val="99"/>
    <w:rsid w:val="007F277A"/>
    <w:rPr>
      <w:color w:val="800080"/>
      <w:u w:val="single"/>
    </w:rPr>
  </w:style>
  <w:style w:type="paragraph" w:styleId="TOC6">
    <w:name w:val="toc 6"/>
    <w:basedOn w:val="Normal"/>
    <w:next w:val="Normal"/>
    <w:autoRedefine/>
    <w:semiHidden/>
    <w:rsid w:val="007F277A"/>
    <w:pPr>
      <w:ind w:left="1200"/>
    </w:pPr>
    <w:rPr>
      <w:szCs w:val="21"/>
    </w:rPr>
  </w:style>
  <w:style w:type="paragraph" w:customStyle="1" w:styleId="142Tableheading2">
    <w:name w:val="1.4.2 Table heading2"/>
    <w:basedOn w:val="Normal"/>
    <w:rsid w:val="007F277A"/>
    <w:pPr>
      <w:keepNext/>
      <w:jc w:val="center"/>
    </w:pPr>
    <w:rPr>
      <w:iCs/>
      <w:smallCaps/>
      <w:sz w:val="20"/>
      <w:szCs w:val="20"/>
    </w:rPr>
  </w:style>
  <w:style w:type="paragraph" w:customStyle="1" w:styleId="Box1">
    <w:name w:val="Box 1"/>
    <w:basedOn w:val="Normal"/>
    <w:rsid w:val="007F277A"/>
    <w:pPr>
      <w:tabs>
        <w:tab w:val="num" w:pos="120"/>
      </w:tabs>
      <w:ind w:left="113" w:hanging="113"/>
    </w:pPr>
    <w:rPr>
      <w:sz w:val="16"/>
    </w:rPr>
  </w:style>
  <w:style w:type="paragraph" w:customStyle="1" w:styleId="Box2">
    <w:name w:val="Box 2"/>
    <w:basedOn w:val="Normal"/>
    <w:rsid w:val="007F277A"/>
    <w:pPr>
      <w:tabs>
        <w:tab w:val="left" w:pos="4608"/>
        <w:tab w:val="left" w:pos="9180"/>
        <w:tab w:val="left" w:pos="9216"/>
      </w:tabs>
      <w:jc w:val="center"/>
    </w:pPr>
    <w:rPr>
      <w:b/>
      <w:bCs/>
      <w:i/>
      <w:iCs/>
      <w:color w:val="000000"/>
      <w:sz w:val="16"/>
    </w:rPr>
  </w:style>
  <w:style w:type="paragraph" w:customStyle="1" w:styleId="Box3">
    <w:name w:val="Box 3"/>
    <w:basedOn w:val="Normal"/>
    <w:rsid w:val="007F277A"/>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sid w:val="007F277A"/>
    <w:rPr>
      <w:b/>
      <w:bCs/>
      <w:iCs w:val="0"/>
    </w:rPr>
  </w:style>
  <w:style w:type="paragraph" w:customStyle="1" w:styleId="142tabletext1">
    <w:name w:val="1.4.2 table text1"/>
    <w:basedOn w:val="Normal"/>
    <w:rsid w:val="007F277A"/>
    <w:pPr>
      <w:ind w:left="142" w:hanging="142"/>
    </w:pPr>
    <w:rPr>
      <w:smallCaps/>
      <w:sz w:val="20"/>
      <w:szCs w:val="20"/>
    </w:rPr>
  </w:style>
  <w:style w:type="paragraph" w:customStyle="1" w:styleId="142tabletext2">
    <w:name w:val="1.4.2 table text2"/>
    <w:basedOn w:val="142tabletext1"/>
    <w:rsid w:val="007F277A"/>
    <w:pPr>
      <w:jc w:val="right"/>
    </w:pPr>
  </w:style>
  <w:style w:type="paragraph" w:customStyle="1" w:styleId="Clause">
    <w:name w:val="Clause"/>
    <w:basedOn w:val="Normal"/>
    <w:next w:val="Normal"/>
    <w:link w:val="ClauseChar"/>
    <w:rsid w:val="007F277A"/>
    <w:pPr>
      <w:tabs>
        <w:tab w:val="left" w:pos="851"/>
      </w:tabs>
    </w:pPr>
    <w:rPr>
      <w:szCs w:val="20"/>
    </w:rPr>
  </w:style>
  <w:style w:type="paragraph" w:customStyle="1" w:styleId="Clauseheading">
    <w:name w:val="Clause heading"/>
    <w:basedOn w:val="Normal"/>
    <w:next w:val="Normal"/>
    <w:rsid w:val="007F277A"/>
    <w:pPr>
      <w:tabs>
        <w:tab w:val="left" w:pos="851"/>
      </w:tabs>
    </w:pPr>
    <w:rPr>
      <w:b/>
      <w:szCs w:val="20"/>
    </w:rPr>
  </w:style>
  <w:style w:type="paragraph" w:customStyle="1" w:styleId="ClauseList">
    <w:name w:val="Clause List"/>
    <w:basedOn w:val="Clause"/>
    <w:next w:val="Normal"/>
    <w:rsid w:val="007F277A"/>
  </w:style>
  <w:style w:type="paragraph" w:customStyle="1" w:styleId="Definition">
    <w:name w:val="Definition"/>
    <w:basedOn w:val="Normal"/>
    <w:next w:val="Normal"/>
    <w:link w:val="DefinitionChar"/>
    <w:rsid w:val="007F277A"/>
    <w:pPr>
      <w:ind w:left="1701" w:hanging="851"/>
    </w:pPr>
    <w:rPr>
      <w:szCs w:val="20"/>
    </w:rPr>
  </w:style>
  <w:style w:type="paragraph" w:customStyle="1" w:styleId="DivisionHeading">
    <w:name w:val="Division Heading"/>
    <w:basedOn w:val="Normal"/>
    <w:next w:val="Normal"/>
    <w:rsid w:val="007F277A"/>
    <w:pPr>
      <w:tabs>
        <w:tab w:val="left" w:pos="851"/>
      </w:tabs>
      <w:jc w:val="center"/>
    </w:pPr>
    <w:rPr>
      <w:b/>
      <w:sz w:val="28"/>
      <w:szCs w:val="20"/>
    </w:rPr>
  </w:style>
  <w:style w:type="paragraph" w:customStyle="1" w:styleId="EditorialNoteLine1">
    <w:name w:val="Editorial Note Line 1"/>
    <w:basedOn w:val="Normal"/>
    <w:next w:val="Normal"/>
    <w:rsid w:val="007F277A"/>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sid w:val="007F277A"/>
    <w:rPr>
      <w:b w:val="0"/>
    </w:rPr>
  </w:style>
  <w:style w:type="paragraph" w:customStyle="1" w:styleId="Footnote">
    <w:name w:val="Footnote"/>
    <w:basedOn w:val="Normal"/>
    <w:rsid w:val="007F277A"/>
    <w:pPr>
      <w:tabs>
        <w:tab w:val="left" w:pos="851"/>
      </w:tabs>
    </w:pPr>
    <w:rPr>
      <w:sz w:val="20"/>
      <w:szCs w:val="20"/>
    </w:rPr>
  </w:style>
  <w:style w:type="paragraph" w:customStyle="1" w:styleId="MiscellaneousHeading">
    <w:name w:val="Miscellaneous Heading"/>
    <w:basedOn w:val="Normal"/>
    <w:next w:val="Normal"/>
    <w:rsid w:val="007F277A"/>
    <w:rPr>
      <w:b/>
      <w:szCs w:val="20"/>
    </w:rPr>
  </w:style>
  <w:style w:type="paragraph" w:customStyle="1" w:styleId="Paragraph">
    <w:name w:val="Paragraph"/>
    <w:basedOn w:val="Clause"/>
    <w:next w:val="Normal"/>
    <w:rsid w:val="007F277A"/>
    <w:pPr>
      <w:tabs>
        <w:tab w:val="clear" w:pos="851"/>
      </w:tabs>
      <w:ind w:left="1702" w:hanging="851"/>
    </w:pPr>
  </w:style>
  <w:style w:type="paragraph" w:customStyle="1" w:styleId="ScheduleHeading">
    <w:name w:val="Schedule Heading"/>
    <w:basedOn w:val="Normal"/>
    <w:next w:val="Normal"/>
    <w:rsid w:val="007F277A"/>
    <w:pPr>
      <w:tabs>
        <w:tab w:val="left" w:pos="851"/>
      </w:tabs>
      <w:jc w:val="center"/>
    </w:pPr>
    <w:rPr>
      <w:b/>
      <w:caps/>
      <w:szCs w:val="20"/>
    </w:rPr>
  </w:style>
  <w:style w:type="paragraph" w:customStyle="1" w:styleId="Standardtitle">
    <w:name w:val="Standard title"/>
    <w:basedOn w:val="Normal"/>
    <w:rsid w:val="007F277A"/>
    <w:pPr>
      <w:tabs>
        <w:tab w:val="left" w:pos="851"/>
      </w:tabs>
      <w:jc w:val="center"/>
    </w:pPr>
    <w:rPr>
      <w:b/>
      <w:i/>
      <w:iCs/>
      <w:caps/>
      <w:sz w:val="28"/>
      <w:szCs w:val="20"/>
    </w:rPr>
  </w:style>
  <w:style w:type="paragraph" w:customStyle="1" w:styleId="Subclause">
    <w:name w:val="Subclause"/>
    <w:basedOn w:val="Clause"/>
    <w:link w:val="SubclauseChar"/>
    <w:rsid w:val="007F277A"/>
    <w:pPr>
      <w:ind w:hanging="11"/>
    </w:pPr>
  </w:style>
  <w:style w:type="paragraph" w:customStyle="1" w:styleId="Subparagraph">
    <w:name w:val="Subparagraph"/>
    <w:basedOn w:val="Paragraph"/>
    <w:next w:val="Normal"/>
    <w:rsid w:val="007F277A"/>
    <w:pPr>
      <w:ind w:left="2553"/>
    </w:pPr>
  </w:style>
  <w:style w:type="paragraph" w:customStyle="1" w:styleId="Table1">
    <w:name w:val="Table 1"/>
    <w:basedOn w:val="Normal"/>
    <w:rsid w:val="007F277A"/>
    <w:pPr>
      <w:spacing w:after="120"/>
      <w:jc w:val="center"/>
    </w:pPr>
    <w:rPr>
      <w:b/>
      <w:bCs/>
      <w:sz w:val="20"/>
      <w:szCs w:val="20"/>
    </w:rPr>
  </w:style>
  <w:style w:type="paragraph" w:customStyle="1" w:styleId="Table2">
    <w:name w:val="Table 2"/>
    <w:basedOn w:val="Normal"/>
    <w:rsid w:val="007F277A"/>
    <w:pPr>
      <w:ind w:left="142" w:hanging="142"/>
    </w:pPr>
    <w:rPr>
      <w:bCs/>
      <w:sz w:val="20"/>
      <w:szCs w:val="20"/>
    </w:rPr>
  </w:style>
  <w:style w:type="paragraph" w:customStyle="1" w:styleId="TableHeading">
    <w:name w:val="Table Heading"/>
    <w:basedOn w:val="Normal"/>
    <w:next w:val="Normal"/>
    <w:rsid w:val="007F277A"/>
    <w:pPr>
      <w:tabs>
        <w:tab w:val="left" w:pos="851"/>
      </w:tabs>
      <w:jc w:val="center"/>
    </w:pPr>
    <w:rPr>
      <w:b/>
      <w:szCs w:val="20"/>
    </w:rPr>
  </w:style>
  <w:style w:type="paragraph" w:customStyle="1" w:styleId="TitleBorder">
    <w:name w:val="TitleBorder"/>
    <w:basedOn w:val="Normal"/>
    <w:rsid w:val="007F277A"/>
    <w:pPr>
      <w:pBdr>
        <w:bottom w:val="double" w:sz="6" w:space="0" w:color="auto"/>
      </w:pBdr>
      <w:tabs>
        <w:tab w:val="left" w:pos="851"/>
      </w:tabs>
    </w:pPr>
    <w:rPr>
      <w:b/>
      <w:szCs w:val="20"/>
    </w:rPr>
  </w:style>
  <w:style w:type="paragraph" w:styleId="TOC7">
    <w:name w:val="toc 7"/>
    <w:basedOn w:val="Normal"/>
    <w:next w:val="Normal"/>
    <w:autoRedefine/>
    <w:semiHidden/>
    <w:rsid w:val="007F277A"/>
    <w:pPr>
      <w:ind w:left="1440"/>
    </w:pPr>
    <w:rPr>
      <w:szCs w:val="21"/>
    </w:rPr>
  </w:style>
  <w:style w:type="paragraph" w:styleId="TOC8">
    <w:name w:val="toc 8"/>
    <w:basedOn w:val="Normal"/>
    <w:next w:val="Normal"/>
    <w:autoRedefine/>
    <w:semiHidden/>
    <w:rsid w:val="007F277A"/>
    <w:pPr>
      <w:ind w:left="1680"/>
    </w:pPr>
    <w:rPr>
      <w:szCs w:val="21"/>
    </w:rPr>
  </w:style>
  <w:style w:type="paragraph" w:styleId="TOC9">
    <w:name w:val="toc 9"/>
    <w:basedOn w:val="Normal"/>
    <w:next w:val="Normal"/>
    <w:autoRedefine/>
    <w:semiHidden/>
    <w:rsid w:val="007F277A"/>
    <w:pPr>
      <w:ind w:left="1920"/>
    </w:pPr>
    <w:rPr>
      <w:szCs w:val="21"/>
    </w:rPr>
  </w:style>
  <w:style w:type="paragraph" w:styleId="FootnoteText">
    <w:name w:val="footnote text"/>
    <w:aliases w:val="FSFootnote Text"/>
    <w:basedOn w:val="Normal"/>
    <w:link w:val="FootnoteTextChar"/>
    <w:qFormat/>
    <w:rsid w:val="007F277A"/>
    <w:rPr>
      <w:sz w:val="20"/>
      <w:szCs w:val="20"/>
    </w:rPr>
  </w:style>
  <w:style w:type="character" w:customStyle="1" w:styleId="FootnoteTextChar">
    <w:name w:val="Footnote Text Char"/>
    <w:aliases w:val="FSFootnote Text Char"/>
    <w:basedOn w:val="DefaultParagraphFont"/>
    <w:link w:val="FootnoteText"/>
    <w:uiPriority w:val="99"/>
    <w:rsid w:val="00F83A0E"/>
    <w:rPr>
      <w:rFonts w:ascii="Arial" w:hAnsi="Arial"/>
      <w:lang w:eastAsia="en-US" w:bidi="en-US"/>
    </w:rPr>
  </w:style>
  <w:style w:type="character" w:styleId="FootnoteReference">
    <w:name w:val="footnote reference"/>
    <w:basedOn w:val="DefaultParagraphFont"/>
    <w:uiPriority w:val="99"/>
    <w:semiHidden/>
    <w:rsid w:val="007F277A"/>
    <w:rPr>
      <w:vertAlign w:val="superscript"/>
    </w:rPr>
  </w:style>
  <w:style w:type="paragraph" w:customStyle="1" w:styleId="heading">
    <w:name w:val="heading"/>
    <w:basedOn w:val="Normal"/>
    <w:rsid w:val="007F277A"/>
    <w:pPr>
      <w:tabs>
        <w:tab w:val="left" w:pos="840"/>
      </w:tabs>
      <w:ind w:left="851" w:hanging="851"/>
    </w:pPr>
    <w:rPr>
      <w:b/>
      <w:caps/>
      <w:szCs w:val="20"/>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7602AA"/>
    <w:pPr>
      <w:pBdr>
        <w:top w:val="single" w:sz="4" w:space="1" w:color="auto"/>
        <w:left w:val="single" w:sz="4" w:space="4" w:color="auto"/>
        <w:bottom w:val="single" w:sz="4" w:space="1" w:color="auto"/>
        <w:right w:val="single" w:sz="4" w:space="4" w:color="auto"/>
      </w:pBdr>
    </w:pPr>
    <w:rPr>
      <w:rFonts w:ascii="Arial Bold" w:hAnsi="Arial Bold"/>
      <w:b/>
    </w:r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F83A0E"/>
    <w:rPr>
      <w:rFonts w:ascii="Tahoma" w:hAnsi="Tahoma" w:cs="Tahoma"/>
      <w:sz w:val="16"/>
      <w:szCs w:val="16"/>
      <w:lang w:eastAsia="en-US" w:bidi="en-US"/>
    </w:rPr>
  </w:style>
  <w:style w:type="paragraph" w:styleId="TOCHeading">
    <w:name w:val="TOC Heading"/>
    <w:basedOn w:val="Heading1"/>
    <w:next w:val="Normal"/>
    <w:uiPriority w:val="39"/>
    <w:semiHidden/>
    <w:unhideWhenUsed/>
    <w:qFormat/>
    <w:rsid w:val="00B731D3"/>
    <w:pPr>
      <w:outlineLvl w:val="9"/>
    </w:pPr>
    <w:rPr>
      <w:rFonts w:cs="Times New Roman"/>
    </w:rPr>
  </w:style>
  <w:style w:type="paragraph" w:customStyle="1" w:styleId="FSBullet">
    <w:name w:val="FS Bullet"/>
    <w:basedOn w:val="Normal"/>
    <w:next w:val="Normal"/>
    <w:link w:val="FSBulletChar"/>
    <w:qFormat/>
    <w:rsid w:val="00E2003B"/>
    <w:pPr>
      <w:numPr>
        <w:numId w:val="1"/>
      </w:numPr>
    </w:pPr>
    <w:rPr>
      <w:rFonts w:cs="Arial"/>
    </w:rPr>
  </w:style>
  <w:style w:type="character" w:customStyle="1" w:styleId="FSBulletChar">
    <w:name w:val="FS Bullet Char"/>
    <w:basedOn w:val="DefaultParagraphFont"/>
    <w:link w:val="FSBullet"/>
    <w:rsid w:val="00E2003B"/>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ListParagraph">
    <w:name w:val="List Paragraph"/>
    <w:basedOn w:val="Normal"/>
    <w:uiPriority w:val="34"/>
    <w:qFormat/>
    <w:rsid w:val="00B551C9"/>
    <w:pPr>
      <w:ind w:left="720"/>
      <w:contextualSpacing/>
    </w:pPr>
  </w:style>
  <w:style w:type="paragraph" w:customStyle="1" w:styleId="Bullet">
    <w:name w:val="Bullet"/>
    <w:basedOn w:val="Normal"/>
    <w:next w:val="Normal"/>
    <w:link w:val="BulletChar"/>
    <w:rsid w:val="00F83A0E"/>
    <w:pPr>
      <w:spacing w:after="200" w:line="276" w:lineRule="auto"/>
      <w:ind w:left="567" w:hanging="567"/>
    </w:pPr>
    <w:rPr>
      <w:rFonts w:ascii="Times New Roman" w:eastAsiaTheme="minorHAnsi" w:hAnsi="Times New Roman" w:cstheme="minorBidi"/>
      <w:lang w:bidi="ar-SA"/>
    </w:rPr>
  </w:style>
  <w:style w:type="character" w:customStyle="1" w:styleId="BulletChar">
    <w:name w:val="Bullet Char"/>
    <w:basedOn w:val="DefaultParagraphFont"/>
    <w:link w:val="Bullet"/>
    <w:locked/>
    <w:rsid w:val="00810708"/>
    <w:rPr>
      <w:rFonts w:ascii="Times New Roman" w:eastAsiaTheme="minorHAnsi" w:hAnsi="Times New Roman" w:cstheme="minorBidi"/>
      <w:sz w:val="22"/>
      <w:szCs w:val="24"/>
      <w:lang w:eastAsia="en-US"/>
    </w:rPr>
  </w:style>
  <w:style w:type="paragraph" w:styleId="NormalWeb">
    <w:name w:val="Normal (Web)"/>
    <w:basedOn w:val="Normal"/>
    <w:uiPriority w:val="99"/>
    <w:rsid w:val="00F83A0E"/>
    <w:pPr>
      <w:widowControl/>
      <w:spacing w:before="100" w:beforeAutospacing="1" w:after="100" w:afterAutospacing="1" w:line="276" w:lineRule="auto"/>
    </w:pPr>
    <w:rPr>
      <w:rFonts w:ascii="Times New Roman" w:eastAsiaTheme="minorHAnsi" w:hAnsi="Times New Roman" w:cstheme="minorBidi"/>
      <w:lang w:val="en-AU" w:eastAsia="en-AU" w:bidi="ar-SA"/>
    </w:rPr>
  </w:style>
  <w:style w:type="character" w:customStyle="1" w:styleId="EmailStyle831">
    <w:name w:val="EmailStyle831"/>
    <w:basedOn w:val="DefaultParagraphFont"/>
    <w:rsid w:val="00F83A0E"/>
    <w:rPr>
      <w:rFonts w:ascii="Arial" w:hAnsi="Arial" w:cs="Arial"/>
      <w:color w:val="000000"/>
      <w:sz w:val="20"/>
      <w:szCs w:val="20"/>
    </w:rPr>
  </w:style>
  <w:style w:type="paragraph" w:styleId="HTMLPreformatted">
    <w:name w:val="HTML Preformatted"/>
    <w:basedOn w:val="Normal"/>
    <w:link w:val="HTMLPreformattedChar"/>
    <w:rsid w:val="00F83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HAnsi" w:hAnsi="Courier New" w:cs="Courier New"/>
      <w:sz w:val="20"/>
      <w:szCs w:val="22"/>
      <w:lang w:val="en-AU" w:eastAsia="en-AU" w:bidi="ar-SA"/>
    </w:rPr>
  </w:style>
  <w:style w:type="character" w:customStyle="1" w:styleId="HTMLPreformattedChar">
    <w:name w:val="HTML Preformatted Char"/>
    <w:basedOn w:val="DefaultParagraphFont"/>
    <w:link w:val="HTMLPreformatted"/>
    <w:rsid w:val="00F83A0E"/>
    <w:rPr>
      <w:rFonts w:ascii="Courier New" w:eastAsiaTheme="minorHAnsi" w:hAnsi="Courier New" w:cs="Courier New"/>
      <w:szCs w:val="22"/>
      <w:lang w:val="en-AU" w:eastAsia="en-AU"/>
    </w:rPr>
  </w:style>
  <w:style w:type="paragraph" w:customStyle="1" w:styleId="Default">
    <w:name w:val="Default"/>
    <w:rsid w:val="00F83A0E"/>
    <w:pPr>
      <w:autoSpaceDE w:val="0"/>
      <w:autoSpaceDN w:val="0"/>
      <w:adjustRightInd w:val="0"/>
    </w:pPr>
    <w:rPr>
      <w:rFonts w:ascii="CVKFAZ+Helvetica-Bold" w:hAnsi="CVKFAZ+Helvetica-Bold" w:cs="CVKFAZ+Helvetica-Bold"/>
      <w:color w:val="000000"/>
      <w:sz w:val="24"/>
      <w:szCs w:val="24"/>
      <w:lang w:val="en-AU" w:eastAsia="en-AU"/>
    </w:rPr>
  </w:style>
  <w:style w:type="paragraph" w:styleId="Title">
    <w:name w:val="Title"/>
    <w:basedOn w:val="Normal"/>
    <w:next w:val="Normal"/>
    <w:link w:val="TitleChar"/>
    <w:uiPriority w:val="10"/>
    <w:qFormat/>
    <w:rsid w:val="00F83A0E"/>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F83A0E"/>
    <w:rPr>
      <w:rFonts w:asciiTheme="majorHAnsi" w:eastAsiaTheme="majorEastAsia" w:hAnsiTheme="majorHAnsi"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qFormat/>
    <w:rsid w:val="00F83A0E"/>
    <w:pPr>
      <w:widowControl/>
      <w:numPr>
        <w:ilvl w:val="1"/>
      </w:numPr>
      <w:spacing w:after="200" w:line="276" w:lineRule="auto"/>
    </w:pPr>
    <w:rPr>
      <w:rFonts w:asciiTheme="majorHAnsi" w:eastAsiaTheme="majorEastAsia" w:hAnsiTheme="majorHAnsi"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F83A0E"/>
    <w:rPr>
      <w:rFonts w:asciiTheme="majorHAnsi" w:eastAsiaTheme="majorEastAsia" w:hAnsiTheme="majorHAnsi" w:cstheme="majorBidi"/>
      <w:i/>
      <w:iCs/>
      <w:color w:val="4F81BD" w:themeColor="accent1"/>
      <w:spacing w:val="15"/>
      <w:sz w:val="24"/>
      <w:szCs w:val="24"/>
      <w:lang w:val="en-AU" w:eastAsia="en-US"/>
    </w:rPr>
  </w:style>
  <w:style w:type="character" w:styleId="Strong">
    <w:name w:val="Strong"/>
    <w:uiPriority w:val="22"/>
    <w:qFormat/>
    <w:rsid w:val="00F83A0E"/>
    <w:rPr>
      <w:b/>
      <w:bCs/>
    </w:rPr>
  </w:style>
  <w:style w:type="character" w:styleId="Emphasis">
    <w:name w:val="Emphasis"/>
    <w:uiPriority w:val="20"/>
    <w:qFormat/>
    <w:rsid w:val="00F83A0E"/>
    <w:rPr>
      <w:i/>
      <w:iCs/>
    </w:rPr>
  </w:style>
  <w:style w:type="paragraph" w:styleId="NoSpacing">
    <w:name w:val="No Spacing"/>
    <w:basedOn w:val="Normal"/>
    <w:uiPriority w:val="1"/>
    <w:qFormat/>
    <w:rsid w:val="00F83A0E"/>
    <w:pPr>
      <w:widowControl/>
    </w:pPr>
    <w:rPr>
      <w:rFonts w:asciiTheme="minorHAnsi" w:eastAsiaTheme="minorHAnsi" w:hAnsiTheme="minorHAnsi" w:cstheme="minorBidi"/>
      <w:szCs w:val="22"/>
      <w:lang w:val="en-AU" w:bidi="ar-SA"/>
    </w:rPr>
  </w:style>
  <w:style w:type="paragraph" w:styleId="Quote">
    <w:name w:val="Quote"/>
    <w:basedOn w:val="Normal"/>
    <w:next w:val="Normal"/>
    <w:link w:val="QuoteChar"/>
    <w:uiPriority w:val="29"/>
    <w:qFormat/>
    <w:rsid w:val="00F83A0E"/>
    <w:pPr>
      <w:widowControl/>
      <w:spacing w:after="200" w:line="276" w:lineRule="auto"/>
    </w:pPr>
    <w:rPr>
      <w:rFonts w:asciiTheme="minorHAnsi" w:eastAsiaTheme="minorHAnsi" w:hAnsi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F83A0E"/>
    <w:rPr>
      <w:rFonts w:asciiTheme="minorHAnsi" w:eastAsiaTheme="minorHAnsi" w:hAnsiTheme="minorHAnsi" w:cstheme="minorBidi"/>
      <w:i/>
      <w:iCs/>
      <w:color w:val="000000" w:themeColor="text1"/>
      <w:sz w:val="22"/>
      <w:szCs w:val="22"/>
      <w:lang w:val="en-AU" w:eastAsia="en-US"/>
    </w:rPr>
  </w:style>
  <w:style w:type="paragraph" w:styleId="IntenseQuote">
    <w:name w:val="Intense Quote"/>
    <w:basedOn w:val="Normal"/>
    <w:next w:val="Normal"/>
    <w:link w:val="IntenseQuoteChar"/>
    <w:uiPriority w:val="30"/>
    <w:qFormat/>
    <w:rsid w:val="00F83A0E"/>
    <w:pPr>
      <w:widowControl/>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val="en-AU" w:bidi="ar-SA"/>
    </w:rPr>
  </w:style>
  <w:style w:type="character" w:customStyle="1" w:styleId="IntenseQuoteChar">
    <w:name w:val="Intense Quote Char"/>
    <w:basedOn w:val="DefaultParagraphFont"/>
    <w:link w:val="IntenseQuote"/>
    <w:uiPriority w:val="30"/>
    <w:rsid w:val="00F83A0E"/>
    <w:rPr>
      <w:rFonts w:asciiTheme="minorHAnsi" w:eastAsiaTheme="minorHAnsi" w:hAnsiTheme="minorHAnsi" w:cstheme="minorBidi"/>
      <w:b/>
      <w:bCs/>
      <w:i/>
      <w:iCs/>
      <w:color w:val="4F81BD" w:themeColor="accent1"/>
      <w:sz w:val="22"/>
      <w:szCs w:val="22"/>
      <w:lang w:val="en-AU" w:eastAsia="en-US"/>
    </w:rPr>
  </w:style>
  <w:style w:type="character" w:styleId="SubtleEmphasis">
    <w:name w:val="Subtle Emphasis"/>
    <w:uiPriority w:val="19"/>
    <w:qFormat/>
    <w:rsid w:val="00F83A0E"/>
    <w:rPr>
      <w:i/>
      <w:iCs/>
      <w:color w:val="808080" w:themeColor="text1" w:themeTint="7F"/>
    </w:rPr>
  </w:style>
  <w:style w:type="character" w:styleId="IntenseEmphasis">
    <w:name w:val="Intense Emphasis"/>
    <w:uiPriority w:val="21"/>
    <w:qFormat/>
    <w:rsid w:val="00F83A0E"/>
    <w:rPr>
      <w:b/>
      <w:bCs/>
      <w:i/>
      <w:iCs/>
      <w:color w:val="4F81BD" w:themeColor="accent1"/>
    </w:rPr>
  </w:style>
  <w:style w:type="character" w:styleId="SubtleReference">
    <w:name w:val="Subtle Reference"/>
    <w:uiPriority w:val="31"/>
    <w:qFormat/>
    <w:rsid w:val="00F83A0E"/>
    <w:rPr>
      <w:smallCaps/>
      <w:color w:val="C0504D" w:themeColor="accent2"/>
      <w:u w:val="single"/>
    </w:rPr>
  </w:style>
  <w:style w:type="character" w:styleId="IntenseReference">
    <w:name w:val="Intense Reference"/>
    <w:uiPriority w:val="32"/>
    <w:qFormat/>
    <w:rsid w:val="00F83A0E"/>
    <w:rPr>
      <w:b/>
      <w:bCs/>
      <w:smallCaps/>
      <w:color w:val="C0504D" w:themeColor="accent2"/>
      <w:spacing w:val="5"/>
      <w:u w:val="single"/>
    </w:rPr>
  </w:style>
  <w:style w:type="character" w:styleId="BookTitle">
    <w:name w:val="Book Title"/>
    <w:uiPriority w:val="33"/>
    <w:qFormat/>
    <w:rsid w:val="00F83A0E"/>
    <w:rPr>
      <w:b/>
      <w:bCs/>
      <w:smallCaps/>
      <w:spacing w:val="5"/>
    </w:rPr>
  </w:style>
  <w:style w:type="character" w:styleId="CommentReference">
    <w:name w:val="annotation reference"/>
    <w:basedOn w:val="DefaultParagraphFont"/>
    <w:uiPriority w:val="99"/>
    <w:unhideWhenUsed/>
    <w:rsid w:val="00F83A0E"/>
    <w:rPr>
      <w:sz w:val="16"/>
      <w:szCs w:val="16"/>
    </w:rPr>
  </w:style>
  <w:style w:type="paragraph" w:styleId="CommentText">
    <w:name w:val="annotation text"/>
    <w:basedOn w:val="Normal"/>
    <w:link w:val="CommentTextChar"/>
    <w:uiPriority w:val="99"/>
    <w:unhideWhenUsed/>
    <w:rsid w:val="00F83A0E"/>
    <w:pPr>
      <w:widowControl/>
      <w:spacing w:after="200"/>
    </w:pPr>
    <w:rPr>
      <w:rFonts w:asciiTheme="minorHAnsi" w:eastAsiaTheme="minorHAnsi" w:hAnsiTheme="minorHAnsi" w:cstheme="minorBidi"/>
      <w:sz w:val="20"/>
      <w:szCs w:val="20"/>
      <w:lang w:val="en-AU" w:bidi="ar-SA"/>
    </w:rPr>
  </w:style>
  <w:style w:type="character" w:customStyle="1" w:styleId="CommentTextChar">
    <w:name w:val="Comment Text Char"/>
    <w:basedOn w:val="DefaultParagraphFont"/>
    <w:link w:val="CommentText"/>
    <w:uiPriority w:val="99"/>
    <w:rsid w:val="00F83A0E"/>
    <w:rPr>
      <w:rFonts w:asciiTheme="minorHAnsi" w:eastAsiaTheme="minorHAnsi" w:hAnsiTheme="minorHAnsi" w:cstheme="minorBidi"/>
      <w:lang w:val="en-AU" w:eastAsia="en-US"/>
    </w:rPr>
  </w:style>
  <w:style w:type="paragraph" w:styleId="CommentSubject">
    <w:name w:val="annotation subject"/>
    <w:basedOn w:val="CommentText"/>
    <w:next w:val="CommentText"/>
    <w:link w:val="CommentSubjectChar"/>
    <w:uiPriority w:val="99"/>
    <w:unhideWhenUsed/>
    <w:rsid w:val="00F83A0E"/>
    <w:rPr>
      <w:b/>
      <w:bCs/>
    </w:rPr>
  </w:style>
  <w:style w:type="character" w:customStyle="1" w:styleId="CommentSubjectChar">
    <w:name w:val="Comment Subject Char"/>
    <w:basedOn w:val="CommentTextChar"/>
    <w:link w:val="CommentSubject"/>
    <w:uiPriority w:val="99"/>
    <w:rsid w:val="00F83A0E"/>
    <w:rPr>
      <w:rFonts w:asciiTheme="minorHAnsi" w:eastAsiaTheme="minorHAnsi" w:hAnsiTheme="minorHAnsi" w:cstheme="minorBidi"/>
      <w:b/>
      <w:bCs/>
      <w:lang w:val="en-AU" w:eastAsia="en-US"/>
    </w:rPr>
  </w:style>
  <w:style w:type="table" w:customStyle="1" w:styleId="Style1">
    <w:name w:val="Style1"/>
    <w:basedOn w:val="TableNormal"/>
    <w:uiPriority w:val="99"/>
    <w:qFormat/>
    <w:rsid w:val="00F83A0E"/>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styleId="MediumList1-Accent3">
    <w:name w:val="Medium List 1 Accent 3"/>
    <w:basedOn w:val="TableNormal"/>
    <w:uiPriority w:val="65"/>
    <w:rsid w:val="008E44E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
    <w:name w:val="Light List - Accent 11"/>
    <w:basedOn w:val="TableNormal"/>
    <w:uiPriority w:val="61"/>
    <w:rsid w:val="007337DF"/>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EF4E2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uiPriority w:val="63"/>
    <w:rsid w:val="00E05BF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ash">
    <w:name w:val="Dash"/>
    <w:basedOn w:val="Normal"/>
    <w:rsid w:val="00867D65"/>
    <w:pPr>
      <w:numPr>
        <w:numId w:val="3"/>
      </w:numPr>
      <w:tabs>
        <w:tab w:val="clear" w:pos="583"/>
      </w:tabs>
      <w:ind w:left="1134" w:hanging="567"/>
    </w:pPr>
    <w:rPr>
      <w:rFonts w:ascii="Times New Roman" w:hAnsi="Times New Roman"/>
      <w:snapToGrid w:val="0"/>
      <w:sz w:val="24"/>
      <w:szCs w:val="20"/>
      <w:lang w:val="en-US" w:bidi="ar-SA"/>
    </w:rPr>
  </w:style>
  <w:style w:type="paragraph" w:customStyle="1" w:styleId="citation">
    <w:name w:val="citation"/>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uthlist">
    <w:name w:val="auth_list"/>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ff">
    <w:name w:val="aff"/>
    <w:basedOn w:val="Normal"/>
    <w:rsid w:val="00D154B3"/>
    <w:pPr>
      <w:widowControl/>
      <w:spacing w:before="100" w:beforeAutospacing="1" w:after="100" w:afterAutospacing="1"/>
    </w:pPr>
    <w:rPr>
      <w:rFonts w:ascii="Times New Roman" w:hAnsi="Times New Roman"/>
      <w:sz w:val="24"/>
      <w:lang w:val="en-AU" w:eastAsia="en-AU" w:bidi="ar-SA"/>
    </w:rPr>
  </w:style>
  <w:style w:type="character" w:customStyle="1" w:styleId="criterion">
    <w:name w:val="criterion"/>
    <w:basedOn w:val="DefaultParagraphFont"/>
    <w:rsid w:val="00D154B3"/>
  </w:style>
  <w:style w:type="character" w:customStyle="1" w:styleId="criteria-value1">
    <w:name w:val="criteria-value1"/>
    <w:basedOn w:val="DefaultParagraphFont"/>
    <w:rsid w:val="00D154B3"/>
    <w:rPr>
      <w:b/>
      <w:bCs/>
      <w:color w:val="CC0000"/>
    </w:rPr>
  </w:style>
  <w:style w:type="character" w:customStyle="1" w:styleId="criteria-boolean">
    <w:name w:val="criteria-boolean"/>
    <w:basedOn w:val="DefaultParagraphFont"/>
    <w:rsid w:val="00D154B3"/>
  </w:style>
  <w:style w:type="character" w:customStyle="1" w:styleId="criteria-location">
    <w:name w:val="criteria-location"/>
    <w:basedOn w:val="DefaultParagraphFont"/>
    <w:rsid w:val="00D154B3"/>
  </w:style>
  <w:style w:type="paragraph" w:customStyle="1" w:styleId="Level2">
    <w:name w:val="Level 2"/>
    <w:basedOn w:val="Heading2"/>
    <w:link w:val="Level2Char"/>
    <w:rsid w:val="00D154B3"/>
    <w:pPr>
      <w:keepLines/>
      <w:widowControl/>
      <w:spacing w:before="240" w:after="240"/>
      <w:ind w:left="0" w:firstLine="0"/>
    </w:pPr>
    <w:rPr>
      <w:rFonts w:ascii="Arial" w:eastAsiaTheme="majorEastAsia" w:hAnsi="Arial" w:cs="Arial"/>
      <w:iCs w:val="0"/>
      <w:lang w:val="en-AU"/>
    </w:rPr>
  </w:style>
  <w:style w:type="character" w:customStyle="1" w:styleId="Level2Char">
    <w:name w:val="Level 2 Char"/>
    <w:basedOn w:val="Heading2Char"/>
    <w:link w:val="Level2"/>
    <w:rsid w:val="00D154B3"/>
    <w:rPr>
      <w:rFonts w:ascii="Arial" w:eastAsiaTheme="majorEastAsia" w:hAnsi="Arial" w:cs="Arial"/>
      <w:b/>
      <w:bCs/>
      <w:iCs w:val="0"/>
      <w:sz w:val="28"/>
      <w:szCs w:val="28"/>
      <w:lang w:val="en-AU" w:eastAsia="en-US" w:bidi="en-US"/>
    </w:rPr>
  </w:style>
  <w:style w:type="paragraph" w:customStyle="1" w:styleId="Level1">
    <w:name w:val="Level 1"/>
    <w:basedOn w:val="Heading1"/>
    <w:link w:val="Level1Char"/>
    <w:rsid w:val="00D154B3"/>
    <w:pPr>
      <w:keepNext w:val="0"/>
      <w:widowControl/>
      <w:spacing w:before="240" w:after="240"/>
      <w:ind w:left="0" w:firstLine="0"/>
    </w:pPr>
    <w:rPr>
      <w:rFonts w:ascii="Arial" w:hAnsi="Arial" w:cs="Arial"/>
      <w:kern w:val="36"/>
      <w:sz w:val="36"/>
      <w:szCs w:val="36"/>
      <w:lang w:val="en-AU" w:eastAsia="en-AU"/>
    </w:rPr>
  </w:style>
  <w:style w:type="character" w:customStyle="1" w:styleId="Level1Char">
    <w:name w:val="Level 1 Char"/>
    <w:basedOn w:val="Heading1Char"/>
    <w:link w:val="Level1"/>
    <w:rsid w:val="00D154B3"/>
    <w:rPr>
      <w:rFonts w:ascii="Arial" w:hAnsi="Arial" w:cs="Arial"/>
      <w:b/>
      <w:bCs/>
      <w:kern w:val="36"/>
      <w:sz w:val="36"/>
      <w:szCs w:val="36"/>
      <w:u w:val="single"/>
      <w:lang w:val="en-AU" w:eastAsia="en-AU" w:bidi="en-US"/>
    </w:rPr>
  </w:style>
  <w:style w:type="paragraph" w:customStyle="1" w:styleId="Level3">
    <w:name w:val="Level 3"/>
    <w:basedOn w:val="Heading3"/>
    <w:link w:val="Level3Char"/>
    <w:rsid w:val="00D154B3"/>
    <w:pPr>
      <w:keepLines/>
      <w:widowControl/>
      <w:spacing w:before="240" w:after="240"/>
      <w:ind w:left="0" w:firstLine="0"/>
    </w:pPr>
    <w:rPr>
      <w:rFonts w:ascii="Arial" w:eastAsiaTheme="majorEastAsia" w:hAnsi="Arial" w:cs="Arial"/>
      <w:szCs w:val="22"/>
      <w:lang w:val="en-AU"/>
    </w:rPr>
  </w:style>
  <w:style w:type="character" w:customStyle="1" w:styleId="Level3Char">
    <w:name w:val="Level 3 Char"/>
    <w:basedOn w:val="Heading3Char"/>
    <w:link w:val="Level3"/>
    <w:rsid w:val="00D154B3"/>
    <w:rPr>
      <w:rFonts w:ascii="Arial" w:eastAsiaTheme="majorEastAsia" w:hAnsi="Arial" w:cs="Arial"/>
      <w:b/>
      <w:bCs/>
      <w:sz w:val="22"/>
      <w:szCs w:val="22"/>
      <w:lang w:val="en-AU" w:eastAsia="en-US" w:bidi="en-US"/>
    </w:rPr>
  </w:style>
  <w:style w:type="paragraph" w:customStyle="1" w:styleId="Level4">
    <w:name w:val="Level 4"/>
    <w:basedOn w:val="Heading4"/>
    <w:link w:val="Level4Char"/>
    <w:rsid w:val="00D154B3"/>
    <w:pPr>
      <w:keepLines/>
      <w:widowControl/>
      <w:spacing w:before="240" w:after="240"/>
      <w:ind w:left="0" w:firstLine="0"/>
    </w:pPr>
    <w:rPr>
      <w:rFonts w:eastAsiaTheme="majorEastAsia" w:cs="Arial"/>
      <w:b/>
      <w:iCs/>
      <w:szCs w:val="22"/>
      <w:lang w:val="en-AU"/>
    </w:rPr>
  </w:style>
  <w:style w:type="character" w:customStyle="1" w:styleId="Level4Char">
    <w:name w:val="Level 4 Char"/>
    <w:basedOn w:val="Heading4Char"/>
    <w:link w:val="Level4"/>
    <w:rsid w:val="00D154B3"/>
    <w:rPr>
      <w:rFonts w:ascii="Arial" w:eastAsiaTheme="majorEastAsia" w:hAnsi="Arial" w:cs="Arial"/>
      <w:b/>
      <w:bCs/>
      <w:i/>
      <w:iCs/>
      <w:sz w:val="22"/>
      <w:szCs w:val="22"/>
      <w:lang w:val="en-AU" w:eastAsia="en-US" w:bidi="en-US"/>
    </w:rPr>
  </w:style>
  <w:style w:type="paragraph" w:customStyle="1" w:styleId="Level5">
    <w:name w:val="Level 5"/>
    <w:basedOn w:val="Heading5"/>
    <w:link w:val="Level5Char"/>
    <w:rsid w:val="00D154B3"/>
    <w:pPr>
      <w:keepNext/>
      <w:keepLines/>
      <w:widowControl/>
      <w:spacing w:before="240" w:after="240"/>
      <w:ind w:left="0" w:firstLine="0"/>
    </w:pPr>
    <w:rPr>
      <w:rFonts w:eastAsiaTheme="majorEastAsia" w:cs="Arial"/>
      <w:bCs w:val="0"/>
      <w:i/>
      <w:iCs w:val="0"/>
      <w:szCs w:val="22"/>
      <w:lang w:val="en-AU"/>
    </w:rPr>
  </w:style>
  <w:style w:type="character" w:customStyle="1" w:styleId="Level5Char">
    <w:name w:val="Level 5 Char"/>
    <w:basedOn w:val="Heading5Char"/>
    <w:link w:val="Level5"/>
    <w:rsid w:val="00D154B3"/>
    <w:rPr>
      <w:rFonts w:ascii="Arial" w:eastAsiaTheme="majorEastAsia" w:hAnsi="Arial" w:cs="Arial"/>
      <w:bCs w:val="0"/>
      <w:i/>
      <w:iCs w:val="0"/>
      <w:sz w:val="22"/>
      <w:szCs w:val="22"/>
      <w:u w:val="single"/>
      <w:lang w:val="en-AU" w:eastAsia="en-US" w:bidi="en-US"/>
    </w:rPr>
  </w:style>
  <w:style w:type="paragraph" w:customStyle="1" w:styleId="One">
    <w:name w:val="One"/>
    <w:basedOn w:val="Heading1"/>
    <w:link w:val="OneChar"/>
    <w:autoRedefine/>
    <w:qFormat/>
    <w:rsid w:val="00404090"/>
    <w:pPr>
      <w:keepNext w:val="0"/>
      <w:widowControl/>
      <w:spacing w:before="240" w:after="240" w:line="264" w:lineRule="atLeast"/>
      <w:jc w:val="both"/>
    </w:pPr>
    <w:rPr>
      <w:kern w:val="36"/>
      <w:szCs w:val="28"/>
      <w:u w:val="none"/>
      <w:lang w:val="en-AU" w:eastAsia="en-AU"/>
    </w:rPr>
  </w:style>
  <w:style w:type="character" w:customStyle="1" w:styleId="OneChar">
    <w:name w:val="One Char"/>
    <w:basedOn w:val="Heading1Char"/>
    <w:link w:val="One"/>
    <w:rsid w:val="00404090"/>
    <w:rPr>
      <w:rFonts w:ascii="Tahoma" w:hAnsi="Tahoma" w:cs="Tahoma"/>
      <w:b/>
      <w:bCs/>
      <w:kern w:val="36"/>
      <w:sz w:val="28"/>
      <w:szCs w:val="28"/>
      <w:u w:val="single"/>
      <w:lang w:val="en-AU" w:eastAsia="en-AU" w:bidi="en-US"/>
    </w:rPr>
  </w:style>
  <w:style w:type="paragraph" w:customStyle="1" w:styleId="Two">
    <w:name w:val="Two"/>
    <w:basedOn w:val="Heading2"/>
    <w:link w:val="TwoChar"/>
    <w:autoRedefine/>
    <w:qFormat/>
    <w:rsid w:val="00435E22"/>
    <w:pPr>
      <w:keepLines/>
      <w:widowControl/>
      <w:numPr>
        <w:ilvl w:val="1"/>
      </w:numPr>
      <w:spacing w:before="240" w:after="240"/>
      <w:ind w:left="851" w:hanging="851"/>
    </w:pPr>
    <w:rPr>
      <w:rFonts w:ascii="Arial" w:eastAsiaTheme="majorEastAsia" w:hAnsi="Arial" w:cs="Arial"/>
      <w:iCs w:val="0"/>
      <w:lang w:val="en-AU"/>
    </w:rPr>
  </w:style>
  <w:style w:type="character" w:customStyle="1" w:styleId="TwoChar">
    <w:name w:val="Two Char"/>
    <w:basedOn w:val="Heading2Char"/>
    <w:link w:val="Two"/>
    <w:rsid w:val="00435E22"/>
    <w:rPr>
      <w:rFonts w:ascii="Arial" w:eastAsiaTheme="majorEastAsia" w:hAnsi="Arial" w:cs="Arial"/>
      <w:b/>
      <w:bCs/>
      <w:iCs w:val="0"/>
      <w:sz w:val="28"/>
      <w:szCs w:val="28"/>
      <w:lang w:val="en-AU" w:eastAsia="en-US" w:bidi="en-US"/>
    </w:rPr>
  </w:style>
  <w:style w:type="paragraph" w:customStyle="1" w:styleId="Three">
    <w:name w:val="Three"/>
    <w:basedOn w:val="Heading3"/>
    <w:link w:val="ThreeChar"/>
    <w:autoRedefine/>
    <w:qFormat/>
    <w:rsid w:val="00232665"/>
    <w:pPr>
      <w:keepLines/>
      <w:widowControl/>
      <w:numPr>
        <w:ilvl w:val="2"/>
      </w:numPr>
      <w:spacing w:before="240" w:after="240"/>
      <w:ind w:left="851" w:hanging="851"/>
    </w:pPr>
    <w:rPr>
      <w:rFonts w:ascii="Arial" w:eastAsiaTheme="majorEastAsia" w:hAnsi="Arial" w:cs="Arial"/>
      <w:i/>
      <w:szCs w:val="22"/>
      <w:lang w:val="en-AU"/>
    </w:rPr>
  </w:style>
  <w:style w:type="character" w:customStyle="1" w:styleId="ThreeChar">
    <w:name w:val="Three Char"/>
    <w:basedOn w:val="Heading3Char"/>
    <w:link w:val="Three"/>
    <w:rsid w:val="00232665"/>
    <w:rPr>
      <w:rFonts w:ascii="Arial" w:eastAsiaTheme="majorEastAsia" w:hAnsi="Arial" w:cs="Arial"/>
      <w:b/>
      <w:bCs/>
      <w:i/>
      <w:sz w:val="22"/>
      <w:szCs w:val="22"/>
      <w:lang w:val="en-AU" w:eastAsia="en-US" w:bidi="en-US"/>
    </w:rPr>
  </w:style>
  <w:style w:type="paragraph" w:customStyle="1" w:styleId="Four">
    <w:name w:val="Four"/>
    <w:basedOn w:val="Heading4"/>
    <w:link w:val="FourChar"/>
    <w:autoRedefine/>
    <w:qFormat/>
    <w:rsid w:val="00D154B3"/>
    <w:pPr>
      <w:keepLines/>
      <w:widowControl/>
      <w:numPr>
        <w:ilvl w:val="3"/>
      </w:numPr>
      <w:spacing w:before="240" w:after="240"/>
      <w:ind w:left="862" w:hanging="862"/>
    </w:pPr>
    <w:rPr>
      <w:rFonts w:eastAsiaTheme="majorEastAsia" w:cs="Arial"/>
      <w:b/>
      <w:iCs/>
      <w:szCs w:val="22"/>
      <w:lang w:val="en-AU"/>
    </w:rPr>
  </w:style>
  <w:style w:type="character" w:customStyle="1" w:styleId="FourChar">
    <w:name w:val="Four Char"/>
    <w:basedOn w:val="Heading4Char"/>
    <w:link w:val="Four"/>
    <w:rsid w:val="00D154B3"/>
    <w:rPr>
      <w:rFonts w:ascii="Arial" w:eastAsiaTheme="majorEastAsia" w:hAnsi="Arial" w:cs="Arial"/>
      <w:b/>
      <w:bCs/>
      <w:i/>
      <w:iCs/>
      <w:sz w:val="22"/>
      <w:szCs w:val="22"/>
      <w:lang w:val="en-AU" w:eastAsia="en-US" w:bidi="en-US"/>
    </w:rPr>
  </w:style>
  <w:style w:type="paragraph" w:customStyle="1" w:styleId="Five">
    <w:name w:val="Five"/>
    <w:basedOn w:val="Heading5"/>
    <w:link w:val="FiveChar"/>
    <w:autoRedefine/>
    <w:qFormat/>
    <w:rsid w:val="00D154B3"/>
    <w:pPr>
      <w:keepNext/>
      <w:keepLines/>
      <w:widowControl/>
      <w:numPr>
        <w:ilvl w:val="4"/>
      </w:numPr>
      <w:spacing w:before="240" w:after="240"/>
      <w:ind w:left="1009" w:hanging="1009"/>
    </w:pPr>
    <w:rPr>
      <w:rFonts w:eastAsiaTheme="majorEastAsia" w:cs="Arial"/>
      <w:bCs w:val="0"/>
      <w:i/>
      <w:iCs w:val="0"/>
      <w:szCs w:val="22"/>
      <w:lang w:val="en-AU"/>
    </w:rPr>
  </w:style>
  <w:style w:type="character" w:customStyle="1" w:styleId="FiveChar">
    <w:name w:val="Five Char"/>
    <w:basedOn w:val="Heading5Char"/>
    <w:link w:val="Five"/>
    <w:rsid w:val="00D154B3"/>
    <w:rPr>
      <w:rFonts w:ascii="Arial" w:eastAsiaTheme="majorEastAsia" w:hAnsi="Arial" w:cs="Arial"/>
      <w:bCs w:val="0"/>
      <w:i/>
      <w:iCs w:val="0"/>
      <w:sz w:val="22"/>
      <w:szCs w:val="22"/>
      <w:u w:val="single"/>
      <w:lang w:val="en-AU" w:eastAsia="en-US" w:bidi="en-US"/>
    </w:rPr>
  </w:style>
  <w:style w:type="table" w:customStyle="1" w:styleId="LightShading1">
    <w:name w:val="Light Shading1"/>
    <w:basedOn w:val="TableNormal"/>
    <w:uiPriority w:val="60"/>
    <w:rsid w:val="00D154B3"/>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2F6C51"/>
    <w:rPr>
      <w:rFonts w:ascii="Arial" w:eastAsiaTheme="minorHAnsi" w:hAnsi="Arial" w:cs="Arial"/>
      <w:sz w:val="22"/>
      <w:szCs w:val="22"/>
      <w:lang w:val="en-AU" w:eastAsia="en-US"/>
    </w:rPr>
  </w:style>
  <w:style w:type="paragraph" w:styleId="EndnoteText">
    <w:name w:val="endnote text"/>
    <w:basedOn w:val="Normal"/>
    <w:link w:val="EndnoteTextChar"/>
    <w:rsid w:val="00E51A71"/>
    <w:rPr>
      <w:sz w:val="20"/>
      <w:szCs w:val="20"/>
    </w:rPr>
  </w:style>
  <w:style w:type="character" w:customStyle="1" w:styleId="EndnoteTextChar">
    <w:name w:val="Endnote Text Char"/>
    <w:basedOn w:val="DefaultParagraphFont"/>
    <w:link w:val="EndnoteText"/>
    <w:rsid w:val="00E51A71"/>
    <w:rPr>
      <w:rFonts w:ascii="Arial" w:hAnsi="Arial"/>
      <w:lang w:eastAsia="en-US" w:bidi="en-US"/>
    </w:rPr>
  </w:style>
  <w:style w:type="character" w:styleId="EndnoteReference">
    <w:name w:val="endnote reference"/>
    <w:basedOn w:val="DefaultParagraphFont"/>
    <w:rsid w:val="00E51A71"/>
    <w:rPr>
      <w:vertAlign w:val="superscript"/>
    </w:rPr>
  </w:style>
  <w:style w:type="character" w:customStyle="1" w:styleId="highlight">
    <w:name w:val="highlight"/>
    <w:basedOn w:val="DefaultParagraphFont"/>
    <w:rsid w:val="008322FD"/>
  </w:style>
  <w:style w:type="character" w:styleId="PlaceholderText">
    <w:name w:val="Placeholder Text"/>
    <w:basedOn w:val="DefaultParagraphFont"/>
    <w:uiPriority w:val="99"/>
    <w:semiHidden/>
    <w:rsid w:val="004A45FD"/>
    <w:rPr>
      <w:color w:val="808080"/>
    </w:rPr>
  </w:style>
  <w:style w:type="table" w:styleId="TableColorful1">
    <w:name w:val="Table Colorful 1"/>
    <w:basedOn w:val="TableNormal"/>
    <w:rsid w:val="00C71549"/>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Dashpoint">
    <w:name w:val="Dash point"/>
    <w:basedOn w:val="Normal"/>
    <w:link w:val="DashpointChar"/>
    <w:rsid w:val="00784EC4"/>
    <w:pPr>
      <w:numPr>
        <w:numId w:val="5"/>
      </w:numPr>
      <w:tabs>
        <w:tab w:val="clear" w:pos="1134"/>
      </w:tabs>
    </w:pPr>
    <w:rPr>
      <w:rFonts w:ascii="Times New Roman" w:hAnsi="Times New Roman"/>
      <w:sz w:val="24"/>
      <w:lang w:bidi="ar-SA"/>
    </w:rPr>
  </w:style>
  <w:style w:type="character" w:customStyle="1" w:styleId="DashpointChar">
    <w:name w:val="Dash point Char"/>
    <w:basedOn w:val="DefaultParagraphFont"/>
    <w:link w:val="Dashpoint"/>
    <w:rsid w:val="00784EC4"/>
    <w:rPr>
      <w:rFonts w:ascii="Times New Roman" w:hAnsi="Times New Roman"/>
      <w:sz w:val="24"/>
      <w:szCs w:val="24"/>
      <w:lang w:eastAsia="en-US"/>
    </w:rPr>
  </w:style>
  <w:style w:type="character" w:customStyle="1" w:styleId="DefinitionChar">
    <w:name w:val="Definition Char"/>
    <w:basedOn w:val="DefaultParagraphFont"/>
    <w:link w:val="Definition"/>
    <w:rsid w:val="00DA7B9C"/>
    <w:rPr>
      <w:rFonts w:ascii="Arial" w:hAnsi="Arial"/>
      <w:sz w:val="22"/>
      <w:lang w:eastAsia="en-US" w:bidi="en-US"/>
    </w:rPr>
  </w:style>
  <w:style w:type="character" w:customStyle="1" w:styleId="SubclauseChar">
    <w:name w:val="Subclause Char"/>
    <w:basedOn w:val="DefaultParagraphFont"/>
    <w:link w:val="Subclause"/>
    <w:rsid w:val="00DA7B9C"/>
    <w:rPr>
      <w:rFonts w:ascii="Arial" w:hAnsi="Arial"/>
      <w:sz w:val="22"/>
      <w:lang w:eastAsia="en-US" w:bidi="en-US"/>
    </w:rPr>
  </w:style>
  <w:style w:type="character" w:customStyle="1" w:styleId="st1">
    <w:name w:val="st1"/>
    <w:basedOn w:val="DefaultParagraphFont"/>
    <w:rsid w:val="00266862"/>
  </w:style>
  <w:style w:type="paragraph" w:customStyle="1" w:styleId="131ItemHeading">
    <w:name w:val="1.3.1 Item Heading"/>
    <w:basedOn w:val="Table2"/>
    <w:next w:val="Table2"/>
    <w:rsid w:val="0010297D"/>
    <w:pPr>
      <w:keepNext/>
      <w:widowControl/>
      <w:tabs>
        <w:tab w:val="left" w:pos="851"/>
      </w:tabs>
      <w:spacing w:after="200"/>
      <w:ind w:left="0" w:firstLine="0"/>
    </w:pPr>
    <w:rPr>
      <w:b/>
      <w:bCs w:val="0"/>
      <w:caps/>
    </w:rPr>
  </w:style>
  <w:style w:type="paragraph" w:customStyle="1" w:styleId="131Subitemheading">
    <w:name w:val="1.3.1 Subitem heading"/>
    <w:basedOn w:val="131ItemHeading"/>
    <w:next w:val="Table2"/>
    <w:rsid w:val="0010297D"/>
    <w:pPr>
      <w:spacing w:after="120"/>
    </w:pPr>
    <w:rPr>
      <w:caps w:val="0"/>
      <w:sz w:val="18"/>
    </w:rPr>
  </w:style>
  <w:style w:type="paragraph" w:customStyle="1" w:styleId="142Tableheading10">
    <w:name w:val="1.4.2 Table heading1"/>
    <w:basedOn w:val="Normal"/>
    <w:rsid w:val="0010297D"/>
    <w:pPr>
      <w:keepNext/>
      <w:jc w:val="center"/>
    </w:pPr>
    <w:rPr>
      <w:rFonts w:ascii="Arial Bold" w:hAnsi="Arial Bold"/>
      <w:b/>
      <w:bCs/>
      <w:iCs/>
      <w:sz w:val="18"/>
    </w:rPr>
  </w:style>
  <w:style w:type="paragraph" w:customStyle="1" w:styleId="142Tabletext10">
    <w:name w:val="1.4.2 Table text1"/>
    <w:basedOn w:val="Normal"/>
    <w:link w:val="142Tabletext1Char"/>
    <w:rsid w:val="0010297D"/>
    <w:pPr>
      <w:ind w:left="142" w:hanging="142"/>
    </w:pPr>
    <w:rPr>
      <w:sz w:val="18"/>
      <w:szCs w:val="20"/>
    </w:rPr>
  </w:style>
  <w:style w:type="character" w:customStyle="1" w:styleId="142Tabletext1Char">
    <w:name w:val="1.4.2 Table text1 Char"/>
    <w:basedOn w:val="DefaultParagraphFont"/>
    <w:link w:val="142Tabletext10"/>
    <w:rsid w:val="0010297D"/>
    <w:rPr>
      <w:rFonts w:ascii="Arial" w:hAnsi="Arial"/>
      <w:sz w:val="18"/>
      <w:lang w:eastAsia="en-US" w:bidi="en-US"/>
    </w:rPr>
  </w:style>
  <w:style w:type="paragraph" w:customStyle="1" w:styleId="142Tabletext20">
    <w:name w:val="1.4.2 Table text2"/>
    <w:basedOn w:val="142Tabletext10"/>
    <w:rsid w:val="0010297D"/>
    <w:pPr>
      <w:jc w:val="right"/>
    </w:pPr>
  </w:style>
  <w:style w:type="paragraph" w:customStyle="1" w:styleId="Blankpage">
    <w:name w:val="Blank page"/>
    <w:basedOn w:val="Normal"/>
    <w:next w:val="Normal"/>
    <w:rsid w:val="0010297D"/>
    <w:pPr>
      <w:tabs>
        <w:tab w:val="left" w:pos="851"/>
      </w:tabs>
      <w:spacing w:before="6000"/>
      <w:jc w:val="center"/>
    </w:pPr>
    <w:rPr>
      <w:caps/>
      <w:szCs w:val="20"/>
    </w:rPr>
  </w:style>
  <w:style w:type="character" w:customStyle="1" w:styleId="ClauseChar">
    <w:name w:val="Clause Char"/>
    <w:basedOn w:val="DefaultParagraphFont"/>
    <w:link w:val="Clause"/>
    <w:rsid w:val="0010297D"/>
    <w:rPr>
      <w:rFonts w:ascii="Arial" w:hAnsi="Arial"/>
      <w:sz w:val="22"/>
      <w:lang w:eastAsia="en-US" w:bidi="en-US"/>
    </w:rPr>
  </w:style>
  <w:style w:type="paragraph" w:customStyle="1" w:styleId="FSBullet1">
    <w:name w:val="FSBullet 1"/>
    <w:basedOn w:val="Normal"/>
    <w:next w:val="Normal"/>
    <w:link w:val="FSBullet1Char"/>
    <w:qFormat/>
    <w:rsid w:val="00015D4C"/>
    <w:pPr>
      <w:numPr>
        <w:numId w:val="10"/>
      </w:numPr>
    </w:pPr>
    <w:rPr>
      <w:rFonts w:cs="Arial"/>
    </w:rPr>
  </w:style>
  <w:style w:type="character" w:customStyle="1" w:styleId="FSBullet1Char">
    <w:name w:val="FSBullet 1 Char"/>
    <w:basedOn w:val="DefaultParagraphFont"/>
    <w:link w:val="FSBullet1"/>
    <w:rsid w:val="00015D4C"/>
    <w:rPr>
      <w:rFonts w:ascii="Arial" w:hAnsi="Arial" w:cs="Arial"/>
      <w:sz w:val="22"/>
      <w:szCs w:val="24"/>
      <w:lang w:eastAsia="en-US" w:bidi="en-US"/>
    </w:rPr>
  </w:style>
  <w:style w:type="paragraph" w:customStyle="1" w:styleId="FSBullet2">
    <w:name w:val="FSBullet 2"/>
    <w:basedOn w:val="Normal"/>
    <w:qFormat/>
    <w:rsid w:val="0010297D"/>
    <w:pPr>
      <w:numPr>
        <w:numId w:val="11"/>
      </w:numPr>
    </w:pPr>
  </w:style>
  <w:style w:type="paragraph" w:customStyle="1" w:styleId="FSBullet3">
    <w:name w:val="FSBullet 3"/>
    <w:basedOn w:val="Normal"/>
    <w:qFormat/>
    <w:rsid w:val="0010297D"/>
    <w:pPr>
      <w:keepNext/>
      <w:numPr>
        <w:numId w:val="12"/>
      </w:numPr>
    </w:pPr>
    <w:rPr>
      <w:b/>
    </w:rPr>
  </w:style>
  <w:style w:type="paragraph" w:customStyle="1" w:styleId="FSCaption">
    <w:name w:val="FSCaption"/>
    <w:basedOn w:val="Normal"/>
    <w:qFormat/>
    <w:rsid w:val="0010297D"/>
    <w:pPr>
      <w:keepNext/>
      <w:keepLines/>
      <w:spacing w:before="120"/>
    </w:pPr>
    <w:rPr>
      <w:i/>
      <w:sz w:val="16"/>
      <w:szCs w:val="16"/>
    </w:rPr>
  </w:style>
  <w:style w:type="paragraph" w:customStyle="1" w:styleId="FSCfooter">
    <w:name w:val="FSCfooter"/>
    <w:basedOn w:val="Normal"/>
    <w:qFormat/>
    <w:rsid w:val="0010297D"/>
    <w:pPr>
      <w:tabs>
        <w:tab w:val="center" w:pos="4536"/>
        <w:tab w:val="right" w:pos="9072"/>
      </w:tabs>
    </w:pPr>
    <w:rPr>
      <w:sz w:val="18"/>
      <w:szCs w:val="20"/>
    </w:rPr>
  </w:style>
  <w:style w:type="paragraph" w:customStyle="1" w:styleId="FSCFooter0">
    <w:name w:val="FSCFooter"/>
    <w:basedOn w:val="Footnote"/>
    <w:qFormat/>
    <w:rsid w:val="0010297D"/>
    <w:pPr>
      <w:tabs>
        <w:tab w:val="clear" w:pos="851"/>
        <w:tab w:val="center" w:pos="4536"/>
        <w:tab w:val="right" w:pos="9070"/>
      </w:tabs>
    </w:pPr>
    <w:rPr>
      <w:sz w:val="18"/>
      <w:szCs w:val="18"/>
    </w:rPr>
  </w:style>
  <w:style w:type="paragraph" w:customStyle="1" w:styleId="FSPagenumber">
    <w:name w:val="FSPage number"/>
    <w:basedOn w:val="Normal"/>
    <w:qFormat/>
    <w:rsid w:val="0010297D"/>
    <w:pPr>
      <w:jc w:val="right"/>
    </w:pPr>
    <w:rPr>
      <w:sz w:val="20"/>
      <w:szCs w:val="20"/>
    </w:rPr>
  </w:style>
  <w:style w:type="paragraph" w:customStyle="1" w:styleId="FSTableColumnRowheading">
    <w:name w:val="FSTable Column/Row heading"/>
    <w:basedOn w:val="Normal"/>
    <w:qFormat/>
    <w:rsid w:val="0010297D"/>
    <w:pPr>
      <w:spacing w:before="120" w:after="120"/>
    </w:pPr>
    <w:rPr>
      <w:b/>
      <w:sz w:val="20"/>
      <w:szCs w:val="20"/>
    </w:rPr>
  </w:style>
  <w:style w:type="paragraph" w:customStyle="1" w:styleId="FSTableFigureHeading">
    <w:name w:val="FSTable/Figure Heading"/>
    <w:basedOn w:val="Normal"/>
    <w:qFormat/>
    <w:rsid w:val="0010297D"/>
    <w:pPr>
      <w:spacing w:before="120" w:after="120"/>
      <w:ind w:left="1134" w:hanging="1134"/>
    </w:pPr>
    <w:rPr>
      <w:b/>
      <w:i/>
    </w:rPr>
  </w:style>
  <w:style w:type="paragraph" w:customStyle="1" w:styleId="PartContents">
    <w:name w:val="Part Contents"/>
    <w:basedOn w:val="Normal"/>
    <w:rsid w:val="0010297D"/>
    <w:pPr>
      <w:spacing w:line="240" w:lineRule="atLeast"/>
      <w:ind w:left="1120" w:hanging="560"/>
    </w:pPr>
    <w:rPr>
      <w:szCs w:val="20"/>
    </w:rPr>
  </w:style>
  <w:style w:type="paragraph" w:customStyle="1" w:styleId="PartHeading">
    <w:name w:val="Part Heading"/>
    <w:basedOn w:val="Normal"/>
    <w:rsid w:val="0010297D"/>
    <w:pPr>
      <w:tabs>
        <w:tab w:val="left" w:pos="851"/>
      </w:tabs>
      <w:jc w:val="center"/>
    </w:pPr>
    <w:rPr>
      <w:b/>
      <w:i/>
      <w:sz w:val="36"/>
      <w:szCs w:val="20"/>
    </w:rPr>
  </w:style>
  <w:style w:type="paragraph" w:styleId="DocumentMap">
    <w:name w:val="Document Map"/>
    <w:basedOn w:val="Normal"/>
    <w:link w:val="DocumentMapChar"/>
    <w:uiPriority w:val="99"/>
    <w:unhideWhenUsed/>
    <w:rsid w:val="0010297D"/>
    <w:rPr>
      <w:rFonts w:ascii="Tahoma" w:hAnsi="Tahoma" w:cs="Tahoma"/>
      <w:sz w:val="16"/>
      <w:szCs w:val="16"/>
    </w:rPr>
  </w:style>
  <w:style w:type="character" w:customStyle="1" w:styleId="DocumentMapChar">
    <w:name w:val="Document Map Char"/>
    <w:basedOn w:val="DefaultParagraphFont"/>
    <w:link w:val="DocumentMap"/>
    <w:uiPriority w:val="99"/>
    <w:rsid w:val="0010297D"/>
    <w:rPr>
      <w:rFonts w:ascii="Tahoma" w:hAnsi="Tahoma" w:cs="Tahoma"/>
      <w:sz w:val="16"/>
      <w:szCs w:val="16"/>
      <w:lang w:eastAsia="en-US" w:bidi="en-US"/>
    </w:rPr>
  </w:style>
  <w:style w:type="numbering" w:customStyle="1" w:styleId="NoList1">
    <w:name w:val="No List1"/>
    <w:next w:val="NoList"/>
    <w:uiPriority w:val="99"/>
    <w:semiHidden/>
    <w:unhideWhenUsed/>
    <w:rsid w:val="005A67C7"/>
  </w:style>
  <w:style w:type="table" w:customStyle="1" w:styleId="TableGrid1">
    <w:name w:val="Table Grid1"/>
    <w:basedOn w:val="TableNormal"/>
    <w:next w:val="TableGrid"/>
    <w:uiPriority w:val="59"/>
    <w:rsid w:val="005A67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
    <w:name w:val="Style11"/>
    <w:basedOn w:val="TableNormal"/>
    <w:uiPriority w:val="99"/>
    <w:qFormat/>
    <w:rsid w:val="005A67C7"/>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customStyle="1" w:styleId="MediumList1-Accent31">
    <w:name w:val="Medium List 1 - Accent 31"/>
    <w:basedOn w:val="TableNormal"/>
    <w:next w:val="MediumList1-Accent3"/>
    <w:uiPriority w:val="65"/>
    <w:rsid w:val="005A67C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1">
    <w:name w:val="Light List - Accent 111"/>
    <w:basedOn w:val="TableNormal"/>
    <w:uiPriority w:val="61"/>
    <w:rsid w:val="005A67C7"/>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1">
    <w:name w:val="Light List11"/>
    <w:basedOn w:val="TableNormal"/>
    <w:uiPriority w:val="61"/>
    <w:rsid w:val="005A67C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1">
    <w:name w:val="Medium Shading 1 - Accent 111"/>
    <w:basedOn w:val="TableNormal"/>
    <w:uiPriority w:val="63"/>
    <w:rsid w:val="005A67C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11">
    <w:name w:val="Light Shading11"/>
    <w:basedOn w:val="TableNormal"/>
    <w:uiPriority w:val="60"/>
    <w:rsid w:val="005A67C7"/>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olorful11">
    <w:name w:val="Table Colorful 11"/>
    <w:basedOn w:val="TableNormal"/>
    <w:next w:val="TableColorful1"/>
    <w:rsid w:val="005A67C7"/>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LineNumber">
    <w:name w:val="line number"/>
    <w:basedOn w:val="DefaultParagraphFont"/>
    <w:rsid w:val="001372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annotation text" w:uiPriority="99"/>
    <w:lsdException w:name="header" w:uiPriority="99" w:qFormat="1"/>
    <w:lsdException w:name="footer" w:uiPriority="99"/>
    <w:lsdException w:name="caption" w:semiHidden="1" w:unhideWhenUsed="1"/>
    <w:lsdException w:name="footnote reference"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2AA"/>
    <w:pPr>
      <w:widowControl w:val="0"/>
    </w:pPr>
    <w:rPr>
      <w:rFonts w:ascii="Arial" w:hAnsi="Arial"/>
      <w:sz w:val="22"/>
      <w:szCs w:val="24"/>
      <w:lang w:eastAsia="en-US" w:bidi="en-US"/>
    </w:rPr>
  </w:style>
  <w:style w:type="paragraph" w:styleId="Heading1">
    <w:name w:val="heading 1"/>
    <w:aliases w:val="FS Heading 1,FSHeading 1,Chapter heading"/>
    <w:basedOn w:val="Normal"/>
    <w:next w:val="Normal"/>
    <w:link w:val="Heading1Char"/>
    <w:uiPriority w:val="9"/>
    <w:qFormat/>
    <w:rsid w:val="003E46BA"/>
    <w:pPr>
      <w:keepNext/>
      <w:ind w:left="851" w:hanging="851"/>
      <w:outlineLvl w:val="0"/>
    </w:pPr>
    <w:rPr>
      <w:rFonts w:ascii="Tahoma" w:hAnsi="Tahoma" w:cs="Tahoma"/>
      <w:b/>
      <w:bCs/>
      <w:kern w:val="32"/>
      <w:sz w:val="28"/>
      <w:szCs w:val="32"/>
      <w:u w:val="single"/>
    </w:rPr>
  </w:style>
  <w:style w:type="paragraph" w:styleId="Heading2">
    <w:name w:val="heading 2"/>
    <w:aliases w:val="FS Heading 2,FSHeading 2,Section heading"/>
    <w:basedOn w:val="Normal"/>
    <w:next w:val="Normal"/>
    <w:link w:val="Heading2Char"/>
    <w:uiPriority w:val="9"/>
    <w:unhideWhenUsed/>
    <w:qFormat/>
    <w:rsid w:val="003E46BA"/>
    <w:pPr>
      <w:keepNext/>
      <w:ind w:left="851" w:hanging="851"/>
      <w:outlineLvl w:val="1"/>
    </w:pPr>
    <w:rPr>
      <w:rFonts w:ascii="Arial Bold" w:hAnsi="Arial Bold" w:cs="Arial Unicode MS"/>
      <w:b/>
      <w:bCs/>
      <w:iCs/>
      <w:sz w:val="28"/>
      <w:szCs w:val="28"/>
    </w:rPr>
  </w:style>
  <w:style w:type="paragraph" w:styleId="Heading3">
    <w:name w:val="heading 3"/>
    <w:aliases w:val="FS Heading 3,FSHeading 3,Subheading 1"/>
    <w:basedOn w:val="Normal"/>
    <w:next w:val="Normal"/>
    <w:link w:val="Heading3Char"/>
    <w:uiPriority w:val="9"/>
    <w:unhideWhenUsed/>
    <w:qFormat/>
    <w:rsid w:val="00227E4A"/>
    <w:pPr>
      <w:keepNext/>
      <w:ind w:left="851" w:hanging="851"/>
      <w:outlineLvl w:val="2"/>
    </w:pPr>
    <w:rPr>
      <w:rFonts w:ascii="Arial Bold" w:hAnsi="Arial Bold" w:cs="Arial Unicode MS"/>
      <w:b/>
      <w:bCs/>
      <w:szCs w:val="26"/>
    </w:rPr>
  </w:style>
  <w:style w:type="paragraph" w:styleId="Heading4">
    <w:name w:val="heading 4"/>
    <w:aliases w:val="FS Heading 4,FSHeading 4,Subheading 2"/>
    <w:basedOn w:val="Normal"/>
    <w:next w:val="Normal"/>
    <w:link w:val="Heading4Char"/>
    <w:uiPriority w:val="9"/>
    <w:unhideWhenUsed/>
    <w:qFormat/>
    <w:rsid w:val="00227E4A"/>
    <w:pPr>
      <w:keepNext/>
      <w:ind w:left="851" w:hanging="851"/>
      <w:outlineLvl w:val="3"/>
    </w:pPr>
    <w:rPr>
      <w:bCs/>
      <w:i/>
      <w:szCs w:val="28"/>
    </w:rPr>
  </w:style>
  <w:style w:type="paragraph" w:styleId="Heading5">
    <w:name w:val="heading 5"/>
    <w:aliases w:val="FS Heading 5,FSHeading 5,Subheading 3"/>
    <w:basedOn w:val="Normal"/>
    <w:next w:val="Normal"/>
    <w:link w:val="Heading5Char"/>
    <w:uiPriority w:val="9"/>
    <w:unhideWhenUsed/>
    <w:qFormat/>
    <w:rsid w:val="00227E4A"/>
    <w:pPr>
      <w:ind w:left="851" w:hanging="851"/>
      <w:outlineLvl w:val="4"/>
    </w:pPr>
    <w:rPr>
      <w:bCs/>
      <w:iCs/>
      <w:szCs w:val="26"/>
      <w:u w:val="single"/>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qFormat/>
    <w:rsid w:val="00B731D3"/>
    <w:pPr>
      <w:spacing w:before="240" w:after="60"/>
      <w:outlineLvl w:val="6"/>
    </w:pPr>
  </w:style>
  <w:style w:type="paragraph" w:styleId="Heading8">
    <w:name w:val="heading 8"/>
    <w:basedOn w:val="Normal"/>
    <w:next w:val="Normal"/>
    <w:link w:val="Heading8Char"/>
    <w:uiPriority w:val="9"/>
    <w:unhideWhenUsed/>
    <w:qFormat/>
    <w:rsid w:val="00B731D3"/>
    <w:pPr>
      <w:spacing w:before="240" w:after="60"/>
      <w:outlineLvl w:val="7"/>
    </w:pPr>
    <w:rPr>
      <w:i/>
      <w:iCs/>
    </w:rPr>
  </w:style>
  <w:style w:type="paragraph" w:styleId="Heading9">
    <w:name w:val="heading 9"/>
    <w:basedOn w:val="Normal"/>
    <w:next w:val="Normal"/>
    <w:link w:val="Heading9Char"/>
    <w:uiPriority w:val="9"/>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 Heading 1 Char,FSHeading 1 Char,Chapter heading Char"/>
    <w:basedOn w:val="DefaultParagraphFont"/>
    <w:link w:val="Heading1"/>
    <w:uiPriority w:val="9"/>
    <w:rsid w:val="003E46BA"/>
    <w:rPr>
      <w:rFonts w:ascii="Tahoma" w:hAnsi="Tahoma" w:cs="Tahoma"/>
      <w:b/>
      <w:bCs/>
      <w:kern w:val="32"/>
      <w:sz w:val="28"/>
      <w:szCs w:val="32"/>
      <w:u w:val="single"/>
      <w:lang w:val="en-US" w:eastAsia="en-US" w:bidi="en-US"/>
    </w:rPr>
  </w:style>
  <w:style w:type="character" w:customStyle="1" w:styleId="Heading2Char">
    <w:name w:val="Heading 2 Char"/>
    <w:aliases w:val="FS Heading 2 Char,FSHeading 2 Char,Section heading Char"/>
    <w:basedOn w:val="DefaultParagraphFont"/>
    <w:link w:val="Heading2"/>
    <w:uiPriority w:val="9"/>
    <w:rsid w:val="003E46BA"/>
    <w:rPr>
      <w:rFonts w:ascii="Arial Bold" w:hAnsi="Arial Bold" w:cs="Arial Unicode MS"/>
      <w:b/>
      <w:bCs/>
      <w:iCs/>
      <w:sz w:val="28"/>
      <w:szCs w:val="28"/>
      <w:lang w:val="en-US" w:eastAsia="en-US" w:bidi="en-US"/>
    </w:rPr>
  </w:style>
  <w:style w:type="character" w:customStyle="1" w:styleId="Heading3Char">
    <w:name w:val="Heading 3 Char"/>
    <w:aliases w:val="FS Heading 3 Char,FSHeading 3 Char,Subheading 1 Char"/>
    <w:basedOn w:val="DefaultParagraphFont"/>
    <w:link w:val="Heading3"/>
    <w:uiPriority w:val="9"/>
    <w:rsid w:val="00227E4A"/>
    <w:rPr>
      <w:rFonts w:ascii="Arial Bold" w:hAnsi="Arial Bold" w:cs="Arial Unicode MS"/>
      <w:b/>
      <w:bCs/>
      <w:sz w:val="22"/>
      <w:szCs w:val="26"/>
      <w:lang w:val="en-US" w:eastAsia="en-US" w:bidi="en-US"/>
    </w:rPr>
  </w:style>
  <w:style w:type="character" w:customStyle="1" w:styleId="Heading4Char">
    <w:name w:val="Heading 4 Char"/>
    <w:aliases w:val="FS Heading 4 Char,FSHeading 4 Char,Subheading 2 Char"/>
    <w:basedOn w:val="DefaultParagraphFont"/>
    <w:link w:val="Heading4"/>
    <w:uiPriority w:val="9"/>
    <w:rsid w:val="00227E4A"/>
    <w:rPr>
      <w:rFonts w:ascii="Arial" w:hAnsi="Arial"/>
      <w:bCs/>
      <w:i/>
      <w:sz w:val="22"/>
      <w:szCs w:val="28"/>
      <w:lang w:val="en-US" w:eastAsia="en-US" w:bidi="en-US"/>
    </w:rPr>
  </w:style>
  <w:style w:type="character" w:customStyle="1" w:styleId="Heading5Char">
    <w:name w:val="Heading 5 Char"/>
    <w:aliases w:val="FS Heading 5 Char,FSHeading 5 Char,Subheading 3 Char"/>
    <w:basedOn w:val="DefaultParagraphFont"/>
    <w:link w:val="Heading5"/>
    <w:uiPriority w:val="9"/>
    <w:rsid w:val="00227E4A"/>
    <w:rPr>
      <w:rFonts w:ascii="Arial" w:hAnsi="Arial"/>
      <w:bCs/>
      <w:iCs/>
      <w:sz w:val="22"/>
      <w:szCs w:val="26"/>
      <w:u w:val="single"/>
      <w:lang w:val="en-US" w:eastAsia="en-US" w:bidi="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7F277A"/>
    <w:rPr>
      <w:color w:val="auto"/>
      <w:u w:val="single"/>
    </w:rPr>
  </w:style>
  <w:style w:type="paragraph" w:styleId="Header">
    <w:name w:val="header"/>
    <w:aliases w:val="FSHeader"/>
    <w:basedOn w:val="Normal"/>
    <w:link w:val="HeaderChar"/>
    <w:uiPriority w:val="99"/>
    <w:qFormat/>
    <w:rsid w:val="00E777EC"/>
  </w:style>
  <w:style w:type="character" w:customStyle="1" w:styleId="HeaderChar">
    <w:name w:val="Header Char"/>
    <w:aliases w:val="FSHeader Char"/>
    <w:basedOn w:val="DefaultParagraphFont"/>
    <w:link w:val="Header"/>
    <w:uiPriority w:val="99"/>
    <w:rsid w:val="00F83A0E"/>
    <w:rPr>
      <w:rFonts w:ascii="Arial" w:hAnsi="Arial"/>
      <w:sz w:val="22"/>
      <w:szCs w:val="24"/>
      <w:lang w:eastAsia="en-US" w:bidi="en-US"/>
    </w:rPr>
  </w:style>
  <w:style w:type="paragraph" w:customStyle="1" w:styleId="FSTitle">
    <w:name w:val="FS Title"/>
    <w:basedOn w:val="Normal"/>
    <w:qFormat/>
    <w:rsid w:val="00DB2973"/>
    <w:rPr>
      <w:rFonts w:ascii="Tahoma" w:hAnsi="Tahoma" w:cs="Tahoma"/>
      <w:b/>
      <w:bCs/>
      <w:sz w:val="36"/>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7D12B6"/>
    <w:pPr>
      <w:tabs>
        <w:tab w:val="left" w:pos="993"/>
        <w:tab w:val="right" w:leader="dot" w:pos="9016"/>
      </w:tabs>
      <w:spacing w:before="120" w:after="120"/>
      <w:ind w:left="993" w:hanging="993"/>
    </w:pPr>
    <w:rPr>
      <w:b/>
      <w:bCs/>
      <w:caps/>
    </w:rPr>
  </w:style>
  <w:style w:type="paragraph" w:styleId="TOC2">
    <w:name w:val="toc 2"/>
    <w:basedOn w:val="Normal"/>
    <w:next w:val="Normal"/>
    <w:autoRedefine/>
    <w:uiPriority w:val="39"/>
    <w:rsid w:val="00D462DC"/>
    <w:pPr>
      <w:tabs>
        <w:tab w:val="left" w:pos="960"/>
        <w:tab w:val="right" w:leader="dot" w:pos="9016"/>
      </w:tabs>
      <w:ind w:left="993" w:hanging="753"/>
    </w:pPr>
    <w:rPr>
      <w:smallCaps/>
    </w:rPr>
  </w:style>
  <w:style w:type="paragraph" w:styleId="Footer">
    <w:name w:val="footer"/>
    <w:aliases w:val="FSFooter"/>
    <w:basedOn w:val="Normal"/>
    <w:link w:val="FooterChar"/>
    <w:uiPriority w:val="99"/>
    <w:rsid w:val="007F277A"/>
    <w:pPr>
      <w:tabs>
        <w:tab w:val="center" w:pos="4153"/>
        <w:tab w:val="right" w:pos="8306"/>
      </w:tabs>
    </w:pPr>
  </w:style>
  <w:style w:type="character" w:customStyle="1" w:styleId="FooterChar">
    <w:name w:val="Footer Char"/>
    <w:aliases w:val="FSFooter Char"/>
    <w:basedOn w:val="DefaultParagraphFont"/>
    <w:link w:val="Footer"/>
    <w:uiPriority w:val="99"/>
    <w:rsid w:val="00F83A0E"/>
    <w:rPr>
      <w:rFonts w:ascii="Arial" w:hAnsi="Arial"/>
      <w:sz w:val="22"/>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rsid w:val="007F277A"/>
    <w:pPr>
      <w:ind w:left="480"/>
    </w:pPr>
    <w:rPr>
      <w:i/>
      <w:iCs/>
    </w:rPr>
  </w:style>
  <w:style w:type="paragraph" w:styleId="TOC4">
    <w:name w:val="toc 4"/>
    <w:basedOn w:val="Normal"/>
    <w:next w:val="Normal"/>
    <w:autoRedefine/>
    <w:semiHidden/>
    <w:rsid w:val="007F277A"/>
    <w:pPr>
      <w:ind w:left="720"/>
    </w:pPr>
    <w:rPr>
      <w:szCs w:val="21"/>
    </w:rPr>
  </w:style>
  <w:style w:type="paragraph" w:styleId="TOC5">
    <w:name w:val="toc 5"/>
    <w:basedOn w:val="Normal"/>
    <w:next w:val="Normal"/>
    <w:autoRedefine/>
    <w:semiHidden/>
    <w:rsid w:val="007F277A"/>
    <w:pPr>
      <w:ind w:left="960"/>
    </w:pPr>
    <w:rPr>
      <w:szCs w:val="21"/>
    </w:rPr>
  </w:style>
  <w:style w:type="character" w:styleId="FollowedHyperlink">
    <w:name w:val="FollowedHyperlink"/>
    <w:basedOn w:val="DefaultParagraphFont"/>
    <w:uiPriority w:val="99"/>
    <w:rsid w:val="007F277A"/>
    <w:rPr>
      <w:color w:val="800080"/>
      <w:u w:val="single"/>
    </w:rPr>
  </w:style>
  <w:style w:type="paragraph" w:styleId="TOC6">
    <w:name w:val="toc 6"/>
    <w:basedOn w:val="Normal"/>
    <w:next w:val="Normal"/>
    <w:autoRedefine/>
    <w:semiHidden/>
    <w:rsid w:val="007F277A"/>
    <w:pPr>
      <w:ind w:left="1200"/>
    </w:pPr>
    <w:rPr>
      <w:szCs w:val="21"/>
    </w:rPr>
  </w:style>
  <w:style w:type="paragraph" w:customStyle="1" w:styleId="142Tableheading2">
    <w:name w:val="1.4.2 Table heading2"/>
    <w:basedOn w:val="Normal"/>
    <w:rsid w:val="007F277A"/>
    <w:pPr>
      <w:keepNext/>
      <w:jc w:val="center"/>
    </w:pPr>
    <w:rPr>
      <w:iCs/>
      <w:smallCaps/>
      <w:sz w:val="20"/>
      <w:szCs w:val="20"/>
    </w:rPr>
  </w:style>
  <w:style w:type="paragraph" w:customStyle="1" w:styleId="Box1">
    <w:name w:val="Box 1"/>
    <w:basedOn w:val="Normal"/>
    <w:rsid w:val="007F277A"/>
    <w:pPr>
      <w:tabs>
        <w:tab w:val="num" w:pos="120"/>
      </w:tabs>
      <w:ind w:left="113" w:hanging="113"/>
    </w:pPr>
    <w:rPr>
      <w:sz w:val="16"/>
    </w:rPr>
  </w:style>
  <w:style w:type="paragraph" w:customStyle="1" w:styleId="Box2">
    <w:name w:val="Box 2"/>
    <w:basedOn w:val="Normal"/>
    <w:rsid w:val="007F277A"/>
    <w:pPr>
      <w:tabs>
        <w:tab w:val="left" w:pos="4608"/>
        <w:tab w:val="left" w:pos="9180"/>
        <w:tab w:val="left" w:pos="9216"/>
      </w:tabs>
      <w:jc w:val="center"/>
    </w:pPr>
    <w:rPr>
      <w:b/>
      <w:bCs/>
      <w:i/>
      <w:iCs/>
      <w:color w:val="000000"/>
      <w:sz w:val="16"/>
    </w:rPr>
  </w:style>
  <w:style w:type="paragraph" w:customStyle="1" w:styleId="Box3">
    <w:name w:val="Box 3"/>
    <w:basedOn w:val="Normal"/>
    <w:rsid w:val="007F277A"/>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sid w:val="007F277A"/>
    <w:rPr>
      <w:b/>
      <w:bCs/>
      <w:iCs w:val="0"/>
    </w:rPr>
  </w:style>
  <w:style w:type="paragraph" w:customStyle="1" w:styleId="142tabletext1">
    <w:name w:val="1.4.2 table text1"/>
    <w:basedOn w:val="Normal"/>
    <w:rsid w:val="007F277A"/>
    <w:pPr>
      <w:ind w:left="142" w:hanging="142"/>
    </w:pPr>
    <w:rPr>
      <w:smallCaps/>
      <w:sz w:val="20"/>
      <w:szCs w:val="20"/>
    </w:rPr>
  </w:style>
  <w:style w:type="paragraph" w:customStyle="1" w:styleId="142tabletext2">
    <w:name w:val="1.4.2 table text2"/>
    <w:basedOn w:val="142tabletext1"/>
    <w:rsid w:val="007F277A"/>
    <w:pPr>
      <w:jc w:val="right"/>
    </w:pPr>
  </w:style>
  <w:style w:type="paragraph" w:customStyle="1" w:styleId="Clause">
    <w:name w:val="Clause"/>
    <w:basedOn w:val="Normal"/>
    <w:next w:val="Normal"/>
    <w:link w:val="ClauseChar"/>
    <w:rsid w:val="007F277A"/>
    <w:pPr>
      <w:tabs>
        <w:tab w:val="left" w:pos="851"/>
      </w:tabs>
    </w:pPr>
    <w:rPr>
      <w:szCs w:val="20"/>
    </w:rPr>
  </w:style>
  <w:style w:type="paragraph" w:customStyle="1" w:styleId="Clauseheading">
    <w:name w:val="Clause heading"/>
    <w:basedOn w:val="Normal"/>
    <w:next w:val="Normal"/>
    <w:rsid w:val="007F277A"/>
    <w:pPr>
      <w:tabs>
        <w:tab w:val="left" w:pos="851"/>
      </w:tabs>
    </w:pPr>
    <w:rPr>
      <w:b/>
      <w:szCs w:val="20"/>
    </w:rPr>
  </w:style>
  <w:style w:type="paragraph" w:customStyle="1" w:styleId="ClauseList">
    <w:name w:val="Clause List"/>
    <w:basedOn w:val="Clause"/>
    <w:next w:val="Normal"/>
    <w:rsid w:val="007F277A"/>
  </w:style>
  <w:style w:type="paragraph" w:customStyle="1" w:styleId="Definition">
    <w:name w:val="Definition"/>
    <w:basedOn w:val="Normal"/>
    <w:next w:val="Normal"/>
    <w:link w:val="DefinitionChar"/>
    <w:rsid w:val="007F277A"/>
    <w:pPr>
      <w:ind w:left="1701" w:hanging="851"/>
    </w:pPr>
    <w:rPr>
      <w:szCs w:val="20"/>
    </w:rPr>
  </w:style>
  <w:style w:type="paragraph" w:customStyle="1" w:styleId="DivisionHeading">
    <w:name w:val="Division Heading"/>
    <w:basedOn w:val="Normal"/>
    <w:next w:val="Normal"/>
    <w:rsid w:val="007F277A"/>
    <w:pPr>
      <w:tabs>
        <w:tab w:val="left" w:pos="851"/>
      </w:tabs>
      <w:jc w:val="center"/>
    </w:pPr>
    <w:rPr>
      <w:b/>
      <w:sz w:val="28"/>
      <w:szCs w:val="20"/>
    </w:rPr>
  </w:style>
  <w:style w:type="paragraph" w:customStyle="1" w:styleId="EditorialNoteLine1">
    <w:name w:val="Editorial Note Line 1"/>
    <w:basedOn w:val="Normal"/>
    <w:next w:val="Normal"/>
    <w:rsid w:val="007F277A"/>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sid w:val="007F277A"/>
    <w:rPr>
      <w:b w:val="0"/>
    </w:rPr>
  </w:style>
  <w:style w:type="paragraph" w:customStyle="1" w:styleId="Footnote">
    <w:name w:val="Footnote"/>
    <w:basedOn w:val="Normal"/>
    <w:rsid w:val="007F277A"/>
    <w:pPr>
      <w:tabs>
        <w:tab w:val="left" w:pos="851"/>
      </w:tabs>
    </w:pPr>
    <w:rPr>
      <w:sz w:val="20"/>
      <w:szCs w:val="20"/>
    </w:rPr>
  </w:style>
  <w:style w:type="paragraph" w:customStyle="1" w:styleId="MiscellaneousHeading">
    <w:name w:val="Miscellaneous Heading"/>
    <w:basedOn w:val="Normal"/>
    <w:next w:val="Normal"/>
    <w:rsid w:val="007F277A"/>
    <w:rPr>
      <w:b/>
      <w:szCs w:val="20"/>
    </w:rPr>
  </w:style>
  <w:style w:type="paragraph" w:customStyle="1" w:styleId="Paragraph">
    <w:name w:val="Paragraph"/>
    <w:basedOn w:val="Clause"/>
    <w:next w:val="Normal"/>
    <w:rsid w:val="007F277A"/>
    <w:pPr>
      <w:tabs>
        <w:tab w:val="clear" w:pos="851"/>
      </w:tabs>
      <w:ind w:left="1702" w:hanging="851"/>
    </w:pPr>
  </w:style>
  <w:style w:type="paragraph" w:customStyle="1" w:styleId="ScheduleHeading">
    <w:name w:val="Schedule Heading"/>
    <w:basedOn w:val="Normal"/>
    <w:next w:val="Normal"/>
    <w:rsid w:val="007F277A"/>
    <w:pPr>
      <w:tabs>
        <w:tab w:val="left" w:pos="851"/>
      </w:tabs>
      <w:jc w:val="center"/>
    </w:pPr>
    <w:rPr>
      <w:b/>
      <w:caps/>
      <w:szCs w:val="20"/>
    </w:rPr>
  </w:style>
  <w:style w:type="paragraph" w:customStyle="1" w:styleId="Standardtitle">
    <w:name w:val="Standard title"/>
    <w:basedOn w:val="Normal"/>
    <w:rsid w:val="007F277A"/>
    <w:pPr>
      <w:tabs>
        <w:tab w:val="left" w:pos="851"/>
      </w:tabs>
      <w:jc w:val="center"/>
    </w:pPr>
    <w:rPr>
      <w:b/>
      <w:i/>
      <w:iCs/>
      <w:caps/>
      <w:sz w:val="28"/>
      <w:szCs w:val="20"/>
    </w:rPr>
  </w:style>
  <w:style w:type="paragraph" w:customStyle="1" w:styleId="Subclause">
    <w:name w:val="Subclause"/>
    <w:basedOn w:val="Clause"/>
    <w:link w:val="SubclauseChar"/>
    <w:rsid w:val="007F277A"/>
    <w:pPr>
      <w:ind w:hanging="11"/>
    </w:pPr>
  </w:style>
  <w:style w:type="paragraph" w:customStyle="1" w:styleId="Subparagraph">
    <w:name w:val="Subparagraph"/>
    <w:basedOn w:val="Paragraph"/>
    <w:next w:val="Normal"/>
    <w:rsid w:val="007F277A"/>
    <w:pPr>
      <w:ind w:left="2553"/>
    </w:pPr>
  </w:style>
  <w:style w:type="paragraph" w:customStyle="1" w:styleId="Table1">
    <w:name w:val="Table 1"/>
    <w:basedOn w:val="Normal"/>
    <w:rsid w:val="007F277A"/>
    <w:pPr>
      <w:spacing w:after="120"/>
      <w:jc w:val="center"/>
    </w:pPr>
    <w:rPr>
      <w:b/>
      <w:bCs/>
      <w:sz w:val="20"/>
      <w:szCs w:val="20"/>
    </w:rPr>
  </w:style>
  <w:style w:type="paragraph" w:customStyle="1" w:styleId="Table2">
    <w:name w:val="Table 2"/>
    <w:basedOn w:val="Normal"/>
    <w:rsid w:val="007F277A"/>
    <w:pPr>
      <w:ind w:left="142" w:hanging="142"/>
    </w:pPr>
    <w:rPr>
      <w:bCs/>
      <w:sz w:val="20"/>
      <w:szCs w:val="20"/>
    </w:rPr>
  </w:style>
  <w:style w:type="paragraph" w:customStyle="1" w:styleId="TableHeading">
    <w:name w:val="Table Heading"/>
    <w:basedOn w:val="Normal"/>
    <w:next w:val="Normal"/>
    <w:rsid w:val="007F277A"/>
    <w:pPr>
      <w:tabs>
        <w:tab w:val="left" w:pos="851"/>
      </w:tabs>
      <w:jc w:val="center"/>
    </w:pPr>
    <w:rPr>
      <w:b/>
      <w:szCs w:val="20"/>
    </w:rPr>
  </w:style>
  <w:style w:type="paragraph" w:customStyle="1" w:styleId="TitleBorder">
    <w:name w:val="TitleBorder"/>
    <w:basedOn w:val="Normal"/>
    <w:rsid w:val="007F277A"/>
    <w:pPr>
      <w:pBdr>
        <w:bottom w:val="double" w:sz="6" w:space="0" w:color="auto"/>
      </w:pBdr>
      <w:tabs>
        <w:tab w:val="left" w:pos="851"/>
      </w:tabs>
    </w:pPr>
    <w:rPr>
      <w:b/>
      <w:szCs w:val="20"/>
    </w:rPr>
  </w:style>
  <w:style w:type="paragraph" w:styleId="TOC7">
    <w:name w:val="toc 7"/>
    <w:basedOn w:val="Normal"/>
    <w:next w:val="Normal"/>
    <w:autoRedefine/>
    <w:semiHidden/>
    <w:rsid w:val="007F277A"/>
    <w:pPr>
      <w:ind w:left="1440"/>
    </w:pPr>
    <w:rPr>
      <w:szCs w:val="21"/>
    </w:rPr>
  </w:style>
  <w:style w:type="paragraph" w:styleId="TOC8">
    <w:name w:val="toc 8"/>
    <w:basedOn w:val="Normal"/>
    <w:next w:val="Normal"/>
    <w:autoRedefine/>
    <w:semiHidden/>
    <w:rsid w:val="007F277A"/>
    <w:pPr>
      <w:ind w:left="1680"/>
    </w:pPr>
    <w:rPr>
      <w:szCs w:val="21"/>
    </w:rPr>
  </w:style>
  <w:style w:type="paragraph" w:styleId="TOC9">
    <w:name w:val="toc 9"/>
    <w:basedOn w:val="Normal"/>
    <w:next w:val="Normal"/>
    <w:autoRedefine/>
    <w:semiHidden/>
    <w:rsid w:val="007F277A"/>
    <w:pPr>
      <w:ind w:left="1920"/>
    </w:pPr>
    <w:rPr>
      <w:szCs w:val="21"/>
    </w:rPr>
  </w:style>
  <w:style w:type="paragraph" w:styleId="FootnoteText">
    <w:name w:val="footnote text"/>
    <w:aliases w:val="FSFootnote Text"/>
    <w:basedOn w:val="Normal"/>
    <w:link w:val="FootnoteTextChar"/>
    <w:qFormat/>
    <w:rsid w:val="007F277A"/>
    <w:rPr>
      <w:sz w:val="20"/>
      <w:szCs w:val="20"/>
    </w:rPr>
  </w:style>
  <w:style w:type="character" w:customStyle="1" w:styleId="FootnoteTextChar">
    <w:name w:val="Footnote Text Char"/>
    <w:aliases w:val="FSFootnote Text Char"/>
    <w:basedOn w:val="DefaultParagraphFont"/>
    <w:link w:val="FootnoteText"/>
    <w:uiPriority w:val="99"/>
    <w:rsid w:val="00F83A0E"/>
    <w:rPr>
      <w:rFonts w:ascii="Arial" w:hAnsi="Arial"/>
      <w:lang w:eastAsia="en-US" w:bidi="en-US"/>
    </w:rPr>
  </w:style>
  <w:style w:type="character" w:styleId="FootnoteReference">
    <w:name w:val="footnote reference"/>
    <w:basedOn w:val="DefaultParagraphFont"/>
    <w:uiPriority w:val="99"/>
    <w:semiHidden/>
    <w:rsid w:val="007F277A"/>
    <w:rPr>
      <w:vertAlign w:val="superscript"/>
    </w:rPr>
  </w:style>
  <w:style w:type="paragraph" w:customStyle="1" w:styleId="heading">
    <w:name w:val="heading"/>
    <w:basedOn w:val="Normal"/>
    <w:rsid w:val="007F277A"/>
    <w:pPr>
      <w:tabs>
        <w:tab w:val="left" w:pos="840"/>
      </w:tabs>
      <w:ind w:left="851" w:hanging="851"/>
    </w:pPr>
    <w:rPr>
      <w:b/>
      <w:caps/>
      <w:szCs w:val="20"/>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7602AA"/>
    <w:pPr>
      <w:pBdr>
        <w:top w:val="single" w:sz="4" w:space="1" w:color="auto"/>
        <w:left w:val="single" w:sz="4" w:space="4" w:color="auto"/>
        <w:bottom w:val="single" w:sz="4" w:space="1" w:color="auto"/>
        <w:right w:val="single" w:sz="4" w:space="4" w:color="auto"/>
      </w:pBdr>
    </w:pPr>
    <w:rPr>
      <w:rFonts w:ascii="Arial Bold" w:hAnsi="Arial Bold"/>
      <w:b/>
    </w:r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F83A0E"/>
    <w:rPr>
      <w:rFonts w:ascii="Tahoma" w:hAnsi="Tahoma" w:cs="Tahoma"/>
      <w:sz w:val="16"/>
      <w:szCs w:val="16"/>
      <w:lang w:eastAsia="en-US" w:bidi="en-US"/>
    </w:rPr>
  </w:style>
  <w:style w:type="paragraph" w:styleId="TOCHeading">
    <w:name w:val="TOC Heading"/>
    <w:basedOn w:val="Heading1"/>
    <w:next w:val="Normal"/>
    <w:uiPriority w:val="39"/>
    <w:semiHidden/>
    <w:unhideWhenUsed/>
    <w:qFormat/>
    <w:rsid w:val="00B731D3"/>
    <w:pPr>
      <w:outlineLvl w:val="9"/>
    </w:pPr>
    <w:rPr>
      <w:rFonts w:cs="Times New Roman"/>
    </w:rPr>
  </w:style>
  <w:style w:type="paragraph" w:customStyle="1" w:styleId="FSBullet">
    <w:name w:val="FS Bullet"/>
    <w:basedOn w:val="Normal"/>
    <w:next w:val="Normal"/>
    <w:link w:val="FSBulletChar"/>
    <w:qFormat/>
    <w:rsid w:val="00E2003B"/>
    <w:pPr>
      <w:numPr>
        <w:numId w:val="1"/>
      </w:numPr>
    </w:pPr>
    <w:rPr>
      <w:rFonts w:cs="Arial"/>
    </w:rPr>
  </w:style>
  <w:style w:type="character" w:customStyle="1" w:styleId="FSBulletChar">
    <w:name w:val="FS Bullet Char"/>
    <w:basedOn w:val="DefaultParagraphFont"/>
    <w:link w:val="FSBullet"/>
    <w:rsid w:val="00E2003B"/>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ListParagraph">
    <w:name w:val="List Paragraph"/>
    <w:basedOn w:val="Normal"/>
    <w:uiPriority w:val="34"/>
    <w:qFormat/>
    <w:rsid w:val="00B551C9"/>
    <w:pPr>
      <w:ind w:left="720"/>
      <w:contextualSpacing/>
    </w:pPr>
  </w:style>
  <w:style w:type="paragraph" w:customStyle="1" w:styleId="Bullet">
    <w:name w:val="Bullet"/>
    <w:basedOn w:val="Normal"/>
    <w:next w:val="Normal"/>
    <w:link w:val="BulletChar"/>
    <w:rsid w:val="00F83A0E"/>
    <w:pPr>
      <w:spacing w:after="200" w:line="276" w:lineRule="auto"/>
      <w:ind w:left="567" w:hanging="567"/>
    </w:pPr>
    <w:rPr>
      <w:rFonts w:ascii="Times New Roman" w:eastAsiaTheme="minorHAnsi" w:hAnsi="Times New Roman" w:cstheme="minorBidi"/>
      <w:lang w:bidi="ar-SA"/>
    </w:rPr>
  </w:style>
  <w:style w:type="character" w:customStyle="1" w:styleId="BulletChar">
    <w:name w:val="Bullet Char"/>
    <w:basedOn w:val="DefaultParagraphFont"/>
    <w:link w:val="Bullet"/>
    <w:locked/>
    <w:rsid w:val="00810708"/>
    <w:rPr>
      <w:rFonts w:ascii="Times New Roman" w:eastAsiaTheme="minorHAnsi" w:hAnsi="Times New Roman" w:cstheme="minorBidi"/>
      <w:sz w:val="22"/>
      <w:szCs w:val="24"/>
      <w:lang w:eastAsia="en-US"/>
    </w:rPr>
  </w:style>
  <w:style w:type="paragraph" w:styleId="NormalWeb">
    <w:name w:val="Normal (Web)"/>
    <w:basedOn w:val="Normal"/>
    <w:uiPriority w:val="99"/>
    <w:rsid w:val="00F83A0E"/>
    <w:pPr>
      <w:widowControl/>
      <w:spacing w:before="100" w:beforeAutospacing="1" w:after="100" w:afterAutospacing="1" w:line="276" w:lineRule="auto"/>
    </w:pPr>
    <w:rPr>
      <w:rFonts w:ascii="Times New Roman" w:eastAsiaTheme="minorHAnsi" w:hAnsi="Times New Roman" w:cstheme="minorBidi"/>
      <w:lang w:val="en-AU" w:eastAsia="en-AU" w:bidi="ar-SA"/>
    </w:rPr>
  </w:style>
  <w:style w:type="character" w:customStyle="1" w:styleId="EmailStyle831">
    <w:name w:val="EmailStyle831"/>
    <w:basedOn w:val="DefaultParagraphFont"/>
    <w:rsid w:val="00F83A0E"/>
    <w:rPr>
      <w:rFonts w:ascii="Arial" w:hAnsi="Arial" w:cs="Arial"/>
      <w:color w:val="000000"/>
      <w:sz w:val="20"/>
      <w:szCs w:val="20"/>
    </w:rPr>
  </w:style>
  <w:style w:type="paragraph" w:styleId="HTMLPreformatted">
    <w:name w:val="HTML Preformatted"/>
    <w:basedOn w:val="Normal"/>
    <w:link w:val="HTMLPreformattedChar"/>
    <w:rsid w:val="00F83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HAnsi" w:hAnsi="Courier New" w:cs="Courier New"/>
      <w:sz w:val="20"/>
      <w:szCs w:val="22"/>
      <w:lang w:val="en-AU" w:eastAsia="en-AU" w:bidi="ar-SA"/>
    </w:rPr>
  </w:style>
  <w:style w:type="character" w:customStyle="1" w:styleId="HTMLPreformattedChar">
    <w:name w:val="HTML Preformatted Char"/>
    <w:basedOn w:val="DefaultParagraphFont"/>
    <w:link w:val="HTMLPreformatted"/>
    <w:rsid w:val="00F83A0E"/>
    <w:rPr>
      <w:rFonts w:ascii="Courier New" w:eastAsiaTheme="minorHAnsi" w:hAnsi="Courier New" w:cs="Courier New"/>
      <w:szCs w:val="22"/>
      <w:lang w:val="en-AU" w:eastAsia="en-AU"/>
    </w:rPr>
  </w:style>
  <w:style w:type="paragraph" w:customStyle="1" w:styleId="Default">
    <w:name w:val="Default"/>
    <w:rsid w:val="00F83A0E"/>
    <w:pPr>
      <w:autoSpaceDE w:val="0"/>
      <w:autoSpaceDN w:val="0"/>
      <w:adjustRightInd w:val="0"/>
    </w:pPr>
    <w:rPr>
      <w:rFonts w:ascii="CVKFAZ+Helvetica-Bold" w:hAnsi="CVKFAZ+Helvetica-Bold" w:cs="CVKFAZ+Helvetica-Bold"/>
      <w:color w:val="000000"/>
      <w:sz w:val="24"/>
      <w:szCs w:val="24"/>
      <w:lang w:val="en-AU" w:eastAsia="en-AU"/>
    </w:rPr>
  </w:style>
  <w:style w:type="paragraph" w:styleId="Title">
    <w:name w:val="Title"/>
    <w:basedOn w:val="Normal"/>
    <w:next w:val="Normal"/>
    <w:link w:val="TitleChar"/>
    <w:uiPriority w:val="10"/>
    <w:qFormat/>
    <w:rsid w:val="00F83A0E"/>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F83A0E"/>
    <w:rPr>
      <w:rFonts w:asciiTheme="majorHAnsi" w:eastAsiaTheme="majorEastAsia" w:hAnsiTheme="majorHAnsi"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qFormat/>
    <w:rsid w:val="00F83A0E"/>
    <w:pPr>
      <w:widowControl/>
      <w:numPr>
        <w:ilvl w:val="1"/>
      </w:numPr>
      <w:spacing w:after="200" w:line="276" w:lineRule="auto"/>
    </w:pPr>
    <w:rPr>
      <w:rFonts w:asciiTheme="majorHAnsi" w:eastAsiaTheme="majorEastAsia" w:hAnsiTheme="majorHAnsi"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F83A0E"/>
    <w:rPr>
      <w:rFonts w:asciiTheme="majorHAnsi" w:eastAsiaTheme="majorEastAsia" w:hAnsiTheme="majorHAnsi" w:cstheme="majorBidi"/>
      <w:i/>
      <w:iCs/>
      <w:color w:val="4F81BD" w:themeColor="accent1"/>
      <w:spacing w:val="15"/>
      <w:sz w:val="24"/>
      <w:szCs w:val="24"/>
      <w:lang w:val="en-AU" w:eastAsia="en-US"/>
    </w:rPr>
  </w:style>
  <w:style w:type="character" w:styleId="Strong">
    <w:name w:val="Strong"/>
    <w:uiPriority w:val="22"/>
    <w:qFormat/>
    <w:rsid w:val="00F83A0E"/>
    <w:rPr>
      <w:b/>
      <w:bCs/>
    </w:rPr>
  </w:style>
  <w:style w:type="character" w:styleId="Emphasis">
    <w:name w:val="Emphasis"/>
    <w:uiPriority w:val="20"/>
    <w:qFormat/>
    <w:rsid w:val="00F83A0E"/>
    <w:rPr>
      <w:i/>
      <w:iCs/>
    </w:rPr>
  </w:style>
  <w:style w:type="paragraph" w:styleId="NoSpacing">
    <w:name w:val="No Spacing"/>
    <w:basedOn w:val="Normal"/>
    <w:uiPriority w:val="1"/>
    <w:qFormat/>
    <w:rsid w:val="00F83A0E"/>
    <w:pPr>
      <w:widowControl/>
    </w:pPr>
    <w:rPr>
      <w:rFonts w:asciiTheme="minorHAnsi" w:eastAsiaTheme="minorHAnsi" w:hAnsiTheme="minorHAnsi" w:cstheme="minorBidi"/>
      <w:szCs w:val="22"/>
      <w:lang w:val="en-AU" w:bidi="ar-SA"/>
    </w:rPr>
  </w:style>
  <w:style w:type="paragraph" w:styleId="Quote">
    <w:name w:val="Quote"/>
    <w:basedOn w:val="Normal"/>
    <w:next w:val="Normal"/>
    <w:link w:val="QuoteChar"/>
    <w:uiPriority w:val="29"/>
    <w:qFormat/>
    <w:rsid w:val="00F83A0E"/>
    <w:pPr>
      <w:widowControl/>
      <w:spacing w:after="200" w:line="276" w:lineRule="auto"/>
    </w:pPr>
    <w:rPr>
      <w:rFonts w:asciiTheme="minorHAnsi" w:eastAsiaTheme="minorHAnsi" w:hAnsi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F83A0E"/>
    <w:rPr>
      <w:rFonts w:asciiTheme="minorHAnsi" w:eastAsiaTheme="minorHAnsi" w:hAnsiTheme="minorHAnsi" w:cstheme="minorBidi"/>
      <w:i/>
      <w:iCs/>
      <w:color w:val="000000" w:themeColor="text1"/>
      <w:sz w:val="22"/>
      <w:szCs w:val="22"/>
      <w:lang w:val="en-AU" w:eastAsia="en-US"/>
    </w:rPr>
  </w:style>
  <w:style w:type="paragraph" w:styleId="IntenseQuote">
    <w:name w:val="Intense Quote"/>
    <w:basedOn w:val="Normal"/>
    <w:next w:val="Normal"/>
    <w:link w:val="IntenseQuoteChar"/>
    <w:uiPriority w:val="30"/>
    <w:qFormat/>
    <w:rsid w:val="00F83A0E"/>
    <w:pPr>
      <w:widowControl/>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val="en-AU" w:bidi="ar-SA"/>
    </w:rPr>
  </w:style>
  <w:style w:type="character" w:customStyle="1" w:styleId="IntenseQuoteChar">
    <w:name w:val="Intense Quote Char"/>
    <w:basedOn w:val="DefaultParagraphFont"/>
    <w:link w:val="IntenseQuote"/>
    <w:uiPriority w:val="30"/>
    <w:rsid w:val="00F83A0E"/>
    <w:rPr>
      <w:rFonts w:asciiTheme="minorHAnsi" w:eastAsiaTheme="minorHAnsi" w:hAnsiTheme="minorHAnsi" w:cstheme="minorBidi"/>
      <w:b/>
      <w:bCs/>
      <w:i/>
      <w:iCs/>
      <w:color w:val="4F81BD" w:themeColor="accent1"/>
      <w:sz w:val="22"/>
      <w:szCs w:val="22"/>
      <w:lang w:val="en-AU" w:eastAsia="en-US"/>
    </w:rPr>
  </w:style>
  <w:style w:type="character" w:styleId="SubtleEmphasis">
    <w:name w:val="Subtle Emphasis"/>
    <w:uiPriority w:val="19"/>
    <w:qFormat/>
    <w:rsid w:val="00F83A0E"/>
    <w:rPr>
      <w:i/>
      <w:iCs/>
      <w:color w:val="808080" w:themeColor="text1" w:themeTint="7F"/>
    </w:rPr>
  </w:style>
  <w:style w:type="character" w:styleId="IntenseEmphasis">
    <w:name w:val="Intense Emphasis"/>
    <w:uiPriority w:val="21"/>
    <w:qFormat/>
    <w:rsid w:val="00F83A0E"/>
    <w:rPr>
      <w:b/>
      <w:bCs/>
      <w:i/>
      <w:iCs/>
      <w:color w:val="4F81BD" w:themeColor="accent1"/>
    </w:rPr>
  </w:style>
  <w:style w:type="character" w:styleId="SubtleReference">
    <w:name w:val="Subtle Reference"/>
    <w:uiPriority w:val="31"/>
    <w:qFormat/>
    <w:rsid w:val="00F83A0E"/>
    <w:rPr>
      <w:smallCaps/>
      <w:color w:val="C0504D" w:themeColor="accent2"/>
      <w:u w:val="single"/>
    </w:rPr>
  </w:style>
  <w:style w:type="character" w:styleId="IntenseReference">
    <w:name w:val="Intense Reference"/>
    <w:uiPriority w:val="32"/>
    <w:qFormat/>
    <w:rsid w:val="00F83A0E"/>
    <w:rPr>
      <w:b/>
      <w:bCs/>
      <w:smallCaps/>
      <w:color w:val="C0504D" w:themeColor="accent2"/>
      <w:spacing w:val="5"/>
      <w:u w:val="single"/>
    </w:rPr>
  </w:style>
  <w:style w:type="character" w:styleId="BookTitle">
    <w:name w:val="Book Title"/>
    <w:uiPriority w:val="33"/>
    <w:qFormat/>
    <w:rsid w:val="00F83A0E"/>
    <w:rPr>
      <w:b/>
      <w:bCs/>
      <w:smallCaps/>
      <w:spacing w:val="5"/>
    </w:rPr>
  </w:style>
  <w:style w:type="character" w:styleId="CommentReference">
    <w:name w:val="annotation reference"/>
    <w:basedOn w:val="DefaultParagraphFont"/>
    <w:uiPriority w:val="99"/>
    <w:unhideWhenUsed/>
    <w:rsid w:val="00F83A0E"/>
    <w:rPr>
      <w:sz w:val="16"/>
      <w:szCs w:val="16"/>
    </w:rPr>
  </w:style>
  <w:style w:type="paragraph" w:styleId="CommentText">
    <w:name w:val="annotation text"/>
    <w:basedOn w:val="Normal"/>
    <w:link w:val="CommentTextChar"/>
    <w:uiPriority w:val="99"/>
    <w:unhideWhenUsed/>
    <w:rsid w:val="00F83A0E"/>
    <w:pPr>
      <w:widowControl/>
      <w:spacing w:after="200"/>
    </w:pPr>
    <w:rPr>
      <w:rFonts w:asciiTheme="minorHAnsi" w:eastAsiaTheme="minorHAnsi" w:hAnsiTheme="minorHAnsi" w:cstheme="minorBidi"/>
      <w:sz w:val="20"/>
      <w:szCs w:val="20"/>
      <w:lang w:val="en-AU" w:bidi="ar-SA"/>
    </w:rPr>
  </w:style>
  <w:style w:type="character" w:customStyle="1" w:styleId="CommentTextChar">
    <w:name w:val="Comment Text Char"/>
    <w:basedOn w:val="DefaultParagraphFont"/>
    <w:link w:val="CommentText"/>
    <w:uiPriority w:val="99"/>
    <w:rsid w:val="00F83A0E"/>
    <w:rPr>
      <w:rFonts w:asciiTheme="minorHAnsi" w:eastAsiaTheme="minorHAnsi" w:hAnsiTheme="minorHAnsi" w:cstheme="minorBidi"/>
      <w:lang w:val="en-AU" w:eastAsia="en-US"/>
    </w:rPr>
  </w:style>
  <w:style w:type="paragraph" w:styleId="CommentSubject">
    <w:name w:val="annotation subject"/>
    <w:basedOn w:val="CommentText"/>
    <w:next w:val="CommentText"/>
    <w:link w:val="CommentSubjectChar"/>
    <w:uiPriority w:val="99"/>
    <w:unhideWhenUsed/>
    <w:rsid w:val="00F83A0E"/>
    <w:rPr>
      <w:b/>
      <w:bCs/>
    </w:rPr>
  </w:style>
  <w:style w:type="character" w:customStyle="1" w:styleId="CommentSubjectChar">
    <w:name w:val="Comment Subject Char"/>
    <w:basedOn w:val="CommentTextChar"/>
    <w:link w:val="CommentSubject"/>
    <w:uiPriority w:val="99"/>
    <w:rsid w:val="00F83A0E"/>
    <w:rPr>
      <w:rFonts w:asciiTheme="minorHAnsi" w:eastAsiaTheme="minorHAnsi" w:hAnsiTheme="minorHAnsi" w:cstheme="minorBidi"/>
      <w:b/>
      <w:bCs/>
      <w:lang w:val="en-AU" w:eastAsia="en-US"/>
    </w:rPr>
  </w:style>
  <w:style w:type="table" w:customStyle="1" w:styleId="Style1">
    <w:name w:val="Style1"/>
    <w:basedOn w:val="TableNormal"/>
    <w:uiPriority w:val="99"/>
    <w:qFormat/>
    <w:rsid w:val="00F83A0E"/>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styleId="MediumList1-Accent3">
    <w:name w:val="Medium List 1 Accent 3"/>
    <w:basedOn w:val="TableNormal"/>
    <w:uiPriority w:val="65"/>
    <w:rsid w:val="008E44E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
    <w:name w:val="Light List - Accent 11"/>
    <w:basedOn w:val="TableNormal"/>
    <w:uiPriority w:val="61"/>
    <w:rsid w:val="007337DF"/>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EF4E2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uiPriority w:val="63"/>
    <w:rsid w:val="00E05BF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ash">
    <w:name w:val="Dash"/>
    <w:basedOn w:val="Normal"/>
    <w:rsid w:val="00867D65"/>
    <w:pPr>
      <w:numPr>
        <w:numId w:val="3"/>
      </w:numPr>
      <w:tabs>
        <w:tab w:val="clear" w:pos="583"/>
      </w:tabs>
      <w:ind w:left="1134" w:hanging="567"/>
    </w:pPr>
    <w:rPr>
      <w:rFonts w:ascii="Times New Roman" w:hAnsi="Times New Roman"/>
      <w:snapToGrid w:val="0"/>
      <w:sz w:val="24"/>
      <w:szCs w:val="20"/>
      <w:lang w:val="en-US" w:bidi="ar-SA"/>
    </w:rPr>
  </w:style>
  <w:style w:type="paragraph" w:customStyle="1" w:styleId="citation">
    <w:name w:val="citation"/>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uthlist">
    <w:name w:val="auth_list"/>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ff">
    <w:name w:val="aff"/>
    <w:basedOn w:val="Normal"/>
    <w:rsid w:val="00D154B3"/>
    <w:pPr>
      <w:widowControl/>
      <w:spacing w:before="100" w:beforeAutospacing="1" w:after="100" w:afterAutospacing="1"/>
    </w:pPr>
    <w:rPr>
      <w:rFonts w:ascii="Times New Roman" w:hAnsi="Times New Roman"/>
      <w:sz w:val="24"/>
      <w:lang w:val="en-AU" w:eastAsia="en-AU" w:bidi="ar-SA"/>
    </w:rPr>
  </w:style>
  <w:style w:type="character" w:customStyle="1" w:styleId="criterion">
    <w:name w:val="criterion"/>
    <w:basedOn w:val="DefaultParagraphFont"/>
    <w:rsid w:val="00D154B3"/>
  </w:style>
  <w:style w:type="character" w:customStyle="1" w:styleId="criteria-value1">
    <w:name w:val="criteria-value1"/>
    <w:basedOn w:val="DefaultParagraphFont"/>
    <w:rsid w:val="00D154B3"/>
    <w:rPr>
      <w:b/>
      <w:bCs/>
      <w:color w:val="CC0000"/>
    </w:rPr>
  </w:style>
  <w:style w:type="character" w:customStyle="1" w:styleId="criteria-boolean">
    <w:name w:val="criteria-boolean"/>
    <w:basedOn w:val="DefaultParagraphFont"/>
    <w:rsid w:val="00D154B3"/>
  </w:style>
  <w:style w:type="character" w:customStyle="1" w:styleId="criteria-location">
    <w:name w:val="criteria-location"/>
    <w:basedOn w:val="DefaultParagraphFont"/>
    <w:rsid w:val="00D154B3"/>
  </w:style>
  <w:style w:type="paragraph" w:customStyle="1" w:styleId="Level2">
    <w:name w:val="Level 2"/>
    <w:basedOn w:val="Heading2"/>
    <w:link w:val="Level2Char"/>
    <w:rsid w:val="00D154B3"/>
    <w:pPr>
      <w:keepLines/>
      <w:widowControl/>
      <w:spacing w:before="240" w:after="240"/>
      <w:ind w:left="0" w:firstLine="0"/>
    </w:pPr>
    <w:rPr>
      <w:rFonts w:ascii="Arial" w:eastAsiaTheme="majorEastAsia" w:hAnsi="Arial" w:cs="Arial"/>
      <w:iCs w:val="0"/>
      <w:lang w:val="en-AU"/>
    </w:rPr>
  </w:style>
  <w:style w:type="character" w:customStyle="1" w:styleId="Level2Char">
    <w:name w:val="Level 2 Char"/>
    <w:basedOn w:val="Heading2Char"/>
    <w:link w:val="Level2"/>
    <w:rsid w:val="00D154B3"/>
    <w:rPr>
      <w:rFonts w:ascii="Arial" w:eastAsiaTheme="majorEastAsia" w:hAnsi="Arial" w:cs="Arial"/>
      <w:b/>
      <w:bCs/>
      <w:iCs w:val="0"/>
      <w:sz w:val="28"/>
      <w:szCs w:val="28"/>
      <w:lang w:val="en-AU" w:eastAsia="en-US" w:bidi="en-US"/>
    </w:rPr>
  </w:style>
  <w:style w:type="paragraph" w:customStyle="1" w:styleId="Level1">
    <w:name w:val="Level 1"/>
    <w:basedOn w:val="Heading1"/>
    <w:link w:val="Level1Char"/>
    <w:rsid w:val="00D154B3"/>
    <w:pPr>
      <w:keepNext w:val="0"/>
      <w:widowControl/>
      <w:spacing w:before="240" w:after="240"/>
      <w:ind w:left="0" w:firstLine="0"/>
    </w:pPr>
    <w:rPr>
      <w:rFonts w:ascii="Arial" w:hAnsi="Arial" w:cs="Arial"/>
      <w:kern w:val="36"/>
      <w:sz w:val="36"/>
      <w:szCs w:val="36"/>
      <w:lang w:val="en-AU" w:eastAsia="en-AU"/>
    </w:rPr>
  </w:style>
  <w:style w:type="character" w:customStyle="1" w:styleId="Level1Char">
    <w:name w:val="Level 1 Char"/>
    <w:basedOn w:val="Heading1Char"/>
    <w:link w:val="Level1"/>
    <w:rsid w:val="00D154B3"/>
    <w:rPr>
      <w:rFonts w:ascii="Arial" w:hAnsi="Arial" w:cs="Arial"/>
      <w:b/>
      <w:bCs/>
      <w:kern w:val="36"/>
      <w:sz w:val="36"/>
      <w:szCs w:val="36"/>
      <w:u w:val="single"/>
      <w:lang w:val="en-AU" w:eastAsia="en-AU" w:bidi="en-US"/>
    </w:rPr>
  </w:style>
  <w:style w:type="paragraph" w:customStyle="1" w:styleId="Level3">
    <w:name w:val="Level 3"/>
    <w:basedOn w:val="Heading3"/>
    <w:link w:val="Level3Char"/>
    <w:rsid w:val="00D154B3"/>
    <w:pPr>
      <w:keepLines/>
      <w:widowControl/>
      <w:spacing w:before="240" w:after="240"/>
      <w:ind w:left="0" w:firstLine="0"/>
    </w:pPr>
    <w:rPr>
      <w:rFonts w:ascii="Arial" w:eastAsiaTheme="majorEastAsia" w:hAnsi="Arial" w:cs="Arial"/>
      <w:szCs w:val="22"/>
      <w:lang w:val="en-AU"/>
    </w:rPr>
  </w:style>
  <w:style w:type="character" w:customStyle="1" w:styleId="Level3Char">
    <w:name w:val="Level 3 Char"/>
    <w:basedOn w:val="Heading3Char"/>
    <w:link w:val="Level3"/>
    <w:rsid w:val="00D154B3"/>
    <w:rPr>
      <w:rFonts w:ascii="Arial" w:eastAsiaTheme="majorEastAsia" w:hAnsi="Arial" w:cs="Arial"/>
      <w:b/>
      <w:bCs/>
      <w:sz w:val="22"/>
      <w:szCs w:val="22"/>
      <w:lang w:val="en-AU" w:eastAsia="en-US" w:bidi="en-US"/>
    </w:rPr>
  </w:style>
  <w:style w:type="paragraph" w:customStyle="1" w:styleId="Level4">
    <w:name w:val="Level 4"/>
    <w:basedOn w:val="Heading4"/>
    <w:link w:val="Level4Char"/>
    <w:rsid w:val="00D154B3"/>
    <w:pPr>
      <w:keepLines/>
      <w:widowControl/>
      <w:spacing w:before="240" w:after="240"/>
      <w:ind w:left="0" w:firstLine="0"/>
    </w:pPr>
    <w:rPr>
      <w:rFonts w:eastAsiaTheme="majorEastAsia" w:cs="Arial"/>
      <w:b/>
      <w:iCs/>
      <w:szCs w:val="22"/>
      <w:lang w:val="en-AU"/>
    </w:rPr>
  </w:style>
  <w:style w:type="character" w:customStyle="1" w:styleId="Level4Char">
    <w:name w:val="Level 4 Char"/>
    <w:basedOn w:val="Heading4Char"/>
    <w:link w:val="Level4"/>
    <w:rsid w:val="00D154B3"/>
    <w:rPr>
      <w:rFonts w:ascii="Arial" w:eastAsiaTheme="majorEastAsia" w:hAnsi="Arial" w:cs="Arial"/>
      <w:b/>
      <w:bCs/>
      <w:i/>
      <w:iCs/>
      <w:sz w:val="22"/>
      <w:szCs w:val="22"/>
      <w:lang w:val="en-AU" w:eastAsia="en-US" w:bidi="en-US"/>
    </w:rPr>
  </w:style>
  <w:style w:type="paragraph" w:customStyle="1" w:styleId="Level5">
    <w:name w:val="Level 5"/>
    <w:basedOn w:val="Heading5"/>
    <w:link w:val="Level5Char"/>
    <w:rsid w:val="00D154B3"/>
    <w:pPr>
      <w:keepNext/>
      <w:keepLines/>
      <w:widowControl/>
      <w:spacing w:before="240" w:after="240"/>
      <w:ind w:left="0" w:firstLine="0"/>
    </w:pPr>
    <w:rPr>
      <w:rFonts w:eastAsiaTheme="majorEastAsia" w:cs="Arial"/>
      <w:bCs w:val="0"/>
      <w:i/>
      <w:iCs w:val="0"/>
      <w:szCs w:val="22"/>
      <w:lang w:val="en-AU"/>
    </w:rPr>
  </w:style>
  <w:style w:type="character" w:customStyle="1" w:styleId="Level5Char">
    <w:name w:val="Level 5 Char"/>
    <w:basedOn w:val="Heading5Char"/>
    <w:link w:val="Level5"/>
    <w:rsid w:val="00D154B3"/>
    <w:rPr>
      <w:rFonts w:ascii="Arial" w:eastAsiaTheme="majorEastAsia" w:hAnsi="Arial" w:cs="Arial"/>
      <w:bCs w:val="0"/>
      <w:i/>
      <w:iCs w:val="0"/>
      <w:sz w:val="22"/>
      <w:szCs w:val="22"/>
      <w:u w:val="single"/>
      <w:lang w:val="en-AU" w:eastAsia="en-US" w:bidi="en-US"/>
    </w:rPr>
  </w:style>
  <w:style w:type="paragraph" w:customStyle="1" w:styleId="One">
    <w:name w:val="One"/>
    <w:basedOn w:val="Heading1"/>
    <w:link w:val="OneChar"/>
    <w:autoRedefine/>
    <w:qFormat/>
    <w:rsid w:val="00404090"/>
    <w:pPr>
      <w:keepNext w:val="0"/>
      <w:widowControl/>
      <w:spacing w:before="240" w:after="240" w:line="264" w:lineRule="atLeast"/>
      <w:jc w:val="both"/>
    </w:pPr>
    <w:rPr>
      <w:kern w:val="36"/>
      <w:szCs w:val="28"/>
      <w:u w:val="none"/>
      <w:lang w:val="en-AU" w:eastAsia="en-AU"/>
    </w:rPr>
  </w:style>
  <w:style w:type="character" w:customStyle="1" w:styleId="OneChar">
    <w:name w:val="One Char"/>
    <w:basedOn w:val="Heading1Char"/>
    <w:link w:val="One"/>
    <w:rsid w:val="00404090"/>
    <w:rPr>
      <w:rFonts w:ascii="Tahoma" w:hAnsi="Tahoma" w:cs="Tahoma"/>
      <w:b/>
      <w:bCs/>
      <w:kern w:val="36"/>
      <w:sz w:val="28"/>
      <w:szCs w:val="28"/>
      <w:u w:val="single"/>
      <w:lang w:val="en-AU" w:eastAsia="en-AU" w:bidi="en-US"/>
    </w:rPr>
  </w:style>
  <w:style w:type="paragraph" w:customStyle="1" w:styleId="Two">
    <w:name w:val="Two"/>
    <w:basedOn w:val="Heading2"/>
    <w:link w:val="TwoChar"/>
    <w:autoRedefine/>
    <w:qFormat/>
    <w:rsid w:val="00435E22"/>
    <w:pPr>
      <w:keepLines/>
      <w:widowControl/>
      <w:numPr>
        <w:ilvl w:val="1"/>
      </w:numPr>
      <w:spacing w:before="240" w:after="240"/>
      <w:ind w:left="851" w:hanging="851"/>
    </w:pPr>
    <w:rPr>
      <w:rFonts w:ascii="Arial" w:eastAsiaTheme="majorEastAsia" w:hAnsi="Arial" w:cs="Arial"/>
      <w:iCs w:val="0"/>
      <w:lang w:val="en-AU"/>
    </w:rPr>
  </w:style>
  <w:style w:type="character" w:customStyle="1" w:styleId="TwoChar">
    <w:name w:val="Two Char"/>
    <w:basedOn w:val="Heading2Char"/>
    <w:link w:val="Two"/>
    <w:rsid w:val="00435E22"/>
    <w:rPr>
      <w:rFonts w:ascii="Arial" w:eastAsiaTheme="majorEastAsia" w:hAnsi="Arial" w:cs="Arial"/>
      <w:b/>
      <w:bCs/>
      <w:iCs w:val="0"/>
      <w:sz w:val="28"/>
      <w:szCs w:val="28"/>
      <w:lang w:val="en-AU" w:eastAsia="en-US" w:bidi="en-US"/>
    </w:rPr>
  </w:style>
  <w:style w:type="paragraph" w:customStyle="1" w:styleId="Three">
    <w:name w:val="Three"/>
    <w:basedOn w:val="Heading3"/>
    <w:link w:val="ThreeChar"/>
    <w:autoRedefine/>
    <w:qFormat/>
    <w:rsid w:val="00232665"/>
    <w:pPr>
      <w:keepLines/>
      <w:widowControl/>
      <w:numPr>
        <w:ilvl w:val="2"/>
      </w:numPr>
      <w:spacing w:before="240" w:after="240"/>
      <w:ind w:left="851" w:hanging="851"/>
    </w:pPr>
    <w:rPr>
      <w:rFonts w:ascii="Arial" w:eastAsiaTheme="majorEastAsia" w:hAnsi="Arial" w:cs="Arial"/>
      <w:i/>
      <w:szCs w:val="22"/>
      <w:lang w:val="en-AU"/>
    </w:rPr>
  </w:style>
  <w:style w:type="character" w:customStyle="1" w:styleId="ThreeChar">
    <w:name w:val="Three Char"/>
    <w:basedOn w:val="Heading3Char"/>
    <w:link w:val="Three"/>
    <w:rsid w:val="00232665"/>
    <w:rPr>
      <w:rFonts w:ascii="Arial" w:eastAsiaTheme="majorEastAsia" w:hAnsi="Arial" w:cs="Arial"/>
      <w:b/>
      <w:bCs/>
      <w:i/>
      <w:sz w:val="22"/>
      <w:szCs w:val="22"/>
      <w:lang w:val="en-AU" w:eastAsia="en-US" w:bidi="en-US"/>
    </w:rPr>
  </w:style>
  <w:style w:type="paragraph" w:customStyle="1" w:styleId="Four">
    <w:name w:val="Four"/>
    <w:basedOn w:val="Heading4"/>
    <w:link w:val="FourChar"/>
    <w:autoRedefine/>
    <w:qFormat/>
    <w:rsid w:val="00D154B3"/>
    <w:pPr>
      <w:keepLines/>
      <w:widowControl/>
      <w:numPr>
        <w:ilvl w:val="3"/>
      </w:numPr>
      <w:spacing w:before="240" w:after="240"/>
      <w:ind w:left="862" w:hanging="862"/>
    </w:pPr>
    <w:rPr>
      <w:rFonts w:eastAsiaTheme="majorEastAsia" w:cs="Arial"/>
      <w:b/>
      <w:iCs/>
      <w:szCs w:val="22"/>
      <w:lang w:val="en-AU"/>
    </w:rPr>
  </w:style>
  <w:style w:type="character" w:customStyle="1" w:styleId="FourChar">
    <w:name w:val="Four Char"/>
    <w:basedOn w:val="Heading4Char"/>
    <w:link w:val="Four"/>
    <w:rsid w:val="00D154B3"/>
    <w:rPr>
      <w:rFonts w:ascii="Arial" w:eastAsiaTheme="majorEastAsia" w:hAnsi="Arial" w:cs="Arial"/>
      <w:b/>
      <w:bCs/>
      <w:i/>
      <w:iCs/>
      <w:sz w:val="22"/>
      <w:szCs w:val="22"/>
      <w:lang w:val="en-AU" w:eastAsia="en-US" w:bidi="en-US"/>
    </w:rPr>
  </w:style>
  <w:style w:type="paragraph" w:customStyle="1" w:styleId="Five">
    <w:name w:val="Five"/>
    <w:basedOn w:val="Heading5"/>
    <w:link w:val="FiveChar"/>
    <w:autoRedefine/>
    <w:qFormat/>
    <w:rsid w:val="00D154B3"/>
    <w:pPr>
      <w:keepNext/>
      <w:keepLines/>
      <w:widowControl/>
      <w:numPr>
        <w:ilvl w:val="4"/>
      </w:numPr>
      <w:spacing w:before="240" w:after="240"/>
      <w:ind w:left="1009" w:hanging="1009"/>
    </w:pPr>
    <w:rPr>
      <w:rFonts w:eastAsiaTheme="majorEastAsia" w:cs="Arial"/>
      <w:bCs w:val="0"/>
      <w:i/>
      <w:iCs w:val="0"/>
      <w:szCs w:val="22"/>
      <w:lang w:val="en-AU"/>
    </w:rPr>
  </w:style>
  <w:style w:type="character" w:customStyle="1" w:styleId="FiveChar">
    <w:name w:val="Five Char"/>
    <w:basedOn w:val="Heading5Char"/>
    <w:link w:val="Five"/>
    <w:rsid w:val="00D154B3"/>
    <w:rPr>
      <w:rFonts w:ascii="Arial" w:eastAsiaTheme="majorEastAsia" w:hAnsi="Arial" w:cs="Arial"/>
      <w:bCs w:val="0"/>
      <w:i/>
      <w:iCs w:val="0"/>
      <w:sz w:val="22"/>
      <w:szCs w:val="22"/>
      <w:u w:val="single"/>
      <w:lang w:val="en-AU" w:eastAsia="en-US" w:bidi="en-US"/>
    </w:rPr>
  </w:style>
  <w:style w:type="table" w:customStyle="1" w:styleId="LightShading1">
    <w:name w:val="Light Shading1"/>
    <w:basedOn w:val="TableNormal"/>
    <w:uiPriority w:val="60"/>
    <w:rsid w:val="00D154B3"/>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2F6C51"/>
    <w:rPr>
      <w:rFonts w:ascii="Arial" w:eastAsiaTheme="minorHAnsi" w:hAnsi="Arial" w:cs="Arial"/>
      <w:sz w:val="22"/>
      <w:szCs w:val="22"/>
      <w:lang w:val="en-AU" w:eastAsia="en-US"/>
    </w:rPr>
  </w:style>
  <w:style w:type="paragraph" w:styleId="EndnoteText">
    <w:name w:val="endnote text"/>
    <w:basedOn w:val="Normal"/>
    <w:link w:val="EndnoteTextChar"/>
    <w:rsid w:val="00E51A71"/>
    <w:rPr>
      <w:sz w:val="20"/>
      <w:szCs w:val="20"/>
    </w:rPr>
  </w:style>
  <w:style w:type="character" w:customStyle="1" w:styleId="EndnoteTextChar">
    <w:name w:val="Endnote Text Char"/>
    <w:basedOn w:val="DefaultParagraphFont"/>
    <w:link w:val="EndnoteText"/>
    <w:rsid w:val="00E51A71"/>
    <w:rPr>
      <w:rFonts w:ascii="Arial" w:hAnsi="Arial"/>
      <w:lang w:eastAsia="en-US" w:bidi="en-US"/>
    </w:rPr>
  </w:style>
  <w:style w:type="character" w:styleId="EndnoteReference">
    <w:name w:val="endnote reference"/>
    <w:basedOn w:val="DefaultParagraphFont"/>
    <w:rsid w:val="00E51A71"/>
    <w:rPr>
      <w:vertAlign w:val="superscript"/>
    </w:rPr>
  </w:style>
  <w:style w:type="character" w:customStyle="1" w:styleId="highlight">
    <w:name w:val="highlight"/>
    <w:basedOn w:val="DefaultParagraphFont"/>
    <w:rsid w:val="008322FD"/>
  </w:style>
  <w:style w:type="character" w:styleId="PlaceholderText">
    <w:name w:val="Placeholder Text"/>
    <w:basedOn w:val="DefaultParagraphFont"/>
    <w:uiPriority w:val="99"/>
    <w:semiHidden/>
    <w:rsid w:val="004A45FD"/>
    <w:rPr>
      <w:color w:val="808080"/>
    </w:rPr>
  </w:style>
  <w:style w:type="table" w:styleId="TableColorful1">
    <w:name w:val="Table Colorful 1"/>
    <w:basedOn w:val="TableNormal"/>
    <w:rsid w:val="00C71549"/>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Dashpoint">
    <w:name w:val="Dash point"/>
    <w:basedOn w:val="Normal"/>
    <w:link w:val="DashpointChar"/>
    <w:rsid w:val="00784EC4"/>
    <w:pPr>
      <w:numPr>
        <w:numId w:val="5"/>
      </w:numPr>
      <w:tabs>
        <w:tab w:val="clear" w:pos="1134"/>
      </w:tabs>
    </w:pPr>
    <w:rPr>
      <w:rFonts w:ascii="Times New Roman" w:hAnsi="Times New Roman"/>
      <w:sz w:val="24"/>
      <w:lang w:bidi="ar-SA"/>
    </w:rPr>
  </w:style>
  <w:style w:type="character" w:customStyle="1" w:styleId="DashpointChar">
    <w:name w:val="Dash point Char"/>
    <w:basedOn w:val="DefaultParagraphFont"/>
    <w:link w:val="Dashpoint"/>
    <w:rsid w:val="00784EC4"/>
    <w:rPr>
      <w:rFonts w:ascii="Times New Roman" w:hAnsi="Times New Roman"/>
      <w:sz w:val="24"/>
      <w:szCs w:val="24"/>
      <w:lang w:eastAsia="en-US"/>
    </w:rPr>
  </w:style>
  <w:style w:type="character" w:customStyle="1" w:styleId="DefinitionChar">
    <w:name w:val="Definition Char"/>
    <w:basedOn w:val="DefaultParagraphFont"/>
    <w:link w:val="Definition"/>
    <w:rsid w:val="00DA7B9C"/>
    <w:rPr>
      <w:rFonts w:ascii="Arial" w:hAnsi="Arial"/>
      <w:sz w:val="22"/>
      <w:lang w:eastAsia="en-US" w:bidi="en-US"/>
    </w:rPr>
  </w:style>
  <w:style w:type="character" w:customStyle="1" w:styleId="SubclauseChar">
    <w:name w:val="Subclause Char"/>
    <w:basedOn w:val="DefaultParagraphFont"/>
    <w:link w:val="Subclause"/>
    <w:rsid w:val="00DA7B9C"/>
    <w:rPr>
      <w:rFonts w:ascii="Arial" w:hAnsi="Arial"/>
      <w:sz w:val="22"/>
      <w:lang w:eastAsia="en-US" w:bidi="en-US"/>
    </w:rPr>
  </w:style>
  <w:style w:type="character" w:customStyle="1" w:styleId="st1">
    <w:name w:val="st1"/>
    <w:basedOn w:val="DefaultParagraphFont"/>
    <w:rsid w:val="00266862"/>
  </w:style>
  <w:style w:type="paragraph" w:customStyle="1" w:styleId="131ItemHeading">
    <w:name w:val="1.3.1 Item Heading"/>
    <w:basedOn w:val="Table2"/>
    <w:next w:val="Table2"/>
    <w:rsid w:val="0010297D"/>
    <w:pPr>
      <w:keepNext/>
      <w:widowControl/>
      <w:tabs>
        <w:tab w:val="left" w:pos="851"/>
      </w:tabs>
      <w:spacing w:after="200"/>
      <w:ind w:left="0" w:firstLine="0"/>
    </w:pPr>
    <w:rPr>
      <w:b/>
      <w:bCs w:val="0"/>
      <w:caps/>
    </w:rPr>
  </w:style>
  <w:style w:type="paragraph" w:customStyle="1" w:styleId="131Subitemheading">
    <w:name w:val="1.3.1 Subitem heading"/>
    <w:basedOn w:val="131ItemHeading"/>
    <w:next w:val="Table2"/>
    <w:rsid w:val="0010297D"/>
    <w:pPr>
      <w:spacing w:after="120"/>
    </w:pPr>
    <w:rPr>
      <w:caps w:val="0"/>
      <w:sz w:val="18"/>
    </w:rPr>
  </w:style>
  <w:style w:type="paragraph" w:customStyle="1" w:styleId="142Tableheading10">
    <w:name w:val="1.4.2 Table heading1"/>
    <w:basedOn w:val="Normal"/>
    <w:rsid w:val="0010297D"/>
    <w:pPr>
      <w:keepNext/>
      <w:jc w:val="center"/>
    </w:pPr>
    <w:rPr>
      <w:rFonts w:ascii="Arial Bold" w:hAnsi="Arial Bold"/>
      <w:b/>
      <w:bCs/>
      <w:iCs/>
      <w:sz w:val="18"/>
    </w:rPr>
  </w:style>
  <w:style w:type="paragraph" w:customStyle="1" w:styleId="142Tabletext10">
    <w:name w:val="1.4.2 Table text1"/>
    <w:basedOn w:val="Normal"/>
    <w:link w:val="142Tabletext1Char"/>
    <w:rsid w:val="0010297D"/>
    <w:pPr>
      <w:ind w:left="142" w:hanging="142"/>
    </w:pPr>
    <w:rPr>
      <w:sz w:val="18"/>
      <w:szCs w:val="20"/>
    </w:rPr>
  </w:style>
  <w:style w:type="character" w:customStyle="1" w:styleId="142Tabletext1Char">
    <w:name w:val="1.4.2 Table text1 Char"/>
    <w:basedOn w:val="DefaultParagraphFont"/>
    <w:link w:val="142Tabletext10"/>
    <w:rsid w:val="0010297D"/>
    <w:rPr>
      <w:rFonts w:ascii="Arial" w:hAnsi="Arial"/>
      <w:sz w:val="18"/>
      <w:lang w:eastAsia="en-US" w:bidi="en-US"/>
    </w:rPr>
  </w:style>
  <w:style w:type="paragraph" w:customStyle="1" w:styleId="142Tabletext20">
    <w:name w:val="1.4.2 Table text2"/>
    <w:basedOn w:val="142Tabletext10"/>
    <w:rsid w:val="0010297D"/>
    <w:pPr>
      <w:jc w:val="right"/>
    </w:pPr>
  </w:style>
  <w:style w:type="paragraph" w:customStyle="1" w:styleId="Blankpage">
    <w:name w:val="Blank page"/>
    <w:basedOn w:val="Normal"/>
    <w:next w:val="Normal"/>
    <w:rsid w:val="0010297D"/>
    <w:pPr>
      <w:tabs>
        <w:tab w:val="left" w:pos="851"/>
      </w:tabs>
      <w:spacing w:before="6000"/>
      <w:jc w:val="center"/>
    </w:pPr>
    <w:rPr>
      <w:caps/>
      <w:szCs w:val="20"/>
    </w:rPr>
  </w:style>
  <w:style w:type="character" w:customStyle="1" w:styleId="ClauseChar">
    <w:name w:val="Clause Char"/>
    <w:basedOn w:val="DefaultParagraphFont"/>
    <w:link w:val="Clause"/>
    <w:rsid w:val="0010297D"/>
    <w:rPr>
      <w:rFonts w:ascii="Arial" w:hAnsi="Arial"/>
      <w:sz w:val="22"/>
      <w:lang w:eastAsia="en-US" w:bidi="en-US"/>
    </w:rPr>
  </w:style>
  <w:style w:type="paragraph" w:customStyle="1" w:styleId="FSBullet1">
    <w:name w:val="FSBullet 1"/>
    <w:basedOn w:val="Normal"/>
    <w:next w:val="Normal"/>
    <w:link w:val="FSBullet1Char"/>
    <w:qFormat/>
    <w:rsid w:val="00015D4C"/>
    <w:pPr>
      <w:numPr>
        <w:numId w:val="10"/>
      </w:numPr>
    </w:pPr>
    <w:rPr>
      <w:rFonts w:cs="Arial"/>
    </w:rPr>
  </w:style>
  <w:style w:type="character" w:customStyle="1" w:styleId="FSBullet1Char">
    <w:name w:val="FSBullet 1 Char"/>
    <w:basedOn w:val="DefaultParagraphFont"/>
    <w:link w:val="FSBullet1"/>
    <w:rsid w:val="00015D4C"/>
    <w:rPr>
      <w:rFonts w:ascii="Arial" w:hAnsi="Arial" w:cs="Arial"/>
      <w:sz w:val="22"/>
      <w:szCs w:val="24"/>
      <w:lang w:eastAsia="en-US" w:bidi="en-US"/>
    </w:rPr>
  </w:style>
  <w:style w:type="paragraph" w:customStyle="1" w:styleId="FSBullet2">
    <w:name w:val="FSBullet 2"/>
    <w:basedOn w:val="Normal"/>
    <w:qFormat/>
    <w:rsid w:val="0010297D"/>
    <w:pPr>
      <w:numPr>
        <w:numId w:val="11"/>
      </w:numPr>
    </w:pPr>
  </w:style>
  <w:style w:type="paragraph" w:customStyle="1" w:styleId="FSBullet3">
    <w:name w:val="FSBullet 3"/>
    <w:basedOn w:val="Normal"/>
    <w:qFormat/>
    <w:rsid w:val="0010297D"/>
    <w:pPr>
      <w:keepNext/>
      <w:numPr>
        <w:numId w:val="12"/>
      </w:numPr>
    </w:pPr>
    <w:rPr>
      <w:b/>
    </w:rPr>
  </w:style>
  <w:style w:type="paragraph" w:customStyle="1" w:styleId="FSCaption">
    <w:name w:val="FSCaption"/>
    <w:basedOn w:val="Normal"/>
    <w:qFormat/>
    <w:rsid w:val="0010297D"/>
    <w:pPr>
      <w:keepNext/>
      <w:keepLines/>
      <w:spacing w:before="120"/>
    </w:pPr>
    <w:rPr>
      <w:i/>
      <w:sz w:val="16"/>
      <w:szCs w:val="16"/>
    </w:rPr>
  </w:style>
  <w:style w:type="paragraph" w:customStyle="1" w:styleId="FSCfooter">
    <w:name w:val="FSCfooter"/>
    <w:basedOn w:val="Normal"/>
    <w:qFormat/>
    <w:rsid w:val="0010297D"/>
    <w:pPr>
      <w:tabs>
        <w:tab w:val="center" w:pos="4536"/>
        <w:tab w:val="right" w:pos="9072"/>
      </w:tabs>
    </w:pPr>
    <w:rPr>
      <w:sz w:val="18"/>
      <w:szCs w:val="20"/>
    </w:rPr>
  </w:style>
  <w:style w:type="paragraph" w:customStyle="1" w:styleId="FSCFooter0">
    <w:name w:val="FSCFooter"/>
    <w:basedOn w:val="Footnote"/>
    <w:qFormat/>
    <w:rsid w:val="0010297D"/>
    <w:pPr>
      <w:tabs>
        <w:tab w:val="clear" w:pos="851"/>
        <w:tab w:val="center" w:pos="4536"/>
        <w:tab w:val="right" w:pos="9070"/>
      </w:tabs>
    </w:pPr>
    <w:rPr>
      <w:sz w:val="18"/>
      <w:szCs w:val="18"/>
    </w:rPr>
  </w:style>
  <w:style w:type="paragraph" w:customStyle="1" w:styleId="FSPagenumber">
    <w:name w:val="FSPage number"/>
    <w:basedOn w:val="Normal"/>
    <w:qFormat/>
    <w:rsid w:val="0010297D"/>
    <w:pPr>
      <w:jc w:val="right"/>
    </w:pPr>
    <w:rPr>
      <w:sz w:val="20"/>
      <w:szCs w:val="20"/>
    </w:rPr>
  </w:style>
  <w:style w:type="paragraph" w:customStyle="1" w:styleId="FSTableColumnRowheading">
    <w:name w:val="FSTable Column/Row heading"/>
    <w:basedOn w:val="Normal"/>
    <w:qFormat/>
    <w:rsid w:val="0010297D"/>
    <w:pPr>
      <w:spacing w:before="120" w:after="120"/>
    </w:pPr>
    <w:rPr>
      <w:b/>
      <w:sz w:val="20"/>
      <w:szCs w:val="20"/>
    </w:rPr>
  </w:style>
  <w:style w:type="paragraph" w:customStyle="1" w:styleId="FSTableFigureHeading">
    <w:name w:val="FSTable/Figure Heading"/>
    <w:basedOn w:val="Normal"/>
    <w:qFormat/>
    <w:rsid w:val="0010297D"/>
    <w:pPr>
      <w:spacing w:before="120" w:after="120"/>
      <w:ind w:left="1134" w:hanging="1134"/>
    </w:pPr>
    <w:rPr>
      <w:b/>
      <w:i/>
    </w:rPr>
  </w:style>
  <w:style w:type="paragraph" w:customStyle="1" w:styleId="PartContents">
    <w:name w:val="Part Contents"/>
    <w:basedOn w:val="Normal"/>
    <w:rsid w:val="0010297D"/>
    <w:pPr>
      <w:spacing w:line="240" w:lineRule="atLeast"/>
      <w:ind w:left="1120" w:hanging="560"/>
    </w:pPr>
    <w:rPr>
      <w:szCs w:val="20"/>
    </w:rPr>
  </w:style>
  <w:style w:type="paragraph" w:customStyle="1" w:styleId="PartHeading">
    <w:name w:val="Part Heading"/>
    <w:basedOn w:val="Normal"/>
    <w:rsid w:val="0010297D"/>
    <w:pPr>
      <w:tabs>
        <w:tab w:val="left" w:pos="851"/>
      </w:tabs>
      <w:jc w:val="center"/>
    </w:pPr>
    <w:rPr>
      <w:b/>
      <w:i/>
      <w:sz w:val="36"/>
      <w:szCs w:val="20"/>
    </w:rPr>
  </w:style>
  <w:style w:type="paragraph" w:styleId="DocumentMap">
    <w:name w:val="Document Map"/>
    <w:basedOn w:val="Normal"/>
    <w:link w:val="DocumentMapChar"/>
    <w:uiPriority w:val="99"/>
    <w:unhideWhenUsed/>
    <w:rsid w:val="0010297D"/>
    <w:rPr>
      <w:rFonts w:ascii="Tahoma" w:hAnsi="Tahoma" w:cs="Tahoma"/>
      <w:sz w:val="16"/>
      <w:szCs w:val="16"/>
    </w:rPr>
  </w:style>
  <w:style w:type="character" w:customStyle="1" w:styleId="DocumentMapChar">
    <w:name w:val="Document Map Char"/>
    <w:basedOn w:val="DefaultParagraphFont"/>
    <w:link w:val="DocumentMap"/>
    <w:uiPriority w:val="99"/>
    <w:rsid w:val="0010297D"/>
    <w:rPr>
      <w:rFonts w:ascii="Tahoma" w:hAnsi="Tahoma" w:cs="Tahoma"/>
      <w:sz w:val="16"/>
      <w:szCs w:val="16"/>
      <w:lang w:eastAsia="en-US" w:bidi="en-US"/>
    </w:rPr>
  </w:style>
  <w:style w:type="numbering" w:customStyle="1" w:styleId="NoList1">
    <w:name w:val="No List1"/>
    <w:next w:val="NoList"/>
    <w:uiPriority w:val="99"/>
    <w:semiHidden/>
    <w:unhideWhenUsed/>
    <w:rsid w:val="005A67C7"/>
  </w:style>
  <w:style w:type="table" w:customStyle="1" w:styleId="TableGrid1">
    <w:name w:val="Table Grid1"/>
    <w:basedOn w:val="TableNormal"/>
    <w:next w:val="TableGrid"/>
    <w:uiPriority w:val="59"/>
    <w:rsid w:val="005A67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
    <w:name w:val="Style11"/>
    <w:basedOn w:val="TableNormal"/>
    <w:uiPriority w:val="99"/>
    <w:qFormat/>
    <w:rsid w:val="005A67C7"/>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customStyle="1" w:styleId="MediumList1-Accent31">
    <w:name w:val="Medium List 1 - Accent 31"/>
    <w:basedOn w:val="TableNormal"/>
    <w:next w:val="MediumList1-Accent3"/>
    <w:uiPriority w:val="65"/>
    <w:rsid w:val="005A67C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1">
    <w:name w:val="Light List - Accent 111"/>
    <w:basedOn w:val="TableNormal"/>
    <w:uiPriority w:val="61"/>
    <w:rsid w:val="005A67C7"/>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1">
    <w:name w:val="Light List11"/>
    <w:basedOn w:val="TableNormal"/>
    <w:uiPriority w:val="61"/>
    <w:rsid w:val="005A67C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1">
    <w:name w:val="Medium Shading 1 - Accent 111"/>
    <w:basedOn w:val="TableNormal"/>
    <w:uiPriority w:val="63"/>
    <w:rsid w:val="005A67C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11">
    <w:name w:val="Light Shading11"/>
    <w:basedOn w:val="TableNormal"/>
    <w:uiPriority w:val="60"/>
    <w:rsid w:val="005A67C7"/>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olorful11">
    <w:name w:val="Table Colorful 11"/>
    <w:basedOn w:val="TableNormal"/>
    <w:next w:val="TableColorful1"/>
    <w:rsid w:val="005A67C7"/>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LineNumber">
    <w:name w:val="line number"/>
    <w:basedOn w:val="DefaultParagraphFont"/>
    <w:rsid w:val="00137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5228">
      <w:bodyDiv w:val="1"/>
      <w:marLeft w:val="0"/>
      <w:marRight w:val="0"/>
      <w:marTop w:val="0"/>
      <w:marBottom w:val="0"/>
      <w:divBdr>
        <w:top w:val="none" w:sz="0" w:space="0" w:color="auto"/>
        <w:left w:val="none" w:sz="0" w:space="0" w:color="auto"/>
        <w:bottom w:val="none" w:sz="0" w:space="0" w:color="auto"/>
        <w:right w:val="none" w:sz="0" w:space="0" w:color="auto"/>
      </w:divBdr>
    </w:div>
    <w:div w:id="137570857">
      <w:bodyDiv w:val="1"/>
      <w:marLeft w:val="0"/>
      <w:marRight w:val="0"/>
      <w:marTop w:val="0"/>
      <w:marBottom w:val="0"/>
      <w:divBdr>
        <w:top w:val="none" w:sz="0" w:space="0" w:color="auto"/>
        <w:left w:val="none" w:sz="0" w:space="0" w:color="auto"/>
        <w:bottom w:val="none" w:sz="0" w:space="0" w:color="auto"/>
        <w:right w:val="none" w:sz="0" w:space="0" w:color="auto"/>
      </w:divBdr>
    </w:div>
    <w:div w:id="296302017">
      <w:bodyDiv w:val="1"/>
      <w:marLeft w:val="0"/>
      <w:marRight w:val="0"/>
      <w:marTop w:val="0"/>
      <w:marBottom w:val="0"/>
      <w:divBdr>
        <w:top w:val="none" w:sz="0" w:space="0" w:color="auto"/>
        <w:left w:val="none" w:sz="0" w:space="0" w:color="auto"/>
        <w:bottom w:val="none" w:sz="0" w:space="0" w:color="auto"/>
        <w:right w:val="none" w:sz="0" w:space="0" w:color="auto"/>
      </w:divBdr>
    </w:div>
    <w:div w:id="1163473915">
      <w:bodyDiv w:val="1"/>
      <w:marLeft w:val="0"/>
      <w:marRight w:val="0"/>
      <w:marTop w:val="0"/>
      <w:marBottom w:val="0"/>
      <w:divBdr>
        <w:top w:val="none" w:sz="0" w:space="0" w:color="auto"/>
        <w:left w:val="none" w:sz="0" w:space="0" w:color="auto"/>
        <w:bottom w:val="none" w:sz="0" w:space="0" w:color="auto"/>
        <w:right w:val="none" w:sz="0" w:space="0" w:color="auto"/>
      </w:divBdr>
    </w:div>
    <w:div w:id="1480805049">
      <w:bodyDiv w:val="1"/>
      <w:marLeft w:val="0"/>
      <w:marRight w:val="0"/>
      <w:marTop w:val="0"/>
      <w:marBottom w:val="0"/>
      <w:divBdr>
        <w:top w:val="none" w:sz="0" w:space="0" w:color="auto"/>
        <w:left w:val="none" w:sz="0" w:space="0" w:color="auto"/>
        <w:bottom w:val="none" w:sz="0" w:space="0" w:color="auto"/>
        <w:right w:val="none" w:sz="0" w:space="0" w:color="auto"/>
      </w:divBdr>
    </w:div>
    <w:div w:id="208667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hyperlink" Target="http://www.foodstandards.gov.au/_srcfiles/Principles%20&amp;%20practices%20exposure%20assessment%202009.pdf" TargetMode="External"/><Relationship Id="rId21" Type="http://schemas.openxmlformats.org/officeDocument/2006/relationships/image" Target="media/image7.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emf"/><Relationship Id="rId29" Type="http://schemas.openxmlformats.org/officeDocument/2006/relationships/hyperlink" Target="http://www.foodstandards.gov.au/scienceandeducation/scienceinfsanz/dietaryexposureassessmentsatfsanz/fsanzdietaryexposure4439.cf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footer" Target="footer2.xml"/><Relationship Id="rId37" Type="http://schemas.openxmlformats.org/officeDocument/2006/relationships/customXml" Target="../customXml/item7.xml"/><Relationship Id="rId5" Type="http://schemas.openxmlformats.org/officeDocument/2006/relationships/numbering" Target="numbering.xml"/><Relationship Id="rId15" Type="http://schemas.openxmlformats.org/officeDocument/2006/relationships/hyperlink" Target="http://www.scirus.com/" TargetMode="External"/><Relationship Id="rId23" Type="http://schemas.openxmlformats.org/officeDocument/2006/relationships/image" Target="media/image9.emf"/><Relationship Id="rId28" Type="http://schemas.openxmlformats.org/officeDocument/2006/relationships/hyperlink" Target="http://www.foodstandards.gov.au/scienceandeducation/scienceinfsanz/dietaryexposureassessmentsatfsanz/dietaryexposureandin4438.cfm" TargetMode="External"/><Relationship Id="rId36"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www.foodstandards.gov.au/scienceandeducation/scienceinfsanz/dietaryexposureassessmentsatfsanz/foodconsumptiondatau4440.cf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olar.google.com.au/" TargetMode="External"/><Relationship Id="rId22" Type="http://schemas.openxmlformats.org/officeDocument/2006/relationships/image" Target="media/image8.emf"/><Relationship Id="rId27" Type="http://schemas.openxmlformats.org/officeDocument/2006/relationships/hyperlink" Target="http://www.inchem.org/documents/jecfa/jecmono/v48je03.htm" TargetMode="External"/><Relationship Id="rId30" Type="http://schemas.openxmlformats.org/officeDocument/2006/relationships/hyperlink" Target="http://www.foodstandards.gov.au/_srcfiles/Principles%20&amp;%20practices%20exposure%20assessment%202009.pdf" TargetMode="External"/><Relationship Id="rId35" Type="http://schemas.openxmlformats.org/officeDocument/2006/relationships/customXml" Target="../customXml/item5.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B545C18D-127C-42FB-A1E7-03EAA6E9A47E}"/>
</file>

<file path=customXml/itemProps2.xml><?xml version="1.0" encoding="utf-8"?>
<ds:datastoreItem xmlns:ds="http://schemas.openxmlformats.org/officeDocument/2006/customXml" ds:itemID="{2A7BD292-C700-49FA-8176-3CCE88C7CB80}"/>
</file>

<file path=customXml/itemProps3.xml><?xml version="1.0" encoding="utf-8"?>
<ds:datastoreItem xmlns:ds="http://schemas.openxmlformats.org/officeDocument/2006/customXml" ds:itemID="{FB91A940-75A9-48F9-9E89-AC879D88A1EC}"/>
</file>

<file path=customXml/itemProps4.xml><?xml version="1.0" encoding="utf-8"?>
<ds:datastoreItem xmlns:ds="http://schemas.openxmlformats.org/officeDocument/2006/customXml" ds:itemID="{86EC1504-F78F-4ABB-8C04-7E50997FFE56}"/>
</file>

<file path=customXml/itemProps5.xml><?xml version="1.0" encoding="utf-8"?>
<ds:datastoreItem xmlns:ds="http://schemas.openxmlformats.org/officeDocument/2006/customXml" ds:itemID="{64A36205-E08B-4ECF-95AC-9BB7B7E8C4EA}"/>
</file>

<file path=customXml/itemProps6.xml><?xml version="1.0" encoding="utf-8"?>
<ds:datastoreItem xmlns:ds="http://schemas.openxmlformats.org/officeDocument/2006/customXml" ds:itemID="{F4E8497B-A26C-4C13-8425-A2730DEE3237}"/>
</file>

<file path=customXml/itemProps7.xml><?xml version="1.0" encoding="utf-8"?>
<ds:datastoreItem xmlns:ds="http://schemas.openxmlformats.org/officeDocument/2006/customXml" ds:itemID="{F844716D-5F8C-4240-A18C-BC9257031452}"/>
</file>

<file path=docProps/app.xml><?xml version="1.0" encoding="utf-8"?>
<Properties xmlns="http://schemas.openxmlformats.org/officeDocument/2006/extended-properties" xmlns:vt="http://schemas.openxmlformats.org/officeDocument/2006/docPropsVTypes">
  <Template>Normal.dotm</Template>
  <TotalTime>8</TotalTime>
  <Pages>41</Pages>
  <Words>13658</Words>
  <Characters>77856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PLEASE REFER TO ANZFA’S GUIDE TO APPLICATIONS AND PROPOSALS FOR A MORE DETAILED EXPLANATION OF THE PROCESS ON HOW TO UNDERTAKE</vt:lpstr>
    </vt:vector>
  </TitlesOfParts>
  <Company>ANZFA</Company>
  <LinksUpToDate>false</LinksUpToDate>
  <CharactersWithSpaces>91332</CharactersWithSpaces>
  <SharedDoc>false</SharedDoc>
  <HLinks>
    <vt:vector size="192" baseType="variant">
      <vt:variant>
        <vt:i4>3407978</vt:i4>
      </vt:variant>
      <vt:variant>
        <vt:i4>180</vt:i4>
      </vt:variant>
      <vt:variant>
        <vt:i4>0</vt:i4>
      </vt:variant>
      <vt:variant>
        <vt:i4>5</vt:i4>
      </vt:variant>
      <vt:variant>
        <vt:lpwstr>../../../../Standards Management/WTO/WTO Procedures for staff/WTO Procedures for staff.doc</vt:lpwstr>
      </vt:variant>
      <vt:variant>
        <vt:lpwstr/>
      </vt:variant>
      <vt:variant>
        <vt:i4>1310776</vt:i4>
      </vt:variant>
      <vt:variant>
        <vt:i4>173</vt:i4>
      </vt:variant>
      <vt:variant>
        <vt:i4>0</vt:i4>
      </vt:variant>
      <vt:variant>
        <vt:i4>5</vt:i4>
      </vt:variant>
      <vt:variant>
        <vt:lpwstr/>
      </vt:variant>
      <vt:variant>
        <vt:lpwstr>_Toc175381460</vt:lpwstr>
      </vt:variant>
      <vt:variant>
        <vt:i4>1507384</vt:i4>
      </vt:variant>
      <vt:variant>
        <vt:i4>167</vt:i4>
      </vt:variant>
      <vt:variant>
        <vt:i4>0</vt:i4>
      </vt:variant>
      <vt:variant>
        <vt:i4>5</vt:i4>
      </vt:variant>
      <vt:variant>
        <vt:lpwstr/>
      </vt:variant>
      <vt:variant>
        <vt:lpwstr>_Toc175381459</vt:lpwstr>
      </vt:variant>
      <vt:variant>
        <vt:i4>1507384</vt:i4>
      </vt:variant>
      <vt:variant>
        <vt:i4>164</vt:i4>
      </vt:variant>
      <vt:variant>
        <vt:i4>0</vt:i4>
      </vt:variant>
      <vt:variant>
        <vt:i4>5</vt:i4>
      </vt:variant>
      <vt:variant>
        <vt:lpwstr/>
      </vt:variant>
      <vt:variant>
        <vt:lpwstr>_Toc175381458</vt:lpwstr>
      </vt:variant>
      <vt:variant>
        <vt:i4>1507384</vt:i4>
      </vt:variant>
      <vt:variant>
        <vt:i4>158</vt:i4>
      </vt:variant>
      <vt:variant>
        <vt:i4>0</vt:i4>
      </vt:variant>
      <vt:variant>
        <vt:i4>5</vt:i4>
      </vt:variant>
      <vt:variant>
        <vt:lpwstr/>
      </vt:variant>
      <vt:variant>
        <vt:lpwstr>_Toc175381457</vt:lpwstr>
      </vt:variant>
      <vt:variant>
        <vt:i4>1507384</vt:i4>
      </vt:variant>
      <vt:variant>
        <vt:i4>152</vt:i4>
      </vt:variant>
      <vt:variant>
        <vt:i4>0</vt:i4>
      </vt:variant>
      <vt:variant>
        <vt:i4>5</vt:i4>
      </vt:variant>
      <vt:variant>
        <vt:lpwstr/>
      </vt:variant>
      <vt:variant>
        <vt:lpwstr>_Toc175381456</vt:lpwstr>
      </vt:variant>
      <vt:variant>
        <vt:i4>1507384</vt:i4>
      </vt:variant>
      <vt:variant>
        <vt:i4>146</vt:i4>
      </vt:variant>
      <vt:variant>
        <vt:i4>0</vt:i4>
      </vt:variant>
      <vt:variant>
        <vt:i4>5</vt:i4>
      </vt:variant>
      <vt:variant>
        <vt:lpwstr/>
      </vt:variant>
      <vt:variant>
        <vt:lpwstr>_Toc175381455</vt:lpwstr>
      </vt:variant>
      <vt:variant>
        <vt:i4>1507384</vt:i4>
      </vt:variant>
      <vt:variant>
        <vt:i4>140</vt:i4>
      </vt:variant>
      <vt:variant>
        <vt:i4>0</vt:i4>
      </vt:variant>
      <vt:variant>
        <vt:i4>5</vt:i4>
      </vt:variant>
      <vt:variant>
        <vt:lpwstr/>
      </vt:variant>
      <vt:variant>
        <vt:lpwstr>_Toc175381454</vt:lpwstr>
      </vt:variant>
      <vt:variant>
        <vt:i4>1507384</vt:i4>
      </vt:variant>
      <vt:variant>
        <vt:i4>134</vt:i4>
      </vt:variant>
      <vt:variant>
        <vt:i4>0</vt:i4>
      </vt:variant>
      <vt:variant>
        <vt:i4>5</vt:i4>
      </vt:variant>
      <vt:variant>
        <vt:lpwstr/>
      </vt:variant>
      <vt:variant>
        <vt:lpwstr>_Toc175381453</vt:lpwstr>
      </vt:variant>
      <vt:variant>
        <vt:i4>1507384</vt:i4>
      </vt:variant>
      <vt:variant>
        <vt:i4>128</vt:i4>
      </vt:variant>
      <vt:variant>
        <vt:i4>0</vt:i4>
      </vt:variant>
      <vt:variant>
        <vt:i4>5</vt:i4>
      </vt:variant>
      <vt:variant>
        <vt:lpwstr/>
      </vt:variant>
      <vt:variant>
        <vt:lpwstr>_Toc175381452</vt:lpwstr>
      </vt:variant>
      <vt:variant>
        <vt:i4>1507384</vt:i4>
      </vt:variant>
      <vt:variant>
        <vt:i4>122</vt:i4>
      </vt:variant>
      <vt:variant>
        <vt:i4>0</vt:i4>
      </vt:variant>
      <vt:variant>
        <vt:i4>5</vt:i4>
      </vt:variant>
      <vt:variant>
        <vt:lpwstr/>
      </vt:variant>
      <vt:variant>
        <vt:lpwstr>_Toc175381451</vt:lpwstr>
      </vt:variant>
      <vt:variant>
        <vt:i4>1507384</vt:i4>
      </vt:variant>
      <vt:variant>
        <vt:i4>116</vt:i4>
      </vt:variant>
      <vt:variant>
        <vt:i4>0</vt:i4>
      </vt:variant>
      <vt:variant>
        <vt:i4>5</vt:i4>
      </vt:variant>
      <vt:variant>
        <vt:lpwstr/>
      </vt:variant>
      <vt:variant>
        <vt:lpwstr>_Toc175381450</vt:lpwstr>
      </vt:variant>
      <vt:variant>
        <vt:i4>1441848</vt:i4>
      </vt:variant>
      <vt:variant>
        <vt:i4>110</vt:i4>
      </vt:variant>
      <vt:variant>
        <vt:i4>0</vt:i4>
      </vt:variant>
      <vt:variant>
        <vt:i4>5</vt:i4>
      </vt:variant>
      <vt:variant>
        <vt:lpwstr/>
      </vt:variant>
      <vt:variant>
        <vt:lpwstr>_Toc175381449</vt:lpwstr>
      </vt:variant>
      <vt:variant>
        <vt:i4>1441848</vt:i4>
      </vt:variant>
      <vt:variant>
        <vt:i4>104</vt:i4>
      </vt:variant>
      <vt:variant>
        <vt:i4>0</vt:i4>
      </vt:variant>
      <vt:variant>
        <vt:i4>5</vt:i4>
      </vt:variant>
      <vt:variant>
        <vt:lpwstr/>
      </vt:variant>
      <vt:variant>
        <vt:lpwstr>_Toc175381448</vt:lpwstr>
      </vt:variant>
      <vt:variant>
        <vt:i4>1441848</vt:i4>
      </vt:variant>
      <vt:variant>
        <vt:i4>98</vt:i4>
      </vt:variant>
      <vt:variant>
        <vt:i4>0</vt:i4>
      </vt:variant>
      <vt:variant>
        <vt:i4>5</vt:i4>
      </vt:variant>
      <vt:variant>
        <vt:lpwstr/>
      </vt:variant>
      <vt:variant>
        <vt:lpwstr>_Toc175381447</vt:lpwstr>
      </vt:variant>
      <vt:variant>
        <vt:i4>1441848</vt:i4>
      </vt:variant>
      <vt:variant>
        <vt:i4>92</vt:i4>
      </vt:variant>
      <vt:variant>
        <vt:i4>0</vt:i4>
      </vt:variant>
      <vt:variant>
        <vt:i4>5</vt:i4>
      </vt:variant>
      <vt:variant>
        <vt:lpwstr/>
      </vt:variant>
      <vt:variant>
        <vt:lpwstr>_Toc175381446</vt:lpwstr>
      </vt:variant>
      <vt:variant>
        <vt:i4>1441848</vt:i4>
      </vt:variant>
      <vt:variant>
        <vt:i4>86</vt:i4>
      </vt:variant>
      <vt:variant>
        <vt:i4>0</vt:i4>
      </vt:variant>
      <vt:variant>
        <vt:i4>5</vt:i4>
      </vt:variant>
      <vt:variant>
        <vt:lpwstr/>
      </vt:variant>
      <vt:variant>
        <vt:lpwstr>_Toc175381445</vt:lpwstr>
      </vt:variant>
      <vt:variant>
        <vt:i4>1441848</vt:i4>
      </vt:variant>
      <vt:variant>
        <vt:i4>80</vt:i4>
      </vt:variant>
      <vt:variant>
        <vt:i4>0</vt:i4>
      </vt:variant>
      <vt:variant>
        <vt:i4>5</vt:i4>
      </vt:variant>
      <vt:variant>
        <vt:lpwstr/>
      </vt:variant>
      <vt:variant>
        <vt:lpwstr>_Toc175381444</vt:lpwstr>
      </vt:variant>
      <vt:variant>
        <vt:i4>1441848</vt:i4>
      </vt:variant>
      <vt:variant>
        <vt:i4>74</vt:i4>
      </vt:variant>
      <vt:variant>
        <vt:i4>0</vt:i4>
      </vt:variant>
      <vt:variant>
        <vt:i4>5</vt:i4>
      </vt:variant>
      <vt:variant>
        <vt:lpwstr/>
      </vt:variant>
      <vt:variant>
        <vt:lpwstr>_Toc175381443</vt:lpwstr>
      </vt:variant>
      <vt:variant>
        <vt:i4>1441848</vt:i4>
      </vt:variant>
      <vt:variant>
        <vt:i4>68</vt:i4>
      </vt:variant>
      <vt:variant>
        <vt:i4>0</vt:i4>
      </vt:variant>
      <vt:variant>
        <vt:i4>5</vt:i4>
      </vt:variant>
      <vt:variant>
        <vt:lpwstr/>
      </vt:variant>
      <vt:variant>
        <vt:lpwstr>_Toc175381442</vt:lpwstr>
      </vt:variant>
      <vt:variant>
        <vt:i4>1441848</vt:i4>
      </vt:variant>
      <vt:variant>
        <vt:i4>62</vt:i4>
      </vt:variant>
      <vt:variant>
        <vt:i4>0</vt:i4>
      </vt:variant>
      <vt:variant>
        <vt:i4>5</vt:i4>
      </vt:variant>
      <vt:variant>
        <vt:lpwstr/>
      </vt:variant>
      <vt:variant>
        <vt:lpwstr>_Toc175381441</vt:lpwstr>
      </vt:variant>
      <vt:variant>
        <vt:i4>1441848</vt:i4>
      </vt:variant>
      <vt:variant>
        <vt:i4>56</vt:i4>
      </vt:variant>
      <vt:variant>
        <vt:i4>0</vt:i4>
      </vt:variant>
      <vt:variant>
        <vt:i4>5</vt:i4>
      </vt:variant>
      <vt:variant>
        <vt:lpwstr/>
      </vt:variant>
      <vt:variant>
        <vt:lpwstr>_Toc175381440</vt:lpwstr>
      </vt:variant>
      <vt:variant>
        <vt:i4>1114168</vt:i4>
      </vt:variant>
      <vt:variant>
        <vt:i4>50</vt:i4>
      </vt:variant>
      <vt:variant>
        <vt:i4>0</vt:i4>
      </vt:variant>
      <vt:variant>
        <vt:i4>5</vt:i4>
      </vt:variant>
      <vt:variant>
        <vt:lpwstr/>
      </vt:variant>
      <vt:variant>
        <vt:lpwstr>_Toc175381439</vt:lpwstr>
      </vt:variant>
      <vt:variant>
        <vt:i4>1114168</vt:i4>
      </vt:variant>
      <vt:variant>
        <vt:i4>44</vt:i4>
      </vt:variant>
      <vt:variant>
        <vt:i4>0</vt:i4>
      </vt:variant>
      <vt:variant>
        <vt:i4>5</vt:i4>
      </vt:variant>
      <vt:variant>
        <vt:lpwstr/>
      </vt:variant>
      <vt:variant>
        <vt:lpwstr>_Toc175381438</vt:lpwstr>
      </vt:variant>
      <vt:variant>
        <vt:i4>1114168</vt:i4>
      </vt:variant>
      <vt:variant>
        <vt:i4>38</vt:i4>
      </vt:variant>
      <vt:variant>
        <vt:i4>0</vt:i4>
      </vt:variant>
      <vt:variant>
        <vt:i4>5</vt:i4>
      </vt:variant>
      <vt:variant>
        <vt:lpwstr/>
      </vt:variant>
      <vt:variant>
        <vt:lpwstr>_Toc175381437</vt:lpwstr>
      </vt:variant>
      <vt:variant>
        <vt:i4>1114168</vt:i4>
      </vt:variant>
      <vt:variant>
        <vt:i4>32</vt:i4>
      </vt:variant>
      <vt:variant>
        <vt:i4>0</vt:i4>
      </vt:variant>
      <vt:variant>
        <vt:i4>5</vt:i4>
      </vt:variant>
      <vt:variant>
        <vt:lpwstr/>
      </vt:variant>
      <vt:variant>
        <vt:lpwstr>_Toc175381436</vt:lpwstr>
      </vt:variant>
      <vt:variant>
        <vt:i4>1114168</vt:i4>
      </vt:variant>
      <vt:variant>
        <vt:i4>26</vt:i4>
      </vt:variant>
      <vt:variant>
        <vt:i4>0</vt:i4>
      </vt:variant>
      <vt:variant>
        <vt:i4>5</vt:i4>
      </vt:variant>
      <vt:variant>
        <vt:lpwstr/>
      </vt:variant>
      <vt:variant>
        <vt:lpwstr>_Toc175381435</vt:lpwstr>
      </vt:variant>
      <vt:variant>
        <vt:i4>1114168</vt:i4>
      </vt:variant>
      <vt:variant>
        <vt:i4>20</vt:i4>
      </vt:variant>
      <vt:variant>
        <vt:i4>0</vt:i4>
      </vt:variant>
      <vt:variant>
        <vt:i4>5</vt:i4>
      </vt:variant>
      <vt:variant>
        <vt:lpwstr/>
      </vt:variant>
      <vt:variant>
        <vt:lpwstr>_Toc175381434</vt:lpwstr>
      </vt:variant>
      <vt:variant>
        <vt:i4>1114168</vt:i4>
      </vt:variant>
      <vt:variant>
        <vt:i4>14</vt:i4>
      </vt:variant>
      <vt:variant>
        <vt:i4>0</vt:i4>
      </vt:variant>
      <vt:variant>
        <vt:i4>5</vt:i4>
      </vt:variant>
      <vt:variant>
        <vt:lpwstr/>
      </vt:variant>
      <vt:variant>
        <vt:lpwstr>_Toc175381433</vt:lpwstr>
      </vt:variant>
      <vt:variant>
        <vt:i4>1114168</vt:i4>
      </vt:variant>
      <vt:variant>
        <vt:i4>8</vt:i4>
      </vt:variant>
      <vt:variant>
        <vt:i4>0</vt:i4>
      </vt:variant>
      <vt:variant>
        <vt:i4>5</vt:i4>
      </vt:variant>
      <vt:variant>
        <vt:lpwstr/>
      </vt:variant>
      <vt:variant>
        <vt:lpwstr>_Toc175381432</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A1075-QuillajaExtract-AR-SD1</dc:title>
  <dc:creator>O'Mullane, Matthew</dc:creator>
  <cp:lastModifiedBy>humphc</cp:lastModifiedBy>
  <cp:revision>6</cp:revision>
  <cp:lastPrinted>2013-09-23T07:17:00Z</cp:lastPrinted>
  <dcterms:created xsi:type="dcterms:W3CDTF">2013-09-18T00:17:00Z</dcterms:created>
  <dcterms:modified xsi:type="dcterms:W3CDTF">2013-09-23T07:17:00Z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-1883990681</vt:i4>
  </property>
  <property fmtid="{D5CDD505-2E9C-101B-9397-08002B2CF9AE}" pid="3" name="ContentTypeId">
    <vt:lpwstr>0x010100CB2FFA9FD6109347A9495CD5860AFAE6</vt:lpwstr>
  </property>
</Properties>
</file>