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Pr="00400169" w:rsidRDefault="00772BDC" w:rsidP="00CA5734">
      <w:pPr>
        <w:rPr>
          <w:rFonts w:cs="Arial"/>
        </w:rPr>
      </w:pPr>
      <w:bookmarkStart w:id="0" w:name="_GoBack"/>
      <w:bookmarkEnd w:id="0"/>
      <w:r w:rsidRPr="00400169">
        <w:rPr>
          <w:rFonts w:cs="Arial"/>
          <w:noProof/>
          <w:lang w:eastAsia="en-GB" w:bidi="ar-SA"/>
        </w:rPr>
        <w:drawing>
          <wp:inline distT="0" distB="0" distL="0" distR="0" wp14:anchorId="009BB14E" wp14:editId="6FEDB634">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147B53" w:rsidRPr="00147B53" w:rsidRDefault="00147B53" w:rsidP="00147B53">
      <w:pPr>
        <w:widowControl/>
        <w:rPr>
          <w:sz w:val="20"/>
          <w:lang w:bidi="ar-SA"/>
        </w:rPr>
      </w:pPr>
    </w:p>
    <w:p w:rsidR="00147B53" w:rsidRPr="00147B53" w:rsidRDefault="00147B53" w:rsidP="00147B53">
      <w:pPr>
        <w:widowControl/>
        <w:rPr>
          <w:b/>
          <w:sz w:val="28"/>
          <w:szCs w:val="28"/>
          <w:lang w:bidi="ar-SA"/>
        </w:rPr>
      </w:pPr>
      <w:r w:rsidRPr="00147B53">
        <w:rPr>
          <w:b/>
          <w:sz w:val="28"/>
          <w:szCs w:val="28"/>
          <w:lang w:bidi="ar-SA"/>
        </w:rPr>
        <w:t>19 December 2013</w:t>
      </w:r>
    </w:p>
    <w:p w:rsidR="00147B53" w:rsidRPr="00147B53" w:rsidRDefault="00147B53" w:rsidP="00147B53">
      <w:pPr>
        <w:widowControl/>
        <w:rPr>
          <w:b/>
          <w:sz w:val="28"/>
          <w:szCs w:val="28"/>
          <w:lang w:bidi="ar-SA"/>
        </w:rPr>
      </w:pPr>
      <w:r w:rsidRPr="00147B53">
        <w:rPr>
          <w:b/>
          <w:sz w:val="28"/>
          <w:szCs w:val="28"/>
          <w:lang w:bidi="ar-SA"/>
        </w:rPr>
        <w:t>[24–13]</w:t>
      </w:r>
    </w:p>
    <w:p w:rsidR="00147B53" w:rsidRPr="00147B53" w:rsidRDefault="00147B53" w:rsidP="00147B53">
      <w:pPr>
        <w:widowControl/>
        <w:rPr>
          <w:b/>
          <w:sz w:val="20"/>
          <w:lang w:bidi="ar-SA"/>
        </w:rPr>
      </w:pPr>
    </w:p>
    <w:p w:rsidR="0012388D" w:rsidRPr="00400169" w:rsidRDefault="00B425AA" w:rsidP="00B425AA">
      <w:pPr>
        <w:pStyle w:val="FSTitle"/>
      </w:pPr>
      <w:r w:rsidRPr="00400169">
        <w:t>A</w:t>
      </w:r>
      <w:r w:rsidR="00DD265C" w:rsidRPr="00400169">
        <w:t>pproval</w:t>
      </w:r>
      <w:r w:rsidRPr="00400169">
        <w:t xml:space="preserve"> R</w:t>
      </w:r>
      <w:r w:rsidR="00DD265C" w:rsidRPr="00400169">
        <w:t>eport</w:t>
      </w:r>
      <w:r w:rsidRPr="00400169">
        <w:t xml:space="preserve"> – </w:t>
      </w:r>
      <w:r w:rsidR="00EB6590" w:rsidRPr="00400169">
        <w:t>A</w:t>
      </w:r>
      <w:r w:rsidR="00DD265C" w:rsidRPr="00400169">
        <w:t>pplication</w:t>
      </w:r>
      <w:r w:rsidR="00564790">
        <w:t xml:space="preserve"> A1081</w:t>
      </w:r>
    </w:p>
    <w:p w:rsidR="003A7B84" w:rsidRPr="00400169" w:rsidRDefault="003A7B84" w:rsidP="00A671E6"/>
    <w:p w:rsidR="0012388D" w:rsidRPr="00400169" w:rsidRDefault="009B52B3" w:rsidP="00B425AA">
      <w:pPr>
        <w:pStyle w:val="FSTitle"/>
      </w:pPr>
      <w:r w:rsidRPr="00400169">
        <w:t>Food deri</w:t>
      </w:r>
      <w:r w:rsidR="004D25A5" w:rsidRPr="00400169">
        <w:t>ved from Herbici</w:t>
      </w:r>
      <w:r w:rsidR="00CF15C9" w:rsidRPr="00400169">
        <w:t>de-t</w:t>
      </w:r>
      <w:r w:rsidR="00564790">
        <w:t>olerant Soybean Line SYHT0H2</w:t>
      </w:r>
    </w:p>
    <w:p w:rsidR="008810D9" w:rsidRPr="00400169" w:rsidRDefault="008810D9" w:rsidP="008810D9">
      <w:pPr>
        <w:pBdr>
          <w:bottom w:val="single" w:sz="12" w:space="1" w:color="auto"/>
        </w:pBdr>
        <w:spacing w:line="280" w:lineRule="exact"/>
        <w:rPr>
          <w:rFonts w:cs="Arial"/>
          <w:bCs/>
        </w:rPr>
      </w:pPr>
    </w:p>
    <w:p w:rsidR="008810D9" w:rsidRPr="00564790" w:rsidRDefault="008810D9" w:rsidP="008810D9">
      <w:pPr>
        <w:rPr>
          <w:szCs w:val="22"/>
        </w:rPr>
      </w:pPr>
    </w:p>
    <w:p w:rsidR="009B52B3" w:rsidRPr="00564790" w:rsidRDefault="003E6806" w:rsidP="009B52B3">
      <w:pPr>
        <w:rPr>
          <w:rFonts w:cs="Arial"/>
          <w:color w:val="000000" w:themeColor="text1"/>
          <w:szCs w:val="22"/>
        </w:rPr>
      </w:pPr>
      <w:r>
        <w:rPr>
          <w:color w:val="000000" w:themeColor="text1"/>
          <w:szCs w:val="22"/>
        </w:rPr>
        <w:t>Food Standards Australia New Zealand (FSANZ) has assessed an a</w:t>
      </w:r>
      <w:r w:rsidR="00564790" w:rsidRPr="00564790">
        <w:rPr>
          <w:color w:val="000000" w:themeColor="text1"/>
          <w:szCs w:val="22"/>
        </w:rPr>
        <w:t xml:space="preserve">pplication made by Bayer CropScience Pty Ltd and Syngenta Seeds Pty Ltd seeking permission for food derived from soybean line SYHT0H2, which is genetically modified to provide tolerance to </w:t>
      </w:r>
      <w:r w:rsidR="00564790" w:rsidRPr="00564790">
        <w:rPr>
          <w:rFonts w:cs="Arial"/>
          <w:color w:val="000000" w:themeColor="text1"/>
          <w:szCs w:val="22"/>
        </w:rPr>
        <w:t xml:space="preserve">the herbicide glufosinate-ammonium and to herbicides, specifically mesotrione, that inhibit </w:t>
      </w:r>
      <w:r w:rsidR="00564790" w:rsidRPr="00564790">
        <w:rPr>
          <w:rFonts w:cs="Arial"/>
          <w:i/>
          <w:iCs/>
          <w:color w:val="000000" w:themeColor="text1"/>
          <w:szCs w:val="22"/>
        </w:rPr>
        <w:t>p</w:t>
      </w:r>
      <w:r w:rsidR="00564790" w:rsidRPr="00564790">
        <w:rPr>
          <w:rFonts w:cs="Arial"/>
          <w:color w:val="000000" w:themeColor="text1"/>
          <w:szCs w:val="22"/>
        </w:rPr>
        <w:t>-hydroxyphenylpyruvate dioxygenase (HPPD).</w:t>
      </w:r>
    </w:p>
    <w:p w:rsidR="00564790" w:rsidRPr="00400169" w:rsidRDefault="00564790" w:rsidP="009B52B3"/>
    <w:p w:rsidR="009B52B3" w:rsidRPr="00400169" w:rsidRDefault="00564790" w:rsidP="009B52B3">
      <w:r>
        <w:t>On 12 July 2013</w:t>
      </w:r>
      <w:r w:rsidR="009B52B3" w:rsidRPr="00400169">
        <w:t>, FSANZ sought submissions on</w:t>
      </w:r>
      <w:r w:rsidR="00263E20" w:rsidRPr="00400169">
        <w:t xml:space="preserve"> a draft variation to Standard 1.5.2</w:t>
      </w:r>
      <w:r w:rsidR="009B52B3" w:rsidRPr="00400169">
        <w:t xml:space="preserve"> and published an associat</w:t>
      </w:r>
      <w:r w:rsidR="004D25A5" w:rsidRPr="00400169">
        <w:t xml:space="preserve">ed report. FSANZ </w:t>
      </w:r>
      <w:r w:rsidR="004D25A5" w:rsidRPr="007929D0">
        <w:t xml:space="preserve">received </w:t>
      </w:r>
      <w:r w:rsidR="00BD739D">
        <w:t>53</w:t>
      </w:r>
      <w:r w:rsidR="009B52B3" w:rsidRPr="007929D0">
        <w:t xml:space="preserve"> submissions</w:t>
      </w:r>
      <w:r w:rsidR="009B52B3" w:rsidRPr="00400169">
        <w:t>.</w:t>
      </w:r>
    </w:p>
    <w:p w:rsidR="009B52B3" w:rsidRPr="00400169" w:rsidRDefault="009B52B3" w:rsidP="009B52B3"/>
    <w:p w:rsidR="009B52B3" w:rsidRPr="00147B53" w:rsidRDefault="009B52B3" w:rsidP="009B52B3">
      <w:r w:rsidRPr="00400169">
        <w:t>FSANZ approved the draft variation to the Standard on</w:t>
      </w:r>
      <w:r w:rsidR="00400169" w:rsidRPr="00147B53">
        <w:t xml:space="preserve"> </w:t>
      </w:r>
      <w:r w:rsidR="00147B53" w:rsidRPr="00147B53">
        <w:t>5</w:t>
      </w:r>
      <w:r w:rsidR="003E6806" w:rsidRPr="00147B53">
        <w:t xml:space="preserve"> December</w:t>
      </w:r>
      <w:r w:rsidR="00400169" w:rsidRPr="00147B53">
        <w:t xml:space="preserve"> 2013</w:t>
      </w:r>
      <w:r w:rsidRPr="00147B53">
        <w:t>. The COAG Legislative and Governance Forum on Food Regulation</w:t>
      </w:r>
      <w:r w:rsidRPr="00147B53">
        <w:rPr>
          <w:vertAlign w:val="superscript"/>
        </w:rPr>
        <w:footnoteReference w:id="1"/>
      </w:r>
      <w:r w:rsidRPr="00147B53">
        <w:t xml:space="preserve"> (the Forum)</w:t>
      </w:r>
      <w:r w:rsidR="004D25A5" w:rsidRPr="00147B53">
        <w:t xml:space="preserve"> </w:t>
      </w:r>
      <w:proofErr w:type="gramStart"/>
      <w:r w:rsidRPr="00147B53">
        <w:t>was</w:t>
      </w:r>
      <w:proofErr w:type="gramEnd"/>
      <w:r w:rsidRPr="00147B53">
        <w:t xml:space="preserve"> notified of FSANZ’s decision on</w:t>
      </w:r>
      <w:r w:rsidR="00400169" w:rsidRPr="00147B53">
        <w:t xml:space="preserve"> </w:t>
      </w:r>
      <w:r w:rsidR="00147B53" w:rsidRPr="00147B53">
        <w:t>18</w:t>
      </w:r>
      <w:r w:rsidR="003E6806" w:rsidRPr="00147B53">
        <w:t xml:space="preserve"> December</w:t>
      </w:r>
      <w:r w:rsidR="00400169" w:rsidRPr="00147B53">
        <w:t xml:space="preserve"> 2013</w:t>
      </w:r>
      <w:r w:rsidRPr="00147B53">
        <w:t>.</w:t>
      </w:r>
    </w:p>
    <w:p w:rsidR="009B52B3" w:rsidRPr="00400169" w:rsidRDefault="009B52B3" w:rsidP="009B52B3"/>
    <w:p w:rsidR="009B52B3" w:rsidRPr="00400169" w:rsidRDefault="009B52B3" w:rsidP="009B52B3">
      <w:r w:rsidRPr="00400169">
        <w:t>This Report is provided pursuant to paragraph 33(1</w:t>
      </w:r>
      <w:proofErr w:type="gramStart"/>
      <w:r w:rsidRPr="00400169">
        <w:t>)(</w:t>
      </w:r>
      <w:proofErr w:type="gramEnd"/>
      <w:r w:rsidRPr="00400169">
        <w:t xml:space="preserve">b) of the </w:t>
      </w:r>
      <w:r w:rsidRPr="00400169">
        <w:rPr>
          <w:i/>
        </w:rPr>
        <w:t>Food Standards Australia New Zealand Act 1991</w:t>
      </w:r>
      <w:r w:rsidRPr="00400169">
        <w:t xml:space="preserve"> (the FSANZ Act).</w:t>
      </w:r>
    </w:p>
    <w:p w:rsidR="00F526BD" w:rsidRPr="00400169" w:rsidRDefault="00F526BD" w:rsidP="00A671E6"/>
    <w:p w:rsidR="00EB6590" w:rsidRPr="00400169" w:rsidRDefault="00EB6590" w:rsidP="00F526BD"/>
    <w:p w:rsidR="00A671E6" w:rsidRPr="00400169" w:rsidRDefault="00A671E6" w:rsidP="00CC5468">
      <w:pPr>
        <w:sectPr w:rsidR="00A671E6" w:rsidRPr="00400169" w:rsidSect="00B90B0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Pr="00400169" w:rsidRDefault="00D15A08" w:rsidP="00EC66BB">
      <w:pPr>
        <w:jc w:val="center"/>
        <w:rPr>
          <w:sz w:val="28"/>
          <w:szCs w:val="28"/>
        </w:rPr>
      </w:pPr>
      <w:r w:rsidRPr="00400169">
        <w:rPr>
          <w:sz w:val="28"/>
          <w:szCs w:val="28"/>
        </w:rPr>
        <w:lastRenderedPageBreak/>
        <w:t xml:space="preserve">Table of </w:t>
      </w:r>
      <w:r w:rsidR="00456B54" w:rsidRPr="00400169">
        <w:rPr>
          <w:sz w:val="28"/>
          <w:szCs w:val="28"/>
        </w:rPr>
        <w:t>C</w:t>
      </w:r>
      <w:r w:rsidRPr="00400169">
        <w:rPr>
          <w:sz w:val="28"/>
          <w:szCs w:val="28"/>
        </w:rPr>
        <w:t>ontents</w:t>
      </w:r>
    </w:p>
    <w:p w:rsidR="00147B53" w:rsidRDefault="00B55714">
      <w:pPr>
        <w:pStyle w:val="TOC1"/>
        <w:tabs>
          <w:tab w:val="left" w:pos="440"/>
          <w:tab w:val="right" w:leader="dot" w:pos="9060"/>
        </w:tabs>
        <w:rPr>
          <w:rFonts w:eastAsiaTheme="minorEastAsia" w:cstheme="minorBidi"/>
          <w:b w:val="0"/>
          <w:bCs w:val="0"/>
          <w:caps w:val="0"/>
          <w:noProof/>
          <w:sz w:val="22"/>
          <w:szCs w:val="22"/>
          <w:lang w:eastAsia="en-GB" w:bidi="ar-SA"/>
        </w:rPr>
      </w:pPr>
      <w:r w:rsidRPr="00147B53">
        <w:rPr>
          <w:rFonts w:ascii="Arial" w:hAnsi="Arial" w:cs="Arial"/>
          <w:b w:val="0"/>
          <w:bCs w:val="0"/>
          <w:caps w:val="0"/>
          <w:smallCaps/>
        </w:rPr>
        <w:fldChar w:fldCharType="begin"/>
      </w:r>
      <w:r w:rsidRPr="00147B53">
        <w:rPr>
          <w:rFonts w:ascii="Arial" w:hAnsi="Arial" w:cs="Arial"/>
        </w:rPr>
        <w:instrText xml:space="preserve"> TOC \h \z \t "Heading 1,1,Heading 2,2,Heading 3,3" </w:instrText>
      </w:r>
      <w:r w:rsidRPr="00147B53">
        <w:rPr>
          <w:rFonts w:ascii="Arial" w:hAnsi="Arial" w:cs="Arial"/>
          <w:b w:val="0"/>
          <w:bCs w:val="0"/>
          <w:caps w:val="0"/>
          <w:smallCaps/>
        </w:rPr>
        <w:fldChar w:fldCharType="separate"/>
      </w:r>
      <w:hyperlink w:anchor="_Toc374451204" w:history="1">
        <w:r w:rsidR="00147B53" w:rsidRPr="00010298">
          <w:rPr>
            <w:rStyle w:val="Hyperlink"/>
            <w:noProof/>
          </w:rPr>
          <w:t>1.</w:t>
        </w:r>
        <w:r w:rsidR="00147B53">
          <w:rPr>
            <w:rFonts w:eastAsiaTheme="minorEastAsia" w:cstheme="minorBidi"/>
            <w:b w:val="0"/>
            <w:bCs w:val="0"/>
            <w:caps w:val="0"/>
            <w:noProof/>
            <w:sz w:val="22"/>
            <w:szCs w:val="22"/>
            <w:lang w:eastAsia="en-GB" w:bidi="ar-SA"/>
          </w:rPr>
          <w:tab/>
        </w:r>
        <w:r w:rsidR="00147B53" w:rsidRPr="00010298">
          <w:rPr>
            <w:rStyle w:val="Hyperlink"/>
            <w:noProof/>
          </w:rPr>
          <w:t>Executive summary</w:t>
        </w:r>
        <w:r w:rsidR="00147B53">
          <w:rPr>
            <w:noProof/>
            <w:webHidden/>
          </w:rPr>
          <w:tab/>
        </w:r>
        <w:r w:rsidR="00147B53">
          <w:rPr>
            <w:noProof/>
            <w:webHidden/>
          </w:rPr>
          <w:fldChar w:fldCharType="begin"/>
        </w:r>
        <w:r w:rsidR="00147B53">
          <w:rPr>
            <w:noProof/>
            <w:webHidden/>
          </w:rPr>
          <w:instrText xml:space="preserve"> PAGEREF _Toc374451204 \h </w:instrText>
        </w:r>
        <w:r w:rsidR="00147B53">
          <w:rPr>
            <w:noProof/>
            <w:webHidden/>
          </w:rPr>
        </w:r>
        <w:r w:rsidR="00147B53">
          <w:rPr>
            <w:noProof/>
            <w:webHidden/>
          </w:rPr>
          <w:fldChar w:fldCharType="separate"/>
        </w:r>
        <w:r w:rsidR="00FC22F0">
          <w:rPr>
            <w:noProof/>
            <w:webHidden/>
          </w:rPr>
          <w:t>2</w:t>
        </w:r>
        <w:r w:rsidR="00147B53">
          <w:rPr>
            <w:noProof/>
            <w:webHidden/>
          </w:rPr>
          <w:fldChar w:fldCharType="end"/>
        </w:r>
      </w:hyperlink>
    </w:p>
    <w:p w:rsidR="00147B53" w:rsidRDefault="00FC22F0">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451205" w:history="1">
        <w:r w:rsidR="00147B53" w:rsidRPr="00010298">
          <w:rPr>
            <w:rStyle w:val="Hyperlink"/>
            <w:noProof/>
          </w:rPr>
          <w:t>2.</w:t>
        </w:r>
        <w:r w:rsidR="00147B53">
          <w:rPr>
            <w:rFonts w:eastAsiaTheme="minorEastAsia" w:cstheme="minorBidi"/>
            <w:b w:val="0"/>
            <w:bCs w:val="0"/>
            <w:caps w:val="0"/>
            <w:noProof/>
            <w:sz w:val="22"/>
            <w:szCs w:val="22"/>
            <w:lang w:eastAsia="en-GB" w:bidi="ar-SA"/>
          </w:rPr>
          <w:tab/>
        </w:r>
        <w:r w:rsidR="00147B53" w:rsidRPr="00010298">
          <w:rPr>
            <w:rStyle w:val="Hyperlink"/>
            <w:noProof/>
          </w:rPr>
          <w:t>Introduction</w:t>
        </w:r>
        <w:r w:rsidR="00147B53">
          <w:rPr>
            <w:noProof/>
            <w:webHidden/>
          </w:rPr>
          <w:tab/>
        </w:r>
        <w:r w:rsidR="00147B53">
          <w:rPr>
            <w:noProof/>
            <w:webHidden/>
          </w:rPr>
          <w:fldChar w:fldCharType="begin"/>
        </w:r>
        <w:r w:rsidR="00147B53">
          <w:rPr>
            <w:noProof/>
            <w:webHidden/>
          </w:rPr>
          <w:instrText xml:space="preserve"> PAGEREF _Toc374451205 \h </w:instrText>
        </w:r>
        <w:r w:rsidR="00147B53">
          <w:rPr>
            <w:noProof/>
            <w:webHidden/>
          </w:rPr>
        </w:r>
        <w:r w:rsidR="00147B53">
          <w:rPr>
            <w:noProof/>
            <w:webHidden/>
          </w:rPr>
          <w:fldChar w:fldCharType="separate"/>
        </w:r>
        <w:r>
          <w:rPr>
            <w:noProof/>
            <w:webHidden/>
          </w:rPr>
          <w:t>3</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06" w:history="1">
        <w:r w:rsidR="00147B53" w:rsidRPr="00010298">
          <w:rPr>
            <w:rStyle w:val="Hyperlink"/>
            <w:noProof/>
          </w:rPr>
          <w:t>2.1</w:t>
        </w:r>
        <w:r w:rsidR="00147B53">
          <w:rPr>
            <w:rFonts w:eastAsiaTheme="minorEastAsia" w:cstheme="minorBidi"/>
            <w:smallCaps w:val="0"/>
            <w:noProof/>
            <w:sz w:val="22"/>
            <w:szCs w:val="22"/>
            <w:lang w:eastAsia="en-GB" w:bidi="ar-SA"/>
          </w:rPr>
          <w:tab/>
        </w:r>
        <w:r w:rsidR="00147B53" w:rsidRPr="00010298">
          <w:rPr>
            <w:rStyle w:val="Hyperlink"/>
            <w:noProof/>
          </w:rPr>
          <w:t>The Applicants</w:t>
        </w:r>
        <w:r w:rsidR="00147B53">
          <w:rPr>
            <w:noProof/>
            <w:webHidden/>
          </w:rPr>
          <w:tab/>
        </w:r>
        <w:r w:rsidR="00147B53">
          <w:rPr>
            <w:noProof/>
            <w:webHidden/>
          </w:rPr>
          <w:fldChar w:fldCharType="begin"/>
        </w:r>
        <w:r w:rsidR="00147B53">
          <w:rPr>
            <w:noProof/>
            <w:webHidden/>
          </w:rPr>
          <w:instrText xml:space="preserve"> PAGEREF _Toc374451206 \h </w:instrText>
        </w:r>
        <w:r w:rsidR="00147B53">
          <w:rPr>
            <w:noProof/>
            <w:webHidden/>
          </w:rPr>
        </w:r>
        <w:r w:rsidR="00147B53">
          <w:rPr>
            <w:noProof/>
            <w:webHidden/>
          </w:rPr>
          <w:fldChar w:fldCharType="separate"/>
        </w:r>
        <w:r>
          <w:rPr>
            <w:noProof/>
            <w:webHidden/>
          </w:rPr>
          <w:t>3</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07" w:history="1">
        <w:r w:rsidR="00147B53" w:rsidRPr="00010298">
          <w:rPr>
            <w:rStyle w:val="Hyperlink"/>
            <w:noProof/>
          </w:rPr>
          <w:t>2.2</w:t>
        </w:r>
        <w:r w:rsidR="00147B53">
          <w:rPr>
            <w:rFonts w:eastAsiaTheme="minorEastAsia" w:cstheme="minorBidi"/>
            <w:smallCaps w:val="0"/>
            <w:noProof/>
            <w:sz w:val="22"/>
            <w:szCs w:val="22"/>
            <w:lang w:eastAsia="en-GB" w:bidi="ar-SA"/>
          </w:rPr>
          <w:tab/>
        </w:r>
        <w:r w:rsidR="00147B53" w:rsidRPr="00010298">
          <w:rPr>
            <w:rStyle w:val="Hyperlink"/>
            <w:noProof/>
          </w:rPr>
          <w:t>The Application</w:t>
        </w:r>
        <w:r w:rsidR="00147B53">
          <w:rPr>
            <w:noProof/>
            <w:webHidden/>
          </w:rPr>
          <w:tab/>
        </w:r>
        <w:r w:rsidR="00147B53">
          <w:rPr>
            <w:noProof/>
            <w:webHidden/>
          </w:rPr>
          <w:fldChar w:fldCharType="begin"/>
        </w:r>
        <w:r w:rsidR="00147B53">
          <w:rPr>
            <w:noProof/>
            <w:webHidden/>
          </w:rPr>
          <w:instrText xml:space="preserve"> PAGEREF _Toc374451207 \h </w:instrText>
        </w:r>
        <w:r w:rsidR="00147B53">
          <w:rPr>
            <w:noProof/>
            <w:webHidden/>
          </w:rPr>
        </w:r>
        <w:r w:rsidR="00147B53">
          <w:rPr>
            <w:noProof/>
            <w:webHidden/>
          </w:rPr>
          <w:fldChar w:fldCharType="separate"/>
        </w:r>
        <w:r>
          <w:rPr>
            <w:noProof/>
            <w:webHidden/>
          </w:rPr>
          <w:t>3</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08" w:history="1">
        <w:r w:rsidR="00147B53" w:rsidRPr="00010298">
          <w:rPr>
            <w:rStyle w:val="Hyperlink"/>
            <w:noProof/>
          </w:rPr>
          <w:t>2.3</w:t>
        </w:r>
        <w:r w:rsidR="00147B53">
          <w:rPr>
            <w:rFonts w:eastAsiaTheme="minorEastAsia" w:cstheme="minorBidi"/>
            <w:smallCaps w:val="0"/>
            <w:noProof/>
            <w:sz w:val="22"/>
            <w:szCs w:val="22"/>
            <w:lang w:eastAsia="en-GB" w:bidi="ar-SA"/>
          </w:rPr>
          <w:tab/>
        </w:r>
        <w:r w:rsidR="00147B53" w:rsidRPr="00010298">
          <w:rPr>
            <w:rStyle w:val="Hyperlink"/>
            <w:noProof/>
          </w:rPr>
          <w:t>The current Standard</w:t>
        </w:r>
        <w:r w:rsidR="00147B53">
          <w:rPr>
            <w:noProof/>
            <w:webHidden/>
          </w:rPr>
          <w:tab/>
        </w:r>
        <w:r w:rsidR="00147B53">
          <w:rPr>
            <w:noProof/>
            <w:webHidden/>
          </w:rPr>
          <w:fldChar w:fldCharType="begin"/>
        </w:r>
        <w:r w:rsidR="00147B53">
          <w:rPr>
            <w:noProof/>
            <w:webHidden/>
          </w:rPr>
          <w:instrText xml:space="preserve"> PAGEREF _Toc374451208 \h </w:instrText>
        </w:r>
        <w:r w:rsidR="00147B53">
          <w:rPr>
            <w:noProof/>
            <w:webHidden/>
          </w:rPr>
        </w:r>
        <w:r w:rsidR="00147B53">
          <w:rPr>
            <w:noProof/>
            <w:webHidden/>
          </w:rPr>
          <w:fldChar w:fldCharType="separate"/>
        </w:r>
        <w:r>
          <w:rPr>
            <w:noProof/>
            <w:webHidden/>
          </w:rPr>
          <w:t>3</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09" w:history="1">
        <w:r w:rsidR="00147B53" w:rsidRPr="00010298">
          <w:rPr>
            <w:rStyle w:val="Hyperlink"/>
            <w:noProof/>
          </w:rPr>
          <w:t>2.4</w:t>
        </w:r>
        <w:r w:rsidR="00147B53">
          <w:rPr>
            <w:rFonts w:eastAsiaTheme="minorEastAsia" w:cstheme="minorBidi"/>
            <w:smallCaps w:val="0"/>
            <w:noProof/>
            <w:sz w:val="22"/>
            <w:szCs w:val="22"/>
            <w:lang w:eastAsia="en-GB" w:bidi="ar-SA"/>
          </w:rPr>
          <w:tab/>
        </w:r>
        <w:r w:rsidR="00147B53" w:rsidRPr="00010298">
          <w:rPr>
            <w:rStyle w:val="Hyperlink"/>
            <w:noProof/>
          </w:rPr>
          <w:t xml:space="preserve">Reasons for accepting the </w:t>
        </w:r>
        <w:r w:rsidR="00147B53" w:rsidRPr="00010298">
          <w:rPr>
            <w:rStyle w:val="Hyperlink"/>
            <w:noProof/>
            <w:u w:color="FFFF00"/>
          </w:rPr>
          <w:t>Application</w:t>
        </w:r>
        <w:r w:rsidR="00147B53">
          <w:rPr>
            <w:noProof/>
            <w:webHidden/>
          </w:rPr>
          <w:tab/>
        </w:r>
        <w:r w:rsidR="00147B53">
          <w:rPr>
            <w:noProof/>
            <w:webHidden/>
          </w:rPr>
          <w:fldChar w:fldCharType="begin"/>
        </w:r>
        <w:r w:rsidR="00147B53">
          <w:rPr>
            <w:noProof/>
            <w:webHidden/>
          </w:rPr>
          <w:instrText xml:space="preserve"> PAGEREF _Toc374451209 \h </w:instrText>
        </w:r>
        <w:r w:rsidR="00147B53">
          <w:rPr>
            <w:noProof/>
            <w:webHidden/>
          </w:rPr>
        </w:r>
        <w:r w:rsidR="00147B53">
          <w:rPr>
            <w:noProof/>
            <w:webHidden/>
          </w:rPr>
          <w:fldChar w:fldCharType="separate"/>
        </w:r>
        <w:r>
          <w:rPr>
            <w:noProof/>
            <w:webHidden/>
          </w:rPr>
          <w:t>3</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10" w:history="1">
        <w:r w:rsidR="00147B53" w:rsidRPr="00010298">
          <w:rPr>
            <w:rStyle w:val="Hyperlink"/>
            <w:noProof/>
          </w:rPr>
          <w:t>2.5</w:t>
        </w:r>
        <w:r w:rsidR="00147B53">
          <w:rPr>
            <w:rFonts w:eastAsiaTheme="minorEastAsia" w:cstheme="minorBidi"/>
            <w:smallCaps w:val="0"/>
            <w:noProof/>
            <w:sz w:val="22"/>
            <w:szCs w:val="22"/>
            <w:lang w:eastAsia="en-GB" w:bidi="ar-SA"/>
          </w:rPr>
          <w:tab/>
        </w:r>
        <w:r w:rsidR="00147B53" w:rsidRPr="00010298">
          <w:rPr>
            <w:rStyle w:val="Hyperlink"/>
            <w:noProof/>
          </w:rPr>
          <w:t>Procedure for assessment</w:t>
        </w:r>
        <w:r w:rsidR="00147B53">
          <w:rPr>
            <w:noProof/>
            <w:webHidden/>
          </w:rPr>
          <w:tab/>
        </w:r>
        <w:r w:rsidR="00147B53">
          <w:rPr>
            <w:noProof/>
            <w:webHidden/>
          </w:rPr>
          <w:fldChar w:fldCharType="begin"/>
        </w:r>
        <w:r w:rsidR="00147B53">
          <w:rPr>
            <w:noProof/>
            <w:webHidden/>
          </w:rPr>
          <w:instrText xml:space="preserve"> PAGEREF _Toc374451210 \h </w:instrText>
        </w:r>
        <w:r w:rsidR="00147B53">
          <w:rPr>
            <w:noProof/>
            <w:webHidden/>
          </w:rPr>
        </w:r>
        <w:r w:rsidR="00147B53">
          <w:rPr>
            <w:noProof/>
            <w:webHidden/>
          </w:rPr>
          <w:fldChar w:fldCharType="separate"/>
        </w:r>
        <w:r>
          <w:rPr>
            <w:noProof/>
            <w:webHidden/>
          </w:rPr>
          <w:t>3</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11" w:history="1">
        <w:r w:rsidR="00147B53" w:rsidRPr="00010298">
          <w:rPr>
            <w:rStyle w:val="Hyperlink"/>
            <w:noProof/>
          </w:rPr>
          <w:t>2.6</w:t>
        </w:r>
        <w:r w:rsidR="00147B53">
          <w:rPr>
            <w:rFonts w:eastAsiaTheme="minorEastAsia" w:cstheme="minorBidi"/>
            <w:smallCaps w:val="0"/>
            <w:noProof/>
            <w:sz w:val="22"/>
            <w:szCs w:val="22"/>
            <w:lang w:eastAsia="en-GB" w:bidi="ar-SA"/>
          </w:rPr>
          <w:tab/>
        </w:r>
        <w:r w:rsidR="00147B53" w:rsidRPr="00010298">
          <w:rPr>
            <w:rStyle w:val="Hyperlink"/>
            <w:noProof/>
          </w:rPr>
          <w:t>Decision</w:t>
        </w:r>
        <w:r w:rsidR="00147B53">
          <w:rPr>
            <w:noProof/>
            <w:webHidden/>
          </w:rPr>
          <w:tab/>
        </w:r>
        <w:r w:rsidR="00147B53">
          <w:rPr>
            <w:noProof/>
            <w:webHidden/>
          </w:rPr>
          <w:fldChar w:fldCharType="begin"/>
        </w:r>
        <w:r w:rsidR="00147B53">
          <w:rPr>
            <w:noProof/>
            <w:webHidden/>
          </w:rPr>
          <w:instrText xml:space="preserve"> PAGEREF _Toc374451211 \h </w:instrText>
        </w:r>
        <w:r w:rsidR="00147B53">
          <w:rPr>
            <w:noProof/>
            <w:webHidden/>
          </w:rPr>
        </w:r>
        <w:r w:rsidR="00147B53">
          <w:rPr>
            <w:noProof/>
            <w:webHidden/>
          </w:rPr>
          <w:fldChar w:fldCharType="separate"/>
        </w:r>
        <w:r>
          <w:rPr>
            <w:noProof/>
            <w:webHidden/>
          </w:rPr>
          <w:t>4</w:t>
        </w:r>
        <w:r w:rsidR="00147B53">
          <w:rPr>
            <w:noProof/>
            <w:webHidden/>
          </w:rPr>
          <w:fldChar w:fldCharType="end"/>
        </w:r>
      </w:hyperlink>
    </w:p>
    <w:p w:rsidR="00147B53" w:rsidRDefault="00FC22F0">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451212" w:history="1">
        <w:r w:rsidR="00147B53" w:rsidRPr="00010298">
          <w:rPr>
            <w:rStyle w:val="Hyperlink"/>
            <w:noProof/>
          </w:rPr>
          <w:t>3.</w:t>
        </w:r>
        <w:r w:rsidR="00147B53">
          <w:rPr>
            <w:rFonts w:eastAsiaTheme="minorEastAsia" w:cstheme="minorBidi"/>
            <w:b w:val="0"/>
            <w:bCs w:val="0"/>
            <w:caps w:val="0"/>
            <w:noProof/>
            <w:sz w:val="22"/>
            <w:szCs w:val="22"/>
            <w:lang w:eastAsia="en-GB" w:bidi="ar-SA"/>
          </w:rPr>
          <w:tab/>
        </w:r>
        <w:r w:rsidR="00147B53" w:rsidRPr="00010298">
          <w:rPr>
            <w:rStyle w:val="Hyperlink"/>
            <w:noProof/>
          </w:rPr>
          <w:t xml:space="preserve">Summary </w:t>
        </w:r>
        <w:r w:rsidR="00147B53" w:rsidRPr="00010298">
          <w:rPr>
            <w:rStyle w:val="Hyperlink"/>
            <w:noProof/>
            <w:u w:color="FFFF00"/>
          </w:rPr>
          <w:t>of</w:t>
        </w:r>
        <w:r w:rsidR="00147B53" w:rsidRPr="00010298">
          <w:rPr>
            <w:rStyle w:val="Hyperlink"/>
            <w:noProof/>
          </w:rPr>
          <w:t xml:space="preserve"> the findings</w:t>
        </w:r>
        <w:r w:rsidR="00147B53">
          <w:rPr>
            <w:noProof/>
            <w:webHidden/>
          </w:rPr>
          <w:tab/>
        </w:r>
        <w:r w:rsidR="00147B53">
          <w:rPr>
            <w:noProof/>
            <w:webHidden/>
          </w:rPr>
          <w:fldChar w:fldCharType="begin"/>
        </w:r>
        <w:r w:rsidR="00147B53">
          <w:rPr>
            <w:noProof/>
            <w:webHidden/>
          </w:rPr>
          <w:instrText xml:space="preserve"> PAGEREF _Toc374451212 \h </w:instrText>
        </w:r>
        <w:r w:rsidR="00147B53">
          <w:rPr>
            <w:noProof/>
            <w:webHidden/>
          </w:rPr>
        </w:r>
        <w:r w:rsidR="00147B53">
          <w:rPr>
            <w:noProof/>
            <w:webHidden/>
          </w:rPr>
          <w:fldChar w:fldCharType="separate"/>
        </w:r>
        <w:r>
          <w:rPr>
            <w:noProof/>
            <w:webHidden/>
          </w:rPr>
          <w:t>4</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13" w:history="1">
        <w:r w:rsidR="00147B53" w:rsidRPr="00010298">
          <w:rPr>
            <w:rStyle w:val="Hyperlink"/>
            <w:noProof/>
          </w:rPr>
          <w:t>3.1</w:t>
        </w:r>
        <w:r w:rsidR="00147B53">
          <w:rPr>
            <w:rFonts w:eastAsiaTheme="minorEastAsia" w:cstheme="minorBidi"/>
            <w:smallCaps w:val="0"/>
            <w:noProof/>
            <w:sz w:val="22"/>
            <w:szCs w:val="22"/>
            <w:lang w:eastAsia="en-GB" w:bidi="ar-SA"/>
          </w:rPr>
          <w:tab/>
        </w:r>
        <w:r w:rsidR="00147B53" w:rsidRPr="00010298">
          <w:rPr>
            <w:rStyle w:val="Hyperlink"/>
            <w:noProof/>
          </w:rPr>
          <w:t>Risk assessment</w:t>
        </w:r>
        <w:r w:rsidR="00147B53">
          <w:rPr>
            <w:noProof/>
            <w:webHidden/>
          </w:rPr>
          <w:tab/>
        </w:r>
        <w:r w:rsidR="00147B53">
          <w:rPr>
            <w:noProof/>
            <w:webHidden/>
          </w:rPr>
          <w:fldChar w:fldCharType="begin"/>
        </w:r>
        <w:r w:rsidR="00147B53">
          <w:rPr>
            <w:noProof/>
            <w:webHidden/>
          </w:rPr>
          <w:instrText xml:space="preserve"> PAGEREF _Toc374451213 \h </w:instrText>
        </w:r>
        <w:r w:rsidR="00147B53">
          <w:rPr>
            <w:noProof/>
            <w:webHidden/>
          </w:rPr>
        </w:r>
        <w:r w:rsidR="00147B53">
          <w:rPr>
            <w:noProof/>
            <w:webHidden/>
          </w:rPr>
          <w:fldChar w:fldCharType="separate"/>
        </w:r>
        <w:r>
          <w:rPr>
            <w:noProof/>
            <w:webHidden/>
          </w:rPr>
          <w:t>4</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14" w:history="1">
        <w:r w:rsidR="00147B53" w:rsidRPr="00010298">
          <w:rPr>
            <w:rStyle w:val="Hyperlink"/>
            <w:noProof/>
          </w:rPr>
          <w:t>3.2</w:t>
        </w:r>
        <w:r w:rsidR="00147B53">
          <w:rPr>
            <w:rFonts w:eastAsiaTheme="minorEastAsia" w:cstheme="minorBidi"/>
            <w:smallCaps w:val="0"/>
            <w:noProof/>
            <w:sz w:val="22"/>
            <w:szCs w:val="22"/>
            <w:lang w:eastAsia="en-GB" w:bidi="ar-SA"/>
          </w:rPr>
          <w:tab/>
        </w:r>
        <w:r w:rsidR="00147B53" w:rsidRPr="00010298">
          <w:rPr>
            <w:rStyle w:val="Hyperlink"/>
            <w:noProof/>
          </w:rPr>
          <w:t>Risk management</w:t>
        </w:r>
        <w:r w:rsidR="00147B53">
          <w:rPr>
            <w:noProof/>
            <w:webHidden/>
          </w:rPr>
          <w:tab/>
        </w:r>
        <w:r w:rsidR="00147B53">
          <w:rPr>
            <w:noProof/>
            <w:webHidden/>
          </w:rPr>
          <w:fldChar w:fldCharType="begin"/>
        </w:r>
        <w:r w:rsidR="00147B53">
          <w:rPr>
            <w:noProof/>
            <w:webHidden/>
          </w:rPr>
          <w:instrText xml:space="preserve"> PAGEREF _Toc374451214 \h </w:instrText>
        </w:r>
        <w:r w:rsidR="00147B53">
          <w:rPr>
            <w:noProof/>
            <w:webHidden/>
          </w:rPr>
        </w:r>
        <w:r w:rsidR="00147B53">
          <w:rPr>
            <w:noProof/>
            <w:webHidden/>
          </w:rPr>
          <w:fldChar w:fldCharType="separate"/>
        </w:r>
        <w:r>
          <w:rPr>
            <w:noProof/>
            <w:webHidden/>
          </w:rPr>
          <w:t>4</w:t>
        </w:r>
        <w:r w:rsidR="00147B53">
          <w:rPr>
            <w:noProof/>
            <w:webHidden/>
          </w:rPr>
          <w:fldChar w:fldCharType="end"/>
        </w:r>
      </w:hyperlink>
    </w:p>
    <w:p w:rsidR="00147B53" w:rsidRDefault="00FC22F0">
      <w:pPr>
        <w:pStyle w:val="TOC3"/>
        <w:tabs>
          <w:tab w:val="left" w:pos="1100"/>
          <w:tab w:val="right" w:leader="dot" w:pos="9060"/>
        </w:tabs>
        <w:rPr>
          <w:rFonts w:eastAsiaTheme="minorEastAsia" w:cstheme="minorBidi"/>
          <w:i w:val="0"/>
          <w:iCs w:val="0"/>
          <w:noProof/>
          <w:sz w:val="22"/>
          <w:szCs w:val="22"/>
          <w:lang w:eastAsia="en-GB" w:bidi="ar-SA"/>
        </w:rPr>
      </w:pPr>
      <w:hyperlink w:anchor="_Toc374451215" w:history="1">
        <w:r w:rsidR="00147B53" w:rsidRPr="00010298">
          <w:rPr>
            <w:rStyle w:val="Hyperlink"/>
            <w:noProof/>
          </w:rPr>
          <w:t>3.2.1</w:t>
        </w:r>
        <w:r w:rsidR="00147B53">
          <w:rPr>
            <w:rFonts w:eastAsiaTheme="minorEastAsia" w:cstheme="minorBidi"/>
            <w:i w:val="0"/>
            <w:iCs w:val="0"/>
            <w:noProof/>
            <w:sz w:val="22"/>
            <w:szCs w:val="22"/>
            <w:lang w:eastAsia="en-GB" w:bidi="ar-SA"/>
          </w:rPr>
          <w:tab/>
        </w:r>
        <w:r w:rsidR="00147B53" w:rsidRPr="00010298">
          <w:rPr>
            <w:rStyle w:val="Hyperlink"/>
            <w:noProof/>
          </w:rPr>
          <w:t>Labelling</w:t>
        </w:r>
        <w:r w:rsidR="00147B53">
          <w:rPr>
            <w:noProof/>
            <w:webHidden/>
          </w:rPr>
          <w:tab/>
        </w:r>
        <w:r w:rsidR="00147B53">
          <w:rPr>
            <w:noProof/>
            <w:webHidden/>
          </w:rPr>
          <w:fldChar w:fldCharType="begin"/>
        </w:r>
        <w:r w:rsidR="00147B53">
          <w:rPr>
            <w:noProof/>
            <w:webHidden/>
          </w:rPr>
          <w:instrText xml:space="preserve"> PAGEREF _Toc374451215 \h </w:instrText>
        </w:r>
        <w:r w:rsidR="00147B53">
          <w:rPr>
            <w:noProof/>
            <w:webHidden/>
          </w:rPr>
        </w:r>
        <w:r w:rsidR="00147B53">
          <w:rPr>
            <w:noProof/>
            <w:webHidden/>
          </w:rPr>
          <w:fldChar w:fldCharType="separate"/>
        </w:r>
        <w:r>
          <w:rPr>
            <w:noProof/>
            <w:webHidden/>
          </w:rPr>
          <w:t>4</w:t>
        </w:r>
        <w:r w:rsidR="00147B53">
          <w:rPr>
            <w:noProof/>
            <w:webHidden/>
          </w:rPr>
          <w:fldChar w:fldCharType="end"/>
        </w:r>
      </w:hyperlink>
    </w:p>
    <w:p w:rsidR="00147B53" w:rsidRDefault="00FC22F0">
      <w:pPr>
        <w:pStyle w:val="TOC3"/>
        <w:tabs>
          <w:tab w:val="left" w:pos="1100"/>
          <w:tab w:val="right" w:leader="dot" w:pos="9060"/>
        </w:tabs>
        <w:rPr>
          <w:rFonts w:eastAsiaTheme="minorEastAsia" w:cstheme="minorBidi"/>
          <w:i w:val="0"/>
          <w:iCs w:val="0"/>
          <w:noProof/>
          <w:sz w:val="22"/>
          <w:szCs w:val="22"/>
          <w:lang w:eastAsia="en-GB" w:bidi="ar-SA"/>
        </w:rPr>
      </w:pPr>
      <w:hyperlink w:anchor="_Toc374451216" w:history="1">
        <w:r w:rsidR="00147B53" w:rsidRPr="00010298">
          <w:rPr>
            <w:rStyle w:val="Hyperlink"/>
            <w:noProof/>
          </w:rPr>
          <w:t>3.2.2</w:t>
        </w:r>
        <w:r w:rsidR="00147B53">
          <w:rPr>
            <w:rFonts w:eastAsiaTheme="minorEastAsia" w:cstheme="minorBidi"/>
            <w:i w:val="0"/>
            <w:iCs w:val="0"/>
            <w:noProof/>
            <w:sz w:val="22"/>
            <w:szCs w:val="22"/>
            <w:lang w:eastAsia="en-GB" w:bidi="ar-SA"/>
          </w:rPr>
          <w:tab/>
        </w:r>
        <w:r w:rsidR="00147B53" w:rsidRPr="00010298">
          <w:rPr>
            <w:rStyle w:val="Hyperlink"/>
            <w:noProof/>
          </w:rPr>
          <w:t>Detection methodology</w:t>
        </w:r>
        <w:r w:rsidR="00147B53">
          <w:rPr>
            <w:noProof/>
            <w:webHidden/>
          </w:rPr>
          <w:tab/>
        </w:r>
        <w:r w:rsidR="00147B53">
          <w:rPr>
            <w:noProof/>
            <w:webHidden/>
          </w:rPr>
          <w:fldChar w:fldCharType="begin"/>
        </w:r>
        <w:r w:rsidR="00147B53">
          <w:rPr>
            <w:noProof/>
            <w:webHidden/>
          </w:rPr>
          <w:instrText xml:space="preserve"> PAGEREF _Toc374451216 \h </w:instrText>
        </w:r>
        <w:r w:rsidR="00147B53">
          <w:rPr>
            <w:noProof/>
            <w:webHidden/>
          </w:rPr>
        </w:r>
        <w:r w:rsidR="00147B53">
          <w:rPr>
            <w:noProof/>
            <w:webHidden/>
          </w:rPr>
          <w:fldChar w:fldCharType="separate"/>
        </w:r>
        <w:r>
          <w:rPr>
            <w:noProof/>
            <w:webHidden/>
          </w:rPr>
          <w:t>5</w:t>
        </w:r>
        <w:r w:rsidR="00147B53">
          <w:rPr>
            <w:noProof/>
            <w:webHidden/>
          </w:rPr>
          <w:fldChar w:fldCharType="end"/>
        </w:r>
      </w:hyperlink>
    </w:p>
    <w:p w:rsidR="00147B53" w:rsidRDefault="00FC22F0">
      <w:pPr>
        <w:pStyle w:val="TOC3"/>
        <w:tabs>
          <w:tab w:val="left" w:pos="1100"/>
          <w:tab w:val="right" w:leader="dot" w:pos="9060"/>
        </w:tabs>
        <w:rPr>
          <w:rFonts w:eastAsiaTheme="minorEastAsia" w:cstheme="minorBidi"/>
          <w:i w:val="0"/>
          <w:iCs w:val="0"/>
          <w:noProof/>
          <w:sz w:val="22"/>
          <w:szCs w:val="22"/>
          <w:lang w:eastAsia="en-GB" w:bidi="ar-SA"/>
        </w:rPr>
      </w:pPr>
      <w:hyperlink w:anchor="_Toc374451217" w:history="1">
        <w:r w:rsidR="00147B53" w:rsidRPr="00010298">
          <w:rPr>
            <w:rStyle w:val="Hyperlink"/>
            <w:noProof/>
          </w:rPr>
          <w:t>3.2.3</w:t>
        </w:r>
        <w:r w:rsidR="00147B53">
          <w:rPr>
            <w:rFonts w:eastAsiaTheme="minorEastAsia" w:cstheme="minorBidi"/>
            <w:i w:val="0"/>
            <w:iCs w:val="0"/>
            <w:noProof/>
            <w:sz w:val="22"/>
            <w:szCs w:val="22"/>
            <w:lang w:eastAsia="en-GB" w:bidi="ar-SA"/>
          </w:rPr>
          <w:tab/>
        </w:r>
        <w:r w:rsidR="00147B53" w:rsidRPr="00010298">
          <w:rPr>
            <w:rStyle w:val="Hyperlink"/>
            <w:noProof/>
          </w:rPr>
          <w:t>Summary of submissions</w:t>
        </w:r>
        <w:r w:rsidR="00147B53">
          <w:rPr>
            <w:noProof/>
            <w:webHidden/>
          </w:rPr>
          <w:tab/>
        </w:r>
        <w:r w:rsidR="00147B53">
          <w:rPr>
            <w:noProof/>
            <w:webHidden/>
          </w:rPr>
          <w:fldChar w:fldCharType="begin"/>
        </w:r>
        <w:r w:rsidR="00147B53">
          <w:rPr>
            <w:noProof/>
            <w:webHidden/>
          </w:rPr>
          <w:instrText xml:space="preserve"> PAGEREF _Toc374451217 \h </w:instrText>
        </w:r>
        <w:r w:rsidR="00147B53">
          <w:rPr>
            <w:noProof/>
            <w:webHidden/>
          </w:rPr>
        </w:r>
        <w:r w:rsidR="00147B53">
          <w:rPr>
            <w:noProof/>
            <w:webHidden/>
          </w:rPr>
          <w:fldChar w:fldCharType="separate"/>
        </w:r>
        <w:r>
          <w:rPr>
            <w:noProof/>
            <w:webHidden/>
          </w:rPr>
          <w:t>5</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18" w:history="1">
        <w:r w:rsidR="00147B53" w:rsidRPr="00010298">
          <w:rPr>
            <w:rStyle w:val="Hyperlink"/>
            <w:noProof/>
          </w:rPr>
          <w:t>3.3</w:t>
        </w:r>
        <w:r w:rsidR="00147B53">
          <w:rPr>
            <w:rFonts w:eastAsiaTheme="minorEastAsia" w:cstheme="minorBidi"/>
            <w:smallCaps w:val="0"/>
            <w:noProof/>
            <w:sz w:val="22"/>
            <w:szCs w:val="22"/>
            <w:lang w:eastAsia="en-GB" w:bidi="ar-SA"/>
          </w:rPr>
          <w:tab/>
        </w:r>
        <w:r w:rsidR="00147B53" w:rsidRPr="00010298">
          <w:rPr>
            <w:rStyle w:val="Hyperlink"/>
            <w:noProof/>
          </w:rPr>
          <w:t>Risk communication</w:t>
        </w:r>
        <w:r w:rsidR="00147B53">
          <w:rPr>
            <w:noProof/>
            <w:webHidden/>
          </w:rPr>
          <w:tab/>
        </w:r>
        <w:r w:rsidR="00147B53">
          <w:rPr>
            <w:noProof/>
            <w:webHidden/>
          </w:rPr>
          <w:fldChar w:fldCharType="begin"/>
        </w:r>
        <w:r w:rsidR="00147B53">
          <w:rPr>
            <w:noProof/>
            <w:webHidden/>
          </w:rPr>
          <w:instrText xml:space="preserve"> PAGEREF _Toc374451218 \h </w:instrText>
        </w:r>
        <w:r w:rsidR="00147B53">
          <w:rPr>
            <w:noProof/>
            <w:webHidden/>
          </w:rPr>
        </w:r>
        <w:r w:rsidR="00147B53">
          <w:rPr>
            <w:noProof/>
            <w:webHidden/>
          </w:rPr>
          <w:fldChar w:fldCharType="separate"/>
        </w:r>
        <w:r>
          <w:rPr>
            <w:noProof/>
            <w:webHidden/>
          </w:rPr>
          <w:t>12</w:t>
        </w:r>
        <w:r w:rsidR="00147B53">
          <w:rPr>
            <w:noProof/>
            <w:webHidden/>
          </w:rPr>
          <w:fldChar w:fldCharType="end"/>
        </w:r>
      </w:hyperlink>
    </w:p>
    <w:p w:rsidR="00147B53" w:rsidRDefault="00FC22F0">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451219" w:history="1">
        <w:r w:rsidR="00147B53" w:rsidRPr="00010298">
          <w:rPr>
            <w:rStyle w:val="Hyperlink"/>
            <w:noProof/>
          </w:rPr>
          <w:t>4.</w:t>
        </w:r>
        <w:r w:rsidR="00147B53">
          <w:rPr>
            <w:rFonts w:eastAsiaTheme="minorEastAsia" w:cstheme="minorBidi"/>
            <w:b w:val="0"/>
            <w:bCs w:val="0"/>
            <w:caps w:val="0"/>
            <w:noProof/>
            <w:sz w:val="22"/>
            <w:szCs w:val="22"/>
            <w:lang w:eastAsia="en-GB" w:bidi="ar-SA"/>
          </w:rPr>
          <w:tab/>
        </w:r>
        <w:r w:rsidR="00147B53" w:rsidRPr="00010298">
          <w:rPr>
            <w:rStyle w:val="Hyperlink"/>
            <w:noProof/>
          </w:rPr>
          <w:t>Reasons for decision</w:t>
        </w:r>
        <w:r w:rsidR="00147B53">
          <w:rPr>
            <w:noProof/>
            <w:webHidden/>
          </w:rPr>
          <w:tab/>
        </w:r>
        <w:r w:rsidR="00147B53">
          <w:rPr>
            <w:noProof/>
            <w:webHidden/>
          </w:rPr>
          <w:fldChar w:fldCharType="begin"/>
        </w:r>
        <w:r w:rsidR="00147B53">
          <w:rPr>
            <w:noProof/>
            <w:webHidden/>
          </w:rPr>
          <w:instrText xml:space="preserve"> PAGEREF _Toc374451219 \h </w:instrText>
        </w:r>
        <w:r w:rsidR="00147B53">
          <w:rPr>
            <w:noProof/>
            <w:webHidden/>
          </w:rPr>
        </w:r>
        <w:r w:rsidR="00147B53">
          <w:rPr>
            <w:noProof/>
            <w:webHidden/>
          </w:rPr>
          <w:fldChar w:fldCharType="separate"/>
        </w:r>
        <w:r>
          <w:rPr>
            <w:noProof/>
            <w:webHidden/>
          </w:rPr>
          <w:t>12</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20" w:history="1">
        <w:r w:rsidR="00147B53" w:rsidRPr="00010298">
          <w:rPr>
            <w:rStyle w:val="Hyperlink"/>
            <w:noProof/>
          </w:rPr>
          <w:t>4.1</w:t>
        </w:r>
        <w:r w:rsidR="00147B53">
          <w:rPr>
            <w:rFonts w:eastAsiaTheme="minorEastAsia" w:cstheme="minorBidi"/>
            <w:smallCaps w:val="0"/>
            <w:noProof/>
            <w:sz w:val="22"/>
            <w:szCs w:val="22"/>
            <w:lang w:eastAsia="en-GB" w:bidi="ar-SA"/>
          </w:rPr>
          <w:tab/>
        </w:r>
        <w:r w:rsidR="00147B53" w:rsidRPr="00010298">
          <w:rPr>
            <w:rStyle w:val="Hyperlink"/>
            <w:noProof/>
          </w:rPr>
          <w:t>Section 29</w:t>
        </w:r>
        <w:r w:rsidR="00147B53">
          <w:rPr>
            <w:noProof/>
            <w:webHidden/>
          </w:rPr>
          <w:tab/>
        </w:r>
        <w:r w:rsidR="00147B53">
          <w:rPr>
            <w:noProof/>
            <w:webHidden/>
          </w:rPr>
          <w:fldChar w:fldCharType="begin"/>
        </w:r>
        <w:r w:rsidR="00147B53">
          <w:rPr>
            <w:noProof/>
            <w:webHidden/>
          </w:rPr>
          <w:instrText xml:space="preserve"> PAGEREF _Toc374451220 \h </w:instrText>
        </w:r>
        <w:r w:rsidR="00147B53">
          <w:rPr>
            <w:noProof/>
            <w:webHidden/>
          </w:rPr>
        </w:r>
        <w:r w:rsidR="00147B53">
          <w:rPr>
            <w:noProof/>
            <w:webHidden/>
          </w:rPr>
          <w:fldChar w:fldCharType="separate"/>
        </w:r>
        <w:r>
          <w:rPr>
            <w:noProof/>
            <w:webHidden/>
          </w:rPr>
          <w:t>13</w:t>
        </w:r>
        <w:r w:rsidR="00147B53">
          <w:rPr>
            <w:noProof/>
            <w:webHidden/>
          </w:rPr>
          <w:fldChar w:fldCharType="end"/>
        </w:r>
      </w:hyperlink>
    </w:p>
    <w:p w:rsidR="00147B53" w:rsidRDefault="00FC22F0">
      <w:pPr>
        <w:pStyle w:val="TOC3"/>
        <w:tabs>
          <w:tab w:val="left" w:pos="1100"/>
          <w:tab w:val="right" w:leader="dot" w:pos="9060"/>
        </w:tabs>
        <w:rPr>
          <w:rFonts w:eastAsiaTheme="minorEastAsia" w:cstheme="minorBidi"/>
          <w:i w:val="0"/>
          <w:iCs w:val="0"/>
          <w:noProof/>
          <w:sz w:val="22"/>
          <w:szCs w:val="22"/>
          <w:lang w:eastAsia="en-GB" w:bidi="ar-SA"/>
        </w:rPr>
      </w:pPr>
      <w:hyperlink w:anchor="_Toc374451221" w:history="1">
        <w:r w:rsidR="00147B53" w:rsidRPr="00010298">
          <w:rPr>
            <w:rStyle w:val="Hyperlink"/>
            <w:noProof/>
          </w:rPr>
          <w:t>4.1.1</w:t>
        </w:r>
        <w:r w:rsidR="00147B53">
          <w:rPr>
            <w:rFonts w:eastAsiaTheme="minorEastAsia" w:cstheme="minorBidi"/>
            <w:i w:val="0"/>
            <w:iCs w:val="0"/>
            <w:noProof/>
            <w:sz w:val="22"/>
            <w:szCs w:val="22"/>
            <w:lang w:eastAsia="en-GB" w:bidi="ar-SA"/>
          </w:rPr>
          <w:tab/>
        </w:r>
        <w:r w:rsidR="00147B53" w:rsidRPr="00010298">
          <w:rPr>
            <w:rStyle w:val="Hyperlink"/>
            <w:noProof/>
          </w:rPr>
          <w:t>Cost/benefit analysis</w:t>
        </w:r>
        <w:r w:rsidR="00147B53">
          <w:rPr>
            <w:noProof/>
            <w:webHidden/>
          </w:rPr>
          <w:tab/>
        </w:r>
        <w:r w:rsidR="00147B53">
          <w:rPr>
            <w:noProof/>
            <w:webHidden/>
          </w:rPr>
          <w:fldChar w:fldCharType="begin"/>
        </w:r>
        <w:r w:rsidR="00147B53">
          <w:rPr>
            <w:noProof/>
            <w:webHidden/>
          </w:rPr>
          <w:instrText xml:space="preserve"> PAGEREF _Toc374451221 \h </w:instrText>
        </w:r>
        <w:r w:rsidR="00147B53">
          <w:rPr>
            <w:noProof/>
            <w:webHidden/>
          </w:rPr>
        </w:r>
        <w:r w:rsidR="00147B53">
          <w:rPr>
            <w:noProof/>
            <w:webHidden/>
          </w:rPr>
          <w:fldChar w:fldCharType="separate"/>
        </w:r>
        <w:r>
          <w:rPr>
            <w:noProof/>
            <w:webHidden/>
          </w:rPr>
          <w:t>13</w:t>
        </w:r>
        <w:r w:rsidR="00147B53">
          <w:rPr>
            <w:noProof/>
            <w:webHidden/>
          </w:rPr>
          <w:fldChar w:fldCharType="end"/>
        </w:r>
      </w:hyperlink>
    </w:p>
    <w:p w:rsidR="00147B53" w:rsidRDefault="00FC22F0">
      <w:pPr>
        <w:pStyle w:val="TOC3"/>
        <w:tabs>
          <w:tab w:val="left" w:pos="1100"/>
          <w:tab w:val="right" w:leader="dot" w:pos="9060"/>
        </w:tabs>
        <w:rPr>
          <w:rFonts w:eastAsiaTheme="minorEastAsia" w:cstheme="minorBidi"/>
          <w:i w:val="0"/>
          <w:iCs w:val="0"/>
          <w:noProof/>
          <w:sz w:val="22"/>
          <w:szCs w:val="22"/>
          <w:lang w:eastAsia="en-GB" w:bidi="ar-SA"/>
        </w:rPr>
      </w:pPr>
      <w:hyperlink w:anchor="_Toc374451222" w:history="1">
        <w:r w:rsidR="00147B53" w:rsidRPr="00010298">
          <w:rPr>
            <w:rStyle w:val="Hyperlink"/>
            <w:noProof/>
          </w:rPr>
          <w:t>4.1.2</w:t>
        </w:r>
        <w:r w:rsidR="00147B53">
          <w:rPr>
            <w:rFonts w:eastAsiaTheme="minorEastAsia" w:cstheme="minorBidi"/>
            <w:i w:val="0"/>
            <w:iCs w:val="0"/>
            <w:noProof/>
            <w:sz w:val="22"/>
            <w:szCs w:val="22"/>
            <w:lang w:eastAsia="en-GB" w:bidi="ar-SA"/>
          </w:rPr>
          <w:tab/>
        </w:r>
        <w:r w:rsidR="00147B53" w:rsidRPr="00010298">
          <w:rPr>
            <w:rStyle w:val="Hyperlink"/>
            <w:noProof/>
          </w:rPr>
          <w:t>Other measures</w:t>
        </w:r>
        <w:r w:rsidR="00147B53">
          <w:rPr>
            <w:noProof/>
            <w:webHidden/>
          </w:rPr>
          <w:tab/>
        </w:r>
        <w:r w:rsidR="00147B53">
          <w:rPr>
            <w:noProof/>
            <w:webHidden/>
          </w:rPr>
          <w:fldChar w:fldCharType="begin"/>
        </w:r>
        <w:r w:rsidR="00147B53">
          <w:rPr>
            <w:noProof/>
            <w:webHidden/>
          </w:rPr>
          <w:instrText xml:space="preserve"> PAGEREF _Toc374451222 \h </w:instrText>
        </w:r>
        <w:r w:rsidR="00147B53">
          <w:rPr>
            <w:noProof/>
            <w:webHidden/>
          </w:rPr>
        </w:r>
        <w:r w:rsidR="00147B53">
          <w:rPr>
            <w:noProof/>
            <w:webHidden/>
          </w:rPr>
          <w:fldChar w:fldCharType="separate"/>
        </w:r>
        <w:r>
          <w:rPr>
            <w:noProof/>
            <w:webHidden/>
          </w:rPr>
          <w:t>14</w:t>
        </w:r>
        <w:r w:rsidR="00147B53">
          <w:rPr>
            <w:noProof/>
            <w:webHidden/>
          </w:rPr>
          <w:fldChar w:fldCharType="end"/>
        </w:r>
      </w:hyperlink>
    </w:p>
    <w:p w:rsidR="00147B53" w:rsidRDefault="00FC22F0">
      <w:pPr>
        <w:pStyle w:val="TOC3"/>
        <w:tabs>
          <w:tab w:val="left" w:pos="1100"/>
          <w:tab w:val="right" w:leader="dot" w:pos="9060"/>
        </w:tabs>
        <w:rPr>
          <w:rFonts w:eastAsiaTheme="minorEastAsia" w:cstheme="minorBidi"/>
          <w:i w:val="0"/>
          <w:iCs w:val="0"/>
          <w:noProof/>
          <w:sz w:val="22"/>
          <w:szCs w:val="22"/>
          <w:lang w:eastAsia="en-GB" w:bidi="ar-SA"/>
        </w:rPr>
      </w:pPr>
      <w:hyperlink w:anchor="_Toc374451223" w:history="1">
        <w:r w:rsidR="00147B53" w:rsidRPr="00010298">
          <w:rPr>
            <w:rStyle w:val="Hyperlink"/>
            <w:noProof/>
          </w:rPr>
          <w:t>4.1.3</w:t>
        </w:r>
        <w:r w:rsidR="00147B53">
          <w:rPr>
            <w:rFonts w:eastAsiaTheme="minorEastAsia" w:cstheme="minorBidi"/>
            <w:i w:val="0"/>
            <w:iCs w:val="0"/>
            <w:noProof/>
            <w:sz w:val="22"/>
            <w:szCs w:val="22"/>
            <w:lang w:eastAsia="en-GB" w:bidi="ar-SA"/>
          </w:rPr>
          <w:tab/>
        </w:r>
        <w:r w:rsidR="00147B53" w:rsidRPr="00010298">
          <w:rPr>
            <w:rStyle w:val="Hyperlink"/>
            <w:noProof/>
          </w:rPr>
          <w:t>Relevant New Zealand standards</w:t>
        </w:r>
        <w:r w:rsidR="00147B53">
          <w:rPr>
            <w:noProof/>
            <w:webHidden/>
          </w:rPr>
          <w:tab/>
        </w:r>
        <w:r w:rsidR="00147B53">
          <w:rPr>
            <w:noProof/>
            <w:webHidden/>
          </w:rPr>
          <w:fldChar w:fldCharType="begin"/>
        </w:r>
        <w:r w:rsidR="00147B53">
          <w:rPr>
            <w:noProof/>
            <w:webHidden/>
          </w:rPr>
          <w:instrText xml:space="preserve"> PAGEREF _Toc374451223 \h </w:instrText>
        </w:r>
        <w:r w:rsidR="00147B53">
          <w:rPr>
            <w:noProof/>
            <w:webHidden/>
          </w:rPr>
        </w:r>
        <w:r w:rsidR="00147B53">
          <w:rPr>
            <w:noProof/>
            <w:webHidden/>
          </w:rPr>
          <w:fldChar w:fldCharType="separate"/>
        </w:r>
        <w:r>
          <w:rPr>
            <w:noProof/>
            <w:webHidden/>
          </w:rPr>
          <w:t>14</w:t>
        </w:r>
        <w:r w:rsidR="00147B53">
          <w:rPr>
            <w:noProof/>
            <w:webHidden/>
          </w:rPr>
          <w:fldChar w:fldCharType="end"/>
        </w:r>
      </w:hyperlink>
    </w:p>
    <w:p w:rsidR="00147B53" w:rsidRDefault="00FC22F0">
      <w:pPr>
        <w:pStyle w:val="TOC3"/>
        <w:tabs>
          <w:tab w:val="left" w:pos="1100"/>
          <w:tab w:val="right" w:leader="dot" w:pos="9060"/>
        </w:tabs>
        <w:rPr>
          <w:rFonts w:eastAsiaTheme="minorEastAsia" w:cstheme="minorBidi"/>
          <w:i w:val="0"/>
          <w:iCs w:val="0"/>
          <w:noProof/>
          <w:sz w:val="22"/>
          <w:szCs w:val="22"/>
          <w:lang w:eastAsia="en-GB" w:bidi="ar-SA"/>
        </w:rPr>
      </w:pPr>
      <w:hyperlink w:anchor="_Toc374451224" w:history="1">
        <w:r w:rsidR="00147B53" w:rsidRPr="00010298">
          <w:rPr>
            <w:rStyle w:val="Hyperlink"/>
            <w:noProof/>
          </w:rPr>
          <w:t>4.1.4</w:t>
        </w:r>
        <w:r w:rsidR="00147B53">
          <w:rPr>
            <w:rFonts w:eastAsiaTheme="minorEastAsia" w:cstheme="minorBidi"/>
            <w:i w:val="0"/>
            <w:iCs w:val="0"/>
            <w:noProof/>
            <w:sz w:val="22"/>
            <w:szCs w:val="22"/>
            <w:lang w:eastAsia="en-GB" w:bidi="ar-SA"/>
          </w:rPr>
          <w:tab/>
        </w:r>
        <w:r w:rsidR="00147B53" w:rsidRPr="00010298">
          <w:rPr>
            <w:rStyle w:val="Hyperlink"/>
            <w:noProof/>
          </w:rPr>
          <w:t>Any other relevant matters</w:t>
        </w:r>
        <w:r w:rsidR="00147B53">
          <w:rPr>
            <w:noProof/>
            <w:webHidden/>
          </w:rPr>
          <w:tab/>
        </w:r>
        <w:r w:rsidR="00147B53">
          <w:rPr>
            <w:noProof/>
            <w:webHidden/>
          </w:rPr>
          <w:fldChar w:fldCharType="begin"/>
        </w:r>
        <w:r w:rsidR="00147B53">
          <w:rPr>
            <w:noProof/>
            <w:webHidden/>
          </w:rPr>
          <w:instrText xml:space="preserve"> PAGEREF _Toc374451224 \h </w:instrText>
        </w:r>
        <w:r w:rsidR="00147B53">
          <w:rPr>
            <w:noProof/>
            <w:webHidden/>
          </w:rPr>
        </w:r>
        <w:r w:rsidR="00147B53">
          <w:rPr>
            <w:noProof/>
            <w:webHidden/>
          </w:rPr>
          <w:fldChar w:fldCharType="separate"/>
        </w:r>
        <w:r>
          <w:rPr>
            <w:noProof/>
            <w:webHidden/>
          </w:rPr>
          <w:t>14</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25" w:history="1">
        <w:r w:rsidR="00147B53" w:rsidRPr="00010298">
          <w:rPr>
            <w:rStyle w:val="Hyperlink"/>
            <w:noProof/>
          </w:rPr>
          <w:t>4.2</w:t>
        </w:r>
        <w:r w:rsidR="00147B53">
          <w:rPr>
            <w:rFonts w:eastAsiaTheme="minorEastAsia" w:cstheme="minorBidi"/>
            <w:smallCaps w:val="0"/>
            <w:noProof/>
            <w:sz w:val="22"/>
            <w:szCs w:val="22"/>
            <w:lang w:eastAsia="en-GB" w:bidi="ar-SA"/>
          </w:rPr>
          <w:tab/>
        </w:r>
        <w:r w:rsidR="00147B53" w:rsidRPr="00010298">
          <w:rPr>
            <w:rStyle w:val="Hyperlink"/>
            <w:noProof/>
          </w:rPr>
          <w:t>Addressing FSANZ’s objectives for standards setting</w:t>
        </w:r>
        <w:r w:rsidR="00147B53">
          <w:rPr>
            <w:noProof/>
            <w:webHidden/>
          </w:rPr>
          <w:tab/>
        </w:r>
        <w:r w:rsidR="00147B53">
          <w:rPr>
            <w:noProof/>
            <w:webHidden/>
          </w:rPr>
          <w:fldChar w:fldCharType="begin"/>
        </w:r>
        <w:r w:rsidR="00147B53">
          <w:rPr>
            <w:noProof/>
            <w:webHidden/>
          </w:rPr>
          <w:instrText xml:space="preserve"> PAGEREF _Toc374451225 \h </w:instrText>
        </w:r>
        <w:r w:rsidR="00147B53">
          <w:rPr>
            <w:noProof/>
            <w:webHidden/>
          </w:rPr>
        </w:r>
        <w:r w:rsidR="00147B53">
          <w:rPr>
            <w:noProof/>
            <w:webHidden/>
          </w:rPr>
          <w:fldChar w:fldCharType="separate"/>
        </w:r>
        <w:r>
          <w:rPr>
            <w:noProof/>
            <w:webHidden/>
          </w:rPr>
          <w:t>15</w:t>
        </w:r>
        <w:r w:rsidR="00147B53">
          <w:rPr>
            <w:noProof/>
            <w:webHidden/>
          </w:rPr>
          <w:fldChar w:fldCharType="end"/>
        </w:r>
      </w:hyperlink>
    </w:p>
    <w:p w:rsidR="00147B53" w:rsidRDefault="00FC22F0">
      <w:pPr>
        <w:pStyle w:val="TOC3"/>
        <w:tabs>
          <w:tab w:val="left" w:pos="1100"/>
          <w:tab w:val="right" w:leader="dot" w:pos="9060"/>
        </w:tabs>
        <w:rPr>
          <w:rFonts w:eastAsiaTheme="minorEastAsia" w:cstheme="minorBidi"/>
          <w:i w:val="0"/>
          <w:iCs w:val="0"/>
          <w:noProof/>
          <w:sz w:val="22"/>
          <w:szCs w:val="22"/>
          <w:lang w:eastAsia="en-GB" w:bidi="ar-SA"/>
        </w:rPr>
      </w:pPr>
      <w:hyperlink w:anchor="_Toc374451226" w:history="1">
        <w:r w:rsidR="00147B53" w:rsidRPr="00010298">
          <w:rPr>
            <w:rStyle w:val="Hyperlink"/>
            <w:noProof/>
          </w:rPr>
          <w:t>4.2.1</w:t>
        </w:r>
        <w:r w:rsidR="00147B53">
          <w:rPr>
            <w:rFonts w:eastAsiaTheme="minorEastAsia" w:cstheme="minorBidi"/>
            <w:i w:val="0"/>
            <w:iCs w:val="0"/>
            <w:noProof/>
            <w:sz w:val="22"/>
            <w:szCs w:val="22"/>
            <w:lang w:eastAsia="en-GB" w:bidi="ar-SA"/>
          </w:rPr>
          <w:tab/>
        </w:r>
        <w:r w:rsidR="00147B53" w:rsidRPr="00010298">
          <w:rPr>
            <w:rStyle w:val="Hyperlink"/>
            <w:noProof/>
          </w:rPr>
          <w:t xml:space="preserve"> Protection of public health and safety</w:t>
        </w:r>
        <w:r w:rsidR="00147B53">
          <w:rPr>
            <w:noProof/>
            <w:webHidden/>
          </w:rPr>
          <w:tab/>
        </w:r>
        <w:r w:rsidR="00147B53">
          <w:rPr>
            <w:noProof/>
            <w:webHidden/>
          </w:rPr>
          <w:fldChar w:fldCharType="begin"/>
        </w:r>
        <w:r w:rsidR="00147B53">
          <w:rPr>
            <w:noProof/>
            <w:webHidden/>
          </w:rPr>
          <w:instrText xml:space="preserve"> PAGEREF _Toc374451226 \h </w:instrText>
        </w:r>
        <w:r w:rsidR="00147B53">
          <w:rPr>
            <w:noProof/>
            <w:webHidden/>
          </w:rPr>
        </w:r>
        <w:r w:rsidR="00147B53">
          <w:rPr>
            <w:noProof/>
            <w:webHidden/>
          </w:rPr>
          <w:fldChar w:fldCharType="separate"/>
        </w:r>
        <w:r>
          <w:rPr>
            <w:noProof/>
            <w:webHidden/>
          </w:rPr>
          <w:t>15</w:t>
        </w:r>
        <w:r w:rsidR="00147B53">
          <w:rPr>
            <w:noProof/>
            <w:webHidden/>
          </w:rPr>
          <w:fldChar w:fldCharType="end"/>
        </w:r>
      </w:hyperlink>
    </w:p>
    <w:p w:rsidR="00147B53" w:rsidRDefault="00FC22F0">
      <w:pPr>
        <w:pStyle w:val="TOC3"/>
        <w:tabs>
          <w:tab w:val="left" w:pos="1100"/>
          <w:tab w:val="right" w:leader="dot" w:pos="9060"/>
        </w:tabs>
        <w:rPr>
          <w:rFonts w:eastAsiaTheme="minorEastAsia" w:cstheme="minorBidi"/>
          <w:i w:val="0"/>
          <w:iCs w:val="0"/>
          <w:noProof/>
          <w:sz w:val="22"/>
          <w:szCs w:val="22"/>
          <w:lang w:eastAsia="en-GB" w:bidi="ar-SA"/>
        </w:rPr>
      </w:pPr>
      <w:hyperlink w:anchor="_Toc374451227" w:history="1">
        <w:r w:rsidR="00147B53" w:rsidRPr="00010298">
          <w:rPr>
            <w:rStyle w:val="Hyperlink"/>
            <w:noProof/>
          </w:rPr>
          <w:t>4.2.2</w:t>
        </w:r>
        <w:r w:rsidR="00147B53">
          <w:rPr>
            <w:rFonts w:eastAsiaTheme="minorEastAsia" w:cstheme="minorBidi"/>
            <w:i w:val="0"/>
            <w:iCs w:val="0"/>
            <w:noProof/>
            <w:sz w:val="22"/>
            <w:szCs w:val="22"/>
            <w:lang w:eastAsia="en-GB" w:bidi="ar-SA"/>
          </w:rPr>
          <w:tab/>
        </w:r>
        <w:r w:rsidR="00147B53" w:rsidRPr="00010298">
          <w:rPr>
            <w:rStyle w:val="Hyperlink"/>
            <w:noProof/>
          </w:rPr>
          <w:t>The provision of adequate information relating to food to enable consumers to make informed choices</w:t>
        </w:r>
        <w:r w:rsidR="00147B53">
          <w:rPr>
            <w:noProof/>
            <w:webHidden/>
          </w:rPr>
          <w:tab/>
        </w:r>
        <w:r w:rsidR="00147B53">
          <w:rPr>
            <w:noProof/>
            <w:webHidden/>
          </w:rPr>
          <w:tab/>
        </w:r>
        <w:r w:rsidR="00147B53">
          <w:rPr>
            <w:noProof/>
            <w:webHidden/>
          </w:rPr>
          <w:fldChar w:fldCharType="begin"/>
        </w:r>
        <w:r w:rsidR="00147B53">
          <w:rPr>
            <w:noProof/>
            <w:webHidden/>
          </w:rPr>
          <w:instrText xml:space="preserve"> PAGEREF _Toc374451227 \h </w:instrText>
        </w:r>
        <w:r w:rsidR="00147B53">
          <w:rPr>
            <w:noProof/>
            <w:webHidden/>
          </w:rPr>
        </w:r>
        <w:r w:rsidR="00147B53">
          <w:rPr>
            <w:noProof/>
            <w:webHidden/>
          </w:rPr>
          <w:fldChar w:fldCharType="separate"/>
        </w:r>
        <w:r>
          <w:rPr>
            <w:noProof/>
            <w:webHidden/>
          </w:rPr>
          <w:t>16</w:t>
        </w:r>
        <w:r w:rsidR="00147B53">
          <w:rPr>
            <w:noProof/>
            <w:webHidden/>
          </w:rPr>
          <w:fldChar w:fldCharType="end"/>
        </w:r>
      </w:hyperlink>
    </w:p>
    <w:p w:rsidR="00147B53" w:rsidRDefault="00FC22F0">
      <w:pPr>
        <w:pStyle w:val="TOC3"/>
        <w:tabs>
          <w:tab w:val="left" w:pos="1100"/>
          <w:tab w:val="right" w:leader="dot" w:pos="9060"/>
        </w:tabs>
        <w:rPr>
          <w:rFonts w:eastAsiaTheme="minorEastAsia" w:cstheme="minorBidi"/>
          <w:i w:val="0"/>
          <w:iCs w:val="0"/>
          <w:noProof/>
          <w:sz w:val="22"/>
          <w:szCs w:val="22"/>
          <w:lang w:eastAsia="en-GB" w:bidi="ar-SA"/>
        </w:rPr>
      </w:pPr>
      <w:hyperlink w:anchor="_Toc374451228" w:history="1">
        <w:r w:rsidR="00147B53" w:rsidRPr="00010298">
          <w:rPr>
            <w:rStyle w:val="Hyperlink"/>
            <w:noProof/>
          </w:rPr>
          <w:t>4.2.3</w:t>
        </w:r>
        <w:r w:rsidR="00147B53">
          <w:rPr>
            <w:rFonts w:eastAsiaTheme="minorEastAsia" w:cstheme="minorBidi"/>
            <w:i w:val="0"/>
            <w:iCs w:val="0"/>
            <w:noProof/>
            <w:sz w:val="22"/>
            <w:szCs w:val="22"/>
            <w:lang w:eastAsia="en-GB" w:bidi="ar-SA"/>
          </w:rPr>
          <w:tab/>
        </w:r>
        <w:r w:rsidR="00147B53" w:rsidRPr="00010298">
          <w:rPr>
            <w:rStyle w:val="Hyperlink"/>
            <w:noProof/>
          </w:rPr>
          <w:t>The prevention of misleading or deceptive conduct</w:t>
        </w:r>
        <w:r w:rsidR="00147B53">
          <w:rPr>
            <w:noProof/>
            <w:webHidden/>
          </w:rPr>
          <w:tab/>
        </w:r>
        <w:r w:rsidR="00147B53">
          <w:rPr>
            <w:noProof/>
            <w:webHidden/>
          </w:rPr>
          <w:fldChar w:fldCharType="begin"/>
        </w:r>
        <w:r w:rsidR="00147B53">
          <w:rPr>
            <w:noProof/>
            <w:webHidden/>
          </w:rPr>
          <w:instrText xml:space="preserve"> PAGEREF _Toc374451228 \h </w:instrText>
        </w:r>
        <w:r w:rsidR="00147B53">
          <w:rPr>
            <w:noProof/>
            <w:webHidden/>
          </w:rPr>
        </w:r>
        <w:r w:rsidR="00147B53">
          <w:rPr>
            <w:noProof/>
            <w:webHidden/>
          </w:rPr>
          <w:fldChar w:fldCharType="separate"/>
        </w:r>
        <w:r>
          <w:rPr>
            <w:noProof/>
            <w:webHidden/>
          </w:rPr>
          <w:t>16</w:t>
        </w:r>
        <w:r w:rsidR="00147B53">
          <w:rPr>
            <w:noProof/>
            <w:webHidden/>
          </w:rPr>
          <w:fldChar w:fldCharType="end"/>
        </w:r>
      </w:hyperlink>
    </w:p>
    <w:p w:rsidR="00147B53" w:rsidRDefault="00FC22F0">
      <w:pPr>
        <w:pStyle w:val="TOC2"/>
        <w:tabs>
          <w:tab w:val="left" w:pos="880"/>
          <w:tab w:val="right" w:leader="dot" w:pos="9060"/>
        </w:tabs>
        <w:rPr>
          <w:rFonts w:eastAsiaTheme="minorEastAsia" w:cstheme="minorBidi"/>
          <w:smallCaps w:val="0"/>
          <w:noProof/>
          <w:sz w:val="22"/>
          <w:szCs w:val="22"/>
          <w:lang w:eastAsia="en-GB" w:bidi="ar-SA"/>
        </w:rPr>
      </w:pPr>
      <w:hyperlink w:anchor="_Toc374451229" w:history="1">
        <w:r w:rsidR="00147B53" w:rsidRPr="00010298">
          <w:rPr>
            <w:rStyle w:val="Hyperlink"/>
            <w:noProof/>
          </w:rPr>
          <w:t>4.3</w:t>
        </w:r>
        <w:r w:rsidR="00147B53">
          <w:rPr>
            <w:rFonts w:eastAsiaTheme="minorEastAsia" w:cstheme="minorBidi"/>
            <w:smallCaps w:val="0"/>
            <w:noProof/>
            <w:sz w:val="22"/>
            <w:szCs w:val="22"/>
            <w:lang w:eastAsia="en-GB" w:bidi="ar-SA"/>
          </w:rPr>
          <w:tab/>
        </w:r>
        <w:r w:rsidR="00147B53" w:rsidRPr="00010298">
          <w:rPr>
            <w:rStyle w:val="Hyperlink"/>
            <w:noProof/>
          </w:rPr>
          <w:t>Implementation</w:t>
        </w:r>
        <w:r w:rsidR="00147B53">
          <w:rPr>
            <w:noProof/>
            <w:webHidden/>
          </w:rPr>
          <w:tab/>
        </w:r>
        <w:r w:rsidR="00147B53">
          <w:rPr>
            <w:noProof/>
            <w:webHidden/>
          </w:rPr>
          <w:fldChar w:fldCharType="begin"/>
        </w:r>
        <w:r w:rsidR="00147B53">
          <w:rPr>
            <w:noProof/>
            <w:webHidden/>
          </w:rPr>
          <w:instrText xml:space="preserve"> PAGEREF _Toc374451229 \h </w:instrText>
        </w:r>
        <w:r w:rsidR="00147B53">
          <w:rPr>
            <w:noProof/>
            <w:webHidden/>
          </w:rPr>
        </w:r>
        <w:r w:rsidR="00147B53">
          <w:rPr>
            <w:noProof/>
            <w:webHidden/>
          </w:rPr>
          <w:fldChar w:fldCharType="separate"/>
        </w:r>
        <w:r>
          <w:rPr>
            <w:noProof/>
            <w:webHidden/>
          </w:rPr>
          <w:t>17</w:t>
        </w:r>
        <w:r w:rsidR="00147B53">
          <w:rPr>
            <w:noProof/>
            <w:webHidden/>
          </w:rPr>
          <w:fldChar w:fldCharType="end"/>
        </w:r>
      </w:hyperlink>
    </w:p>
    <w:p w:rsidR="00147B53" w:rsidRDefault="00FC22F0">
      <w:pPr>
        <w:pStyle w:val="TOC1"/>
        <w:tabs>
          <w:tab w:val="left" w:pos="440"/>
          <w:tab w:val="right" w:leader="dot" w:pos="9060"/>
        </w:tabs>
        <w:rPr>
          <w:rFonts w:eastAsiaTheme="minorEastAsia" w:cstheme="minorBidi"/>
          <w:b w:val="0"/>
          <w:bCs w:val="0"/>
          <w:caps w:val="0"/>
          <w:noProof/>
          <w:sz w:val="22"/>
          <w:szCs w:val="22"/>
          <w:lang w:eastAsia="en-GB" w:bidi="ar-SA"/>
        </w:rPr>
      </w:pPr>
      <w:hyperlink w:anchor="_Toc374451230" w:history="1">
        <w:r w:rsidR="00147B53" w:rsidRPr="00010298">
          <w:rPr>
            <w:rStyle w:val="Hyperlink"/>
            <w:noProof/>
          </w:rPr>
          <w:t>5.</w:t>
        </w:r>
        <w:r w:rsidR="00147B53">
          <w:rPr>
            <w:rFonts w:eastAsiaTheme="minorEastAsia" w:cstheme="minorBidi"/>
            <w:b w:val="0"/>
            <w:bCs w:val="0"/>
            <w:caps w:val="0"/>
            <w:noProof/>
            <w:sz w:val="22"/>
            <w:szCs w:val="22"/>
            <w:lang w:eastAsia="en-GB" w:bidi="ar-SA"/>
          </w:rPr>
          <w:tab/>
        </w:r>
        <w:r w:rsidR="00147B53" w:rsidRPr="00010298">
          <w:rPr>
            <w:rStyle w:val="Hyperlink"/>
            <w:noProof/>
          </w:rPr>
          <w:t>References</w:t>
        </w:r>
        <w:r w:rsidR="00147B53">
          <w:rPr>
            <w:noProof/>
            <w:webHidden/>
          </w:rPr>
          <w:tab/>
        </w:r>
        <w:r w:rsidR="00147B53">
          <w:rPr>
            <w:noProof/>
            <w:webHidden/>
          </w:rPr>
          <w:fldChar w:fldCharType="begin"/>
        </w:r>
        <w:r w:rsidR="00147B53">
          <w:rPr>
            <w:noProof/>
            <w:webHidden/>
          </w:rPr>
          <w:instrText xml:space="preserve"> PAGEREF _Toc374451230 \h </w:instrText>
        </w:r>
        <w:r w:rsidR="00147B53">
          <w:rPr>
            <w:noProof/>
            <w:webHidden/>
          </w:rPr>
        </w:r>
        <w:r w:rsidR="00147B53">
          <w:rPr>
            <w:noProof/>
            <w:webHidden/>
          </w:rPr>
          <w:fldChar w:fldCharType="separate"/>
        </w:r>
        <w:r>
          <w:rPr>
            <w:noProof/>
            <w:webHidden/>
          </w:rPr>
          <w:t>17</w:t>
        </w:r>
        <w:r w:rsidR="00147B53">
          <w:rPr>
            <w:noProof/>
            <w:webHidden/>
          </w:rPr>
          <w:fldChar w:fldCharType="end"/>
        </w:r>
      </w:hyperlink>
    </w:p>
    <w:p w:rsidR="00147B53" w:rsidRDefault="00FC22F0">
      <w:pPr>
        <w:pStyle w:val="TOC2"/>
        <w:tabs>
          <w:tab w:val="right" w:leader="dot" w:pos="9060"/>
        </w:tabs>
        <w:rPr>
          <w:rFonts w:eastAsiaTheme="minorEastAsia" w:cstheme="minorBidi"/>
          <w:smallCaps w:val="0"/>
          <w:noProof/>
          <w:sz w:val="22"/>
          <w:szCs w:val="22"/>
          <w:lang w:eastAsia="en-GB" w:bidi="ar-SA"/>
        </w:rPr>
      </w:pPr>
      <w:hyperlink w:anchor="_Toc374451231" w:history="1">
        <w:r w:rsidR="00147B53" w:rsidRPr="00010298">
          <w:rPr>
            <w:rStyle w:val="Hyperlink"/>
            <w:noProof/>
          </w:rPr>
          <w:t xml:space="preserve">Attachment A – Approved draft variation to the </w:t>
        </w:r>
        <w:r w:rsidR="00147B53" w:rsidRPr="00010298">
          <w:rPr>
            <w:rStyle w:val="Hyperlink"/>
            <w:i/>
            <w:noProof/>
          </w:rPr>
          <w:t>Australia New Zealand Food Standards Code</w:t>
        </w:r>
        <w:r w:rsidR="00147B53">
          <w:rPr>
            <w:noProof/>
            <w:webHidden/>
          </w:rPr>
          <w:tab/>
        </w:r>
        <w:r w:rsidR="00147B53">
          <w:rPr>
            <w:noProof/>
            <w:webHidden/>
          </w:rPr>
          <w:fldChar w:fldCharType="begin"/>
        </w:r>
        <w:r w:rsidR="00147B53">
          <w:rPr>
            <w:noProof/>
            <w:webHidden/>
          </w:rPr>
          <w:instrText xml:space="preserve"> PAGEREF _Toc374451231 \h </w:instrText>
        </w:r>
        <w:r w:rsidR="00147B53">
          <w:rPr>
            <w:noProof/>
            <w:webHidden/>
          </w:rPr>
        </w:r>
        <w:r w:rsidR="00147B53">
          <w:rPr>
            <w:noProof/>
            <w:webHidden/>
          </w:rPr>
          <w:fldChar w:fldCharType="separate"/>
        </w:r>
        <w:r>
          <w:rPr>
            <w:noProof/>
            <w:webHidden/>
          </w:rPr>
          <w:t>18</w:t>
        </w:r>
        <w:r w:rsidR="00147B53">
          <w:rPr>
            <w:noProof/>
            <w:webHidden/>
          </w:rPr>
          <w:fldChar w:fldCharType="end"/>
        </w:r>
      </w:hyperlink>
    </w:p>
    <w:p w:rsidR="00147B53" w:rsidRDefault="00FC22F0">
      <w:pPr>
        <w:pStyle w:val="TOC2"/>
        <w:tabs>
          <w:tab w:val="right" w:leader="dot" w:pos="9060"/>
        </w:tabs>
        <w:rPr>
          <w:rFonts w:eastAsiaTheme="minorEastAsia" w:cstheme="minorBidi"/>
          <w:smallCaps w:val="0"/>
          <w:noProof/>
          <w:sz w:val="22"/>
          <w:szCs w:val="22"/>
          <w:lang w:eastAsia="en-GB" w:bidi="ar-SA"/>
        </w:rPr>
      </w:pPr>
      <w:hyperlink w:anchor="_Toc374451232" w:history="1">
        <w:r w:rsidR="00147B53" w:rsidRPr="00010298">
          <w:rPr>
            <w:rStyle w:val="Hyperlink"/>
            <w:noProof/>
          </w:rPr>
          <w:t>Attachment B – Explanatory Statement</w:t>
        </w:r>
        <w:r w:rsidR="00147B53">
          <w:rPr>
            <w:noProof/>
            <w:webHidden/>
          </w:rPr>
          <w:tab/>
        </w:r>
        <w:r w:rsidR="00147B53">
          <w:rPr>
            <w:noProof/>
            <w:webHidden/>
          </w:rPr>
          <w:fldChar w:fldCharType="begin"/>
        </w:r>
        <w:r w:rsidR="00147B53">
          <w:rPr>
            <w:noProof/>
            <w:webHidden/>
          </w:rPr>
          <w:instrText xml:space="preserve"> PAGEREF _Toc374451232 \h </w:instrText>
        </w:r>
        <w:r w:rsidR="00147B53">
          <w:rPr>
            <w:noProof/>
            <w:webHidden/>
          </w:rPr>
        </w:r>
        <w:r w:rsidR="00147B53">
          <w:rPr>
            <w:noProof/>
            <w:webHidden/>
          </w:rPr>
          <w:fldChar w:fldCharType="separate"/>
        </w:r>
        <w:r>
          <w:rPr>
            <w:noProof/>
            <w:webHidden/>
          </w:rPr>
          <w:t>20</w:t>
        </w:r>
        <w:r w:rsidR="00147B53">
          <w:rPr>
            <w:noProof/>
            <w:webHidden/>
          </w:rPr>
          <w:fldChar w:fldCharType="end"/>
        </w:r>
      </w:hyperlink>
    </w:p>
    <w:p w:rsidR="0012388D" w:rsidRPr="00400169" w:rsidRDefault="00B55714" w:rsidP="00C91C02">
      <w:r w:rsidRPr="00147B53">
        <w:rPr>
          <w:rFonts w:cs="Arial"/>
          <w:sz w:val="20"/>
          <w:szCs w:val="20"/>
        </w:rPr>
        <w:fldChar w:fldCharType="end"/>
      </w:r>
    </w:p>
    <w:p w:rsidR="007F7BF7" w:rsidRPr="00400169" w:rsidRDefault="007F7BF7" w:rsidP="00CA5734"/>
    <w:p w:rsidR="00A671E6" w:rsidRPr="00400169" w:rsidRDefault="00A671E6" w:rsidP="00A671E6">
      <w:pPr>
        <w:rPr>
          <w:b/>
          <w:bCs/>
        </w:rPr>
      </w:pPr>
      <w:r w:rsidRPr="00400169">
        <w:rPr>
          <w:b/>
          <w:bCs/>
        </w:rPr>
        <w:t>S</w:t>
      </w:r>
      <w:r w:rsidR="007C22CB" w:rsidRPr="00400169">
        <w:rPr>
          <w:b/>
          <w:bCs/>
        </w:rPr>
        <w:t>upporting</w:t>
      </w:r>
      <w:r w:rsidR="003E6806">
        <w:rPr>
          <w:b/>
          <w:bCs/>
        </w:rPr>
        <w:t xml:space="preserve"> document</w:t>
      </w:r>
      <w:r w:rsidRPr="00400169">
        <w:rPr>
          <w:b/>
          <w:bCs/>
        </w:rPr>
        <w:t xml:space="preserve"> </w:t>
      </w:r>
    </w:p>
    <w:p w:rsidR="00A671E6" w:rsidRPr="00400169" w:rsidRDefault="00A671E6" w:rsidP="00A671E6">
      <w:pPr>
        <w:rPr>
          <w:szCs w:val="22"/>
        </w:rPr>
      </w:pPr>
    </w:p>
    <w:p w:rsidR="00453DEF" w:rsidRDefault="009B52B3" w:rsidP="00453DEF">
      <w:r w:rsidRPr="00400169">
        <w:t xml:space="preserve">The following document used to prepare this Report is available on the FSANZ website at </w:t>
      </w:r>
      <w:hyperlink r:id="rId16" w:history="1">
        <w:r w:rsidR="003E6806" w:rsidRPr="00CA4451">
          <w:rPr>
            <w:rStyle w:val="Hyperlink"/>
          </w:rPr>
          <w:t>http://www.foodstandards.gov.au/code/applications/Pages/a1081foodderivedfrom5825.aspx</w:t>
        </w:r>
      </w:hyperlink>
    </w:p>
    <w:p w:rsidR="00453DEF" w:rsidRPr="00400169" w:rsidRDefault="00453DEF" w:rsidP="00453DEF">
      <w:pPr>
        <w:rPr>
          <w:rStyle w:val="Hyperlink"/>
          <w:color w:val="000000" w:themeColor="text1"/>
        </w:rPr>
      </w:pPr>
    </w:p>
    <w:p w:rsidR="009B52B3" w:rsidRPr="00400169" w:rsidRDefault="00147B53" w:rsidP="00147B53">
      <w:pPr>
        <w:ind w:left="1701" w:hanging="1701"/>
        <w:rPr>
          <w:color w:val="000000" w:themeColor="text1"/>
          <w:szCs w:val="22"/>
        </w:rPr>
      </w:pPr>
      <w:r>
        <w:rPr>
          <w:color w:val="000000" w:themeColor="text1"/>
          <w:szCs w:val="22"/>
        </w:rPr>
        <w:t>SD1</w:t>
      </w:r>
      <w:r w:rsidR="009B52B3" w:rsidRPr="00400169">
        <w:rPr>
          <w:color w:val="000000" w:themeColor="text1"/>
          <w:szCs w:val="22"/>
        </w:rPr>
        <w:tab/>
        <w:t>Saf</w:t>
      </w:r>
      <w:r w:rsidR="009632EA" w:rsidRPr="00400169">
        <w:rPr>
          <w:color w:val="000000" w:themeColor="text1"/>
          <w:szCs w:val="22"/>
        </w:rPr>
        <w:t>ety Assessment</w:t>
      </w:r>
      <w:r w:rsidR="00A47976" w:rsidRPr="00400169">
        <w:rPr>
          <w:color w:val="000000" w:themeColor="text1"/>
          <w:szCs w:val="22"/>
        </w:rPr>
        <w:t xml:space="preserve"> (</w:t>
      </w:r>
      <w:r w:rsidR="00E05C25" w:rsidRPr="00400169">
        <w:rPr>
          <w:color w:val="000000" w:themeColor="text1"/>
          <w:szCs w:val="22"/>
        </w:rPr>
        <w:t xml:space="preserve">at </w:t>
      </w:r>
      <w:r w:rsidR="00A47976" w:rsidRPr="00400169">
        <w:rPr>
          <w:color w:val="000000" w:themeColor="text1"/>
          <w:szCs w:val="22"/>
        </w:rPr>
        <w:t>Approval)</w:t>
      </w:r>
    </w:p>
    <w:p w:rsidR="003C4969" w:rsidRPr="00400169" w:rsidRDefault="00D15A08" w:rsidP="009B52B3">
      <w:pPr>
        <w:spacing w:line="280" w:lineRule="exact"/>
        <w:ind w:left="851" w:hanging="851"/>
        <w:outlineLvl w:val="3"/>
        <w:rPr>
          <w:vanish/>
          <w:color w:val="000000" w:themeColor="text1"/>
        </w:rPr>
      </w:pPr>
      <w:r w:rsidRPr="00400169">
        <w:rPr>
          <w:color w:val="000000" w:themeColor="text1"/>
        </w:rPr>
        <w:br w:type="page"/>
      </w:r>
    </w:p>
    <w:p w:rsidR="0012388D" w:rsidRPr="00400169" w:rsidRDefault="007F7BF7" w:rsidP="00DD265C">
      <w:pPr>
        <w:pStyle w:val="Heading1"/>
        <w:rPr>
          <w:rFonts w:cs="Tahoma"/>
          <w:sz w:val="28"/>
        </w:rPr>
      </w:pPr>
      <w:bookmarkStart w:id="1" w:name="_Toc374451204"/>
      <w:bookmarkStart w:id="2" w:name="_Toc11735627"/>
      <w:bookmarkStart w:id="3" w:name="_Toc29883110"/>
      <w:bookmarkStart w:id="4" w:name="_Toc41906797"/>
      <w:bookmarkStart w:id="5" w:name="_Toc41907544"/>
      <w:bookmarkStart w:id="6" w:name="_Toc120358575"/>
      <w:r w:rsidRPr="00400169">
        <w:t>1</w:t>
      </w:r>
      <w:r w:rsidR="00DD265C" w:rsidRPr="00400169">
        <w:t>.</w:t>
      </w:r>
      <w:r w:rsidR="00DD265C" w:rsidRPr="00400169">
        <w:tab/>
      </w:r>
      <w:r w:rsidR="00D15A08" w:rsidRPr="00400169">
        <w:t xml:space="preserve">Executive </w:t>
      </w:r>
      <w:r w:rsidR="007C22CB" w:rsidRPr="00400169">
        <w:t>s</w:t>
      </w:r>
      <w:r w:rsidR="00D15A08" w:rsidRPr="00400169">
        <w:t>ummary</w:t>
      </w:r>
      <w:bookmarkEnd w:id="1"/>
    </w:p>
    <w:p w:rsidR="00564790" w:rsidRPr="00B5032F" w:rsidRDefault="00564790" w:rsidP="00564790">
      <w:pPr>
        <w:rPr>
          <w:szCs w:val="22"/>
        </w:rPr>
      </w:pPr>
      <w:r w:rsidRPr="00B5032F">
        <w:rPr>
          <w:szCs w:val="22"/>
        </w:rPr>
        <w:t>Food Standards Australia New Zealand (FSANZ) received an Applica</w:t>
      </w:r>
      <w:r w:rsidRPr="00CF35E6">
        <w:rPr>
          <w:szCs w:val="22"/>
        </w:rPr>
        <w:t xml:space="preserve">tion </w:t>
      </w:r>
      <w:r w:rsidRPr="00CF35E6">
        <w:rPr>
          <w:rFonts w:cs="Arial"/>
          <w:szCs w:val="22"/>
        </w:rPr>
        <w:t>from</w:t>
      </w:r>
      <w:r w:rsidRPr="00CF35E6">
        <w:rPr>
          <w:color w:val="000000" w:themeColor="text1"/>
          <w:szCs w:val="22"/>
        </w:rPr>
        <w:t xml:space="preserve"> Bayer CropScience Pty Ltd and Syngenta Seeds</w:t>
      </w:r>
      <w:r w:rsidRPr="00B5032F">
        <w:rPr>
          <w:color w:val="000000" w:themeColor="text1"/>
          <w:szCs w:val="22"/>
        </w:rPr>
        <w:t xml:space="preserve"> Pty Ltd </w:t>
      </w:r>
      <w:r w:rsidRPr="00B5032F">
        <w:rPr>
          <w:rFonts w:cs="Arial"/>
          <w:szCs w:val="22"/>
        </w:rPr>
        <w:t xml:space="preserve">on 29 January 2013. The Applicants requested a variation to Standard 1.5.2 – Food produced using Gene Technology, </w:t>
      </w:r>
      <w:r w:rsidRPr="00B5032F">
        <w:rPr>
          <w:szCs w:val="22"/>
        </w:rPr>
        <w:t xml:space="preserve">in the </w:t>
      </w:r>
      <w:r w:rsidRPr="00B5032F">
        <w:rPr>
          <w:i/>
          <w:szCs w:val="22"/>
        </w:rPr>
        <w:t>Australia New Zealand Food Standards Code</w:t>
      </w:r>
      <w:r w:rsidRPr="00B5032F">
        <w:rPr>
          <w:szCs w:val="22"/>
        </w:rPr>
        <w:t xml:space="preserve"> (the Code), to permit the sale and use of food derived from genetically modified (GM) soybean line SYHT0H</w:t>
      </w:r>
      <w:r>
        <w:rPr>
          <w:szCs w:val="22"/>
        </w:rPr>
        <w:t>2, conferring tolerance to two</w:t>
      </w:r>
      <w:r w:rsidRPr="00B5032F">
        <w:rPr>
          <w:szCs w:val="22"/>
        </w:rPr>
        <w:t xml:space="preserve"> herbicides.</w:t>
      </w:r>
    </w:p>
    <w:p w:rsidR="009B52B3" w:rsidRPr="00400169" w:rsidRDefault="009B52B3" w:rsidP="009B52B3"/>
    <w:p w:rsidR="009B52B3" w:rsidRPr="00400169" w:rsidRDefault="009B52B3" w:rsidP="009B52B3">
      <w:r w:rsidRPr="00400169">
        <w:t xml:space="preserve">The primary objective of FSANZ in developing or varying a food regulatory measure, as stated in s 18 of the </w:t>
      </w:r>
      <w:r w:rsidRPr="00400169">
        <w:rPr>
          <w:i/>
        </w:rPr>
        <w:t>Food Standards Australia New Zealand Act 1991</w:t>
      </w:r>
      <w:r w:rsidRPr="00400169">
        <w:t xml:space="preserve"> (FSANZ Act), is the protection of public health and safety. Accordingly, the safety assessment is central to considering an application.</w:t>
      </w:r>
    </w:p>
    <w:p w:rsidR="009B52B3" w:rsidRPr="00400169" w:rsidRDefault="009B52B3" w:rsidP="009B52B3"/>
    <w:p w:rsidR="00564790" w:rsidRPr="008F4BDF" w:rsidRDefault="00564790" w:rsidP="00564790">
      <w:r w:rsidRPr="008F4BDF">
        <w:t>The safety assess</w:t>
      </w:r>
      <w:r>
        <w:t>ment of soybean line SYHT0H2</w:t>
      </w:r>
      <w:r w:rsidRPr="008F4BDF">
        <w:t xml:space="preserve"> is provided in Supporting Document 1. </w:t>
      </w:r>
      <w:r w:rsidRPr="005C18EC">
        <w:rPr>
          <w:rFonts w:cs="Arial"/>
          <w:szCs w:val="22"/>
        </w:rPr>
        <w:t xml:space="preserve">No potential public health and safety concerns have been identified. Based on the data provided in the present Application, and other available information, food derived from </w:t>
      </w:r>
      <w:r>
        <w:rPr>
          <w:szCs w:val="22"/>
        </w:rPr>
        <w:t>soybean line SYHT0H2</w:t>
      </w:r>
      <w:r w:rsidRPr="005C18EC">
        <w:rPr>
          <w:rFonts w:cs="Arial"/>
          <w:szCs w:val="22"/>
        </w:rPr>
        <w:t xml:space="preserve"> is considered to be as safe for </w:t>
      </w:r>
      <w:r w:rsidRPr="008F4BDF">
        <w:t>human consumption as food derived from conventional soybean cultivars.</w:t>
      </w:r>
    </w:p>
    <w:p w:rsidR="009B52B3" w:rsidRPr="00400169" w:rsidRDefault="009B52B3" w:rsidP="009B52B3"/>
    <w:p w:rsidR="009B52B3" w:rsidRPr="00400169" w:rsidRDefault="009B52B3" w:rsidP="009B52B3">
      <w:r w:rsidRPr="00400169">
        <w:t>A decision has been made to approve the draft variation to Standard 1.5.2 to include food deri</w:t>
      </w:r>
      <w:r w:rsidR="00593441" w:rsidRPr="00400169">
        <w:t>ve</w:t>
      </w:r>
      <w:r w:rsidR="00CF15C9" w:rsidRPr="00400169">
        <w:t>d from herbicid</w:t>
      </w:r>
      <w:r w:rsidR="00564790">
        <w:t>e-tolerant soybean line SYHT0H2</w:t>
      </w:r>
      <w:r w:rsidRPr="00400169">
        <w:t xml:space="preserve"> in the Schedule.</w:t>
      </w:r>
    </w:p>
    <w:p w:rsidR="00C836FF" w:rsidRPr="00400169" w:rsidRDefault="00C836FF" w:rsidP="009B52B3">
      <w:r w:rsidRPr="00400169">
        <w:br w:type="page"/>
      </w:r>
    </w:p>
    <w:p w:rsidR="00AF397D" w:rsidRPr="00400169" w:rsidRDefault="007F7BF7" w:rsidP="00AF397D">
      <w:pPr>
        <w:pStyle w:val="Heading1"/>
      </w:pPr>
      <w:bookmarkStart w:id="7" w:name="_Toc374451205"/>
      <w:r w:rsidRPr="00400169">
        <w:lastRenderedPageBreak/>
        <w:t>2</w:t>
      </w:r>
      <w:r w:rsidR="00AC428E" w:rsidRPr="00400169">
        <w:t>.</w:t>
      </w:r>
      <w:r w:rsidR="00AC428E" w:rsidRPr="00400169">
        <w:tab/>
      </w:r>
      <w:r w:rsidR="00AF397D" w:rsidRPr="00400169">
        <w:t>Introduction</w:t>
      </w:r>
      <w:bookmarkEnd w:id="7"/>
    </w:p>
    <w:p w:rsidR="00AF397D" w:rsidRPr="00400169" w:rsidRDefault="008141EB" w:rsidP="00AF397D">
      <w:pPr>
        <w:pStyle w:val="Heading2"/>
      </w:pPr>
      <w:bookmarkStart w:id="8" w:name="_Toc374451206"/>
      <w:r>
        <w:t>2.1</w:t>
      </w:r>
      <w:r>
        <w:tab/>
        <w:t>The Applicant</w:t>
      </w:r>
      <w:r w:rsidR="001B52DF" w:rsidRPr="00400169">
        <w:t>s</w:t>
      </w:r>
      <w:bookmarkEnd w:id="8"/>
    </w:p>
    <w:p w:rsidR="00564790" w:rsidRPr="00B5032F" w:rsidRDefault="00564790" w:rsidP="00564790">
      <w:pPr>
        <w:rPr>
          <w:color w:val="000000" w:themeColor="text1"/>
          <w:lang w:bidi="ar-SA"/>
        </w:rPr>
      </w:pPr>
      <w:r w:rsidRPr="00B5032F">
        <w:rPr>
          <w:color w:val="000000" w:themeColor="text1"/>
          <w:lang w:bidi="ar-SA"/>
        </w:rPr>
        <w:t xml:space="preserve">Bayer CropScience Pty Ltd </w:t>
      </w:r>
      <w:r w:rsidR="003C2AF1">
        <w:rPr>
          <w:color w:val="000000" w:themeColor="text1"/>
          <w:lang w:bidi="ar-SA"/>
        </w:rPr>
        <w:t xml:space="preserve">is a subsidiary of Bayer AG. Both Bayer CropScience </w:t>
      </w:r>
      <w:r w:rsidRPr="00B5032F">
        <w:rPr>
          <w:color w:val="000000" w:themeColor="text1"/>
          <w:lang w:bidi="ar-SA"/>
        </w:rPr>
        <w:t>and Syngenta Seeds Pty Ltd are technology providers to the agricultural and food industries.</w:t>
      </w:r>
    </w:p>
    <w:p w:rsidR="00AF397D" w:rsidRPr="00400169" w:rsidRDefault="00AF397D" w:rsidP="006D0C46">
      <w:pPr>
        <w:pStyle w:val="Heading2"/>
      </w:pPr>
      <w:bookmarkStart w:id="9" w:name="_Toc374451207"/>
      <w:r w:rsidRPr="00400169">
        <w:t>2.2</w:t>
      </w:r>
      <w:r w:rsidRPr="00400169">
        <w:tab/>
        <w:t>The Application</w:t>
      </w:r>
      <w:bookmarkEnd w:id="9"/>
      <w:r w:rsidR="00CF15C9" w:rsidRPr="00400169">
        <w:tab/>
      </w:r>
    </w:p>
    <w:p w:rsidR="00564790" w:rsidRDefault="00564790" w:rsidP="00564790">
      <w:pPr>
        <w:rPr>
          <w:color w:val="000000" w:themeColor="text1"/>
        </w:rPr>
      </w:pPr>
      <w:r>
        <w:rPr>
          <w:color w:val="000000" w:themeColor="text1"/>
        </w:rPr>
        <w:t>Application A</w:t>
      </w:r>
      <w:r w:rsidRPr="00B5032F">
        <w:rPr>
          <w:color w:val="000000" w:themeColor="text1"/>
        </w:rPr>
        <w:t xml:space="preserve">1081 was submitted by </w:t>
      </w:r>
      <w:r w:rsidRPr="00CF35E6">
        <w:rPr>
          <w:color w:val="000000" w:themeColor="text1"/>
          <w:szCs w:val="22"/>
        </w:rPr>
        <w:t xml:space="preserve">Bayer CropScience Pty Ltd and Syngenta Seeds Pty </w:t>
      </w:r>
      <w:r w:rsidRPr="00B5032F">
        <w:rPr>
          <w:color w:val="000000" w:themeColor="text1"/>
          <w:szCs w:val="22"/>
        </w:rPr>
        <w:t xml:space="preserve">Ltd </w:t>
      </w:r>
      <w:r w:rsidRPr="00B5032F">
        <w:rPr>
          <w:rFonts w:cs="Arial"/>
          <w:color w:val="000000" w:themeColor="text1"/>
          <w:szCs w:val="22"/>
        </w:rPr>
        <w:t xml:space="preserve">on 29 January 2013. </w:t>
      </w:r>
      <w:r w:rsidRPr="00B5032F">
        <w:rPr>
          <w:color w:val="000000" w:themeColor="text1"/>
        </w:rPr>
        <w:t>It sought approval for food derived from line SYHT0H2 under Standard 1.5.2 – Food produced using Gene Technology.</w:t>
      </w:r>
    </w:p>
    <w:p w:rsidR="00564790" w:rsidRDefault="00564790" w:rsidP="00564790">
      <w:pPr>
        <w:rPr>
          <w:color w:val="000000" w:themeColor="text1"/>
        </w:rPr>
      </w:pPr>
    </w:p>
    <w:p w:rsidR="00564790" w:rsidRDefault="00564790" w:rsidP="00564790">
      <w:pPr>
        <w:autoSpaceDE w:val="0"/>
        <w:autoSpaceDN w:val="0"/>
        <w:adjustRightInd w:val="0"/>
        <w:rPr>
          <w:rFonts w:eastAsia="Batang" w:cs="Arial"/>
          <w:color w:val="000000" w:themeColor="text1"/>
          <w:szCs w:val="22"/>
        </w:rPr>
      </w:pPr>
      <w:r w:rsidRPr="00FF290D">
        <w:rPr>
          <w:color w:val="000000" w:themeColor="text1"/>
        </w:rPr>
        <w:t xml:space="preserve">Soybean line SYHT0H2 </w:t>
      </w:r>
      <w:r w:rsidRPr="00FF290D">
        <w:rPr>
          <w:rFonts w:cs="Arial"/>
          <w:color w:val="000000" w:themeColor="text1"/>
          <w:szCs w:val="22"/>
        </w:rPr>
        <w:t xml:space="preserve">is tolerant to </w:t>
      </w:r>
      <w:r>
        <w:rPr>
          <w:rFonts w:cs="Arial"/>
          <w:color w:val="000000" w:themeColor="text1"/>
          <w:szCs w:val="22"/>
        </w:rPr>
        <w:t xml:space="preserve">two </w:t>
      </w:r>
      <w:r w:rsidRPr="00FF290D">
        <w:rPr>
          <w:rFonts w:cs="Arial"/>
          <w:color w:val="000000" w:themeColor="text1"/>
          <w:szCs w:val="22"/>
        </w:rPr>
        <w:t>herbicide</w:t>
      </w:r>
      <w:r>
        <w:rPr>
          <w:rFonts w:cs="Arial"/>
          <w:color w:val="000000" w:themeColor="text1"/>
          <w:szCs w:val="22"/>
        </w:rPr>
        <w:t xml:space="preserve">s, namely </w:t>
      </w:r>
      <w:r w:rsidRPr="00FF290D">
        <w:rPr>
          <w:rFonts w:cs="Arial"/>
          <w:color w:val="000000" w:themeColor="text1"/>
          <w:szCs w:val="22"/>
        </w:rPr>
        <w:t xml:space="preserve">glufosinate-ammonium and mesotrione. </w:t>
      </w:r>
      <w:r w:rsidRPr="00FF290D">
        <w:rPr>
          <w:rFonts w:eastAsia="Batang" w:cs="Arial"/>
          <w:color w:val="000000" w:themeColor="text1"/>
          <w:szCs w:val="22"/>
        </w:rPr>
        <w:t xml:space="preserve">Tolerance to glufosinate ammonium is achieved through expression of the enzyme </w:t>
      </w:r>
      <w:r w:rsidRPr="00FF290D">
        <w:rPr>
          <w:rFonts w:cs="Arial"/>
          <w:iCs/>
          <w:color w:val="000000" w:themeColor="text1"/>
          <w:szCs w:val="22"/>
        </w:rPr>
        <w:t>phosphinothricin acetyltransferase (PAT)</w:t>
      </w:r>
      <w:r w:rsidRPr="00FF290D">
        <w:rPr>
          <w:rFonts w:eastAsia="Batang" w:cs="Arial"/>
          <w:color w:val="000000" w:themeColor="text1"/>
          <w:szCs w:val="22"/>
        </w:rPr>
        <w:t xml:space="preserve"> encoded by a </w:t>
      </w:r>
      <w:r w:rsidRPr="00FF290D">
        <w:rPr>
          <w:rFonts w:eastAsia="Batang" w:cs="Arial"/>
          <w:i/>
          <w:color w:val="000000" w:themeColor="text1"/>
          <w:szCs w:val="22"/>
        </w:rPr>
        <w:t>pat</w:t>
      </w:r>
      <w:r w:rsidRPr="00FF290D">
        <w:rPr>
          <w:rFonts w:eastAsia="Batang" w:cs="Arial"/>
          <w:color w:val="000000" w:themeColor="text1"/>
          <w:szCs w:val="22"/>
        </w:rPr>
        <w:t xml:space="preserve"> gene obtained from the soil bacterium </w:t>
      </w:r>
      <w:r w:rsidRPr="00FF290D">
        <w:rPr>
          <w:rFonts w:eastAsia="Batang" w:cs="Arial"/>
          <w:i/>
          <w:color w:val="000000" w:themeColor="text1"/>
          <w:szCs w:val="22"/>
        </w:rPr>
        <w:t>Streptomyces viridochromogenes</w:t>
      </w:r>
      <w:r w:rsidRPr="00FF290D">
        <w:rPr>
          <w:rFonts w:eastAsia="Batang" w:cs="Arial"/>
          <w:color w:val="000000" w:themeColor="text1"/>
          <w:szCs w:val="22"/>
        </w:rPr>
        <w:t xml:space="preserve">. Tolerance to mesotrione is achieved through expression of the AvHPPD-03 protein encoded by the </w:t>
      </w:r>
      <w:r w:rsidRPr="00FF290D">
        <w:rPr>
          <w:rFonts w:eastAsia="Batang" w:cs="Arial"/>
          <w:i/>
          <w:color w:val="000000" w:themeColor="text1"/>
          <w:szCs w:val="22"/>
        </w:rPr>
        <w:t>avhppd-03</w:t>
      </w:r>
      <w:r w:rsidRPr="00FF290D">
        <w:rPr>
          <w:rFonts w:eastAsia="Batang" w:cs="Arial"/>
          <w:color w:val="000000" w:themeColor="text1"/>
          <w:szCs w:val="22"/>
        </w:rPr>
        <w:t xml:space="preserve"> gene from oat (</w:t>
      </w:r>
      <w:r w:rsidRPr="00FF290D">
        <w:rPr>
          <w:rFonts w:eastAsia="Batang" w:cs="Arial"/>
          <w:i/>
          <w:color w:val="000000" w:themeColor="text1"/>
          <w:szCs w:val="22"/>
        </w:rPr>
        <w:t>Avena sativa</w:t>
      </w:r>
      <w:r w:rsidRPr="00FF290D">
        <w:rPr>
          <w:rFonts w:eastAsia="Batang" w:cs="Arial"/>
          <w:color w:val="000000" w:themeColor="text1"/>
          <w:szCs w:val="22"/>
        </w:rPr>
        <w:t xml:space="preserve">). </w:t>
      </w:r>
    </w:p>
    <w:p w:rsidR="00564790" w:rsidRDefault="00564790" w:rsidP="00564790">
      <w:pPr>
        <w:autoSpaceDE w:val="0"/>
        <w:autoSpaceDN w:val="0"/>
        <w:adjustRightInd w:val="0"/>
        <w:rPr>
          <w:rFonts w:eastAsia="Batang" w:cs="Arial"/>
          <w:color w:val="000000" w:themeColor="text1"/>
          <w:szCs w:val="22"/>
        </w:rPr>
      </w:pPr>
    </w:p>
    <w:p w:rsidR="00564790" w:rsidRPr="00FF290D" w:rsidRDefault="00564790" w:rsidP="00564790">
      <w:pPr>
        <w:autoSpaceDE w:val="0"/>
        <w:autoSpaceDN w:val="0"/>
        <w:adjustRightInd w:val="0"/>
        <w:rPr>
          <w:rFonts w:cs="Arial"/>
          <w:color w:val="000000" w:themeColor="text1"/>
          <w:szCs w:val="22"/>
        </w:rPr>
      </w:pPr>
      <w:r w:rsidRPr="00FF290D">
        <w:rPr>
          <w:rFonts w:eastAsia="Batang" w:cs="Arial"/>
          <w:color w:val="000000" w:themeColor="text1"/>
          <w:szCs w:val="22"/>
        </w:rPr>
        <w:t xml:space="preserve">The </w:t>
      </w:r>
      <w:r w:rsidRPr="00FF290D">
        <w:rPr>
          <w:rFonts w:eastAsia="Batang" w:cs="Arial"/>
          <w:i/>
          <w:color w:val="000000" w:themeColor="text1"/>
          <w:szCs w:val="22"/>
        </w:rPr>
        <w:t>pat</w:t>
      </w:r>
      <w:r w:rsidRPr="00FF290D">
        <w:rPr>
          <w:rFonts w:eastAsia="Batang" w:cs="Arial"/>
          <w:color w:val="000000" w:themeColor="text1"/>
          <w:szCs w:val="22"/>
        </w:rPr>
        <w:t xml:space="preserve"> gene has been widely used for genetic modification of a number of crop species, including soybean. An HPPD protein has been previously assessed by FSANZ in Application </w:t>
      </w:r>
      <w:r>
        <w:rPr>
          <w:rFonts w:eastAsia="Batang" w:cs="Arial"/>
          <w:color w:val="000000" w:themeColor="text1"/>
          <w:szCs w:val="22"/>
        </w:rPr>
        <w:t xml:space="preserve">A1051 </w:t>
      </w:r>
      <w:r w:rsidRPr="00FF290D">
        <w:rPr>
          <w:rFonts w:eastAsia="Batang" w:cs="Arial"/>
          <w:color w:val="000000" w:themeColor="text1"/>
          <w:szCs w:val="22"/>
        </w:rPr>
        <w:t>where it was used to confer tolerance in soybean to isoxazole herbicides.</w:t>
      </w:r>
    </w:p>
    <w:p w:rsidR="00AF397D" w:rsidRPr="00400169" w:rsidRDefault="00AF397D" w:rsidP="00AF397D">
      <w:pPr>
        <w:pStyle w:val="Heading2"/>
      </w:pPr>
      <w:bookmarkStart w:id="10" w:name="_Toc374451208"/>
      <w:r w:rsidRPr="00400169">
        <w:t>2.3</w:t>
      </w:r>
      <w:r w:rsidRPr="00400169">
        <w:tab/>
        <w:t>The current Standard</w:t>
      </w:r>
      <w:bookmarkEnd w:id="10"/>
    </w:p>
    <w:p w:rsidR="009B52B3" w:rsidRPr="00400169" w:rsidRDefault="009B52B3" w:rsidP="009B52B3">
      <w:r w:rsidRPr="00400169">
        <w:t>Pre-market approval is necessary before food derived from any genetically modified (GM) line may enter the Australian and New Zealand food supply. Approval of GM foods under Standard 1.5.2 is contingent on completion of a comprehensive pre-market safety assessment. Foods that have been assessed under the Standard, if approved, are listed in the Schedule to the Standard.</w:t>
      </w:r>
    </w:p>
    <w:p w:rsidR="009B52B3" w:rsidRPr="00400169" w:rsidRDefault="009B52B3" w:rsidP="009B52B3"/>
    <w:p w:rsidR="009B52B3" w:rsidRPr="00400169" w:rsidRDefault="009B52B3" w:rsidP="009B52B3">
      <w:pPr>
        <w:ind w:right="-330"/>
      </w:pPr>
      <w:r w:rsidRPr="00400169">
        <w:t>Standard 1.5.2 contains specific labelling provisions for approved GM foods. GM foods and ingredients (including food additives and processing aids from GM sources) must be identified on labels with the words ‘genetical</w:t>
      </w:r>
      <w:r w:rsidR="00593441" w:rsidRPr="00400169">
        <w:t xml:space="preserve">ly modified’, if novel DNA </w:t>
      </w:r>
      <w:r w:rsidRPr="00400169">
        <w:t>or novel protein from an approved GM variety is present in the final food, or the food has altered characteristics. In the latter case, the Standard also allows for additional labelling about the nature of the altered characteristics.</w:t>
      </w:r>
    </w:p>
    <w:p w:rsidR="00AF397D" w:rsidRPr="00400169" w:rsidRDefault="003428FC" w:rsidP="00AF397D">
      <w:pPr>
        <w:pStyle w:val="Heading2"/>
      </w:pPr>
      <w:bookmarkStart w:id="11" w:name="_Toc374451209"/>
      <w:r w:rsidRPr="00400169">
        <w:t>2.</w:t>
      </w:r>
      <w:r w:rsidR="00AF397D" w:rsidRPr="00400169">
        <w:t>4</w:t>
      </w:r>
      <w:r w:rsidR="00AF397D" w:rsidRPr="00400169">
        <w:tab/>
      </w:r>
      <w:bookmarkStart w:id="12" w:name="_Toc175381432"/>
      <w:r w:rsidR="00AF397D" w:rsidRPr="00400169">
        <w:t xml:space="preserve">Reasons for accepting the </w:t>
      </w:r>
      <w:r w:rsidR="00AF397D" w:rsidRPr="00400169">
        <w:rPr>
          <w:u w:color="FFFF00"/>
        </w:rPr>
        <w:t>Application</w:t>
      </w:r>
      <w:bookmarkEnd w:id="11"/>
      <w:r w:rsidR="00AF397D" w:rsidRPr="00400169">
        <w:t xml:space="preserve"> </w:t>
      </w:r>
    </w:p>
    <w:p w:rsidR="00AF397D" w:rsidRPr="00400169" w:rsidRDefault="00AF397D" w:rsidP="00AF397D">
      <w:r w:rsidRPr="00400169">
        <w:t>The Application was accepted for assessment on the basis that:</w:t>
      </w:r>
    </w:p>
    <w:p w:rsidR="00AF397D" w:rsidRPr="00400169" w:rsidRDefault="00AF397D" w:rsidP="00AF397D"/>
    <w:bookmarkEnd w:id="12"/>
    <w:p w:rsidR="009B52B3" w:rsidRPr="00400169" w:rsidRDefault="009B52B3" w:rsidP="009B52B3">
      <w:pPr>
        <w:pStyle w:val="FSBullet"/>
      </w:pPr>
      <w:r w:rsidRPr="00400169">
        <w:t>it complied with the procedural requirements under subsection 22(2)</w:t>
      </w:r>
    </w:p>
    <w:p w:rsidR="00593441" w:rsidRPr="00400169" w:rsidRDefault="00593441" w:rsidP="00593441"/>
    <w:p w:rsidR="009B52B3" w:rsidRPr="00400169" w:rsidRDefault="009B52B3" w:rsidP="009B52B3">
      <w:pPr>
        <w:pStyle w:val="FSBullet"/>
      </w:pPr>
      <w:r w:rsidRPr="00400169">
        <w:t>it related to a matter that warranted the variati</w:t>
      </w:r>
      <w:r w:rsidR="004673BE" w:rsidRPr="00400169">
        <w:t>on of a food regulatory measure</w:t>
      </w:r>
    </w:p>
    <w:p w:rsidR="004673BE" w:rsidRPr="00400169" w:rsidRDefault="004673BE" w:rsidP="004673BE"/>
    <w:p w:rsidR="004673BE" w:rsidRPr="00400169" w:rsidRDefault="004673BE" w:rsidP="00AD2E76">
      <w:pPr>
        <w:pStyle w:val="FSBullet1"/>
        <w:numPr>
          <w:ilvl w:val="0"/>
          <w:numId w:val="6"/>
        </w:numPr>
        <w:ind w:left="567" w:hanging="567"/>
      </w:pPr>
      <w:r w:rsidRPr="00400169">
        <w:t xml:space="preserve">it was not so similar to a previous application for the variation of a food regulatory </w:t>
      </w:r>
    </w:p>
    <w:p w:rsidR="004673BE" w:rsidRPr="00400169" w:rsidRDefault="004673BE" w:rsidP="004673BE">
      <w:pPr>
        <w:pStyle w:val="FSBullet1"/>
        <w:numPr>
          <w:ilvl w:val="0"/>
          <w:numId w:val="0"/>
        </w:numPr>
        <w:ind w:left="567"/>
      </w:pPr>
      <w:proofErr w:type="gramStart"/>
      <w:r w:rsidRPr="00400169">
        <w:t>measure</w:t>
      </w:r>
      <w:proofErr w:type="gramEnd"/>
      <w:r w:rsidRPr="00400169">
        <w:t xml:space="preserve"> that it ought to be rejected</w:t>
      </w:r>
      <w:r w:rsidR="00451E6D">
        <w:t>.</w:t>
      </w:r>
    </w:p>
    <w:p w:rsidR="00AF397D" w:rsidRPr="00400169" w:rsidRDefault="00AF397D" w:rsidP="00AF397D">
      <w:pPr>
        <w:pStyle w:val="Heading2"/>
      </w:pPr>
      <w:bookmarkStart w:id="13" w:name="_Toc374451210"/>
      <w:r w:rsidRPr="00400169">
        <w:t>2.</w:t>
      </w:r>
      <w:r w:rsidR="003814F0" w:rsidRPr="00400169">
        <w:t>5</w:t>
      </w:r>
      <w:r w:rsidRPr="00400169">
        <w:tab/>
        <w:t>Procedure for assessment</w:t>
      </w:r>
      <w:bookmarkEnd w:id="13"/>
    </w:p>
    <w:p w:rsidR="00147B53" w:rsidRDefault="00AF397D" w:rsidP="00AF397D">
      <w:r w:rsidRPr="00400169">
        <w:t>The Application was assessed under the General</w:t>
      </w:r>
      <w:r w:rsidR="000000FE" w:rsidRPr="00400169">
        <w:t xml:space="preserve"> </w:t>
      </w:r>
      <w:r w:rsidRPr="00400169">
        <w:t>Procedure.</w:t>
      </w:r>
      <w:r w:rsidR="00147B53">
        <w:br w:type="page"/>
      </w:r>
    </w:p>
    <w:p w:rsidR="00422EC9" w:rsidRPr="00400169" w:rsidRDefault="00422EC9" w:rsidP="00422EC9">
      <w:pPr>
        <w:pStyle w:val="Heading2"/>
      </w:pPr>
      <w:bookmarkStart w:id="14" w:name="_Toc374451211"/>
      <w:r w:rsidRPr="00400169">
        <w:lastRenderedPageBreak/>
        <w:t>2.6</w:t>
      </w:r>
      <w:r w:rsidRPr="00400169">
        <w:tab/>
        <w:t>Decision</w:t>
      </w:r>
      <w:bookmarkEnd w:id="14"/>
    </w:p>
    <w:p w:rsidR="000000FE" w:rsidRPr="00400169" w:rsidRDefault="000000FE" w:rsidP="000000FE">
      <w:bookmarkStart w:id="15" w:name="_Toc11735630"/>
      <w:bookmarkStart w:id="16" w:name="_Toc29883114"/>
      <w:bookmarkStart w:id="17" w:name="_Toc41906801"/>
      <w:bookmarkStart w:id="18" w:name="_Toc41907548"/>
      <w:bookmarkStart w:id="19" w:name="_Toc120358578"/>
      <w:bookmarkStart w:id="20" w:name="_Toc175381435"/>
      <w:bookmarkEnd w:id="2"/>
      <w:bookmarkEnd w:id="3"/>
      <w:bookmarkEnd w:id="4"/>
      <w:bookmarkEnd w:id="5"/>
      <w:bookmarkEnd w:id="6"/>
      <w:r w:rsidRPr="00400169">
        <w:t>The draft variation to Standard 1.5.2, as proposed following assessment, was approved without change.</w:t>
      </w:r>
    </w:p>
    <w:p w:rsidR="004673BE" w:rsidRPr="00400169" w:rsidRDefault="004673BE" w:rsidP="000000FE"/>
    <w:p w:rsidR="000000FE" w:rsidRPr="00400169" w:rsidRDefault="000000FE" w:rsidP="000000FE">
      <w:r w:rsidRPr="00400169">
        <w:t xml:space="preserve">The approved variation to the Standard is at Attachment A. </w:t>
      </w:r>
    </w:p>
    <w:p w:rsidR="000000FE" w:rsidRPr="00400169" w:rsidRDefault="000000FE" w:rsidP="000000FE"/>
    <w:p w:rsidR="000000FE" w:rsidRPr="00400169" w:rsidRDefault="000000FE" w:rsidP="000000FE">
      <w:pPr>
        <w:rPr>
          <w:b/>
          <w:bCs/>
        </w:rPr>
      </w:pPr>
      <w:r w:rsidRPr="00400169">
        <w:t>An Explanatory Statement is at Attachment B.</w:t>
      </w:r>
    </w:p>
    <w:p w:rsidR="0012388D" w:rsidRPr="00400169" w:rsidRDefault="007F7BF7" w:rsidP="000000FE">
      <w:pPr>
        <w:pStyle w:val="Heading1"/>
      </w:pPr>
      <w:bookmarkStart w:id="21" w:name="_Toc374451212"/>
      <w:r w:rsidRPr="00400169">
        <w:t>3</w:t>
      </w:r>
      <w:r w:rsidR="00AC428E" w:rsidRPr="00400169">
        <w:t>.</w:t>
      </w:r>
      <w:r w:rsidR="00AC428E" w:rsidRPr="00400169">
        <w:tab/>
      </w:r>
      <w:r w:rsidR="00AF387F" w:rsidRPr="00400169">
        <w:t xml:space="preserve">Summary </w:t>
      </w:r>
      <w:r w:rsidR="00AF387F" w:rsidRPr="00400169">
        <w:rPr>
          <w:u w:color="FFFF00"/>
        </w:rPr>
        <w:t>of</w:t>
      </w:r>
      <w:r w:rsidR="00AF387F" w:rsidRPr="00400169">
        <w:t xml:space="preserve"> the findings</w:t>
      </w:r>
      <w:bookmarkEnd w:id="21"/>
    </w:p>
    <w:p w:rsidR="00EB6590" w:rsidRPr="00400169" w:rsidRDefault="007F7BF7" w:rsidP="00381E07">
      <w:pPr>
        <w:pStyle w:val="Heading2"/>
      </w:pPr>
      <w:bookmarkStart w:id="22" w:name="_Toc374451213"/>
      <w:bookmarkStart w:id="23" w:name="_Toc120358583"/>
      <w:bookmarkStart w:id="24" w:name="_Toc175381440"/>
      <w:r w:rsidRPr="00400169">
        <w:t>3</w:t>
      </w:r>
      <w:r w:rsidR="00AC428E" w:rsidRPr="00400169">
        <w:t>.1</w:t>
      </w:r>
      <w:r w:rsidR="00AC428E" w:rsidRPr="00400169">
        <w:tab/>
      </w:r>
      <w:r w:rsidR="004F69F6" w:rsidRPr="00400169">
        <w:t xml:space="preserve">Risk </w:t>
      </w:r>
      <w:r w:rsidR="007C22CB" w:rsidRPr="00400169">
        <w:t>a</w:t>
      </w:r>
      <w:r w:rsidR="004F69F6" w:rsidRPr="00400169">
        <w:t>ssessment</w:t>
      </w:r>
      <w:bookmarkEnd w:id="22"/>
      <w:r w:rsidR="004F69F6" w:rsidRPr="00400169">
        <w:t xml:space="preserve"> </w:t>
      </w:r>
      <w:bookmarkEnd w:id="23"/>
      <w:bookmarkEnd w:id="24"/>
    </w:p>
    <w:p w:rsidR="00093E01" w:rsidRPr="008F4BDF" w:rsidRDefault="00093E01" w:rsidP="00093E01">
      <w:bookmarkStart w:id="25" w:name="_Toc175381442"/>
      <w:r w:rsidRPr="008F4BDF">
        <w:t>The safety assess</w:t>
      </w:r>
      <w:r>
        <w:t>ment of soybean line SYHT0H2</w:t>
      </w:r>
      <w:r w:rsidRPr="008F4BDF">
        <w:t xml:space="preserve"> is provided in the supporting document (SD1) and included the following key elements: </w:t>
      </w:r>
    </w:p>
    <w:p w:rsidR="00093E01" w:rsidRPr="008F4BDF" w:rsidRDefault="00093E01" w:rsidP="00093E01">
      <w:pPr>
        <w:widowControl/>
      </w:pPr>
    </w:p>
    <w:p w:rsidR="00093E01" w:rsidRDefault="00093E01" w:rsidP="00093E01">
      <w:pPr>
        <w:pStyle w:val="FSBullet1"/>
        <w:numPr>
          <w:ilvl w:val="0"/>
          <w:numId w:val="6"/>
        </w:numPr>
        <w:ind w:left="567" w:hanging="567"/>
        <w:rPr>
          <w:color w:val="000000" w:themeColor="text1"/>
        </w:rPr>
      </w:pPr>
      <w:r w:rsidRPr="005C18EC">
        <w:rPr>
          <w:color w:val="000000" w:themeColor="text1"/>
        </w:rPr>
        <w:t>a characterisation of the transferred genes, their origin, function and stability in the soybean genome</w:t>
      </w:r>
    </w:p>
    <w:p w:rsidR="00093E01" w:rsidRPr="00093E01" w:rsidRDefault="00093E01" w:rsidP="00093E01">
      <w:pPr>
        <w:rPr>
          <w:lang w:bidi="ar-SA"/>
        </w:rPr>
      </w:pPr>
    </w:p>
    <w:p w:rsidR="00093E01" w:rsidRDefault="00093E01" w:rsidP="00093E01">
      <w:pPr>
        <w:pStyle w:val="FSBullet1"/>
        <w:numPr>
          <w:ilvl w:val="0"/>
          <w:numId w:val="6"/>
        </w:numPr>
        <w:ind w:left="567" w:hanging="567"/>
        <w:rPr>
          <w:color w:val="000000" w:themeColor="text1"/>
        </w:rPr>
      </w:pPr>
      <w:r w:rsidRPr="005C18EC">
        <w:rPr>
          <w:color w:val="000000" w:themeColor="text1"/>
        </w:rPr>
        <w:t>the changes at the level of DNA and protein in the whole food</w:t>
      </w:r>
    </w:p>
    <w:p w:rsidR="00093E01" w:rsidRPr="00093E01" w:rsidRDefault="00093E01" w:rsidP="00093E01">
      <w:pPr>
        <w:rPr>
          <w:lang w:bidi="ar-SA"/>
        </w:rPr>
      </w:pPr>
    </w:p>
    <w:p w:rsidR="00093E01" w:rsidRDefault="00093E01" w:rsidP="00093E01">
      <w:pPr>
        <w:pStyle w:val="FSBullet1"/>
        <w:numPr>
          <w:ilvl w:val="0"/>
          <w:numId w:val="6"/>
        </w:numPr>
        <w:ind w:left="567" w:hanging="567"/>
        <w:rPr>
          <w:color w:val="000000" w:themeColor="text1"/>
        </w:rPr>
      </w:pPr>
      <w:r w:rsidRPr="005C18EC">
        <w:rPr>
          <w:color w:val="000000" w:themeColor="text1"/>
        </w:rPr>
        <w:t>detailed compositional analyses</w:t>
      </w:r>
    </w:p>
    <w:p w:rsidR="00093E01" w:rsidRPr="00093E01" w:rsidRDefault="00093E01" w:rsidP="00093E01">
      <w:pPr>
        <w:rPr>
          <w:lang w:bidi="ar-SA"/>
        </w:rPr>
      </w:pPr>
    </w:p>
    <w:p w:rsidR="00093E01" w:rsidRDefault="00093E01" w:rsidP="00093E01">
      <w:pPr>
        <w:pStyle w:val="FSBullet1"/>
        <w:numPr>
          <w:ilvl w:val="0"/>
          <w:numId w:val="6"/>
        </w:numPr>
        <w:ind w:left="567" w:hanging="567"/>
        <w:rPr>
          <w:color w:val="000000" w:themeColor="text1"/>
        </w:rPr>
      </w:pPr>
      <w:r w:rsidRPr="005C18EC">
        <w:rPr>
          <w:color w:val="000000" w:themeColor="text1"/>
        </w:rPr>
        <w:t>evaluation of intended and unintended changes</w:t>
      </w:r>
    </w:p>
    <w:p w:rsidR="00093E01" w:rsidRPr="00093E01" w:rsidRDefault="00093E01" w:rsidP="00093E01">
      <w:pPr>
        <w:rPr>
          <w:lang w:bidi="ar-SA"/>
        </w:rPr>
      </w:pPr>
    </w:p>
    <w:p w:rsidR="00093E01" w:rsidRPr="005C18EC" w:rsidRDefault="00093E01" w:rsidP="00093E01">
      <w:pPr>
        <w:pStyle w:val="FSBullet1"/>
        <w:numPr>
          <w:ilvl w:val="0"/>
          <w:numId w:val="6"/>
        </w:numPr>
        <w:ind w:left="567" w:hanging="567"/>
        <w:rPr>
          <w:color w:val="000000" w:themeColor="text1"/>
        </w:rPr>
      </w:pPr>
      <w:proofErr w:type="gramStart"/>
      <w:r w:rsidRPr="005C18EC">
        <w:rPr>
          <w:color w:val="000000" w:themeColor="text1"/>
        </w:rPr>
        <w:t>the</w:t>
      </w:r>
      <w:proofErr w:type="gramEnd"/>
      <w:r w:rsidRPr="005C18EC">
        <w:rPr>
          <w:color w:val="000000" w:themeColor="text1"/>
        </w:rPr>
        <w:t xml:space="preserve"> potential for the newly expressed proteins to be either allergenic or toxic in humans. </w:t>
      </w:r>
    </w:p>
    <w:p w:rsidR="00093E01" w:rsidRPr="008F4BDF" w:rsidRDefault="00093E01" w:rsidP="00093E01">
      <w:pPr>
        <w:widowControl/>
      </w:pPr>
    </w:p>
    <w:p w:rsidR="00093E01" w:rsidRPr="008F4BDF" w:rsidRDefault="00093E01" w:rsidP="00093E01">
      <w:r w:rsidRPr="008F4BDF">
        <w:t>The assess</w:t>
      </w:r>
      <w:r>
        <w:t>ment of soybean line SYHT0H2</w:t>
      </w:r>
      <w:r w:rsidRPr="008F4BDF">
        <w:t xml:space="preserve"> was restricted to </w:t>
      </w:r>
      <w:r w:rsidR="00F753DF">
        <w:t xml:space="preserve">human </w:t>
      </w:r>
      <w:r w:rsidRPr="008F4BDF">
        <w:t xml:space="preserve">food safety and nutritional issues. </w:t>
      </w:r>
      <w:r w:rsidR="00F21C90">
        <w:t>This assessment therefore does not address any risks to the environment that may occur as the result of growing GM plants used in food production, or any risks to animals that may consume feed derived from GM plants.</w:t>
      </w:r>
    </w:p>
    <w:p w:rsidR="00093E01" w:rsidRPr="008F4BDF" w:rsidRDefault="00093E01" w:rsidP="00093E01"/>
    <w:p w:rsidR="00093E01" w:rsidRPr="008F4BDF" w:rsidRDefault="00093E01" w:rsidP="00093E01">
      <w:r w:rsidRPr="008F4BDF">
        <w:t xml:space="preserve">No potential public health and safety concerns have been identified. </w:t>
      </w:r>
      <w:r w:rsidR="00E01715">
        <w:t xml:space="preserve"> </w:t>
      </w:r>
      <w:r w:rsidR="00451E6D">
        <w:t>Based on</w:t>
      </w:r>
      <w:r w:rsidRPr="008F4BDF">
        <w:t xml:space="preserve"> the </w:t>
      </w:r>
      <w:r w:rsidR="00E01715">
        <w:t xml:space="preserve">scientific </w:t>
      </w:r>
      <w:r w:rsidRPr="008F4BDF">
        <w:t xml:space="preserve">data provided in the present Application, and other available information, food derived from </w:t>
      </w:r>
      <w:r>
        <w:t>soybean line SYHT0H2</w:t>
      </w:r>
      <w:r w:rsidRPr="008F4BDF">
        <w:t xml:space="preserve"> is considered to be as safe for human consumption as food derived from conventional soybean cultivars.</w:t>
      </w:r>
    </w:p>
    <w:p w:rsidR="0012388D" w:rsidRPr="00400169" w:rsidRDefault="007F7BF7" w:rsidP="000000FE">
      <w:pPr>
        <w:pStyle w:val="Heading2"/>
      </w:pPr>
      <w:bookmarkStart w:id="26" w:name="_Toc374451214"/>
      <w:r w:rsidRPr="00400169">
        <w:t>3</w:t>
      </w:r>
      <w:r w:rsidR="00AC428E" w:rsidRPr="00400169">
        <w:t>.2</w:t>
      </w:r>
      <w:r w:rsidR="00AC428E" w:rsidRPr="00400169">
        <w:tab/>
      </w:r>
      <w:r w:rsidR="004F69F6" w:rsidRPr="00400169">
        <w:t xml:space="preserve">Risk </w:t>
      </w:r>
      <w:r w:rsidR="007C22CB" w:rsidRPr="00400169">
        <w:t>m</w:t>
      </w:r>
      <w:r w:rsidR="004F69F6" w:rsidRPr="00400169">
        <w:t>anagement</w:t>
      </w:r>
      <w:bookmarkEnd w:id="25"/>
      <w:bookmarkEnd w:id="26"/>
    </w:p>
    <w:p w:rsidR="000000FE" w:rsidRPr="00400169" w:rsidRDefault="000000FE" w:rsidP="00307958">
      <w:pPr>
        <w:pStyle w:val="Heading3"/>
      </w:pPr>
      <w:bookmarkStart w:id="27" w:name="_Toc309742824"/>
      <w:bookmarkStart w:id="28" w:name="_Toc318448799"/>
      <w:bookmarkStart w:id="29" w:name="_Toc374451215"/>
      <w:bookmarkStart w:id="30" w:name="_Toc175381450"/>
      <w:r w:rsidRPr="00400169">
        <w:t>3.2.1</w:t>
      </w:r>
      <w:r w:rsidRPr="00400169">
        <w:tab/>
        <w:t>Labelling</w:t>
      </w:r>
      <w:bookmarkEnd w:id="27"/>
      <w:bookmarkEnd w:id="28"/>
      <w:bookmarkEnd w:id="29"/>
    </w:p>
    <w:p w:rsidR="000000FE" w:rsidRPr="00400169" w:rsidRDefault="000000FE" w:rsidP="000000FE">
      <w:r w:rsidRPr="00400169">
        <w:t xml:space="preserve">In accordance with </w:t>
      </w:r>
      <w:r w:rsidR="00E97033" w:rsidRPr="00400169">
        <w:t xml:space="preserve">the </w:t>
      </w:r>
      <w:r w:rsidRPr="00400169">
        <w:t>labelling pr</w:t>
      </w:r>
      <w:r w:rsidR="00593441" w:rsidRPr="00400169">
        <w:t>ovisions</w:t>
      </w:r>
      <w:r w:rsidR="00E97033" w:rsidRPr="00400169">
        <w:t xml:space="preserve"> in Standard 1.5.2</w:t>
      </w:r>
      <w:r w:rsidR="00CF15C9" w:rsidRPr="00400169">
        <w:t>, food deriv</w:t>
      </w:r>
      <w:r w:rsidR="00093E01">
        <w:t>ed from soybean line SYHT0H2</w:t>
      </w:r>
      <w:r w:rsidRPr="00400169">
        <w:t xml:space="preserve"> would have to be labelled as </w:t>
      </w:r>
      <w:r w:rsidR="00AC2CED" w:rsidRPr="00400169">
        <w:t>‘</w:t>
      </w:r>
      <w:r w:rsidRPr="00400169">
        <w:t>genetically modified</w:t>
      </w:r>
      <w:r w:rsidR="00AC2CED" w:rsidRPr="00400169">
        <w:t>’</w:t>
      </w:r>
      <w:r w:rsidRPr="00400169">
        <w:t xml:space="preserve"> if it contains novel DNA or novel protein, or has altered cha</w:t>
      </w:r>
      <w:r w:rsidR="00CF15C9" w:rsidRPr="00400169">
        <w:t>rac</w:t>
      </w:r>
      <w:r w:rsidR="00093E01">
        <w:t>teristics. Food from SYHT0H2</w:t>
      </w:r>
      <w:r w:rsidRPr="00400169">
        <w:t xml:space="preserve"> does not have altered characteristics.</w:t>
      </w:r>
    </w:p>
    <w:p w:rsidR="000000FE" w:rsidRPr="00400169" w:rsidRDefault="000000FE" w:rsidP="000000FE"/>
    <w:p w:rsidR="00147B53" w:rsidRDefault="00093E01" w:rsidP="00CF15C9">
      <w:r>
        <w:t>Soybean SYHT0H2</w:t>
      </w:r>
      <w:r w:rsidR="00CF15C9" w:rsidRPr="00400169">
        <w:t xml:space="preserve"> is intended primarily for use as a broad-acre commodity (field soybean) to produce products derived from cracked soybeans, and is not intended for vegetable or garden purposes where food-grade products may include tofu, soybean sprouts, soy milk, and green soybean (e.g. edamame). This latter type of soybean generally has a different size, flavour and texture to field soybean. </w:t>
      </w:r>
      <w:r w:rsidR="00147B53">
        <w:br w:type="page"/>
      </w:r>
    </w:p>
    <w:p w:rsidR="00CF15C9" w:rsidRPr="00400169" w:rsidRDefault="00CF15C9" w:rsidP="00CF15C9">
      <w:pPr>
        <w:rPr>
          <w:b/>
          <w:i/>
        </w:rPr>
      </w:pPr>
      <w:r w:rsidRPr="00400169">
        <w:lastRenderedPageBreak/>
        <w:t>The main food product from field soybean is refined oil. Processing during production means novel protein and novel DNA are not likely to be present in the oil</w:t>
      </w:r>
      <w:r w:rsidR="00155420">
        <w:t xml:space="preserve">; </w:t>
      </w:r>
      <w:r w:rsidR="00BE7CD8">
        <w:t xml:space="preserve">in the absence of novel protein and novel DNA, </w:t>
      </w:r>
      <w:r w:rsidR="00155420">
        <w:t xml:space="preserve">refined oil from soybean line SYHT0H2 </w:t>
      </w:r>
      <w:r w:rsidR="00BE7CD8">
        <w:t xml:space="preserve">would be exempt from labelling under paragraph 4(1)(c) of Standard 1.5.2. </w:t>
      </w:r>
      <w:r w:rsidRPr="00400169">
        <w:t xml:space="preserve">Other products such as protein </w:t>
      </w:r>
      <w:proofErr w:type="gramStart"/>
      <w:r w:rsidRPr="00400169">
        <w:t>concentrate,</w:t>
      </w:r>
      <w:proofErr w:type="gramEnd"/>
      <w:r w:rsidRPr="00400169">
        <w:t xml:space="preserve"> protein isolate and textured flour are likely to contain novel protein and/or novel DNA and if so, would require labelling.</w:t>
      </w:r>
    </w:p>
    <w:p w:rsidR="000000FE" w:rsidRPr="00400169" w:rsidRDefault="00DB123A" w:rsidP="000000FE">
      <w:pPr>
        <w:pStyle w:val="Heading3"/>
      </w:pPr>
      <w:bookmarkStart w:id="31" w:name="_Toc374451216"/>
      <w:r w:rsidRPr="00400169">
        <w:t>3.2</w:t>
      </w:r>
      <w:r w:rsidR="000000FE" w:rsidRPr="00400169">
        <w:t>.2</w:t>
      </w:r>
      <w:r w:rsidR="000000FE" w:rsidRPr="00400169">
        <w:tab/>
        <w:t>Detection methodology</w:t>
      </w:r>
      <w:bookmarkEnd w:id="31"/>
    </w:p>
    <w:p w:rsidR="00173BB9" w:rsidRPr="00400169" w:rsidRDefault="00173BB9" w:rsidP="00173BB9">
      <w:r w:rsidRPr="00400169">
        <w:t>An Expert Advisory Group (EAG), involving laboratory personnel and representatives of the Australian and Ne</w:t>
      </w:r>
      <w:r w:rsidR="00093E01">
        <w:t>w Zealand jurisdictions was</w:t>
      </w:r>
      <w:r w:rsidRPr="00400169">
        <w:t xml:space="preserve"> formed by the Food Regulation Standing Committee - Implementation Sub-Committee</w:t>
      </w:r>
      <w:r w:rsidR="00093E01">
        <w:rPr>
          <w:rStyle w:val="FootnoteReference"/>
        </w:rPr>
        <w:footnoteReference w:id="2"/>
      </w:r>
      <w:r w:rsidRPr="00400169">
        <w:t xml:space="preserve"> to identify and evaluate appropriate methods of analysis associated with all applications to FSANZ, including GM applications. </w:t>
      </w:r>
    </w:p>
    <w:p w:rsidR="00173BB9" w:rsidRPr="00400169" w:rsidRDefault="00173BB9" w:rsidP="00173BB9"/>
    <w:p w:rsidR="00173BB9" w:rsidRPr="00400169" w:rsidRDefault="00173BB9" w:rsidP="00173BB9">
      <w:r w:rsidRPr="00400169">
        <w:t>The EAG has indicated that for GM applications, the full DNA sequence of the insert and adjacent genomic DNA is sufficient data to be provided</w:t>
      </w:r>
      <w:r w:rsidR="00E01715">
        <w:t xml:space="preserve"> for analytical purp</w:t>
      </w:r>
      <w:r w:rsidR="007103E6">
        <w:t>o</w:t>
      </w:r>
      <w:r w:rsidR="00E01715">
        <w:t>ses</w:t>
      </w:r>
      <w:r w:rsidRPr="00400169">
        <w:t>. Using this information, any</w:t>
      </w:r>
      <w:r w:rsidR="00E01715">
        <w:t xml:space="preserve"> DNA</w:t>
      </w:r>
      <w:r w:rsidRPr="00400169">
        <w:t xml:space="preserve"> analytical laboratory would have the capability to develop a PCR-based detection method. This sequence information was suppli</w:t>
      </w:r>
      <w:r w:rsidR="00CF15C9" w:rsidRPr="00400169">
        <w:t>ed b</w:t>
      </w:r>
      <w:r w:rsidR="00093E01">
        <w:t>y the Applicants for SYHT0H2</w:t>
      </w:r>
      <w:r w:rsidRPr="00400169">
        <w:t xml:space="preserve"> to satisfy the requirement for detection methodology in the FSANZ </w:t>
      </w:r>
      <w:r w:rsidRPr="009549B7">
        <w:rPr>
          <w:i/>
        </w:rPr>
        <w:t>Application Handbook</w:t>
      </w:r>
      <w:r w:rsidRPr="00400169">
        <w:t xml:space="preserve"> </w:t>
      </w:r>
      <w:r w:rsidRPr="00400169">
        <w:fldChar w:fldCharType="begin"/>
      </w:r>
      <w:r w:rsidR="006E7E0C">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400169">
        <w:fldChar w:fldCharType="separate"/>
      </w:r>
      <w:r w:rsidR="00036E4B">
        <w:rPr>
          <w:noProof/>
        </w:rPr>
        <w:t>(FSANZ, 2011)</w:t>
      </w:r>
      <w:r w:rsidRPr="00400169">
        <w:fldChar w:fldCharType="end"/>
      </w:r>
      <w:r w:rsidRPr="00400169">
        <w:t>.</w:t>
      </w:r>
    </w:p>
    <w:p w:rsidR="00DB123A" w:rsidRPr="00400169" w:rsidRDefault="000000FE" w:rsidP="000000FE">
      <w:pPr>
        <w:pStyle w:val="Heading3"/>
      </w:pPr>
      <w:bookmarkStart w:id="32" w:name="_Toc374451217"/>
      <w:r w:rsidRPr="00400169">
        <w:t>3.2.3</w:t>
      </w:r>
      <w:r w:rsidRPr="00400169">
        <w:tab/>
      </w:r>
      <w:r w:rsidR="00DB123A" w:rsidRPr="00400169">
        <w:t>Summary of submissions</w:t>
      </w:r>
      <w:bookmarkEnd w:id="32"/>
      <w:r w:rsidR="00DB123A" w:rsidRPr="00400169">
        <w:t xml:space="preserve"> </w:t>
      </w:r>
    </w:p>
    <w:p w:rsidR="000000FE" w:rsidRPr="00400169" w:rsidRDefault="000000FE" w:rsidP="000000FE">
      <w:pPr>
        <w:rPr>
          <w:szCs w:val="22"/>
        </w:rPr>
      </w:pPr>
      <w:r w:rsidRPr="00400169">
        <w:rPr>
          <w:szCs w:val="22"/>
        </w:rPr>
        <w:t xml:space="preserve">Consultation is a key part of FSANZ’s standards development process. FSANZ acknowledges the time taken by individuals and organisations to make </w:t>
      </w:r>
      <w:r w:rsidR="00F97B01" w:rsidRPr="00400169">
        <w:rPr>
          <w:szCs w:val="22"/>
        </w:rPr>
        <w:t>submissions.</w:t>
      </w:r>
      <w:r w:rsidRPr="00400169">
        <w:rPr>
          <w:szCs w:val="22"/>
        </w:rPr>
        <w:t xml:space="preserve"> Every submission on an application or proposal is reviewed by FSANZ staff, </w:t>
      </w:r>
      <w:proofErr w:type="gramStart"/>
      <w:r w:rsidRPr="00400169">
        <w:rPr>
          <w:szCs w:val="22"/>
        </w:rPr>
        <w:t>who</w:t>
      </w:r>
      <w:proofErr w:type="gramEnd"/>
      <w:r w:rsidRPr="00400169">
        <w:rPr>
          <w:szCs w:val="22"/>
        </w:rPr>
        <w:t xml:space="preserve"> examine the issues identified and prepare a response</w:t>
      </w:r>
      <w:r w:rsidR="00FF3BF2" w:rsidRPr="00400169">
        <w:rPr>
          <w:szCs w:val="22"/>
        </w:rPr>
        <w:t xml:space="preserve"> to those issues</w:t>
      </w:r>
      <w:r w:rsidRPr="00400169">
        <w:rPr>
          <w:szCs w:val="22"/>
        </w:rPr>
        <w:t xml:space="preserve">. While </w:t>
      </w:r>
      <w:r w:rsidR="00FF3BF2" w:rsidRPr="00400169">
        <w:rPr>
          <w:szCs w:val="22"/>
        </w:rPr>
        <w:t xml:space="preserve">not all comments </w:t>
      </w:r>
      <w:r w:rsidRPr="00400169">
        <w:rPr>
          <w:szCs w:val="22"/>
        </w:rPr>
        <w:t>can be taken on board</w:t>
      </w:r>
      <w:r w:rsidR="00FF3BF2" w:rsidRPr="00400169">
        <w:rPr>
          <w:szCs w:val="22"/>
        </w:rPr>
        <w:t xml:space="preserve"> during the process</w:t>
      </w:r>
      <w:r w:rsidRPr="00400169">
        <w:rPr>
          <w:szCs w:val="22"/>
        </w:rPr>
        <w:t xml:space="preserve">, they are valued and all contribute to the rigour of our assessment. </w:t>
      </w:r>
    </w:p>
    <w:p w:rsidR="000000FE" w:rsidRPr="00400169" w:rsidRDefault="000000FE" w:rsidP="000000FE">
      <w:pPr>
        <w:rPr>
          <w:szCs w:val="22"/>
        </w:rPr>
      </w:pPr>
    </w:p>
    <w:p w:rsidR="00F4470B" w:rsidRDefault="000000FE" w:rsidP="007929D0">
      <w:pPr>
        <w:outlineLvl w:val="4"/>
        <w:rPr>
          <w:rFonts w:cs="Arial"/>
          <w:color w:val="000000" w:themeColor="text1"/>
          <w:szCs w:val="22"/>
        </w:rPr>
      </w:pPr>
      <w:r w:rsidRPr="007F720E">
        <w:rPr>
          <w:color w:val="000000" w:themeColor="text1"/>
          <w:szCs w:val="22"/>
        </w:rPr>
        <w:t>Public submissions were invited on a draft variation which was released for p</w:t>
      </w:r>
      <w:r w:rsidR="00173BB9" w:rsidRPr="007F720E">
        <w:rPr>
          <w:color w:val="000000" w:themeColor="text1"/>
          <w:szCs w:val="22"/>
        </w:rPr>
        <w:t xml:space="preserve">ublic comment between </w:t>
      </w:r>
      <w:r w:rsidR="00093E01" w:rsidRPr="007F720E">
        <w:rPr>
          <w:color w:val="000000" w:themeColor="text1"/>
          <w:szCs w:val="22"/>
        </w:rPr>
        <w:t xml:space="preserve">12 July </w:t>
      </w:r>
      <w:r w:rsidR="00E3670F">
        <w:rPr>
          <w:color w:val="000000" w:themeColor="text1"/>
          <w:szCs w:val="22"/>
        </w:rPr>
        <w:t>and</w:t>
      </w:r>
      <w:r w:rsidR="00093E01" w:rsidRPr="00955C39">
        <w:rPr>
          <w:color w:val="000000" w:themeColor="text1"/>
          <w:szCs w:val="22"/>
        </w:rPr>
        <w:t xml:space="preserve"> </w:t>
      </w:r>
      <w:r w:rsidR="00955C39" w:rsidRPr="00955C39">
        <w:rPr>
          <w:color w:val="000000" w:themeColor="text1"/>
          <w:szCs w:val="22"/>
        </w:rPr>
        <w:t>6 September</w:t>
      </w:r>
      <w:r w:rsidR="00093E01" w:rsidRPr="00955C39">
        <w:rPr>
          <w:color w:val="000000" w:themeColor="text1"/>
          <w:szCs w:val="22"/>
        </w:rPr>
        <w:t xml:space="preserve"> 2013</w:t>
      </w:r>
      <w:r w:rsidRPr="00955C39">
        <w:rPr>
          <w:color w:val="000000" w:themeColor="text1"/>
          <w:szCs w:val="22"/>
        </w:rPr>
        <w:t>.</w:t>
      </w:r>
      <w:r w:rsidRPr="007F720E">
        <w:rPr>
          <w:color w:val="000000" w:themeColor="text1"/>
          <w:szCs w:val="22"/>
        </w:rPr>
        <w:t xml:space="preserve"> </w:t>
      </w:r>
      <w:r w:rsidR="00333CED" w:rsidRPr="007929D0">
        <w:rPr>
          <w:color w:val="000000" w:themeColor="text1"/>
          <w:szCs w:val="22"/>
        </w:rPr>
        <w:t>Fifty</w:t>
      </w:r>
      <w:r w:rsidR="00BD739D">
        <w:rPr>
          <w:color w:val="000000" w:themeColor="text1"/>
          <w:szCs w:val="22"/>
        </w:rPr>
        <w:t>-three</w:t>
      </w:r>
      <w:r w:rsidRPr="007929D0">
        <w:rPr>
          <w:color w:val="000000" w:themeColor="text1"/>
          <w:szCs w:val="22"/>
        </w:rPr>
        <w:t xml:space="preserve"> submissions</w:t>
      </w:r>
      <w:r w:rsidR="00DC2F10" w:rsidRPr="007F720E">
        <w:rPr>
          <w:color w:val="000000" w:themeColor="text1"/>
          <w:szCs w:val="22"/>
        </w:rPr>
        <w:t xml:space="preserve"> were received, of which </w:t>
      </w:r>
      <w:r w:rsidR="007F720E" w:rsidRPr="007F720E">
        <w:rPr>
          <w:color w:val="000000" w:themeColor="text1"/>
          <w:szCs w:val="22"/>
        </w:rPr>
        <w:t>two did not object to</w:t>
      </w:r>
      <w:r w:rsidR="00F4470B" w:rsidRPr="007F720E">
        <w:rPr>
          <w:color w:val="000000" w:themeColor="text1"/>
          <w:szCs w:val="22"/>
        </w:rPr>
        <w:t xml:space="preserve"> th</w:t>
      </w:r>
      <w:r w:rsidR="0048001F" w:rsidRPr="007F720E">
        <w:rPr>
          <w:color w:val="000000" w:themeColor="text1"/>
          <w:szCs w:val="22"/>
        </w:rPr>
        <w:t>e proposed variation</w:t>
      </w:r>
      <w:r w:rsidR="007F720E">
        <w:rPr>
          <w:color w:val="000000" w:themeColor="text1"/>
          <w:szCs w:val="22"/>
        </w:rPr>
        <w:t xml:space="preserve"> and two supported the proposed variation</w:t>
      </w:r>
      <w:r w:rsidR="0048001F" w:rsidRPr="007F720E">
        <w:rPr>
          <w:color w:val="000000" w:themeColor="text1"/>
          <w:szCs w:val="22"/>
        </w:rPr>
        <w:t xml:space="preserve">. </w:t>
      </w:r>
      <w:r w:rsidR="00BD739D">
        <w:rPr>
          <w:rFonts w:cs="Arial"/>
          <w:color w:val="000000" w:themeColor="text1"/>
          <w:szCs w:val="22"/>
        </w:rPr>
        <w:t>Twenty-eight</w:t>
      </w:r>
      <w:r w:rsidR="00F4470B" w:rsidRPr="007F720E">
        <w:rPr>
          <w:rFonts w:cs="Arial"/>
          <w:color w:val="000000" w:themeColor="text1"/>
          <w:szCs w:val="22"/>
        </w:rPr>
        <w:t xml:space="preserve"> submissions</w:t>
      </w:r>
      <w:r w:rsidR="00FB3272" w:rsidRPr="007F720E">
        <w:rPr>
          <w:rFonts w:cs="Arial"/>
          <w:color w:val="000000" w:themeColor="text1"/>
          <w:szCs w:val="22"/>
        </w:rPr>
        <w:t xml:space="preserve"> were closely based on a campaign letter </w:t>
      </w:r>
      <w:r w:rsidR="0048001F" w:rsidRPr="007F720E">
        <w:rPr>
          <w:rFonts w:cs="Arial"/>
          <w:color w:val="000000" w:themeColor="text1"/>
          <w:szCs w:val="22"/>
        </w:rPr>
        <w:t xml:space="preserve">(designated Campaign1) circulated by the </w:t>
      </w:r>
      <w:proofErr w:type="spellStart"/>
      <w:r w:rsidR="0048001F" w:rsidRPr="0048001F">
        <w:rPr>
          <w:rFonts w:cs="Arial"/>
          <w:color w:val="000000" w:themeColor="text1"/>
          <w:szCs w:val="22"/>
        </w:rPr>
        <w:t>Truefood</w:t>
      </w:r>
      <w:proofErr w:type="spellEnd"/>
      <w:r w:rsidR="0048001F" w:rsidRPr="0048001F">
        <w:rPr>
          <w:rFonts w:cs="Arial"/>
          <w:color w:val="000000" w:themeColor="text1"/>
          <w:szCs w:val="22"/>
        </w:rPr>
        <w:t xml:space="preserve"> Network</w:t>
      </w:r>
      <w:r w:rsidR="009549B7">
        <w:rPr>
          <w:rStyle w:val="FootnoteReference"/>
          <w:rFonts w:cs="Arial"/>
          <w:color w:val="000000" w:themeColor="text1"/>
          <w:szCs w:val="22"/>
        </w:rPr>
        <w:footnoteReference w:id="3"/>
      </w:r>
      <w:r w:rsidR="0048001F" w:rsidRPr="0048001F">
        <w:rPr>
          <w:rFonts w:cs="Arial"/>
          <w:color w:val="000000" w:themeColor="text1"/>
          <w:szCs w:val="22"/>
        </w:rPr>
        <w:t xml:space="preserve"> </w:t>
      </w:r>
      <w:r w:rsidR="00C23794">
        <w:rPr>
          <w:rFonts w:cs="Arial"/>
          <w:color w:val="000000" w:themeColor="text1"/>
          <w:szCs w:val="22"/>
        </w:rPr>
        <w:t>and The Safe Food Foundation</w:t>
      </w:r>
      <w:r w:rsidR="009549B7">
        <w:rPr>
          <w:rStyle w:val="FootnoteReference"/>
          <w:rFonts w:cs="Arial"/>
          <w:color w:val="000000" w:themeColor="text1"/>
          <w:szCs w:val="22"/>
        </w:rPr>
        <w:footnoteReference w:id="4"/>
      </w:r>
      <w:r w:rsidR="00C23794">
        <w:rPr>
          <w:rFonts w:cs="Arial"/>
          <w:color w:val="000000" w:themeColor="text1"/>
          <w:szCs w:val="22"/>
        </w:rPr>
        <w:t xml:space="preserve"> </w:t>
      </w:r>
      <w:r w:rsidR="0048001F" w:rsidRPr="0048001F">
        <w:rPr>
          <w:rFonts w:cs="Arial"/>
          <w:color w:val="000000" w:themeColor="text1"/>
          <w:szCs w:val="22"/>
        </w:rPr>
        <w:t>on 15 July 2013</w:t>
      </w:r>
      <w:r w:rsidR="00BD739D">
        <w:rPr>
          <w:rFonts w:cs="Arial"/>
          <w:color w:val="000000" w:themeColor="text1"/>
          <w:szCs w:val="22"/>
        </w:rPr>
        <w:t>.</w:t>
      </w:r>
      <w:r w:rsidR="0048001F" w:rsidRPr="0048001F">
        <w:rPr>
          <w:rFonts w:cs="Arial"/>
          <w:color w:val="000000" w:themeColor="text1"/>
          <w:szCs w:val="22"/>
        </w:rPr>
        <w:t xml:space="preserve"> A campaign letter of unknown origin</w:t>
      </w:r>
      <w:r w:rsidR="0048001F">
        <w:rPr>
          <w:rFonts w:cs="Arial"/>
          <w:color w:val="000000" w:themeColor="text1"/>
          <w:szCs w:val="22"/>
        </w:rPr>
        <w:t xml:space="preserve"> (designated Campaign2)</w:t>
      </w:r>
      <w:r w:rsidR="00AB4320">
        <w:rPr>
          <w:rFonts w:cs="Arial"/>
          <w:color w:val="000000" w:themeColor="text1"/>
          <w:szCs w:val="22"/>
        </w:rPr>
        <w:t xml:space="preserve"> and with a smaller </w:t>
      </w:r>
      <w:r w:rsidR="00AB4320" w:rsidRPr="007929D0">
        <w:rPr>
          <w:rFonts w:cs="Arial"/>
          <w:color w:val="000000" w:themeColor="text1"/>
          <w:szCs w:val="22"/>
        </w:rPr>
        <w:t>following (seven</w:t>
      </w:r>
      <w:r w:rsidR="0048001F" w:rsidRPr="007929D0">
        <w:rPr>
          <w:rFonts w:cs="Arial"/>
          <w:color w:val="000000" w:themeColor="text1"/>
          <w:szCs w:val="22"/>
        </w:rPr>
        <w:t xml:space="preserve"> submitters) was also received. </w:t>
      </w:r>
      <w:r w:rsidR="00BD739D">
        <w:rPr>
          <w:rFonts w:cs="Arial"/>
          <w:color w:val="000000" w:themeColor="text1"/>
          <w:szCs w:val="22"/>
        </w:rPr>
        <w:t>Eleven</w:t>
      </w:r>
      <w:r w:rsidR="00972157" w:rsidRPr="007929D0">
        <w:rPr>
          <w:rFonts w:cs="Arial"/>
          <w:color w:val="000000" w:themeColor="text1"/>
          <w:szCs w:val="22"/>
        </w:rPr>
        <w:t xml:space="preserve"> submissions</w:t>
      </w:r>
      <w:r w:rsidR="0048001F" w:rsidRPr="007929D0">
        <w:rPr>
          <w:rFonts w:cs="Arial"/>
          <w:color w:val="000000" w:themeColor="text1"/>
          <w:szCs w:val="22"/>
        </w:rPr>
        <w:t xml:space="preserve"> </w:t>
      </w:r>
      <w:r w:rsidR="007F720E" w:rsidRPr="007929D0">
        <w:rPr>
          <w:rFonts w:cs="Arial"/>
          <w:color w:val="000000" w:themeColor="text1"/>
          <w:szCs w:val="22"/>
        </w:rPr>
        <w:t xml:space="preserve">objecting to the approval of food derived from SYHT0H2 </w:t>
      </w:r>
      <w:r w:rsidR="0048001F" w:rsidRPr="007929D0">
        <w:rPr>
          <w:rFonts w:cs="Arial"/>
          <w:color w:val="000000" w:themeColor="text1"/>
          <w:szCs w:val="22"/>
        </w:rPr>
        <w:t>were received from private</w:t>
      </w:r>
      <w:r w:rsidR="00AB4320" w:rsidRPr="007929D0">
        <w:rPr>
          <w:rFonts w:cs="Arial"/>
          <w:color w:val="000000" w:themeColor="text1"/>
          <w:szCs w:val="22"/>
        </w:rPr>
        <w:t>, independent</w:t>
      </w:r>
      <w:r w:rsidR="0048001F" w:rsidRPr="007929D0">
        <w:rPr>
          <w:rFonts w:cs="Arial"/>
          <w:color w:val="000000" w:themeColor="text1"/>
          <w:szCs w:val="22"/>
        </w:rPr>
        <w:t xml:space="preserve"> submitters</w:t>
      </w:r>
      <w:r w:rsidR="00972157" w:rsidRPr="007929D0">
        <w:rPr>
          <w:rFonts w:cs="Arial"/>
          <w:color w:val="000000" w:themeColor="text1"/>
          <w:szCs w:val="22"/>
        </w:rPr>
        <w:t xml:space="preserve"> and t</w:t>
      </w:r>
      <w:r w:rsidR="007929D0" w:rsidRPr="007929D0">
        <w:rPr>
          <w:rFonts w:cs="Arial"/>
          <w:color w:val="000000" w:themeColor="text1"/>
          <w:szCs w:val="22"/>
        </w:rPr>
        <w:t>hree</w:t>
      </w:r>
      <w:r w:rsidR="00972157" w:rsidRPr="007929D0">
        <w:rPr>
          <w:rFonts w:cs="Arial"/>
          <w:color w:val="000000" w:themeColor="text1"/>
          <w:szCs w:val="22"/>
        </w:rPr>
        <w:t xml:space="preserve"> submissions objecting to the approval were received from non-government organisations.</w:t>
      </w:r>
    </w:p>
    <w:p w:rsidR="00147B53" w:rsidRPr="007929D0" w:rsidRDefault="00147B53" w:rsidP="007929D0">
      <w:pPr>
        <w:outlineLvl w:val="4"/>
        <w:rPr>
          <w:rFonts w:cs="Arial"/>
          <w:b/>
          <w:bCs/>
          <w:color w:val="000000" w:themeColor="text1"/>
          <w:szCs w:val="22"/>
          <w:lang w:val="en" w:eastAsia="en-GB"/>
        </w:rPr>
      </w:pPr>
    </w:p>
    <w:p w:rsidR="007D18A8" w:rsidRDefault="00AB4320" w:rsidP="00147B53">
      <w:r w:rsidRPr="00AB4320">
        <w:t>The FSANZ safety assessment considers only the safety of GM food</w:t>
      </w:r>
      <w:r w:rsidR="00E026FE">
        <w:t xml:space="preserve"> for human consumption</w:t>
      </w:r>
      <w:r w:rsidRPr="00AB4320">
        <w:t>.</w:t>
      </w:r>
      <w:r w:rsidR="00D76C3E">
        <w:t xml:space="preserve"> Some subm</w:t>
      </w:r>
      <w:r w:rsidR="00177C05">
        <w:t>issions raised issues about</w:t>
      </w:r>
      <w:r w:rsidR="00E026FE">
        <w:t>:</w:t>
      </w:r>
      <w:r w:rsidR="00D76C3E">
        <w:t xml:space="preserve"> public perception of GM food</w:t>
      </w:r>
      <w:r w:rsidR="00E026FE">
        <w:t>;</w:t>
      </w:r>
      <w:r w:rsidR="007E484C">
        <w:t xml:space="preserve"> maintaining a GM-free trade status</w:t>
      </w:r>
      <w:r w:rsidR="00E026FE">
        <w:t xml:space="preserve">, </w:t>
      </w:r>
      <w:r w:rsidR="00E46281">
        <w:t>public</w:t>
      </w:r>
      <w:r w:rsidR="007E484C">
        <w:t xml:space="preserve"> perception of </w:t>
      </w:r>
      <w:r w:rsidR="00B679D8">
        <w:t>biotech developers;</w:t>
      </w:r>
      <w:r w:rsidR="00E026FE">
        <w:t xml:space="preserve"> feeding animals GM feed;</w:t>
      </w:r>
      <w:r w:rsidR="007E484C">
        <w:t xml:space="preserve"> </w:t>
      </w:r>
      <w:r w:rsidR="009B53EF">
        <w:t xml:space="preserve">alternative technologies, </w:t>
      </w:r>
      <w:r w:rsidR="00E026FE">
        <w:t>and</w:t>
      </w:r>
      <w:r w:rsidR="00E5372B">
        <w:t xml:space="preserve"> issues to do with </w:t>
      </w:r>
      <w:r w:rsidR="007D18A8">
        <w:t xml:space="preserve">the sustainability and </w:t>
      </w:r>
      <w:r w:rsidR="00E5372B">
        <w:t xml:space="preserve">growing </w:t>
      </w:r>
      <w:r w:rsidR="007D18A8">
        <w:t xml:space="preserve">of </w:t>
      </w:r>
      <w:r w:rsidR="00E5372B">
        <w:t>GM crops.</w:t>
      </w:r>
      <w:r w:rsidR="00D76C3E">
        <w:t xml:space="preserve"> Consideration of these issues is </w:t>
      </w:r>
      <w:r w:rsidR="0049385C">
        <w:t>outside FSANZ’s regulatory authority</w:t>
      </w:r>
      <w:r w:rsidR="00D76C3E">
        <w:t xml:space="preserve"> which deals primarily with the safety of food that is consumed. </w:t>
      </w:r>
    </w:p>
    <w:p w:rsidR="00147B53" w:rsidRDefault="00147B53" w:rsidP="00147B53"/>
    <w:p w:rsidR="001A77A9" w:rsidRDefault="00DC5F90" w:rsidP="00147B53">
      <w:r w:rsidRPr="00AB4320">
        <w:t xml:space="preserve">Environmental issues </w:t>
      </w:r>
      <w:r w:rsidR="001A77A9">
        <w:t>related to</w:t>
      </w:r>
      <w:r w:rsidR="00AB4320" w:rsidRPr="00AB4320">
        <w:t xml:space="preserve"> the growing of GM crops </w:t>
      </w:r>
      <w:r w:rsidR="00D76C3E">
        <w:t xml:space="preserve">and any possible effects on the environment </w:t>
      </w:r>
      <w:r w:rsidRPr="00AB4320">
        <w:t>are considered in Australia by the Office of the Gene Technology Regulator, and in New Zealand by the Env</w:t>
      </w:r>
      <w:r w:rsidR="001A77A9">
        <w:t>ironmental Protection Authority.</w:t>
      </w:r>
      <w:r w:rsidRPr="00AB4320">
        <w:t xml:space="preserve"> </w:t>
      </w:r>
    </w:p>
    <w:p w:rsidR="00147B53" w:rsidRDefault="00147B53" w:rsidP="00147B53"/>
    <w:p w:rsidR="00147B53" w:rsidRDefault="00147B53" w:rsidP="00147B53">
      <w:r>
        <w:br w:type="page"/>
      </w:r>
    </w:p>
    <w:p w:rsidR="0049385C" w:rsidRPr="00AB4320" w:rsidRDefault="0049385C" w:rsidP="00147B53">
      <w:r>
        <w:lastRenderedPageBreak/>
        <w:t>As a result of comments received, minor changes in the wording of some areas of the safety assessment have been made to improve clarity or address typographical errors.</w:t>
      </w:r>
    </w:p>
    <w:p w:rsidR="00FA2ECB" w:rsidRPr="00AB4320" w:rsidRDefault="00326B7E" w:rsidP="00A47976">
      <w:pPr>
        <w:pStyle w:val="Heading4"/>
        <w:rPr>
          <w:color w:val="000000" w:themeColor="text1"/>
        </w:rPr>
      </w:pPr>
      <w:r w:rsidRPr="00AB4320">
        <w:rPr>
          <w:color w:val="000000" w:themeColor="text1"/>
        </w:rPr>
        <w:t>3.2.3.1</w:t>
      </w:r>
      <w:r w:rsidRPr="00AB4320">
        <w:rPr>
          <w:color w:val="000000" w:themeColor="text1"/>
        </w:rPr>
        <w:tab/>
      </w:r>
      <w:r w:rsidR="00FA2ECB" w:rsidRPr="00AB4320">
        <w:rPr>
          <w:color w:val="000000" w:themeColor="text1"/>
        </w:rPr>
        <w:t>General issues</w:t>
      </w:r>
    </w:p>
    <w:p w:rsidR="000000FE" w:rsidRPr="00AB4320" w:rsidRDefault="00D01C0A" w:rsidP="000000FE">
      <w:pPr>
        <w:rPr>
          <w:color w:val="000000" w:themeColor="text1"/>
          <w:szCs w:val="22"/>
        </w:rPr>
      </w:pPr>
      <w:r w:rsidRPr="00AB4320">
        <w:rPr>
          <w:color w:val="000000" w:themeColor="text1"/>
          <w:szCs w:val="22"/>
        </w:rPr>
        <w:t>Responses to</w:t>
      </w:r>
      <w:r w:rsidR="00220151">
        <w:rPr>
          <w:color w:val="000000" w:themeColor="text1"/>
          <w:szCs w:val="22"/>
        </w:rPr>
        <w:t xml:space="preserve"> seven</w:t>
      </w:r>
      <w:r w:rsidR="001570BF" w:rsidRPr="00AB4320">
        <w:rPr>
          <w:color w:val="000000" w:themeColor="text1"/>
          <w:szCs w:val="22"/>
        </w:rPr>
        <w:t xml:space="preserve"> </w:t>
      </w:r>
      <w:r w:rsidR="000000FE" w:rsidRPr="00AB4320">
        <w:rPr>
          <w:color w:val="000000" w:themeColor="text1"/>
          <w:szCs w:val="22"/>
        </w:rPr>
        <w:t xml:space="preserve">general issues raised or implied, are </w:t>
      </w:r>
      <w:r w:rsidR="00C228CA" w:rsidRPr="00AB4320">
        <w:rPr>
          <w:color w:val="000000" w:themeColor="text1"/>
          <w:szCs w:val="22"/>
        </w:rPr>
        <w:t>provided in Table 1</w:t>
      </w:r>
      <w:r w:rsidR="000000FE" w:rsidRPr="00AB4320">
        <w:rPr>
          <w:color w:val="000000" w:themeColor="text1"/>
          <w:szCs w:val="22"/>
        </w:rPr>
        <w:t xml:space="preserve">. </w:t>
      </w:r>
    </w:p>
    <w:p w:rsidR="00DB123A" w:rsidRPr="00AB4320" w:rsidRDefault="00DB123A" w:rsidP="00DB123A">
      <w:pPr>
        <w:rPr>
          <w:color w:val="000000" w:themeColor="text1"/>
          <w:lang w:bidi="ar-SA"/>
        </w:rPr>
      </w:pPr>
    </w:p>
    <w:p w:rsidR="00DB123A" w:rsidRPr="00C17686" w:rsidRDefault="00DB123A" w:rsidP="00DB123A">
      <w:pPr>
        <w:keepNext/>
        <w:rPr>
          <w:rFonts w:cs="Arial"/>
          <w:b/>
          <w:color w:val="000000" w:themeColor="text1"/>
        </w:rPr>
      </w:pPr>
      <w:r w:rsidRPr="00C17686">
        <w:rPr>
          <w:rFonts w:cs="Arial"/>
          <w:b/>
          <w:color w:val="000000" w:themeColor="text1"/>
        </w:rPr>
        <w:t xml:space="preserve">Table 1: Summary of </w:t>
      </w:r>
      <w:r w:rsidR="00082517" w:rsidRPr="00C17686">
        <w:rPr>
          <w:rFonts w:cs="Arial"/>
          <w:b/>
          <w:color w:val="000000" w:themeColor="text1"/>
        </w:rPr>
        <w:t xml:space="preserve">general </w:t>
      </w:r>
      <w:r w:rsidRPr="00C17686">
        <w:rPr>
          <w:rFonts w:cs="Arial"/>
          <w:b/>
          <w:color w:val="000000" w:themeColor="text1"/>
        </w:rPr>
        <w:t xml:space="preserve">issues </w:t>
      </w:r>
      <w:proofErr w:type="gramStart"/>
      <w:r w:rsidRPr="00C17686">
        <w:rPr>
          <w:rFonts w:cs="Arial"/>
          <w:b/>
          <w:color w:val="000000" w:themeColor="text1"/>
        </w:rPr>
        <w:t>raised</w:t>
      </w:r>
      <w:proofErr w:type="gramEnd"/>
      <w:r w:rsidRPr="00C17686">
        <w:rPr>
          <w:rFonts w:cs="Arial"/>
          <w:b/>
          <w:color w:val="000000" w:themeColor="text1"/>
        </w:rPr>
        <w:t xml:space="preserve"> in submissions</w:t>
      </w:r>
    </w:p>
    <w:p w:rsidR="00DB123A" w:rsidRPr="00C17686" w:rsidRDefault="00DB123A" w:rsidP="00DB123A">
      <w:pPr>
        <w:keepNext/>
        <w:rPr>
          <w:rFonts w:cs="Arial"/>
          <w:b/>
          <w:color w:val="000000" w:themeColor="text1"/>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5165"/>
      </w:tblGrid>
      <w:tr w:rsidR="00183AFF" w:rsidRPr="00C17686" w:rsidTr="00147B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rsidR="00DB123A" w:rsidRPr="00C17686" w:rsidRDefault="00DB123A" w:rsidP="006D33FF">
            <w:pPr>
              <w:keepNext/>
              <w:spacing w:after="240"/>
              <w:rPr>
                <w:color w:val="000000" w:themeColor="text1"/>
              </w:rPr>
            </w:pPr>
            <w:r w:rsidRPr="00C17686">
              <w:rPr>
                <w:color w:val="000000" w:themeColor="text1"/>
              </w:rPr>
              <w:t>Issue</w:t>
            </w:r>
          </w:p>
        </w:tc>
        <w:tc>
          <w:tcPr>
            <w:tcW w:w="2268" w:type="dxa"/>
            <w:tcBorders>
              <w:top w:val="single" w:sz="4" w:space="0" w:color="auto"/>
              <w:left w:val="single" w:sz="4" w:space="0" w:color="auto"/>
              <w:bottom w:val="single" w:sz="4" w:space="0" w:color="auto"/>
              <w:right w:val="single" w:sz="4" w:space="0" w:color="auto"/>
            </w:tcBorders>
          </w:tcPr>
          <w:p w:rsidR="00DB123A" w:rsidRPr="00C17686" w:rsidRDefault="00DB123A" w:rsidP="006D33FF">
            <w:pPr>
              <w:keepNext/>
              <w:spacing w:after="240"/>
              <w:cnfStyle w:val="100000000000" w:firstRow="1" w:lastRow="0" w:firstColumn="0" w:lastColumn="0" w:oddVBand="0" w:evenVBand="0" w:oddHBand="0" w:evenHBand="0" w:firstRowFirstColumn="0" w:firstRowLastColumn="0" w:lastRowFirstColumn="0" w:lastRowLastColumn="0"/>
              <w:rPr>
                <w:color w:val="000000" w:themeColor="text1"/>
              </w:rPr>
            </w:pPr>
            <w:r w:rsidRPr="00C17686">
              <w:rPr>
                <w:color w:val="000000" w:themeColor="text1"/>
              </w:rPr>
              <w:t>Raised by</w:t>
            </w:r>
          </w:p>
        </w:tc>
        <w:tc>
          <w:tcPr>
            <w:tcW w:w="5165" w:type="dxa"/>
            <w:tcBorders>
              <w:top w:val="single" w:sz="4" w:space="0" w:color="auto"/>
              <w:left w:val="single" w:sz="4" w:space="0" w:color="auto"/>
              <w:bottom w:val="single" w:sz="4" w:space="0" w:color="auto"/>
              <w:right w:val="single" w:sz="4" w:space="0" w:color="auto"/>
            </w:tcBorders>
          </w:tcPr>
          <w:p w:rsidR="00DB123A" w:rsidRPr="00C17686" w:rsidRDefault="00DB123A" w:rsidP="006D33FF">
            <w:pPr>
              <w:keepNext/>
              <w:spacing w:after="240"/>
              <w:cnfStyle w:val="100000000000" w:firstRow="1" w:lastRow="0" w:firstColumn="0" w:lastColumn="0" w:oddVBand="0" w:evenVBand="0" w:oddHBand="0" w:evenHBand="0" w:firstRowFirstColumn="0" w:firstRowLastColumn="0" w:lastRowFirstColumn="0" w:lastRowLastColumn="0"/>
              <w:rPr>
                <w:color w:val="000000" w:themeColor="text1"/>
              </w:rPr>
            </w:pPr>
            <w:r w:rsidRPr="00C17686">
              <w:rPr>
                <w:color w:val="000000" w:themeColor="text1"/>
              </w:rPr>
              <w:t>FSANZ Response (including any amendments to drafting)</w:t>
            </w:r>
          </w:p>
        </w:tc>
      </w:tr>
      <w:tr w:rsidR="00D01C0A" w:rsidRPr="00A66619" w:rsidTr="00147B5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right w:val="none" w:sz="0" w:space="0" w:color="auto"/>
            </w:tcBorders>
          </w:tcPr>
          <w:p w:rsidR="00D01C0A" w:rsidRPr="00C17686" w:rsidRDefault="005C59D0" w:rsidP="00F26866">
            <w:pPr>
              <w:pStyle w:val="Table2"/>
              <w:ind w:left="0" w:firstLine="0"/>
              <w:rPr>
                <w:b w:val="0"/>
                <w:bCs/>
                <w:color w:val="000000" w:themeColor="text1"/>
              </w:rPr>
            </w:pPr>
            <w:r w:rsidRPr="00C17686">
              <w:rPr>
                <w:color w:val="000000" w:themeColor="text1"/>
              </w:rPr>
              <w:t xml:space="preserve">Concern with </w:t>
            </w:r>
            <w:r w:rsidR="00E04148">
              <w:rPr>
                <w:color w:val="000000" w:themeColor="text1"/>
              </w:rPr>
              <w:t xml:space="preserve">the safety of </w:t>
            </w:r>
            <w:r w:rsidRPr="00C17686">
              <w:rPr>
                <w:color w:val="000000" w:themeColor="text1"/>
              </w:rPr>
              <w:t>all GM food</w:t>
            </w:r>
          </w:p>
          <w:p w:rsidR="00DB123A" w:rsidRPr="00C17686" w:rsidRDefault="00DB123A">
            <w:pPr>
              <w:pStyle w:val="Table2"/>
              <w:rPr>
                <w:color w:val="000000" w:themeColor="text1"/>
              </w:rPr>
            </w:pPr>
          </w:p>
        </w:tc>
        <w:tc>
          <w:tcPr>
            <w:tcW w:w="2268" w:type="dxa"/>
            <w:tcBorders>
              <w:top w:val="single" w:sz="4" w:space="0" w:color="auto"/>
              <w:left w:val="none" w:sz="0" w:space="0" w:color="auto"/>
              <w:bottom w:val="single" w:sz="4" w:space="0" w:color="auto"/>
              <w:right w:val="none" w:sz="0" w:space="0" w:color="auto"/>
            </w:tcBorders>
          </w:tcPr>
          <w:p w:rsidR="00AB4320" w:rsidRDefault="00AB4320"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C17686">
              <w:rPr>
                <w:color w:val="000000" w:themeColor="text1"/>
              </w:rPr>
              <w:t>Campaign2</w:t>
            </w:r>
          </w:p>
          <w:p w:rsidR="00802C7B" w:rsidRPr="00C17686" w:rsidRDefault="00802C7B"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Physicians &amp; Scientists for Global Responsibil</w:t>
            </w:r>
            <w:r w:rsidR="006C24B7">
              <w:rPr>
                <w:color w:val="000000" w:themeColor="text1"/>
              </w:rPr>
              <w:t>i</w:t>
            </w:r>
            <w:r>
              <w:rPr>
                <w:color w:val="000000" w:themeColor="text1"/>
              </w:rPr>
              <w:t>ty</w:t>
            </w:r>
          </w:p>
          <w:p w:rsidR="007E484C" w:rsidRDefault="007E484C"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Caroline Davies</w:t>
            </w:r>
          </w:p>
          <w:p w:rsidR="0038048E" w:rsidRPr="00C17686" w:rsidRDefault="00AB4320"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C17686">
              <w:rPr>
                <w:color w:val="000000" w:themeColor="text1"/>
              </w:rPr>
              <w:t>Michelle Denise</w:t>
            </w:r>
          </w:p>
          <w:p w:rsidR="007E484C" w:rsidRDefault="007E484C"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Hugh Halliday</w:t>
            </w:r>
          </w:p>
          <w:p w:rsidR="00AB4320" w:rsidRDefault="00AB4320"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C17686">
              <w:rPr>
                <w:color w:val="000000" w:themeColor="text1"/>
              </w:rPr>
              <w:t>Fe</w:t>
            </w:r>
            <w:r w:rsidR="00E5372B">
              <w:rPr>
                <w:color w:val="000000" w:themeColor="text1"/>
              </w:rPr>
              <w:t>r</w:t>
            </w:r>
            <w:r w:rsidRPr="00C17686">
              <w:rPr>
                <w:color w:val="000000" w:themeColor="text1"/>
              </w:rPr>
              <w:t>nando Longo</w:t>
            </w:r>
          </w:p>
          <w:p w:rsidR="009C0A5F" w:rsidRDefault="009C0A5F"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Claire </w:t>
            </w:r>
            <w:proofErr w:type="spellStart"/>
            <w:r>
              <w:rPr>
                <w:color w:val="000000" w:themeColor="text1"/>
              </w:rPr>
              <w:t>McFee</w:t>
            </w:r>
            <w:proofErr w:type="spellEnd"/>
          </w:p>
          <w:p w:rsidR="009B53EF" w:rsidRDefault="009B53EF"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w:t>
            </w:r>
            <w:r w:rsidR="00A75943">
              <w:rPr>
                <w:color w:val="000000" w:themeColor="text1"/>
              </w:rPr>
              <w:t>ichael</w:t>
            </w:r>
            <w:r>
              <w:rPr>
                <w:color w:val="000000" w:themeColor="text1"/>
              </w:rPr>
              <w:t xml:space="preserve"> McLaren</w:t>
            </w:r>
          </w:p>
          <w:p w:rsidR="00B11450" w:rsidRDefault="00B11450"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Biddy Myers</w:t>
            </w:r>
          </w:p>
          <w:p w:rsidR="00955C39" w:rsidRDefault="00955C39"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Elizabeth Stewart</w:t>
            </w:r>
          </w:p>
          <w:p w:rsidR="005349BF" w:rsidRDefault="005349BF"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John Sutcliffe</w:t>
            </w:r>
          </w:p>
          <w:p w:rsidR="005349BF" w:rsidRPr="00C17686" w:rsidRDefault="005349BF" w:rsidP="00C17686">
            <w:pPr>
              <w:pStyle w:val="Table2"/>
              <w:numPr>
                <w:ilvl w:val="0"/>
                <w:numId w:val="14"/>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Helen Weir</w:t>
            </w:r>
          </w:p>
          <w:p w:rsidR="00AB4320" w:rsidRPr="00C17686" w:rsidRDefault="00AB4320" w:rsidP="007E484C">
            <w:pPr>
              <w:pStyle w:val="Table2"/>
              <w:ind w:left="318" w:firstLine="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top w:val="single" w:sz="4" w:space="0" w:color="auto"/>
              <w:left w:val="none" w:sz="0" w:space="0" w:color="auto"/>
              <w:bottom w:val="single" w:sz="4" w:space="0" w:color="auto"/>
            </w:tcBorders>
          </w:tcPr>
          <w:p w:rsidR="001A77A9" w:rsidRDefault="001A77A9" w:rsidP="001A77A9">
            <w:pPr>
              <w:pStyle w:val="Table2"/>
              <w:cnfStyle w:val="000000100000" w:firstRow="0" w:lastRow="0" w:firstColumn="0" w:lastColumn="0" w:oddVBand="0" w:evenVBand="0" w:oddHBand="1" w:evenHBand="0" w:firstRowFirstColumn="0" w:firstRowLastColumn="0" w:lastRowFirstColumn="0" w:lastRowLastColumn="0"/>
            </w:pPr>
            <w:r>
              <w:t xml:space="preserve">The approach used by FSANZ to assess the safety of GM food is based on core principles developed almost 20 years ago and published as guidelines by the Codex Alimentarius Commission (Codex, 2003; Codex, 2004). Over time, the assessment protocol has been the subject of scientific </w:t>
            </w:r>
            <w:proofErr w:type="gramStart"/>
            <w:r>
              <w:t>scrutiny,</w:t>
            </w:r>
            <w:proofErr w:type="gramEnd"/>
            <w:r>
              <w:t xml:space="preserve"> however it has proved to be a robust approach for whole food safety assessments. It is widely adopted and implemented around the world. While philosophical opposition to the technology remains, consumers can be confident that GM foods assessed under the protocol and approved for food use are as safe as their conventional counterparts. </w:t>
            </w:r>
          </w:p>
          <w:p w:rsidR="001A77A9" w:rsidRDefault="001A77A9" w:rsidP="001A77A9">
            <w:pPr>
              <w:pStyle w:val="Table2"/>
              <w:cnfStyle w:val="000000100000" w:firstRow="0" w:lastRow="0" w:firstColumn="0" w:lastColumn="0" w:oddVBand="0" w:evenVBand="0" w:oddHBand="1" w:evenHBand="0" w:firstRowFirstColumn="0" w:firstRowLastColumn="0" w:lastRowFirstColumn="0" w:lastRowLastColumn="0"/>
            </w:pPr>
          </w:p>
          <w:p w:rsidR="001A77A9" w:rsidRDefault="001A77A9" w:rsidP="001A77A9">
            <w:pPr>
              <w:pStyle w:val="Table2"/>
              <w:cnfStyle w:val="000000100000" w:firstRow="0" w:lastRow="0" w:firstColumn="0" w:lastColumn="0" w:oddVBand="0" w:evenVBand="0" w:oddHBand="1" w:evenHBand="0" w:firstRowFirstColumn="0" w:firstRowLastColumn="0" w:lastRowFirstColumn="0" w:lastRowLastColumn="0"/>
            </w:pPr>
            <w:r>
              <w:t xml:space="preserve">Studies cited as evidence of safety concerns with certain GM foods have been examined by FSANZ and other scientific experts around the world.  The studies have been subject to significant scientific criticism and generally are not supported. Responses to several recent publications are available on the FSANZ website </w:t>
            </w:r>
            <w:r w:rsidRPr="00C17686">
              <w:rPr>
                <w:color w:val="000000" w:themeColor="text1"/>
              </w:rPr>
              <w:t>(</w:t>
            </w:r>
            <w:hyperlink r:id="rId17" w:history="1">
              <w:r w:rsidRPr="00DF0978">
                <w:rPr>
                  <w:rStyle w:val="Hyperlink"/>
                </w:rPr>
                <w:t>http://www.foodstandards.gov.au/consumer/gmfood/adverse/Pages/default.aspx</w:t>
              </w:r>
            </w:hyperlink>
            <w:r>
              <w:rPr>
                <w:color w:val="FF0000"/>
              </w:rPr>
              <w:t xml:space="preserve"> </w:t>
            </w:r>
            <w:r w:rsidRPr="00C17686">
              <w:rPr>
                <w:color w:val="000000" w:themeColor="text1"/>
              </w:rPr>
              <w:t>).</w:t>
            </w:r>
          </w:p>
          <w:p w:rsidR="004576CC" w:rsidRPr="000871B8" w:rsidRDefault="004576CC" w:rsidP="00B500FF">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38048E" w:rsidRPr="00A66619" w:rsidTr="00F322B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38048E" w:rsidRPr="000871B8" w:rsidRDefault="00D60489" w:rsidP="00F26866">
            <w:pPr>
              <w:pStyle w:val="Table2"/>
              <w:ind w:left="0" w:firstLine="0"/>
              <w:rPr>
                <w:b w:val="0"/>
                <w:bCs/>
                <w:color w:val="000000" w:themeColor="text1"/>
              </w:rPr>
            </w:pPr>
            <w:r>
              <w:rPr>
                <w:color w:val="000000" w:themeColor="text1"/>
              </w:rPr>
              <w:t>The conduct of the FSANZ safety assessment</w:t>
            </w:r>
          </w:p>
        </w:tc>
        <w:tc>
          <w:tcPr>
            <w:tcW w:w="2268" w:type="dxa"/>
            <w:tcBorders>
              <w:left w:val="single" w:sz="4" w:space="0" w:color="auto"/>
              <w:right w:val="single" w:sz="4" w:space="0" w:color="auto"/>
            </w:tcBorders>
          </w:tcPr>
          <w:p w:rsidR="009C0A5F" w:rsidRDefault="009C0A5F" w:rsidP="000871B8">
            <w:pPr>
              <w:pStyle w:val="Table2"/>
              <w:numPr>
                <w:ilvl w:val="0"/>
                <w:numId w:val="16"/>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 xml:space="preserve">Claire </w:t>
            </w:r>
            <w:proofErr w:type="spellStart"/>
            <w:r>
              <w:rPr>
                <w:color w:val="000000" w:themeColor="text1"/>
              </w:rPr>
              <w:t>McFee</w:t>
            </w:r>
            <w:proofErr w:type="spellEnd"/>
          </w:p>
          <w:p w:rsidR="00DC7BD0" w:rsidRDefault="00D76C3E" w:rsidP="000871B8">
            <w:pPr>
              <w:pStyle w:val="Table2"/>
              <w:numPr>
                <w:ilvl w:val="0"/>
                <w:numId w:val="16"/>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0871B8">
              <w:rPr>
                <w:color w:val="000000" w:themeColor="text1"/>
              </w:rPr>
              <w:t>Hugh Halliday</w:t>
            </w:r>
          </w:p>
          <w:p w:rsidR="005349BF" w:rsidRDefault="005349BF" w:rsidP="000871B8">
            <w:pPr>
              <w:pStyle w:val="Table2"/>
              <w:numPr>
                <w:ilvl w:val="0"/>
                <w:numId w:val="16"/>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Biddy Myers</w:t>
            </w:r>
          </w:p>
          <w:p w:rsidR="00333CED" w:rsidRDefault="00333CED" w:rsidP="000871B8">
            <w:pPr>
              <w:pStyle w:val="Table2"/>
              <w:numPr>
                <w:ilvl w:val="0"/>
                <w:numId w:val="16"/>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GE Free NZ</w:t>
            </w:r>
          </w:p>
          <w:p w:rsidR="007929D0" w:rsidRPr="000871B8" w:rsidRDefault="007929D0" w:rsidP="000871B8">
            <w:pPr>
              <w:pStyle w:val="Table2"/>
              <w:numPr>
                <w:ilvl w:val="0"/>
                <w:numId w:val="16"/>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Gene Ethics</w:t>
            </w:r>
          </w:p>
        </w:tc>
        <w:tc>
          <w:tcPr>
            <w:tcW w:w="5165" w:type="dxa"/>
            <w:tcBorders>
              <w:left w:val="single" w:sz="4" w:space="0" w:color="auto"/>
            </w:tcBorders>
          </w:tcPr>
          <w:p w:rsidR="00D76C3E" w:rsidRPr="000871B8" w:rsidRDefault="00D76C3E" w:rsidP="009549B7">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szCs w:val="18"/>
              </w:rPr>
            </w:pPr>
            <w:r w:rsidRPr="000871B8">
              <w:rPr>
                <w:color w:val="000000" w:themeColor="text1"/>
                <w:szCs w:val="18"/>
              </w:rPr>
              <w:t xml:space="preserve">The conduct of all FSANZ GM safety assessments is subject to an approach outlined in a Guidance Document </w:t>
            </w:r>
            <w:r w:rsidRPr="000871B8">
              <w:rPr>
                <w:color w:val="000000" w:themeColor="text1"/>
                <w:szCs w:val="18"/>
              </w:rPr>
              <w:fldChar w:fldCharType="begin"/>
            </w:r>
            <w:r w:rsidR="006E7E0C">
              <w:rPr>
                <w:color w:val="000000" w:themeColor="text1"/>
                <w:szCs w:val="18"/>
              </w:rPr>
              <w:instrText xml:space="preserve"> ADDIN REFMGR.CITE &lt;Refman&gt;&lt;Cite&gt;&lt;Author&gt;FSANZ&lt;/Author&gt;&lt;Year&gt;2007&lt;/Year&gt;&lt;RecNum&gt;541&lt;/RecNum&gt;&lt;IDText&gt;Safety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Pr="000871B8">
              <w:rPr>
                <w:color w:val="000000" w:themeColor="text1"/>
                <w:szCs w:val="18"/>
              </w:rPr>
              <w:fldChar w:fldCharType="separate"/>
            </w:r>
            <w:r w:rsidRPr="000871B8">
              <w:rPr>
                <w:noProof/>
                <w:color w:val="000000" w:themeColor="text1"/>
                <w:szCs w:val="18"/>
              </w:rPr>
              <w:t>(FSANZ, 2007)</w:t>
            </w:r>
            <w:r w:rsidRPr="000871B8">
              <w:rPr>
                <w:color w:val="000000" w:themeColor="text1"/>
                <w:szCs w:val="18"/>
              </w:rPr>
              <w:fldChar w:fldCharType="end"/>
            </w:r>
            <w:r w:rsidRPr="000871B8">
              <w:rPr>
                <w:color w:val="000000" w:themeColor="text1"/>
                <w:szCs w:val="18"/>
              </w:rPr>
              <w:t xml:space="preserve">. The data requirements to support this approach are provided in the FSANZ </w:t>
            </w:r>
            <w:r w:rsidRPr="000871B8">
              <w:rPr>
                <w:i/>
                <w:color w:val="000000" w:themeColor="text1"/>
                <w:szCs w:val="18"/>
              </w:rPr>
              <w:t>Application Handbook</w:t>
            </w:r>
            <w:r w:rsidRPr="000871B8">
              <w:rPr>
                <w:color w:val="000000" w:themeColor="text1"/>
                <w:szCs w:val="18"/>
              </w:rPr>
              <w:t xml:space="preserve"> </w:t>
            </w:r>
            <w:r w:rsidRPr="000871B8">
              <w:rPr>
                <w:color w:val="000000" w:themeColor="text1"/>
                <w:szCs w:val="18"/>
              </w:rPr>
              <w:fldChar w:fldCharType="begin"/>
            </w:r>
            <w:r w:rsidR="006E7E0C">
              <w:rPr>
                <w:color w:val="000000" w:themeColor="text1"/>
                <w:szCs w:val="18"/>
              </w:rPr>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0871B8">
              <w:rPr>
                <w:color w:val="000000" w:themeColor="text1"/>
                <w:szCs w:val="18"/>
              </w:rPr>
              <w:fldChar w:fldCharType="separate"/>
            </w:r>
            <w:r w:rsidRPr="000871B8">
              <w:rPr>
                <w:noProof/>
                <w:color w:val="000000" w:themeColor="text1"/>
                <w:szCs w:val="18"/>
              </w:rPr>
              <w:t>(FSANZ, 2011)</w:t>
            </w:r>
            <w:r w:rsidRPr="000871B8">
              <w:rPr>
                <w:color w:val="000000" w:themeColor="text1"/>
                <w:szCs w:val="18"/>
              </w:rPr>
              <w:fldChar w:fldCharType="end"/>
            </w:r>
            <w:r w:rsidRPr="000871B8">
              <w:rPr>
                <w:color w:val="000000" w:themeColor="text1"/>
                <w:szCs w:val="18"/>
              </w:rPr>
              <w:t xml:space="preserve">. </w:t>
            </w:r>
          </w:p>
          <w:p w:rsidR="00D76C3E" w:rsidRPr="000871B8" w:rsidRDefault="00D76C3E" w:rsidP="009549B7">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p>
          <w:p w:rsidR="0038048E" w:rsidRPr="000871B8" w:rsidRDefault="0038048E" w:rsidP="009549B7">
            <w:pPr>
              <w:pStyle w:val="Table2"/>
              <w:ind w:left="113" w:hanging="113"/>
              <w:cnfStyle w:val="000000010000" w:firstRow="0" w:lastRow="0" w:firstColumn="0" w:lastColumn="0" w:oddVBand="0" w:evenVBand="0" w:oddHBand="0" w:evenHBand="1" w:firstRowFirstColumn="0" w:firstRowLastColumn="0" w:lastRowFirstColumn="0" w:lastRowLastColumn="0"/>
              <w:rPr>
                <w:rStyle w:val="Hyperlink"/>
                <w:color w:val="000000" w:themeColor="text1"/>
              </w:rPr>
            </w:pPr>
            <w:r w:rsidRPr="000871B8">
              <w:rPr>
                <w:color w:val="000000" w:themeColor="text1"/>
              </w:rPr>
              <w:t xml:space="preserve">A detailed description of the process </w:t>
            </w:r>
            <w:r w:rsidR="00F07B0F" w:rsidRPr="000871B8">
              <w:rPr>
                <w:color w:val="000000" w:themeColor="text1"/>
              </w:rPr>
              <w:t>used by</w:t>
            </w:r>
            <w:r w:rsidRPr="000871B8">
              <w:rPr>
                <w:color w:val="000000" w:themeColor="text1"/>
              </w:rPr>
              <w:t xml:space="preserve"> FSANZ </w:t>
            </w:r>
            <w:r w:rsidR="00F07B0F" w:rsidRPr="000871B8">
              <w:rPr>
                <w:color w:val="000000" w:themeColor="text1"/>
              </w:rPr>
              <w:t xml:space="preserve">for the </w:t>
            </w:r>
            <w:r w:rsidRPr="000871B8">
              <w:rPr>
                <w:color w:val="000000" w:themeColor="text1"/>
              </w:rPr>
              <w:t xml:space="preserve">safety assessment of GM foods is available on the FSANZ website at </w:t>
            </w:r>
            <w:hyperlink r:id="rId18" w:history="1">
              <w:r w:rsidR="000871B8" w:rsidRPr="00DF0978">
                <w:rPr>
                  <w:rStyle w:val="Hyperlink"/>
                </w:rPr>
                <w:t>http://www.foodstandards.gov.au/consumer/gmfood/safety/Pages/default.aspx</w:t>
              </w:r>
            </w:hyperlink>
          </w:p>
          <w:p w:rsidR="0038048E" w:rsidRPr="000871B8" w:rsidRDefault="0038048E" w:rsidP="009549B7">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p w:rsidR="00D952BB" w:rsidRDefault="00D952BB" w:rsidP="009549B7">
            <w:pPr>
              <w:pStyle w:val="Table2"/>
              <w:ind w:left="113" w:hanging="113"/>
              <w:cnfStyle w:val="000000010000" w:firstRow="0" w:lastRow="0" w:firstColumn="0" w:lastColumn="0" w:oddVBand="0" w:evenVBand="0" w:oddHBand="0" w:evenHBand="1" w:firstRowFirstColumn="0" w:firstRowLastColumn="0" w:lastRowFirstColumn="0" w:lastRowLastColumn="0"/>
            </w:pPr>
            <w:r w:rsidRPr="000871B8">
              <w:rPr>
                <w:color w:val="000000" w:themeColor="text1"/>
              </w:rPr>
              <w:t xml:space="preserve">In 2008, an external review of the FSANZ GM food safety assessment procedure was undertaken and identified a number of strengths (see FSANZ website at  </w:t>
            </w:r>
            <w:hyperlink r:id="rId19" w:history="1">
              <w:r w:rsidR="00D76C3E" w:rsidRPr="00DF0978">
                <w:rPr>
                  <w:rStyle w:val="Hyperlink"/>
                </w:rPr>
                <w:t>http://www.foodstandards.gov.au/consumer/gmfood/Pages/reviewofgeneticallym4394.aspx</w:t>
              </w:r>
            </w:hyperlink>
          </w:p>
          <w:p w:rsidR="00326B7E" w:rsidRPr="00EA3676" w:rsidRDefault="00326B7E" w:rsidP="009549B7">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tc>
      </w:tr>
      <w:tr w:rsidR="0038048E" w:rsidRPr="00A66619" w:rsidTr="00F322B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38048E" w:rsidRPr="00F34CF8" w:rsidRDefault="0038048E" w:rsidP="00F26866">
            <w:pPr>
              <w:pStyle w:val="Table2"/>
              <w:ind w:left="0" w:firstLine="0"/>
              <w:rPr>
                <w:b w:val="0"/>
                <w:bCs/>
                <w:color w:val="000000" w:themeColor="text1"/>
              </w:rPr>
            </w:pPr>
            <w:r w:rsidRPr="00F34CF8">
              <w:rPr>
                <w:color w:val="000000" w:themeColor="text1"/>
              </w:rPr>
              <w:lastRenderedPageBreak/>
              <w:t>Labelling of GM food</w:t>
            </w:r>
          </w:p>
        </w:tc>
        <w:tc>
          <w:tcPr>
            <w:tcW w:w="2268" w:type="dxa"/>
            <w:tcBorders>
              <w:left w:val="single" w:sz="4" w:space="0" w:color="auto"/>
              <w:right w:val="single" w:sz="4" w:space="0" w:color="auto"/>
            </w:tcBorders>
          </w:tcPr>
          <w:p w:rsidR="00BE7CD8" w:rsidRDefault="0071592F" w:rsidP="0071592F">
            <w:pPr>
              <w:pStyle w:val="Table2"/>
              <w:numPr>
                <w:ilvl w:val="0"/>
                <w:numId w:val="15"/>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F34CF8">
              <w:rPr>
                <w:color w:val="000000" w:themeColor="text1"/>
              </w:rPr>
              <w:t>Physicians &amp; Scientists for Global Responsibility</w:t>
            </w:r>
          </w:p>
          <w:p w:rsidR="00B500FF" w:rsidRPr="00F34CF8" w:rsidRDefault="00B500FF" w:rsidP="0071592F">
            <w:pPr>
              <w:pStyle w:val="Table2"/>
              <w:numPr>
                <w:ilvl w:val="0"/>
                <w:numId w:val="15"/>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Michael McLaren</w:t>
            </w:r>
          </w:p>
          <w:p w:rsidR="00F56B47" w:rsidRPr="00F34CF8" w:rsidRDefault="00F56B47">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left w:val="single" w:sz="4" w:space="0" w:color="auto"/>
            </w:tcBorders>
          </w:tcPr>
          <w:p w:rsidR="001A77A9" w:rsidRDefault="00356F53" w:rsidP="009549B7">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O</w:t>
            </w:r>
            <w:r w:rsidR="00F34CF8" w:rsidRPr="00F34CF8">
              <w:rPr>
                <w:rFonts w:cs="Arial"/>
                <w:color w:val="000000" w:themeColor="text1"/>
              </w:rPr>
              <w:t>nly those GM foods assessed by FSANZ as safe are approved for sale</w:t>
            </w:r>
            <w:r>
              <w:rPr>
                <w:rFonts w:cs="Arial"/>
                <w:color w:val="000000" w:themeColor="text1"/>
              </w:rPr>
              <w:t xml:space="preserve">. </w:t>
            </w:r>
            <w:r w:rsidR="00F34CF8" w:rsidRPr="00F34CF8">
              <w:rPr>
                <w:rFonts w:cs="Arial"/>
                <w:color w:val="000000" w:themeColor="text1"/>
              </w:rPr>
              <w:t xml:space="preserve">Labelling of </w:t>
            </w:r>
            <w:r>
              <w:rPr>
                <w:rFonts w:cs="Arial"/>
                <w:color w:val="000000" w:themeColor="text1"/>
              </w:rPr>
              <w:t xml:space="preserve">approved </w:t>
            </w:r>
            <w:r w:rsidR="00F34CF8" w:rsidRPr="00F34CF8">
              <w:rPr>
                <w:rFonts w:cs="Arial"/>
                <w:color w:val="000000" w:themeColor="text1"/>
              </w:rPr>
              <w:t>GM food allows consumers to make a meaningful and informed choice about the food they purchase.</w:t>
            </w:r>
            <w:r>
              <w:rPr>
                <w:rFonts w:cs="Arial"/>
                <w:color w:val="000000" w:themeColor="text1"/>
              </w:rPr>
              <w:t xml:space="preserve"> </w:t>
            </w:r>
            <w:r w:rsidR="001A77A9">
              <w:rPr>
                <w:rFonts w:cs="Arial"/>
                <w:color w:val="000000" w:themeColor="text1"/>
              </w:rPr>
              <w:t>The labelling requirements for GM foods are set out in Standard 1.5.2 (</w:t>
            </w:r>
            <w:hyperlink r:id="rId20" w:history="1">
              <w:r w:rsidR="001A77A9" w:rsidRPr="00E445BE">
                <w:rPr>
                  <w:rStyle w:val="Hyperlink"/>
                  <w:rFonts w:cs="Arial"/>
                </w:rPr>
                <w:t>http://www.comlaw.gov.au/Series/F2008B00628</w:t>
              </w:r>
            </w:hyperlink>
            <w:r w:rsidR="001A77A9">
              <w:rPr>
                <w:rFonts w:cs="Arial"/>
                <w:color w:val="000000" w:themeColor="text1"/>
              </w:rPr>
              <w:t>).</w:t>
            </w:r>
          </w:p>
          <w:p w:rsidR="001A77A9" w:rsidRDefault="001A77A9" w:rsidP="009549B7">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rsidR="00F34CF8" w:rsidRDefault="00356F53" w:rsidP="009549B7">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 xml:space="preserve">Various </w:t>
            </w:r>
            <w:r w:rsidR="00BA7D81">
              <w:rPr>
                <w:rFonts w:cs="Arial"/>
                <w:color w:val="000000" w:themeColor="text1"/>
              </w:rPr>
              <w:t xml:space="preserve">other </w:t>
            </w:r>
            <w:r>
              <w:rPr>
                <w:rFonts w:cs="Arial"/>
                <w:color w:val="000000" w:themeColor="text1"/>
              </w:rPr>
              <w:t xml:space="preserve">documents are available on the FSANZ website </w:t>
            </w:r>
            <w:r w:rsidR="00451E6D">
              <w:rPr>
                <w:rFonts w:cs="Arial"/>
                <w:color w:val="000000" w:themeColor="text1"/>
              </w:rPr>
              <w:t>explaining</w:t>
            </w:r>
            <w:r>
              <w:rPr>
                <w:rFonts w:cs="Arial"/>
                <w:color w:val="000000" w:themeColor="text1"/>
              </w:rPr>
              <w:t xml:space="preserve"> the labelling requirements for GM foods. Links to these documents are provided below.</w:t>
            </w:r>
          </w:p>
          <w:p w:rsidR="0062703C" w:rsidRPr="00F34CF8" w:rsidRDefault="0062703C" w:rsidP="009549B7">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p w:rsidR="0038048E" w:rsidRDefault="0038048E" w:rsidP="009549B7">
            <w:pPr>
              <w:pStyle w:val="Table2"/>
              <w:ind w:left="113" w:hanging="113"/>
              <w:cnfStyle w:val="000000100000" w:firstRow="0" w:lastRow="0" w:firstColumn="0" w:lastColumn="0" w:oddVBand="0" w:evenVBand="0" w:oddHBand="1" w:evenHBand="0" w:firstRowFirstColumn="0" w:firstRowLastColumn="0" w:lastRowFirstColumn="0" w:lastRowLastColumn="0"/>
            </w:pPr>
            <w:r w:rsidRPr="00F34CF8">
              <w:rPr>
                <w:color w:val="000000" w:themeColor="text1"/>
              </w:rPr>
              <w:t xml:space="preserve">Labelling of GM Foods </w:t>
            </w:r>
          </w:p>
          <w:p w:rsidR="003C1864" w:rsidRDefault="00FC22F0" w:rsidP="009549B7">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hyperlink r:id="rId21" w:history="1">
              <w:r w:rsidR="003C1864" w:rsidRPr="008E2697">
                <w:rPr>
                  <w:rStyle w:val="Hyperlink"/>
                </w:rPr>
                <w:t>http://www.foodstandards.gov.au/consumer/gmfood/labelling/pages/default.aspx</w:t>
              </w:r>
            </w:hyperlink>
          </w:p>
          <w:p w:rsidR="003C1864" w:rsidRPr="00F34CF8" w:rsidRDefault="003C1864" w:rsidP="009549B7">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p w:rsidR="0038048E" w:rsidRDefault="0038048E" w:rsidP="009549B7">
            <w:pPr>
              <w:pStyle w:val="Table2"/>
              <w:ind w:left="113" w:hanging="113"/>
              <w:cnfStyle w:val="000000100000" w:firstRow="0" w:lastRow="0" w:firstColumn="0" w:lastColumn="0" w:oddVBand="0" w:evenVBand="0" w:oddHBand="1" w:evenHBand="0" w:firstRowFirstColumn="0" w:firstRowLastColumn="0" w:lastRowFirstColumn="0" w:lastRowLastColumn="0"/>
              <w:rPr>
                <w:rStyle w:val="Hyperlink"/>
                <w:color w:val="0000FF"/>
              </w:rPr>
            </w:pPr>
            <w:r w:rsidRPr="00F34CF8">
              <w:rPr>
                <w:color w:val="000000" w:themeColor="text1"/>
              </w:rPr>
              <w:t xml:space="preserve">GM Labelling Review Report </w:t>
            </w:r>
            <w:hyperlink r:id="rId22" w:history="1">
              <w:r w:rsidRPr="00333CED">
                <w:rPr>
                  <w:rStyle w:val="Hyperlink"/>
                  <w:color w:val="0000FF"/>
                </w:rPr>
                <w:t>http://www.foodstandards.gov.au/newsroom/publications/gmlabellingreviewrep2460.cfm</w:t>
              </w:r>
            </w:hyperlink>
          </w:p>
          <w:p w:rsidR="00326B7E" w:rsidRPr="00F34CF8" w:rsidRDefault="00326B7E" w:rsidP="009549B7">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tc>
      </w:tr>
      <w:tr w:rsidR="0038048E" w:rsidRPr="00A66619" w:rsidTr="00DE60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none" w:sz="0" w:space="0" w:color="auto"/>
            </w:tcBorders>
          </w:tcPr>
          <w:p w:rsidR="0038048E" w:rsidRPr="00326826" w:rsidRDefault="00C579B4" w:rsidP="00F26866">
            <w:pPr>
              <w:pStyle w:val="Table2"/>
              <w:ind w:left="0" w:firstLine="0"/>
              <w:rPr>
                <w:b w:val="0"/>
                <w:bCs/>
                <w:color w:val="000000" w:themeColor="text1"/>
              </w:rPr>
            </w:pPr>
            <w:r w:rsidRPr="00326826">
              <w:rPr>
                <w:color w:val="000000" w:themeColor="text1"/>
              </w:rPr>
              <w:t>General c</w:t>
            </w:r>
            <w:r w:rsidR="0038048E" w:rsidRPr="00326826">
              <w:rPr>
                <w:color w:val="000000" w:themeColor="text1"/>
              </w:rPr>
              <w:t xml:space="preserve">oncern with </w:t>
            </w:r>
            <w:r w:rsidR="009C228D" w:rsidRPr="00326826">
              <w:rPr>
                <w:color w:val="000000" w:themeColor="text1"/>
              </w:rPr>
              <w:t xml:space="preserve">the </w:t>
            </w:r>
            <w:r w:rsidRPr="00326826">
              <w:rPr>
                <w:color w:val="000000" w:themeColor="text1"/>
              </w:rPr>
              <w:t>spraying</w:t>
            </w:r>
            <w:r w:rsidR="007B5F7A">
              <w:rPr>
                <w:color w:val="000000" w:themeColor="text1"/>
              </w:rPr>
              <w:t>/use of</w:t>
            </w:r>
            <w:r w:rsidRPr="00326826">
              <w:rPr>
                <w:color w:val="000000" w:themeColor="text1"/>
              </w:rPr>
              <w:t xml:space="preserve"> </w:t>
            </w:r>
            <w:r w:rsidR="0038048E" w:rsidRPr="00326826">
              <w:rPr>
                <w:color w:val="000000" w:themeColor="text1"/>
              </w:rPr>
              <w:t>herbicides</w:t>
            </w:r>
          </w:p>
        </w:tc>
        <w:tc>
          <w:tcPr>
            <w:tcW w:w="2268" w:type="dxa"/>
            <w:tcBorders>
              <w:left w:val="none" w:sz="0" w:space="0" w:color="auto"/>
              <w:bottom w:val="single" w:sz="4" w:space="0" w:color="auto"/>
              <w:right w:val="none" w:sz="0" w:space="0" w:color="auto"/>
            </w:tcBorders>
          </w:tcPr>
          <w:p w:rsidR="00326B7E" w:rsidRDefault="00C17686" w:rsidP="00C17686">
            <w:pPr>
              <w:pStyle w:val="Table2"/>
              <w:numPr>
                <w:ilvl w:val="0"/>
                <w:numId w:val="15"/>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326826">
              <w:rPr>
                <w:color w:val="000000" w:themeColor="text1"/>
              </w:rPr>
              <w:t>Campaign1</w:t>
            </w:r>
          </w:p>
          <w:p w:rsidR="0071592F" w:rsidRDefault="0071592F" w:rsidP="00C17686">
            <w:pPr>
              <w:pStyle w:val="Table2"/>
              <w:numPr>
                <w:ilvl w:val="0"/>
                <w:numId w:val="15"/>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Physicians &amp; Scientists for Global Responsibility</w:t>
            </w:r>
          </w:p>
          <w:p w:rsidR="009B53EF" w:rsidRPr="00326826" w:rsidRDefault="009B53EF" w:rsidP="00C17686">
            <w:pPr>
              <w:pStyle w:val="Table2"/>
              <w:numPr>
                <w:ilvl w:val="0"/>
                <w:numId w:val="15"/>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 McLaren</w:t>
            </w:r>
          </w:p>
          <w:p w:rsidR="00C17686" w:rsidRPr="00326826" w:rsidRDefault="00C17686" w:rsidP="00C17686">
            <w:pPr>
              <w:pStyle w:val="Table2"/>
              <w:numPr>
                <w:ilvl w:val="0"/>
                <w:numId w:val="15"/>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326826">
              <w:rPr>
                <w:color w:val="000000" w:themeColor="text1"/>
              </w:rPr>
              <w:t>L.H. Worsley (Note this submitter was concerned about the use of glyphosate, which is not associated with A1081).</w:t>
            </w:r>
          </w:p>
          <w:p w:rsidR="00C579B4" w:rsidRPr="00326826" w:rsidRDefault="00C579B4" w:rsidP="00C579B4">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r w:rsidRPr="00326826">
              <w:rPr>
                <w:color w:val="000000" w:themeColor="text1"/>
              </w:rPr>
              <w:t xml:space="preserve"> </w:t>
            </w:r>
          </w:p>
        </w:tc>
        <w:tc>
          <w:tcPr>
            <w:tcW w:w="5165" w:type="dxa"/>
            <w:tcBorders>
              <w:left w:val="none" w:sz="0" w:space="0" w:color="auto"/>
              <w:bottom w:val="single" w:sz="4" w:space="0" w:color="auto"/>
            </w:tcBorders>
          </w:tcPr>
          <w:p w:rsidR="003835C1" w:rsidRDefault="003835C1" w:rsidP="003835C1">
            <w:pPr>
              <w:pStyle w:val="ListParagraph"/>
              <w:widowControl w:val="0"/>
              <w:ind w:left="113" w:hanging="113"/>
              <w:cnfStyle w:val="000000010000" w:firstRow="0" w:lastRow="0" w:firstColumn="0" w:lastColumn="0" w:oddVBand="0" w:evenVBand="0" w:oddHBand="0" w:evenHBand="1" w:firstRowFirstColumn="0" w:firstRowLastColumn="0" w:lastRowFirstColumn="0" w:lastRowLastColumn="0"/>
              <w:rPr>
                <w:rStyle w:val="Hyperlink"/>
                <w:rFonts w:ascii="Arial" w:hAnsi="Arial" w:cs="Arial"/>
                <w:sz w:val="18"/>
                <w:szCs w:val="18"/>
              </w:rPr>
            </w:pPr>
            <w:r w:rsidRPr="00326826">
              <w:rPr>
                <w:rFonts w:ascii="Arial" w:hAnsi="Arial" w:cs="Arial"/>
                <w:color w:val="000000" w:themeColor="text1"/>
                <w:sz w:val="18"/>
                <w:szCs w:val="18"/>
                <w:lang w:val="en-GB"/>
              </w:rPr>
              <w:t>The use of agricultural and veterinary chemicals is subject to strict government regulation in most trading countries. In Australia and New Zealand, residues of agricultural and veterinary chemicals are prohibited in food (both GM and non-GM) unless they comply with specific limits referred to as M</w:t>
            </w:r>
            <w:r>
              <w:rPr>
                <w:rFonts w:ascii="Arial" w:hAnsi="Arial" w:cs="Arial"/>
                <w:color w:val="000000" w:themeColor="text1"/>
                <w:sz w:val="18"/>
                <w:szCs w:val="18"/>
                <w:lang w:val="en-GB"/>
              </w:rPr>
              <w:t xml:space="preserve">aximum Residue Limits (MRLs). </w:t>
            </w:r>
            <w:r w:rsidRPr="00326826">
              <w:rPr>
                <w:rFonts w:ascii="Arial" w:hAnsi="Arial" w:cs="Arial"/>
                <w:color w:val="000000" w:themeColor="text1"/>
                <w:sz w:val="18"/>
                <w:szCs w:val="18"/>
                <w:lang w:val="en-GB"/>
              </w:rPr>
              <w:t xml:space="preserve">The setting of MRLs ensures that residues of agricultural and veterinary chemicals are kept as low as possible and consistent with the approved use of chemical products to control pests and diseases of plants and animals. For further details see the FSANZ website at </w:t>
            </w:r>
            <w:hyperlink r:id="rId23" w:history="1">
              <w:r w:rsidRPr="00326826">
                <w:rPr>
                  <w:rStyle w:val="Hyperlink"/>
                  <w:rFonts w:ascii="Arial" w:hAnsi="Arial" w:cs="Arial"/>
                  <w:sz w:val="18"/>
                  <w:szCs w:val="18"/>
                </w:rPr>
                <w:t>http://www.foodstandards.gov.au/consumer/chemicals/maxresidue/Pages/default.aspx</w:t>
              </w:r>
            </w:hyperlink>
          </w:p>
          <w:p w:rsidR="003835C1" w:rsidRPr="00326826" w:rsidRDefault="003835C1" w:rsidP="003835C1">
            <w:pPr>
              <w:pStyle w:val="ListParagraph"/>
              <w:widowControl w:val="0"/>
              <w:ind w:left="113" w:hanging="113"/>
              <w:cnfStyle w:val="000000010000" w:firstRow="0" w:lastRow="0" w:firstColumn="0" w:lastColumn="0" w:oddVBand="0" w:evenVBand="0" w:oddHBand="0" w:evenHBand="1" w:firstRowFirstColumn="0" w:firstRowLastColumn="0" w:lastRowFirstColumn="0" w:lastRowLastColumn="0"/>
              <w:rPr>
                <w:rStyle w:val="Hyperlink"/>
                <w:rFonts w:ascii="Arial" w:hAnsi="Arial" w:cs="Arial"/>
                <w:bCs/>
                <w:color w:val="auto"/>
                <w:sz w:val="18"/>
                <w:szCs w:val="18"/>
                <w:u w:val="none"/>
                <w:lang w:val="en-GB" w:eastAsia="en-US" w:bidi="en-US"/>
              </w:rPr>
            </w:pPr>
          </w:p>
          <w:p w:rsidR="001A77A9" w:rsidRDefault="001A77A9" w:rsidP="001A77A9">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szCs w:val="22"/>
              </w:rPr>
            </w:pPr>
            <w:r>
              <w:rPr>
                <w:color w:val="000000" w:themeColor="text1"/>
                <w:szCs w:val="22"/>
              </w:rPr>
              <w:t>MRL</w:t>
            </w:r>
            <w:r w:rsidR="003835C1">
              <w:rPr>
                <w:color w:val="000000" w:themeColor="text1"/>
                <w:szCs w:val="22"/>
              </w:rPr>
              <w:t>s are</w:t>
            </w:r>
            <w:r>
              <w:rPr>
                <w:color w:val="000000" w:themeColor="text1"/>
                <w:szCs w:val="22"/>
              </w:rPr>
              <w:t xml:space="preserve"> entered into the Schedule in Standard 1.4.2 Maximum Residue</w:t>
            </w:r>
            <w:r w:rsidR="003835C1">
              <w:rPr>
                <w:color w:val="000000" w:themeColor="text1"/>
                <w:szCs w:val="22"/>
              </w:rPr>
              <w:t xml:space="preserve"> Limits in the Code, and apply</w:t>
            </w:r>
            <w:r>
              <w:rPr>
                <w:color w:val="000000" w:themeColor="text1"/>
                <w:szCs w:val="22"/>
              </w:rPr>
              <w:t xml:space="preserve"> to the listed food commodity, regardless of whether it is a conventional or GM crop.</w:t>
            </w:r>
          </w:p>
          <w:p w:rsidR="001A77A9" w:rsidRDefault="001A77A9" w:rsidP="001A77A9">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szCs w:val="22"/>
              </w:rPr>
            </w:pPr>
          </w:p>
          <w:p w:rsidR="00FB43D1" w:rsidRDefault="001A77A9" w:rsidP="001A77A9">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szCs w:val="22"/>
              </w:rPr>
            </w:pPr>
            <w:r>
              <w:rPr>
                <w:color w:val="000000" w:themeColor="text1"/>
                <w:szCs w:val="22"/>
              </w:rPr>
              <w:t xml:space="preserve">While the use of a particular herbicide on a tolerant crop typically results in a different pattern of usage of that herbicide compared with conventional crops, it does not necessarily result in any significant change in residues. </w:t>
            </w:r>
          </w:p>
          <w:p w:rsidR="001069AB" w:rsidRPr="00464B0F" w:rsidRDefault="001069AB" w:rsidP="001A77A9">
            <w:pPr>
              <w:pStyle w:val="Table2"/>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tc>
      </w:tr>
      <w:tr w:rsidR="00687FA7" w:rsidRPr="00A66619" w:rsidTr="00DE60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687FA7" w:rsidRPr="00D92EE0" w:rsidRDefault="00687FA7" w:rsidP="00F26866">
            <w:pPr>
              <w:pStyle w:val="Table2"/>
              <w:ind w:left="0" w:firstLine="0"/>
              <w:rPr>
                <w:b w:val="0"/>
                <w:bCs/>
                <w:color w:val="000000" w:themeColor="text1"/>
              </w:rPr>
            </w:pPr>
            <w:r w:rsidRPr="00D92EE0">
              <w:rPr>
                <w:color w:val="000000" w:themeColor="text1"/>
              </w:rPr>
              <w:t>Horizontal gene transfer to gut bacteria</w:t>
            </w:r>
            <w:r w:rsidR="00F34CF8">
              <w:rPr>
                <w:color w:val="000000" w:themeColor="text1"/>
              </w:rPr>
              <w:t xml:space="preserve"> and safety of ingesting recombinant DNA</w:t>
            </w:r>
          </w:p>
        </w:tc>
        <w:tc>
          <w:tcPr>
            <w:tcW w:w="2268" w:type="dxa"/>
            <w:tcBorders>
              <w:left w:val="single" w:sz="4" w:space="0" w:color="auto"/>
              <w:right w:val="single" w:sz="4" w:space="0" w:color="auto"/>
            </w:tcBorders>
          </w:tcPr>
          <w:p w:rsidR="00687FA7" w:rsidRPr="00D92EE0" w:rsidRDefault="00687FA7" w:rsidP="00D60489">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sidRPr="00D92EE0">
              <w:rPr>
                <w:color w:val="000000" w:themeColor="text1"/>
              </w:rPr>
              <w:t xml:space="preserve">Physicians &amp; Scientists for Global Responsibility </w:t>
            </w:r>
          </w:p>
          <w:p w:rsidR="00687FA7" w:rsidRPr="00D92EE0" w:rsidRDefault="00687FA7">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5165" w:type="dxa"/>
            <w:tcBorders>
              <w:left w:val="single" w:sz="4" w:space="0" w:color="auto"/>
            </w:tcBorders>
          </w:tcPr>
          <w:p w:rsidR="00687FA7" w:rsidRDefault="00E16376" w:rsidP="009549B7">
            <w:pPr>
              <w:pStyle w:val="Table2"/>
              <w:ind w:left="113" w:hanging="113"/>
              <w:cnfStyle w:val="000000100000" w:firstRow="0" w:lastRow="0" w:firstColumn="0" w:lastColumn="0" w:oddVBand="0" w:evenVBand="0" w:oddHBand="1" w:evenHBand="0" w:firstRowFirstColumn="0" w:firstRowLastColumn="0" w:lastRowFirstColumn="0" w:lastRowLastColumn="0"/>
            </w:pPr>
            <w:r>
              <w:rPr>
                <w:color w:val="000000" w:themeColor="text1"/>
              </w:rPr>
              <w:t xml:space="preserve">There is no indication that novel genetic material in food will have an impact on human health. This </w:t>
            </w:r>
            <w:r w:rsidR="00056D19">
              <w:rPr>
                <w:color w:val="000000" w:themeColor="text1"/>
              </w:rPr>
              <w:t>issue</w:t>
            </w:r>
            <w:r w:rsidR="00056D19" w:rsidRPr="00D92EE0">
              <w:rPr>
                <w:color w:val="000000" w:themeColor="text1"/>
              </w:rPr>
              <w:t xml:space="preserve"> </w:t>
            </w:r>
            <w:r w:rsidR="00056D19">
              <w:rPr>
                <w:color w:val="000000" w:themeColor="text1"/>
              </w:rPr>
              <w:t xml:space="preserve">has been </w:t>
            </w:r>
            <w:r w:rsidR="00D92EE0" w:rsidRPr="00D92EE0">
              <w:rPr>
                <w:color w:val="000000" w:themeColor="text1"/>
              </w:rPr>
              <w:t>considered</w:t>
            </w:r>
            <w:r w:rsidR="00EF49D4" w:rsidRPr="00D92EE0">
              <w:rPr>
                <w:color w:val="000000" w:themeColor="text1"/>
              </w:rPr>
              <w:t xml:space="preserve"> </w:t>
            </w:r>
            <w:r w:rsidR="00056D19">
              <w:rPr>
                <w:color w:val="000000" w:themeColor="text1"/>
              </w:rPr>
              <w:t>i</w:t>
            </w:r>
            <w:r w:rsidR="003835C1">
              <w:rPr>
                <w:color w:val="000000" w:themeColor="text1"/>
              </w:rPr>
              <w:t>n detail by FSANZ and a summary</w:t>
            </w:r>
            <w:r w:rsidR="00056D19">
              <w:rPr>
                <w:color w:val="000000" w:themeColor="text1"/>
              </w:rPr>
              <w:t xml:space="preserve"> is available on the</w:t>
            </w:r>
            <w:r w:rsidR="00EF49D4" w:rsidRPr="00D92EE0">
              <w:rPr>
                <w:color w:val="000000" w:themeColor="text1"/>
              </w:rPr>
              <w:t xml:space="preserve"> FSANZ website </w:t>
            </w:r>
            <w:hyperlink r:id="rId24" w:history="1">
              <w:r w:rsidR="00D92EE0" w:rsidRPr="00B72FE7">
                <w:rPr>
                  <w:rStyle w:val="Hyperlink"/>
                </w:rPr>
                <w:t>http://www.foodstandards.gov.au/consumer/gmfood/recombinantdna/Pages/default.aspx</w:t>
              </w:r>
            </w:hyperlink>
          </w:p>
          <w:p w:rsidR="00326B7E" w:rsidRPr="00464B0F" w:rsidRDefault="00326B7E" w:rsidP="009549B7">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93670" w:rsidRPr="00A66619" w:rsidTr="00DE60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293670" w:rsidRPr="00D92EE0" w:rsidRDefault="00293670" w:rsidP="00F26866">
            <w:pPr>
              <w:pStyle w:val="Table2"/>
              <w:ind w:left="0" w:firstLine="0"/>
              <w:rPr>
                <w:b w:val="0"/>
                <w:bCs/>
                <w:color w:val="000000" w:themeColor="text1"/>
              </w:rPr>
            </w:pPr>
            <w:r w:rsidRPr="00D92EE0">
              <w:rPr>
                <w:rFonts w:cs="Arial"/>
                <w:color w:val="000000" w:themeColor="text1"/>
                <w:szCs w:val="22"/>
                <w:lang w:eastAsia="en-GB" w:bidi="ar-SA"/>
              </w:rPr>
              <w:lastRenderedPageBreak/>
              <w:t xml:space="preserve">Allergies, including </w:t>
            </w:r>
            <w:r w:rsidR="00D92EE0" w:rsidRPr="00D92EE0">
              <w:rPr>
                <w:rFonts w:cs="Arial"/>
                <w:color w:val="000000" w:themeColor="text1"/>
                <w:szCs w:val="22"/>
                <w:lang w:eastAsia="en-GB" w:bidi="ar-SA"/>
              </w:rPr>
              <w:t>food allergies, have increased</w:t>
            </w:r>
            <w:r w:rsidRPr="00D92EE0">
              <w:rPr>
                <w:rFonts w:cs="Arial"/>
                <w:color w:val="000000" w:themeColor="text1"/>
                <w:szCs w:val="22"/>
                <w:lang w:eastAsia="en-GB" w:bidi="ar-SA"/>
              </w:rPr>
              <w:t xml:space="preserve"> by epidemic proportions and this may be due to ingestion of GM foods.</w:t>
            </w:r>
          </w:p>
        </w:tc>
        <w:tc>
          <w:tcPr>
            <w:tcW w:w="2268" w:type="dxa"/>
            <w:tcBorders>
              <w:left w:val="single" w:sz="4" w:space="0" w:color="auto"/>
              <w:right w:val="single" w:sz="4" w:space="0" w:color="auto"/>
            </w:tcBorders>
          </w:tcPr>
          <w:p w:rsidR="00293670" w:rsidRPr="00D92EE0" w:rsidRDefault="00293670" w:rsidP="00D60489">
            <w:pPr>
              <w:pStyle w:val="Table2"/>
              <w:numPr>
                <w:ilvl w:val="0"/>
                <w:numId w:val="19"/>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sidRPr="00D92EE0">
              <w:rPr>
                <w:color w:val="000000" w:themeColor="text1"/>
              </w:rPr>
              <w:t xml:space="preserve">Physicians &amp; Scientists for Global Responsibility </w:t>
            </w:r>
          </w:p>
          <w:p w:rsidR="00293670" w:rsidRPr="00D92EE0" w:rsidRDefault="00293670" w:rsidP="00687FA7">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165" w:type="dxa"/>
            <w:tcBorders>
              <w:left w:val="single" w:sz="4" w:space="0" w:color="auto"/>
            </w:tcBorders>
          </w:tcPr>
          <w:p w:rsidR="001A77A9" w:rsidRDefault="001A77A9" w:rsidP="001A77A9">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While this is often cited as a concern by submitters, clinical a</w:t>
            </w:r>
            <w:r w:rsidRPr="00400169">
              <w:rPr>
                <w:color w:val="000000" w:themeColor="text1"/>
              </w:rPr>
              <w:t>llergy experts and those involved in the study of allergy generally do not regard this as a serious hypothesis.</w:t>
            </w:r>
          </w:p>
          <w:p w:rsidR="001A77A9" w:rsidRDefault="001A77A9" w:rsidP="001A77A9">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p>
          <w:p w:rsidR="001A77A9" w:rsidRDefault="001A77A9" w:rsidP="001A77A9">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r w:rsidRPr="00400169">
              <w:rPr>
                <w:color w:val="000000" w:themeColor="text1"/>
              </w:rPr>
              <w:t>The increased prevalence of allergies in people eating Western diets is attributed to major allergens already in the food supply – milk, eggs and tree nuts, particularly peanuts</w:t>
            </w:r>
            <w:r w:rsidR="00BA7D81">
              <w:rPr>
                <w:color w:val="000000" w:themeColor="text1"/>
              </w:rPr>
              <w:t xml:space="preserve"> </w:t>
            </w:r>
            <w:r w:rsidR="00BA7D81">
              <w:rPr>
                <w:color w:val="000000" w:themeColor="text1"/>
              </w:rPr>
              <w:fldChar w:fldCharType="begin"/>
            </w:r>
            <w:r w:rsidR="006E7E0C">
              <w:rPr>
                <w:color w:val="000000" w:themeColor="text1"/>
              </w:rPr>
              <w:instrText xml:space="preserve"> ADDIN REFMGR.CITE &lt;Refman&gt;&lt;Cite&gt;&lt;Author&gt;Mullins&lt;/Author&gt;&lt;Year&gt;2007&lt;/Year&gt;&lt;RecNum&gt;1544&lt;/RecNum&gt;&lt;IDText&gt;Paediatric food allergy trends in a community-based specialist allergy practice, 1995-2006&lt;/IDText&gt;&lt;MDL Ref_Type="Journal (Full)"&gt;&lt;Ref_Type&gt;Journal (Full)&lt;/Ref_Type&gt;&lt;Ref_ID&gt;1544&lt;/Ref_ID&gt;&lt;Title_Primary&gt;&lt;f name="NEJMHelv-Oblique"&gt;Paediatric food allergy trends in a community-based specialist allergy practice, 1995-2006&lt;/f&gt;&lt;/Title_Primary&gt;&lt;Authors_Primary&gt;Mullins,R.J.&lt;/Authors_Primary&gt;&lt;Date_Primary&gt;2007&lt;/Date_Primary&gt;&lt;Keywords&gt;analysis&lt;/Keywords&gt;&lt;Keywords&gt;Anaphylaxis&lt;/Keywords&gt;&lt;Keywords&gt;Milk&lt;/Keywords&gt;&lt;Keywords&gt;epidemiology&lt;/Keywords&gt;&lt;Keywords&gt;Risk Factors&lt;/Keywords&gt;&lt;Reprint&gt;Not in File&lt;/Reprint&gt;&lt;Start_Page&gt;618&lt;/Start_Page&gt;&lt;End_Page&gt;621&lt;/End_Page&gt;&lt;Periodical&gt;Medical Journal of Australia&lt;/Periodical&gt;&lt;Volume&gt;186&lt;/Volume&gt;&lt;Issue&gt;12&lt;/Issue&gt;&lt;Web_URL_Link2&gt;&lt;u&gt;file://F:\Risk Assessment - Chemical Safety\GMO - shared\References\GM References\Mullins_2007_paediatric food allergy trends.pdf&lt;/u&gt;&lt;/Web_URL_Link2&gt;&lt;ZZ_JournalFull&gt;&lt;f name="System"&gt;Medical Journal of Australia&lt;/f&gt;&lt;/ZZ_JournalFull&gt;&lt;ZZ_WorkformID&gt;32&lt;/ZZ_WorkformID&gt;&lt;/MDL&gt;&lt;/Cite&gt;&lt;/Refman&gt;</w:instrText>
            </w:r>
            <w:r w:rsidR="00BA7D81">
              <w:rPr>
                <w:color w:val="000000" w:themeColor="text1"/>
              </w:rPr>
              <w:fldChar w:fldCharType="separate"/>
            </w:r>
            <w:r w:rsidR="00BA7D81">
              <w:rPr>
                <w:noProof/>
                <w:color w:val="000000" w:themeColor="text1"/>
              </w:rPr>
              <w:t>(Mullins, 2007)</w:t>
            </w:r>
            <w:r w:rsidR="00BA7D81">
              <w:rPr>
                <w:color w:val="000000" w:themeColor="text1"/>
              </w:rPr>
              <w:fldChar w:fldCharType="end"/>
            </w:r>
            <w:r w:rsidRPr="00400169">
              <w:rPr>
                <w:color w:val="000000" w:themeColor="text1"/>
              </w:rPr>
              <w:t>. These commonly allergenic foods are not associated with GM commodities. There is no credible scientific basis to support the notion that food allergies are linked to the introduction of GM crops.</w:t>
            </w:r>
          </w:p>
          <w:p w:rsidR="001A77A9" w:rsidRDefault="001A77A9" w:rsidP="001A77A9">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p>
          <w:p w:rsidR="00326B7E" w:rsidRPr="00D92EE0" w:rsidRDefault="001A77A9" w:rsidP="006A3BA5">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r w:rsidRPr="00400169">
              <w:rPr>
                <w:color w:val="000000" w:themeColor="text1"/>
              </w:rPr>
              <w:t>The evaluation of newly expressed protein</w:t>
            </w:r>
            <w:r>
              <w:rPr>
                <w:color w:val="000000" w:themeColor="text1"/>
              </w:rPr>
              <w:t xml:space="preserve">s for </w:t>
            </w:r>
            <w:r w:rsidRPr="00400169">
              <w:rPr>
                <w:color w:val="000000" w:themeColor="text1"/>
              </w:rPr>
              <w:t xml:space="preserve">potential allergenicity is an integral part of the safety assessment of any GM food. This procedure is designed to identify and screen out </w:t>
            </w:r>
            <w:r>
              <w:rPr>
                <w:color w:val="000000" w:themeColor="text1"/>
              </w:rPr>
              <w:t xml:space="preserve">any </w:t>
            </w:r>
            <w:r w:rsidRPr="00400169">
              <w:rPr>
                <w:color w:val="000000" w:themeColor="text1"/>
              </w:rPr>
              <w:t xml:space="preserve">newly expressed protein that </w:t>
            </w:r>
            <w:r>
              <w:rPr>
                <w:color w:val="000000" w:themeColor="text1"/>
              </w:rPr>
              <w:t xml:space="preserve">is found to raise an allergy concern. </w:t>
            </w:r>
          </w:p>
        </w:tc>
      </w:tr>
      <w:tr w:rsidR="00D60489" w:rsidRPr="00A66619" w:rsidTr="00DE60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D60489" w:rsidRPr="00D92EE0" w:rsidRDefault="00D60489" w:rsidP="00F26866">
            <w:pPr>
              <w:pStyle w:val="Table2"/>
              <w:ind w:left="0" w:firstLine="0"/>
              <w:rPr>
                <w:rFonts w:cs="Arial"/>
                <w:b w:val="0"/>
                <w:bCs/>
                <w:color w:val="000000" w:themeColor="text1"/>
                <w:szCs w:val="22"/>
                <w:lang w:eastAsia="en-GB" w:bidi="ar-SA"/>
              </w:rPr>
            </w:pPr>
            <w:r>
              <w:rPr>
                <w:rFonts w:cs="Arial"/>
                <w:color w:val="000000" w:themeColor="text1"/>
                <w:szCs w:val="22"/>
                <w:lang w:eastAsia="en-GB" w:bidi="ar-SA"/>
              </w:rPr>
              <w:t>Lack of consideration of long term/feeding studies in the safety assessment</w:t>
            </w:r>
          </w:p>
        </w:tc>
        <w:tc>
          <w:tcPr>
            <w:tcW w:w="2268" w:type="dxa"/>
            <w:tcBorders>
              <w:left w:val="single" w:sz="4" w:space="0" w:color="auto"/>
              <w:right w:val="single" w:sz="4" w:space="0" w:color="auto"/>
            </w:tcBorders>
          </w:tcPr>
          <w:p w:rsidR="00D60489" w:rsidRPr="00A75943" w:rsidRDefault="00D60489" w:rsidP="00D60489">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A75943">
              <w:rPr>
                <w:color w:val="000000" w:themeColor="text1"/>
                <w:szCs w:val="18"/>
              </w:rPr>
              <w:t>Campaign2</w:t>
            </w:r>
          </w:p>
          <w:p w:rsidR="00D60489" w:rsidRPr="00A75943" w:rsidRDefault="00D60489" w:rsidP="00D60489">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A75943">
              <w:rPr>
                <w:color w:val="000000" w:themeColor="text1"/>
                <w:szCs w:val="18"/>
              </w:rPr>
              <w:t xml:space="preserve">Physicians &amp; Scientists for Global Responsibility </w:t>
            </w:r>
          </w:p>
          <w:p w:rsidR="00D60489" w:rsidRPr="00A75943" w:rsidRDefault="00D60489" w:rsidP="00D60489">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A75943">
              <w:rPr>
                <w:color w:val="000000" w:themeColor="text1"/>
                <w:szCs w:val="18"/>
              </w:rPr>
              <w:t>GE Free NZ</w:t>
            </w:r>
          </w:p>
          <w:p w:rsidR="00D60489" w:rsidRPr="00A75943" w:rsidRDefault="00D60489" w:rsidP="00D60489">
            <w:pPr>
              <w:pStyle w:val="Table2"/>
              <w:numPr>
                <w:ilvl w:val="0"/>
                <w:numId w:val="19"/>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A75943">
              <w:rPr>
                <w:color w:val="000000" w:themeColor="text1"/>
                <w:szCs w:val="18"/>
              </w:rPr>
              <w:t xml:space="preserve">Claire </w:t>
            </w:r>
            <w:proofErr w:type="spellStart"/>
            <w:r w:rsidRPr="00A75943">
              <w:rPr>
                <w:color w:val="000000" w:themeColor="text1"/>
                <w:szCs w:val="18"/>
              </w:rPr>
              <w:t>McFee</w:t>
            </w:r>
            <w:proofErr w:type="spellEnd"/>
          </w:p>
          <w:p w:rsidR="00D60489" w:rsidRPr="00A75943" w:rsidRDefault="00D60489" w:rsidP="00293670">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szCs w:val="18"/>
              </w:rPr>
            </w:pPr>
          </w:p>
        </w:tc>
        <w:tc>
          <w:tcPr>
            <w:tcW w:w="5165" w:type="dxa"/>
            <w:tcBorders>
              <w:left w:val="single" w:sz="4" w:space="0" w:color="auto"/>
            </w:tcBorders>
          </w:tcPr>
          <w:p w:rsidR="00FF47DE" w:rsidRPr="00B679D8" w:rsidRDefault="00FF47DE" w:rsidP="00FF47DE">
            <w:pPr>
              <w:pStyle w:val="Table2"/>
              <w:spacing w:before="120"/>
              <w:cnfStyle w:val="000000100000" w:firstRow="0" w:lastRow="0" w:firstColumn="0" w:lastColumn="0" w:oddVBand="0" w:evenVBand="0" w:oddHBand="1" w:evenHBand="0" w:firstRowFirstColumn="0" w:firstRowLastColumn="0" w:lastRowFirstColumn="0" w:lastRowLastColumn="0"/>
              <w:rPr>
                <w:szCs w:val="18"/>
              </w:rPr>
            </w:pPr>
            <w:r w:rsidRPr="00B679D8">
              <w:rPr>
                <w:szCs w:val="18"/>
              </w:rPr>
              <w:t xml:space="preserve">Many experts in toxicology consider that animal feeding studies with GM foods are difficult to design with adequate scientific integrity and, because of concerns about the unethical use of animals, cannot be justified </w:t>
            </w:r>
            <w:r w:rsidRPr="00FF27B3">
              <w:rPr>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PFB1Ymxpc2hlcj48Yj5PRUNEIEludGVybmF0aW9uYWwgRnV0dXJlcyBQcm9qZWN0IG9uICZxdW90
O1RoZSBCaW9lY29ub215IHRvIDIwMzA6IERlc2lnbmluZyBhIFBvbGljeSBBZ2VuZGEmcXVvdDs8
L2I+PC9QdWJsaXNoZXI+PFdlYl9VUkw+PHU+aHR0cDovL3d3dy5vZWNkLm9yZy9mdXR1cmVzL2xv
bmctdGVybXRlY2hub2xvZ2ljYWxzb2NpZXRhbGNoYWxsZW5nZXMvNDA5MjY4NDQucGRmPC91Pjwv
V2ViX1VSTD48V2ViX1VSTF9MaW5rMj48dT5maWxlOi8vRjpcUmlzayBBc3Nlc3NtZW50IC0gQ2hl
bWljYWwgU2FmZXR5XEdNTyAtIHNoYXJlZFxSZWZlcmVuY2VzXEdNIFJlZmVyZW5jZXNcUmlnYXVk
XzIwMDhfT0VDRCBkb2Mgb24gZXRoaWNzIGluIGJpb3RlY2hub2xvZ3kucGRmPC91PjwvV2ViX1VS
TF9MaW5rMj48WlpfV29ya2Zvcm1JRD4yNDwvWlpfV29ya2Zvcm1JRD48L01ETD48L0NpdGU+PC9S
ZWZtYW4+AG==
</w:fldData>
              </w:fldChar>
            </w:r>
            <w:r w:rsidR="006E7E0C" w:rsidRPr="00FF27B3">
              <w:rPr>
                <w:szCs w:val="18"/>
              </w:rPr>
              <w:instrText xml:space="preserve"> ADDIN REFMGR.CITE </w:instrText>
            </w:r>
            <w:r w:rsidR="006E7E0C" w:rsidRPr="00FF27B3">
              <w:rPr>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PFB1Ymxpc2hlcj48Yj5PRUNEIEludGVybmF0aW9uYWwgRnV0dXJlcyBQcm9qZWN0IG9uICZxdW90
O1RoZSBCaW9lY29ub215IHRvIDIwMzA6IERlc2lnbmluZyBhIFBvbGljeSBBZ2VuZGEmcXVvdDs8
L2I+PC9QdWJsaXNoZXI+PFdlYl9VUkw+PHU+aHR0cDovL3d3dy5vZWNkLm9yZy9mdXR1cmVzL2xv
bmctdGVybXRlY2hub2xvZ2ljYWxzb2NpZXRhbGNoYWxsZW5nZXMvNDA5MjY4NDQucGRmPC91Pjwv
V2ViX1VSTD48V2ViX1VSTF9MaW5rMj48dT5maWxlOi8vRjpcUmlzayBBc3Nlc3NtZW50IC0gQ2hl
bWljYWwgU2FmZXR5XEdNTyAtIHNoYXJlZFxSZWZlcmVuY2VzXEdNIFJlZmVyZW5jZXNcUmlnYXVk
XzIwMDhfT0VDRCBkb2Mgb24gZXRoaWNzIGluIGJpb3RlY2hub2xvZ3kucGRmPC91PjwvV2ViX1VS
TF9MaW5rMj48WlpfV29ya2Zvcm1JRD4yNDwvWlpfV29ya2Zvcm1JRD48L01ETD48L0NpdGU+PC9S
ZWZtYW4+AG==
</w:fldData>
              </w:fldChar>
            </w:r>
            <w:r w:rsidR="006E7E0C" w:rsidRPr="00FF27B3">
              <w:rPr>
                <w:szCs w:val="18"/>
              </w:rPr>
              <w:instrText xml:space="preserve"> ADDIN EN.CITE.DATA </w:instrText>
            </w:r>
            <w:r w:rsidR="006E7E0C" w:rsidRPr="00FF27B3">
              <w:rPr>
                <w:szCs w:val="18"/>
              </w:rPr>
            </w:r>
            <w:r w:rsidR="006E7E0C" w:rsidRPr="00FF27B3">
              <w:rPr>
                <w:szCs w:val="18"/>
              </w:rPr>
              <w:fldChar w:fldCharType="end"/>
            </w:r>
            <w:r w:rsidRPr="00FF27B3">
              <w:rPr>
                <w:szCs w:val="18"/>
              </w:rPr>
            </w:r>
            <w:r w:rsidRPr="00FF27B3">
              <w:rPr>
                <w:szCs w:val="18"/>
              </w:rPr>
              <w:fldChar w:fldCharType="separate"/>
            </w:r>
            <w:r w:rsidR="006E7E0C" w:rsidRPr="00FF27B3">
              <w:rPr>
                <w:noProof/>
                <w:szCs w:val="18"/>
              </w:rPr>
              <w:t xml:space="preserve">(Bartholomaeus </w:t>
            </w:r>
            <w:r w:rsidR="006E7E0C" w:rsidRPr="00FF27B3">
              <w:rPr>
                <w:i/>
                <w:noProof/>
                <w:szCs w:val="18"/>
              </w:rPr>
              <w:t>et al</w:t>
            </w:r>
            <w:r w:rsidR="006E7E0C" w:rsidRPr="00FF27B3">
              <w:rPr>
                <w:noProof/>
                <w:szCs w:val="18"/>
              </w:rPr>
              <w:t>., 2013; Rigaud, 2008)</w:t>
            </w:r>
            <w:r w:rsidRPr="00FF27B3">
              <w:rPr>
                <w:szCs w:val="18"/>
              </w:rPr>
              <w:fldChar w:fldCharType="end"/>
            </w:r>
            <w:r w:rsidRPr="00FF27B3">
              <w:rPr>
                <w:szCs w:val="18"/>
              </w:rPr>
              <w:t>.</w:t>
            </w:r>
            <w:r w:rsidRPr="00B679D8">
              <w:rPr>
                <w:szCs w:val="18"/>
              </w:rPr>
              <w:t xml:space="preserve">  </w:t>
            </w:r>
          </w:p>
          <w:p w:rsidR="00FF47DE" w:rsidRPr="00B679D8" w:rsidRDefault="00FF47DE" w:rsidP="00FF47DE">
            <w:pPr>
              <w:pStyle w:val="Table2"/>
              <w:cnfStyle w:val="000000100000" w:firstRow="0" w:lastRow="0" w:firstColumn="0" w:lastColumn="0" w:oddVBand="0" w:evenVBand="0" w:oddHBand="1" w:evenHBand="0" w:firstRowFirstColumn="0" w:firstRowLastColumn="0" w:lastRowFirstColumn="0" w:lastRowLastColumn="0"/>
              <w:rPr>
                <w:szCs w:val="18"/>
              </w:rPr>
            </w:pPr>
          </w:p>
          <w:p w:rsidR="00FF47DE" w:rsidRPr="00B679D8" w:rsidRDefault="00FF47DE" w:rsidP="00FF47DE">
            <w:pPr>
              <w:ind w:left="113" w:hanging="113"/>
              <w:cnfStyle w:val="000000100000" w:firstRow="0" w:lastRow="0" w:firstColumn="0" w:lastColumn="0" w:oddVBand="0" w:evenVBand="0" w:oddHBand="1" w:evenHBand="0" w:firstRowFirstColumn="0" w:firstRowLastColumn="0" w:lastRowFirstColumn="0" w:lastRowLastColumn="0"/>
              <w:rPr>
                <w:bCs/>
                <w:color w:val="3333FF"/>
                <w:sz w:val="18"/>
                <w:szCs w:val="18"/>
                <w:u w:val="single"/>
              </w:rPr>
            </w:pPr>
            <w:r w:rsidRPr="00B679D8">
              <w:rPr>
                <w:sz w:val="18"/>
                <w:szCs w:val="18"/>
              </w:rPr>
              <w:t>In 2007, FSANZ convened a workshop to formally examine the usefulness of animal feeding studies to support the safety assessment of GM foods (</w:t>
            </w:r>
            <w:hyperlink r:id="rId25" w:history="1">
              <w:r w:rsidRPr="00B679D8">
                <w:rPr>
                  <w:rStyle w:val="Hyperlink"/>
                  <w:sz w:val="18"/>
                  <w:szCs w:val="18"/>
                </w:rPr>
                <w:t>http://www.foodstandards.gov.au/consumer/gmfood/Pages/roleofanimalfeedings3717.aspx</w:t>
              </w:r>
            </w:hyperlink>
            <w:r w:rsidRPr="00B679D8">
              <w:rPr>
                <w:rStyle w:val="Hyperlink"/>
                <w:sz w:val="18"/>
                <w:szCs w:val="18"/>
              </w:rPr>
              <w:t xml:space="preserve">). </w:t>
            </w:r>
            <w:r w:rsidRPr="00B679D8">
              <w:rPr>
                <w:sz w:val="18"/>
                <w:szCs w:val="18"/>
              </w:rPr>
              <w:t>The conclusion was that such studies do not contribute meaningful information on the long-term safety of a GM food, with the possible exception of a food in which the modification introduced a desired nutritional change. In these limited cases, the altered nutritional profile of the food may lend itself to investigation in animal diets, or in human volunteers. However, the majority of GM crops with agronomic traits have the same nutritional profile as conventional foods.</w:t>
            </w:r>
          </w:p>
          <w:p w:rsidR="00FF47DE" w:rsidRPr="00B679D8" w:rsidRDefault="00FF47DE" w:rsidP="00FF47DE">
            <w:pPr>
              <w:pStyle w:val="Table2"/>
              <w:cnfStyle w:val="000000100000" w:firstRow="0" w:lastRow="0" w:firstColumn="0" w:lastColumn="0" w:oddVBand="0" w:evenVBand="0" w:oddHBand="1" w:evenHBand="0" w:firstRowFirstColumn="0" w:firstRowLastColumn="0" w:lastRowFirstColumn="0" w:lastRowLastColumn="0"/>
              <w:rPr>
                <w:szCs w:val="18"/>
              </w:rPr>
            </w:pPr>
          </w:p>
          <w:p w:rsidR="006A3BA5" w:rsidRDefault="00FF47DE" w:rsidP="00FF47DE">
            <w:pPr>
              <w:pStyle w:val="Table2"/>
              <w:cnfStyle w:val="000000100000" w:firstRow="0" w:lastRow="0" w:firstColumn="0" w:lastColumn="0" w:oddVBand="0" w:evenVBand="0" w:oddHBand="1" w:evenHBand="0" w:firstRowFirstColumn="0" w:firstRowLastColumn="0" w:lastRowFirstColumn="0" w:lastRowLastColumn="0"/>
              <w:rPr>
                <w:rStyle w:val="Hyperlink"/>
                <w:sz w:val="16"/>
                <w:szCs w:val="16"/>
              </w:rPr>
            </w:pPr>
            <w:r w:rsidRPr="00B679D8">
              <w:rPr>
                <w:szCs w:val="18"/>
              </w:rPr>
              <w:t>Recent publications (S</w:t>
            </w:r>
            <w:r w:rsidRPr="00B679D8">
              <w:rPr>
                <w:rFonts w:cs="Arial"/>
                <w:szCs w:val="18"/>
              </w:rPr>
              <w:t>é</w:t>
            </w:r>
            <w:r w:rsidRPr="00B679D8">
              <w:rPr>
                <w:szCs w:val="18"/>
              </w:rPr>
              <w:t xml:space="preserve">ralini </w:t>
            </w:r>
            <w:r w:rsidRPr="00B679D8">
              <w:rPr>
                <w:i/>
                <w:szCs w:val="18"/>
              </w:rPr>
              <w:t>et al</w:t>
            </w:r>
            <w:r w:rsidRPr="00B679D8">
              <w:rPr>
                <w:szCs w:val="18"/>
              </w:rPr>
              <w:t xml:space="preserve">, Carman </w:t>
            </w:r>
            <w:r w:rsidRPr="00B679D8">
              <w:rPr>
                <w:i/>
                <w:szCs w:val="18"/>
              </w:rPr>
              <w:t>et al</w:t>
            </w:r>
            <w:r w:rsidRPr="00B679D8">
              <w:rPr>
                <w:szCs w:val="18"/>
              </w:rPr>
              <w:t>)</w:t>
            </w:r>
            <w:r w:rsidR="006A3BA5">
              <w:rPr>
                <w:rStyle w:val="FootnoteReference"/>
                <w:szCs w:val="18"/>
              </w:rPr>
              <w:footnoteReference w:id="5"/>
            </w:r>
            <w:r w:rsidRPr="00B679D8">
              <w:rPr>
                <w:szCs w:val="18"/>
              </w:rPr>
              <w:t xml:space="preserve"> have claimed to show evidence of harm in animals fed GM food. However, assessment of these studies by FSANZ and others indicates these claims are not supported by the data presented by the </w:t>
            </w:r>
            <w:r w:rsidRPr="00FF27B3">
              <w:rPr>
                <w:szCs w:val="18"/>
              </w:rPr>
              <w:t>researchers</w:t>
            </w:r>
            <w:r w:rsidR="00790014" w:rsidRPr="00FF27B3">
              <w:rPr>
                <w:szCs w:val="18"/>
              </w:rPr>
              <w:t xml:space="preserve">. </w:t>
            </w:r>
            <w:r w:rsidR="006A3BA5" w:rsidRPr="00FF27B3">
              <w:rPr>
                <w:szCs w:val="18"/>
              </w:rPr>
              <w:t>In late November 2013</w:t>
            </w:r>
            <w:proofErr w:type="gramStart"/>
            <w:r w:rsidR="006A3BA5" w:rsidRPr="00FF27B3">
              <w:rPr>
                <w:szCs w:val="18"/>
              </w:rPr>
              <w:t>,the</w:t>
            </w:r>
            <w:proofErr w:type="gramEnd"/>
            <w:r w:rsidR="006A3BA5" w:rsidRPr="00FF27B3">
              <w:rPr>
                <w:szCs w:val="18"/>
              </w:rPr>
              <w:t xml:space="preserve"> S</w:t>
            </w:r>
            <w:r w:rsidR="006A3BA5" w:rsidRPr="00FF27B3">
              <w:rPr>
                <w:rFonts w:cs="Arial"/>
                <w:szCs w:val="18"/>
              </w:rPr>
              <w:t>é</w:t>
            </w:r>
            <w:r w:rsidR="006A3BA5" w:rsidRPr="00FF27B3">
              <w:rPr>
                <w:szCs w:val="18"/>
              </w:rPr>
              <w:t xml:space="preserve">ralini </w:t>
            </w:r>
            <w:r w:rsidR="006A3BA5" w:rsidRPr="00FF27B3">
              <w:rPr>
                <w:i/>
                <w:szCs w:val="18"/>
              </w:rPr>
              <w:t>et al</w:t>
            </w:r>
            <w:r w:rsidR="006A3BA5" w:rsidRPr="00FF27B3">
              <w:rPr>
                <w:szCs w:val="18"/>
              </w:rPr>
              <w:t xml:space="preserve">  paper was retracted by the </w:t>
            </w:r>
            <w:r w:rsidR="00790014" w:rsidRPr="00FF27B3">
              <w:rPr>
                <w:szCs w:val="18"/>
              </w:rPr>
              <w:t xml:space="preserve">publishing </w:t>
            </w:r>
            <w:r w:rsidR="006A3BA5" w:rsidRPr="00FF27B3">
              <w:rPr>
                <w:szCs w:val="18"/>
              </w:rPr>
              <w:t>journal on the grounds of poor study design</w:t>
            </w:r>
            <w:r w:rsidR="00790014">
              <w:rPr>
                <w:szCs w:val="18"/>
              </w:rPr>
              <w:t xml:space="preserve"> </w:t>
            </w:r>
            <w:r w:rsidR="006A3BA5">
              <w:rPr>
                <w:szCs w:val="18"/>
              </w:rPr>
              <w:t>(</w:t>
            </w:r>
            <w:hyperlink r:id="rId26" w:history="1">
              <w:r w:rsidR="006A3BA5" w:rsidRPr="006A3BA5">
                <w:rPr>
                  <w:rStyle w:val="Hyperlink"/>
                  <w:szCs w:val="18"/>
                </w:rPr>
                <w:t>http://www.prnewswire.co.uk/news-releases/elsevier-announces-article-retraction-from-journal-food-and-chemical-toxicology-233754961.html</w:t>
              </w:r>
            </w:hyperlink>
            <w:r w:rsidR="006A3BA5" w:rsidRPr="006A3BA5">
              <w:rPr>
                <w:rStyle w:val="Hyperlink"/>
                <w:szCs w:val="18"/>
              </w:rPr>
              <w:t>).</w:t>
            </w:r>
          </w:p>
          <w:p w:rsidR="006A3BA5" w:rsidRDefault="006A3BA5" w:rsidP="00FF47DE">
            <w:pPr>
              <w:pStyle w:val="Table2"/>
              <w:cnfStyle w:val="000000100000" w:firstRow="0" w:lastRow="0" w:firstColumn="0" w:lastColumn="0" w:oddVBand="0" w:evenVBand="0" w:oddHBand="1" w:evenHBand="0" w:firstRowFirstColumn="0" w:firstRowLastColumn="0" w:lastRowFirstColumn="0" w:lastRowLastColumn="0"/>
              <w:rPr>
                <w:rStyle w:val="Hyperlink"/>
                <w:sz w:val="16"/>
                <w:szCs w:val="16"/>
              </w:rPr>
            </w:pPr>
          </w:p>
          <w:p w:rsidR="00D60489" w:rsidRPr="006A3BA5" w:rsidRDefault="00FF47DE" w:rsidP="006A3BA5">
            <w:pPr>
              <w:pStyle w:val="Table2"/>
              <w:cnfStyle w:val="000000100000" w:firstRow="0" w:lastRow="0" w:firstColumn="0" w:lastColumn="0" w:oddVBand="0" w:evenVBand="0" w:oddHBand="1" w:evenHBand="0" w:firstRowFirstColumn="0" w:firstRowLastColumn="0" w:lastRowFirstColumn="0" w:lastRowLastColumn="0"/>
              <w:rPr>
                <w:szCs w:val="18"/>
              </w:rPr>
            </w:pPr>
            <w:r w:rsidRPr="00B679D8">
              <w:rPr>
                <w:szCs w:val="18"/>
              </w:rPr>
              <w:t>FSANZ has published</w:t>
            </w:r>
            <w:r w:rsidR="006A3BA5">
              <w:rPr>
                <w:szCs w:val="18"/>
              </w:rPr>
              <w:t xml:space="preserve"> a scientific appraisal of a number of</w:t>
            </w:r>
            <w:r w:rsidRPr="00B679D8">
              <w:rPr>
                <w:szCs w:val="18"/>
              </w:rPr>
              <w:t xml:space="preserve"> studies </w:t>
            </w:r>
            <w:r w:rsidR="006A3BA5">
              <w:rPr>
                <w:szCs w:val="18"/>
              </w:rPr>
              <w:t>claiming to show adverse effects in animals fed GM feed (</w:t>
            </w:r>
            <w:r w:rsidRPr="00B679D8">
              <w:rPr>
                <w:szCs w:val="18"/>
              </w:rPr>
              <w:t xml:space="preserve">see </w:t>
            </w:r>
            <w:hyperlink r:id="rId27" w:history="1">
              <w:r w:rsidRPr="00B679D8">
                <w:rPr>
                  <w:rStyle w:val="Hyperlink"/>
                  <w:szCs w:val="18"/>
                </w:rPr>
                <w:t>http://www.foodstandards.gov.au/consumer/gmfood/Pages/Response-to-Dr-Carman's-study.aspx</w:t>
              </w:r>
            </w:hyperlink>
            <w:r w:rsidRPr="00B679D8">
              <w:rPr>
                <w:szCs w:val="18"/>
              </w:rPr>
              <w:t xml:space="preserve"> ;  </w:t>
            </w:r>
            <w:hyperlink r:id="rId28" w:history="1">
              <w:r w:rsidRPr="00B679D8">
                <w:rPr>
                  <w:rStyle w:val="Hyperlink"/>
                  <w:szCs w:val="18"/>
                </w:rPr>
                <w:t>http://www.foodstandards.gov.au/consumer/gmfood/seralini/Pages/default.aspx</w:t>
              </w:r>
            </w:hyperlink>
            <w:r w:rsidRPr="00B679D8">
              <w:rPr>
                <w:szCs w:val="18"/>
              </w:rPr>
              <w:t xml:space="preserve"> </w:t>
            </w:r>
            <w:r w:rsidR="006A3BA5">
              <w:rPr>
                <w:szCs w:val="18"/>
              </w:rPr>
              <w:t>)</w:t>
            </w:r>
          </w:p>
        </w:tc>
      </w:tr>
    </w:tbl>
    <w:p w:rsidR="00E86AD0" w:rsidRPr="007D18A8" w:rsidRDefault="00326B7E" w:rsidP="00A47976">
      <w:pPr>
        <w:pStyle w:val="Heading4"/>
        <w:rPr>
          <w:color w:val="000000" w:themeColor="text1"/>
        </w:rPr>
      </w:pPr>
      <w:bookmarkStart w:id="33" w:name="_Toc175381455"/>
      <w:bookmarkEnd w:id="15"/>
      <w:bookmarkEnd w:id="16"/>
      <w:bookmarkEnd w:id="17"/>
      <w:bookmarkEnd w:id="18"/>
      <w:bookmarkEnd w:id="19"/>
      <w:bookmarkEnd w:id="20"/>
      <w:bookmarkEnd w:id="30"/>
      <w:r w:rsidRPr="007D18A8">
        <w:rPr>
          <w:color w:val="000000" w:themeColor="text1"/>
        </w:rPr>
        <w:lastRenderedPageBreak/>
        <w:t>3.2.3.2</w:t>
      </w:r>
      <w:r w:rsidRPr="007D18A8">
        <w:rPr>
          <w:color w:val="000000" w:themeColor="text1"/>
        </w:rPr>
        <w:tab/>
      </w:r>
      <w:r w:rsidR="00E5372B" w:rsidRPr="007D18A8">
        <w:rPr>
          <w:color w:val="000000" w:themeColor="text1"/>
        </w:rPr>
        <w:t>Specific issues raised</w:t>
      </w:r>
    </w:p>
    <w:p w:rsidR="00583E62" w:rsidRDefault="003C1864" w:rsidP="00147B53">
      <w:pPr>
        <w:pStyle w:val="Heading5"/>
      </w:pPr>
      <w:r>
        <w:t>Issue 1</w:t>
      </w:r>
      <w:r w:rsidR="008F4CB0">
        <w:t xml:space="preserve"> – Labelling confusion</w:t>
      </w:r>
    </w:p>
    <w:p w:rsidR="00583E62" w:rsidRDefault="00042590" w:rsidP="005D3FFD">
      <w:pPr>
        <w:rPr>
          <w:color w:val="000000" w:themeColor="text1"/>
        </w:rPr>
      </w:pPr>
      <w:r>
        <w:rPr>
          <w:color w:val="000000" w:themeColor="text1"/>
        </w:rPr>
        <w:t xml:space="preserve">The </w:t>
      </w:r>
      <w:r w:rsidR="00583E62">
        <w:rPr>
          <w:color w:val="000000" w:themeColor="text1"/>
        </w:rPr>
        <w:t>Food Technology Association of Australia commented that it was difficult to reconcile the information in Section 3.2.5.2 of the Call for Submissions that</w:t>
      </w:r>
      <w:r w:rsidR="009549B7">
        <w:rPr>
          <w:color w:val="000000" w:themeColor="text1"/>
        </w:rPr>
        <w:t xml:space="preserve"> </w:t>
      </w:r>
      <w:r w:rsidR="00583E62" w:rsidRPr="00583E62">
        <w:rPr>
          <w:i/>
          <w:color w:val="000000" w:themeColor="text1"/>
        </w:rPr>
        <w:t>the main food product f</w:t>
      </w:r>
      <w:r w:rsidR="003C1864">
        <w:rPr>
          <w:i/>
          <w:color w:val="000000" w:themeColor="text1"/>
        </w:rPr>
        <w:t>rom field soybean (such as SYHT0</w:t>
      </w:r>
      <w:r w:rsidR="00583E62" w:rsidRPr="00583E62">
        <w:rPr>
          <w:i/>
          <w:color w:val="000000" w:themeColor="text1"/>
        </w:rPr>
        <w:t>H2) is refined oil…and therefore it is unlikely to require labelling</w:t>
      </w:r>
      <w:r w:rsidR="00583E62">
        <w:rPr>
          <w:color w:val="000000" w:themeColor="text1"/>
        </w:rPr>
        <w:t xml:space="preserve"> with the comment under Section 3.2.1.1 that states </w:t>
      </w:r>
      <w:r w:rsidR="00583E62" w:rsidRPr="00583E62">
        <w:rPr>
          <w:i/>
          <w:color w:val="000000" w:themeColor="text1"/>
        </w:rPr>
        <w:t>Appropriate labelling would allow consumers wishing to avoid certain GM soybean products to do so.</w:t>
      </w:r>
      <w:r w:rsidR="00583E62">
        <w:rPr>
          <w:color w:val="000000" w:themeColor="text1"/>
        </w:rPr>
        <w:t xml:space="preserve"> In their view, these comments were contradictory and they noted paragraph 4(1</w:t>
      </w:r>
      <w:proofErr w:type="gramStart"/>
      <w:r w:rsidR="00583E62">
        <w:rPr>
          <w:color w:val="000000" w:themeColor="text1"/>
        </w:rPr>
        <w:t>)(</w:t>
      </w:r>
      <w:proofErr w:type="gramEnd"/>
      <w:r w:rsidR="00583E62">
        <w:rPr>
          <w:color w:val="000000" w:themeColor="text1"/>
        </w:rPr>
        <w:t>c) provides the current labelling exemption.</w:t>
      </w:r>
    </w:p>
    <w:p w:rsidR="00A75943" w:rsidRDefault="00A75943" w:rsidP="005D3FFD">
      <w:pPr>
        <w:rPr>
          <w:color w:val="000000" w:themeColor="text1"/>
        </w:rPr>
      </w:pPr>
    </w:p>
    <w:p w:rsidR="00583E62" w:rsidRPr="00147B53" w:rsidRDefault="00583E62" w:rsidP="005D3FFD">
      <w:pPr>
        <w:rPr>
          <w:color w:val="000000" w:themeColor="text1"/>
          <w:u w:val="single"/>
        </w:rPr>
      </w:pPr>
      <w:r w:rsidRPr="00147B53">
        <w:rPr>
          <w:color w:val="000000" w:themeColor="text1"/>
          <w:u w:val="single"/>
        </w:rPr>
        <w:t>Response</w:t>
      </w:r>
    </w:p>
    <w:p w:rsidR="00583E62" w:rsidRDefault="00583E62" w:rsidP="005D3FFD">
      <w:pPr>
        <w:rPr>
          <w:color w:val="000000" w:themeColor="text1"/>
        </w:rPr>
      </w:pPr>
    </w:p>
    <w:p w:rsidR="00E34B10" w:rsidRDefault="00E34B10" w:rsidP="00E34B10">
      <w:pPr>
        <w:rPr>
          <w:color w:val="000000" w:themeColor="text1"/>
        </w:rPr>
      </w:pPr>
      <w:r>
        <w:rPr>
          <w:color w:val="000000" w:themeColor="text1"/>
        </w:rPr>
        <w:t xml:space="preserve">In Australia </w:t>
      </w:r>
      <w:r w:rsidRPr="00E34B10">
        <w:rPr>
          <w:color w:val="000000" w:themeColor="text1"/>
        </w:rPr>
        <w:t>and New Zeala</w:t>
      </w:r>
      <w:r>
        <w:rPr>
          <w:color w:val="000000" w:themeColor="text1"/>
        </w:rPr>
        <w:t>nd</w:t>
      </w:r>
      <w:r w:rsidRPr="00E34B10">
        <w:rPr>
          <w:color w:val="000000" w:themeColor="text1"/>
        </w:rPr>
        <w:t xml:space="preserve">, </w:t>
      </w:r>
      <w:r>
        <w:rPr>
          <w:color w:val="000000" w:themeColor="text1"/>
        </w:rPr>
        <w:t xml:space="preserve">GM </w:t>
      </w:r>
      <w:r w:rsidRPr="00E34B10">
        <w:rPr>
          <w:color w:val="000000" w:themeColor="text1"/>
        </w:rPr>
        <w:t xml:space="preserve">labelling requirements </w:t>
      </w:r>
      <w:r>
        <w:rPr>
          <w:color w:val="000000" w:themeColor="text1"/>
        </w:rPr>
        <w:t>are based on foods that contain novel DNA and/or novel protein (GM material)</w:t>
      </w:r>
      <w:r w:rsidR="00527DF1">
        <w:rPr>
          <w:color w:val="000000" w:themeColor="text1"/>
        </w:rPr>
        <w:t>,</w:t>
      </w:r>
      <w:r>
        <w:rPr>
          <w:color w:val="000000" w:themeColor="text1"/>
        </w:rPr>
        <w:t xml:space="preserve"> or</w:t>
      </w:r>
      <w:r w:rsidR="00527DF1">
        <w:rPr>
          <w:color w:val="000000" w:themeColor="text1"/>
        </w:rPr>
        <w:t xml:space="preserve"> if the food has </w:t>
      </w:r>
      <w:r>
        <w:rPr>
          <w:color w:val="000000" w:themeColor="text1"/>
        </w:rPr>
        <w:t xml:space="preserve">altered characteristics.  Foods which are </w:t>
      </w:r>
      <w:r w:rsidRPr="00E34B10">
        <w:rPr>
          <w:color w:val="000000" w:themeColor="text1"/>
        </w:rPr>
        <w:t xml:space="preserve">produced using GM processes but do not contain any </w:t>
      </w:r>
      <w:r>
        <w:rPr>
          <w:color w:val="000000" w:themeColor="text1"/>
        </w:rPr>
        <w:t>GM</w:t>
      </w:r>
      <w:r w:rsidRPr="00E34B10">
        <w:rPr>
          <w:color w:val="000000" w:themeColor="text1"/>
        </w:rPr>
        <w:t xml:space="preserve"> materia</w:t>
      </w:r>
      <w:r>
        <w:rPr>
          <w:color w:val="000000" w:themeColor="text1"/>
        </w:rPr>
        <w:t>l</w:t>
      </w:r>
      <w:r w:rsidRPr="00E34B10">
        <w:rPr>
          <w:color w:val="000000" w:themeColor="text1"/>
        </w:rPr>
        <w:t xml:space="preserve"> in the </w:t>
      </w:r>
      <w:r>
        <w:rPr>
          <w:color w:val="000000" w:themeColor="text1"/>
        </w:rPr>
        <w:t>final food</w:t>
      </w:r>
      <w:r w:rsidR="00527DF1">
        <w:rPr>
          <w:color w:val="000000" w:themeColor="text1"/>
        </w:rPr>
        <w:t xml:space="preserve"> (and have no altered characteristics)</w:t>
      </w:r>
      <w:r w:rsidRPr="00E34B10">
        <w:rPr>
          <w:color w:val="000000" w:themeColor="text1"/>
        </w:rPr>
        <w:t xml:space="preserve"> a</w:t>
      </w:r>
      <w:r>
        <w:rPr>
          <w:color w:val="000000" w:themeColor="text1"/>
        </w:rPr>
        <w:t xml:space="preserve">re </w:t>
      </w:r>
      <w:r w:rsidRPr="00C578DB">
        <w:rPr>
          <w:color w:val="000000" w:themeColor="text1"/>
        </w:rPr>
        <w:t>analytically indistinguishable</w:t>
      </w:r>
      <w:r w:rsidRPr="00E34B10">
        <w:rPr>
          <w:color w:val="000000" w:themeColor="text1"/>
        </w:rPr>
        <w:t xml:space="preserve"> from their conventional counterpart. </w:t>
      </w:r>
      <w:r w:rsidRPr="00C578DB">
        <w:rPr>
          <w:color w:val="000000" w:themeColor="text1"/>
        </w:rPr>
        <w:t>Th</w:t>
      </w:r>
      <w:r w:rsidR="00F82E26">
        <w:rPr>
          <w:color w:val="000000" w:themeColor="text1"/>
        </w:rPr>
        <w:t xml:space="preserve">is regulatory approach </w:t>
      </w:r>
      <w:r w:rsidRPr="00C578DB">
        <w:rPr>
          <w:color w:val="000000" w:themeColor="text1"/>
        </w:rPr>
        <w:t xml:space="preserve">has been taken to ensure that </w:t>
      </w:r>
      <w:r w:rsidR="00F82E26">
        <w:rPr>
          <w:color w:val="000000" w:themeColor="text1"/>
        </w:rPr>
        <w:t xml:space="preserve">GM </w:t>
      </w:r>
      <w:r w:rsidRPr="00C578DB">
        <w:rPr>
          <w:color w:val="000000" w:themeColor="text1"/>
        </w:rPr>
        <w:t>l</w:t>
      </w:r>
      <w:r>
        <w:rPr>
          <w:color w:val="000000" w:themeColor="text1"/>
        </w:rPr>
        <w:t>abelling is</w:t>
      </w:r>
      <w:r w:rsidR="00A13D0B">
        <w:rPr>
          <w:color w:val="000000" w:themeColor="text1"/>
        </w:rPr>
        <w:t xml:space="preserve"> both</w:t>
      </w:r>
      <w:r>
        <w:rPr>
          <w:color w:val="000000" w:themeColor="text1"/>
        </w:rPr>
        <w:t xml:space="preserve"> meaningful</w:t>
      </w:r>
      <w:r w:rsidR="00F82E26">
        <w:rPr>
          <w:color w:val="000000" w:themeColor="text1"/>
        </w:rPr>
        <w:t xml:space="preserve"> to consumers and practical for enforcement purposes. </w:t>
      </w:r>
    </w:p>
    <w:p w:rsidR="00E34B10" w:rsidRDefault="00E34B10" w:rsidP="005D3FFD">
      <w:pPr>
        <w:rPr>
          <w:color w:val="000000" w:themeColor="text1"/>
        </w:rPr>
      </w:pPr>
    </w:p>
    <w:p w:rsidR="00583E62" w:rsidRDefault="00715B7D" w:rsidP="005D3FFD">
      <w:pPr>
        <w:rPr>
          <w:color w:val="000000" w:themeColor="text1"/>
        </w:rPr>
      </w:pPr>
      <w:r>
        <w:rPr>
          <w:color w:val="000000" w:themeColor="text1"/>
        </w:rPr>
        <w:t>Under paragraph 4(1)(c)</w:t>
      </w:r>
      <w:r w:rsidR="00E70631">
        <w:rPr>
          <w:color w:val="000000" w:themeColor="text1"/>
        </w:rPr>
        <w:t xml:space="preserve"> of Standard 1.5.2</w:t>
      </w:r>
      <w:r>
        <w:rPr>
          <w:color w:val="000000" w:themeColor="text1"/>
        </w:rPr>
        <w:t>, th</w:t>
      </w:r>
      <w:r w:rsidR="00583E62">
        <w:rPr>
          <w:color w:val="000000" w:themeColor="text1"/>
        </w:rPr>
        <w:t>e labelling exemption for highly refined food, in this case refined oil from soybean line SYHT0H2</w:t>
      </w:r>
      <w:r w:rsidR="00F82E26">
        <w:rPr>
          <w:color w:val="000000" w:themeColor="text1"/>
        </w:rPr>
        <w:t>,</w:t>
      </w:r>
      <w:r w:rsidR="00E34B10">
        <w:rPr>
          <w:color w:val="000000" w:themeColor="text1"/>
        </w:rPr>
        <w:t xml:space="preserve"> only applies when the </w:t>
      </w:r>
      <w:r w:rsidR="00C578DB" w:rsidRPr="00C578DB">
        <w:rPr>
          <w:color w:val="000000" w:themeColor="text1"/>
        </w:rPr>
        <w:t>refining process</w:t>
      </w:r>
      <w:r w:rsidR="00E34B10">
        <w:rPr>
          <w:color w:val="000000" w:themeColor="text1"/>
        </w:rPr>
        <w:t xml:space="preserve"> has removed all GM material. </w:t>
      </w:r>
      <w:r w:rsidR="00527DF1">
        <w:rPr>
          <w:color w:val="000000" w:themeColor="text1"/>
        </w:rPr>
        <w:t>The onus is on the supplier to determine whether GM material is present in the final food and if so, to apply the mandatory ‘genetically modified’ labelling statement.</w:t>
      </w:r>
      <w:r w:rsidR="00F82E26">
        <w:rPr>
          <w:color w:val="000000" w:themeColor="text1"/>
        </w:rPr>
        <w:t xml:space="preserve"> </w:t>
      </w:r>
    </w:p>
    <w:p w:rsidR="00C578DB" w:rsidRDefault="00C578DB" w:rsidP="005D3FFD">
      <w:pPr>
        <w:rPr>
          <w:color w:val="000000" w:themeColor="text1"/>
        </w:rPr>
      </w:pPr>
    </w:p>
    <w:p w:rsidR="00024C82" w:rsidRDefault="009B0055" w:rsidP="00A75943">
      <w:pPr>
        <w:widowControl/>
        <w:rPr>
          <w:color w:val="000000" w:themeColor="text1"/>
        </w:rPr>
      </w:pPr>
      <w:r>
        <w:rPr>
          <w:color w:val="000000" w:themeColor="text1"/>
        </w:rPr>
        <w:t xml:space="preserve">In the statement </w:t>
      </w:r>
      <w:r w:rsidRPr="00583E62">
        <w:rPr>
          <w:i/>
          <w:color w:val="000000" w:themeColor="text1"/>
        </w:rPr>
        <w:t>“Appropriate labelling would allow consumers wishing to avoid cert</w:t>
      </w:r>
      <w:r w:rsidR="008F4CB0">
        <w:rPr>
          <w:i/>
          <w:color w:val="000000" w:themeColor="text1"/>
        </w:rPr>
        <w:t>ain GM soybean products</w:t>
      </w:r>
      <w:r w:rsidRPr="00583E62">
        <w:rPr>
          <w:i/>
          <w:color w:val="000000" w:themeColor="text1"/>
        </w:rPr>
        <w:t>”</w:t>
      </w:r>
      <w:r w:rsidR="006E634D">
        <w:rPr>
          <w:i/>
          <w:color w:val="000000" w:themeColor="text1"/>
        </w:rPr>
        <w:t xml:space="preserve">, </w:t>
      </w:r>
      <w:r w:rsidRPr="009B0055">
        <w:rPr>
          <w:color w:val="000000" w:themeColor="text1"/>
        </w:rPr>
        <w:t xml:space="preserve">the </w:t>
      </w:r>
      <w:r w:rsidR="001069AB">
        <w:rPr>
          <w:color w:val="000000" w:themeColor="text1"/>
        </w:rPr>
        <w:t>use of ‘certain’ indicated</w:t>
      </w:r>
      <w:r w:rsidR="008F4CB0">
        <w:rPr>
          <w:color w:val="000000" w:themeColor="text1"/>
        </w:rPr>
        <w:t xml:space="preserve"> </w:t>
      </w:r>
      <w:r w:rsidR="006E634D" w:rsidRPr="006E634D">
        <w:rPr>
          <w:color w:val="000000" w:themeColor="text1"/>
        </w:rPr>
        <w:t xml:space="preserve">those GM soybean products that contain novel DNA or novel protein and therefore carry the mandatory labelling statement. </w:t>
      </w:r>
      <w:r w:rsidR="001069AB">
        <w:rPr>
          <w:color w:val="000000" w:themeColor="text1"/>
        </w:rPr>
        <w:t>Th</w:t>
      </w:r>
      <w:r w:rsidR="00496402">
        <w:rPr>
          <w:color w:val="000000" w:themeColor="text1"/>
        </w:rPr>
        <w:t>e</w:t>
      </w:r>
      <w:r w:rsidR="001069AB">
        <w:rPr>
          <w:color w:val="000000" w:themeColor="text1"/>
        </w:rPr>
        <w:t xml:space="preserve"> wording has been altered slightly in Section 4.1.1 of this Approval Report</w:t>
      </w:r>
      <w:r w:rsidR="00496402">
        <w:rPr>
          <w:color w:val="000000" w:themeColor="text1"/>
        </w:rPr>
        <w:t xml:space="preserve"> to avoid confusion.</w:t>
      </w:r>
    </w:p>
    <w:p w:rsidR="009C0A5F" w:rsidRPr="003D1F06" w:rsidRDefault="00A75943" w:rsidP="00147B53">
      <w:pPr>
        <w:pStyle w:val="Heading5"/>
      </w:pPr>
      <w:r>
        <w:t>Issue 2</w:t>
      </w:r>
      <w:r w:rsidR="009C0A5F" w:rsidRPr="003D1F06">
        <w:t xml:space="preserve"> – Acute oral toxicity study</w:t>
      </w:r>
    </w:p>
    <w:p w:rsidR="009C0A5F" w:rsidRPr="003D1F06" w:rsidRDefault="00A02EAD" w:rsidP="009C0A5F">
      <w:pPr>
        <w:widowControl/>
        <w:autoSpaceDE w:val="0"/>
        <w:autoSpaceDN w:val="0"/>
        <w:adjustRightInd w:val="0"/>
        <w:rPr>
          <w:rFonts w:cs="Arial"/>
          <w:szCs w:val="22"/>
          <w:lang w:eastAsia="en-GB" w:bidi="ar-SA"/>
        </w:rPr>
      </w:pPr>
      <w:r>
        <w:rPr>
          <w:rFonts w:cs="Arial"/>
          <w:szCs w:val="22"/>
          <w:lang w:eastAsia="en-GB" w:bidi="ar-SA"/>
        </w:rPr>
        <w:t xml:space="preserve">Ms </w:t>
      </w:r>
      <w:r w:rsidR="009C0A5F" w:rsidRPr="003D1F06">
        <w:rPr>
          <w:rFonts w:cs="Arial"/>
          <w:szCs w:val="22"/>
          <w:lang w:eastAsia="en-GB" w:bidi="ar-SA"/>
        </w:rPr>
        <w:t xml:space="preserve">Claire </w:t>
      </w:r>
      <w:proofErr w:type="spellStart"/>
      <w:r w:rsidR="009C0A5F" w:rsidRPr="003D1F06">
        <w:rPr>
          <w:rFonts w:cs="Arial"/>
          <w:szCs w:val="22"/>
          <w:lang w:eastAsia="en-GB" w:bidi="ar-SA"/>
        </w:rPr>
        <w:t>McFee</w:t>
      </w:r>
      <w:proofErr w:type="spellEnd"/>
      <w:r w:rsidR="009C0A5F" w:rsidRPr="003D1F06">
        <w:rPr>
          <w:rFonts w:cs="Arial"/>
          <w:szCs w:val="22"/>
          <w:lang w:eastAsia="en-GB" w:bidi="ar-SA"/>
        </w:rPr>
        <w:t xml:space="preserve"> was concerned the acute ‘oral toxicity study’ that was done was not included so this could be publicly assessed.</w:t>
      </w:r>
      <w:r w:rsidR="00477C87">
        <w:rPr>
          <w:rFonts w:cs="Arial"/>
          <w:szCs w:val="22"/>
          <w:lang w:eastAsia="en-GB" w:bidi="ar-SA"/>
        </w:rPr>
        <w:t xml:space="preserve"> GE Free NZ maintain</w:t>
      </w:r>
      <w:r w:rsidR="006D0C46">
        <w:rPr>
          <w:rFonts w:cs="Arial"/>
          <w:szCs w:val="22"/>
          <w:lang w:eastAsia="en-GB" w:bidi="ar-SA"/>
        </w:rPr>
        <w:t>s</w:t>
      </w:r>
      <w:r w:rsidR="00477C87">
        <w:rPr>
          <w:rFonts w:cs="Arial"/>
          <w:szCs w:val="22"/>
          <w:lang w:eastAsia="en-GB" w:bidi="ar-SA"/>
        </w:rPr>
        <w:t xml:space="preserve"> that a to</w:t>
      </w:r>
      <w:r w:rsidR="008F4CB0">
        <w:rPr>
          <w:rFonts w:cs="Arial"/>
          <w:szCs w:val="22"/>
          <w:lang w:eastAsia="en-GB" w:bidi="ar-SA"/>
        </w:rPr>
        <w:t>xicity study should be considered</w:t>
      </w:r>
      <w:r w:rsidR="00477C87">
        <w:rPr>
          <w:rFonts w:cs="Arial"/>
          <w:szCs w:val="22"/>
          <w:lang w:eastAsia="en-GB" w:bidi="ar-SA"/>
        </w:rPr>
        <w:t>.</w:t>
      </w:r>
    </w:p>
    <w:p w:rsidR="009C0A5F" w:rsidRPr="003D1F06" w:rsidRDefault="009C0A5F" w:rsidP="009C0A5F">
      <w:pPr>
        <w:widowControl/>
        <w:autoSpaceDE w:val="0"/>
        <w:autoSpaceDN w:val="0"/>
        <w:adjustRightInd w:val="0"/>
        <w:rPr>
          <w:rFonts w:cs="Arial"/>
          <w:szCs w:val="22"/>
          <w:lang w:eastAsia="en-GB" w:bidi="ar-SA"/>
        </w:rPr>
      </w:pPr>
    </w:p>
    <w:p w:rsidR="009C0A5F" w:rsidRPr="00147B53" w:rsidRDefault="009C0A5F" w:rsidP="009C0A5F">
      <w:pPr>
        <w:widowControl/>
        <w:autoSpaceDE w:val="0"/>
        <w:autoSpaceDN w:val="0"/>
        <w:adjustRightInd w:val="0"/>
        <w:rPr>
          <w:rFonts w:cs="Arial"/>
          <w:szCs w:val="22"/>
          <w:u w:val="single"/>
          <w:lang w:eastAsia="en-GB" w:bidi="ar-SA"/>
        </w:rPr>
      </w:pPr>
      <w:r w:rsidRPr="00147B53">
        <w:rPr>
          <w:rFonts w:cs="Arial"/>
          <w:szCs w:val="22"/>
          <w:u w:val="single"/>
          <w:lang w:eastAsia="en-GB" w:bidi="ar-SA"/>
        </w:rPr>
        <w:t>Response</w:t>
      </w:r>
    </w:p>
    <w:p w:rsidR="009C0A5F" w:rsidRPr="003D1F06" w:rsidRDefault="009C0A5F" w:rsidP="009C0A5F">
      <w:pPr>
        <w:widowControl/>
        <w:autoSpaceDE w:val="0"/>
        <w:autoSpaceDN w:val="0"/>
        <w:adjustRightInd w:val="0"/>
        <w:rPr>
          <w:rFonts w:cs="Arial"/>
          <w:szCs w:val="22"/>
          <w:lang w:eastAsia="en-GB" w:bidi="ar-SA"/>
        </w:rPr>
      </w:pPr>
    </w:p>
    <w:p w:rsidR="00813263" w:rsidRDefault="003D1F06" w:rsidP="009C0A5F">
      <w:pPr>
        <w:widowControl/>
        <w:autoSpaceDE w:val="0"/>
        <w:autoSpaceDN w:val="0"/>
        <w:adjustRightInd w:val="0"/>
        <w:rPr>
          <w:rFonts w:eastAsia="PMingLiU" w:cs="Arial"/>
          <w:color w:val="000000" w:themeColor="text1"/>
          <w:szCs w:val="22"/>
        </w:rPr>
      </w:pPr>
      <w:r w:rsidRPr="003D1F06">
        <w:rPr>
          <w:rFonts w:cs="Arial"/>
          <w:szCs w:val="22"/>
          <w:lang w:eastAsia="en-GB" w:bidi="ar-SA"/>
        </w:rPr>
        <w:t xml:space="preserve">The </w:t>
      </w:r>
      <w:r w:rsidR="006D0C46">
        <w:rPr>
          <w:rFonts w:cs="Arial"/>
          <w:szCs w:val="22"/>
          <w:lang w:eastAsia="en-GB" w:bidi="ar-SA"/>
        </w:rPr>
        <w:t xml:space="preserve">FSANZ </w:t>
      </w:r>
      <w:r w:rsidRPr="009549B7">
        <w:rPr>
          <w:rFonts w:cs="Arial"/>
          <w:i/>
          <w:szCs w:val="22"/>
          <w:lang w:eastAsia="en-GB" w:bidi="ar-SA"/>
        </w:rPr>
        <w:t>Application Handbook</w:t>
      </w:r>
      <w:r w:rsidRPr="003D1F06">
        <w:rPr>
          <w:rFonts w:cs="Arial"/>
          <w:szCs w:val="22"/>
          <w:lang w:eastAsia="en-GB" w:bidi="ar-SA"/>
        </w:rPr>
        <w:t xml:space="preserve"> states there is no requirement to conduct acute or short-term oral toxicity studies in animals unless the bioinformatic comparison or biochemical studies indicate a potential safety issue. </w:t>
      </w:r>
      <w:r w:rsidR="009C0A5F" w:rsidRPr="003D1F06">
        <w:rPr>
          <w:rFonts w:cs="Arial"/>
          <w:szCs w:val="22"/>
          <w:lang w:eastAsia="en-GB" w:bidi="ar-SA"/>
        </w:rPr>
        <w:t>A</w:t>
      </w:r>
      <w:r w:rsidR="00014066">
        <w:rPr>
          <w:rFonts w:cs="Arial"/>
          <w:szCs w:val="22"/>
          <w:lang w:eastAsia="en-GB" w:bidi="ar-SA"/>
        </w:rPr>
        <w:t>s stated in the A1081</w:t>
      </w:r>
      <w:r w:rsidR="009C0A5F" w:rsidRPr="003D1F06">
        <w:rPr>
          <w:rFonts w:cs="Arial"/>
          <w:szCs w:val="22"/>
          <w:lang w:eastAsia="en-GB" w:bidi="ar-SA"/>
        </w:rPr>
        <w:t xml:space="preserve"> safety assessment, </w:t>
      </w:r>
      <w:r w:rsidRPr="003D1F06">
        <w:rPr>
          <w:rFonts w:eastAsia="PMingLiU" w:cs="Arial"/>
          <w:color w:val="000000" w:themeColor="text1"/>
          <w:szCs w:val="22"/>
        </w:rPr>
        <w:t xml:space="preserve">an acute oral toxicity study in mice, using </w:t>
      </w:r>
      <w:r w:rsidRPr="003D1F06">
        <w:rPr>
          <w:rFonts w:cs="Arial"/>
          <w:color w:val="000000" w:themeColor="text1"/>
          <w:szCs w:val="22"/>
        </w:rPr>
        <w:t xml:space="preserve">bacterially-produced AvHPPD-03 protein </w:t>
      </w:r>
      <w:r w:rsidRPr="003D1F06">
        <w:rPr>
          <w:rFonts w:eastAsia="PMingLiU" w:cs="Arial"/>
          <w:color w:val="000000" w:themeColor="text1"/>
          <w:szCs w:val="22"/>
        </w:rPr>
        <w:t xml:space="preserve">was submitted by the Applicants but was not included in the safety assessment since </w:t>
      </w:r>
      <w:proofErr w:type="gramStart"/>
      <w:r w:rsidRPr="003D1F06">
        <w:rPr>
          <w:rFonts w:eastAsia="PMingLiU" w:cs="Arial"/>
          <w:color w:val="000000" w:themeColor="text1"/>
          <w:szCs w:val="22"/>
        </w:rPr>
        <w:t>no</w:t>
      </w:r>
      <w:proofErr w:type="gramEnd"/>
      <w:r w:rsidRPr="003D1F06">
        <w:rPr>
          <w:rFonts w:eastAsia="PMingLiU" w:cs="Arial"/>
          <w:color w:val="000000" w:themeColor="text1"/>
          <w:szCs w:val="22"/>
        </w:rPr>
        <w:t xml:space="preserve"> safety concerns were identified in any of the other studies. </w:t>
      </w:r>
      <w:r w:rsidR="00014066">
        <w:rPr>
          <w:rFonts w:eastAsia="PMingLiU" w:cs="Arial"/>
          <w:color w:val="000000" w:themeColor="text1"/>
          <w:szCs w:val="22"/>
        </w:rPr>
        <w:t xml:space="preserve">It is noted that this study indicated there was no evidence of toxicity resulting from oral administration of the protein. </w:t>
      </w:r>
    </w:p>
    <w:p w:rsidR="00813263" w:rsidRDefault="00813263" w:rsidP="009C0A5F">
      <w:pPr>
        <w:widowControl/>
        <w:autoSpaceDE w:val="0"/>
        <w:autoSpaceDN w:val="0"/>
        <w:adjustRightInd w:val="0"/>
        <w:rPr>
          <w:rFonts w:eastAsia="PMingLiU" w:cs="Arial"/>
          <w:color w:val="000000" w:themeColor="text1"/>
          <w:szCs w:val="22"/>
        </w:rPr>
      </w:pPr>
    </w:p>
    <w:p w:rsidR="009C0A5F" w:rsidRPr="003D1F06" w:rsidRDefault="00014066" w:rsidP="009C0A5F">
      <w:pPr>
        <w:widowControl/>
        <w:autoSpaceDE w:val="0"/>
        <w:autoSpaceDN w:val="0"/>
        <w:adjustRightInd w:val="0"/>
        <w:rPr>
          <w:rFonts w:eastAsia="PMingLiU" w:cs="Arial"/>
          <w:color w:val="000000" w:themeColor="text1"/>
          <w:szCs w:val="22"/>
        </w:rPr>
      </w:pPr>
      <w:r>
        <w:rPr>
          <w:rFonts w:eastAsia="PMingLiU" w:cs="Arial"/>
          <w:color w:val="000000" w:themeColor="text1"/>
          <w:szCs w:val="22"/>
        </w:rPr>
        <w:t>A</w:t>
      </w:r>
      <w:r w:rsidR="003D1F06" w:rsidRPr="003D1F06">
        <w:rPr>
          <w:rFonts w:eastAsia="PMingLiU" w:cs="Arial"/>
          <w:color w:val="000000" w:themeColor="text1"/>
          <w:szCs w:val="22"/>
        </w:rPr>
        <w:t>nyone may request to see any of the studies submitted by an Applicant</w:t>
      </w:r>
      <w:r w:rsidR="00BE6C9B">
        <w:rPr>
          <w:rFonts w:eastAsia="PMingLiU" w:cs="Arial"/>
          <w:color w:val="000000" w:themeColor="text1"/>
          <w:szCs w:val="22"/>
        </w:rPr>
        <w:t xml:space="preserve"> and</w:t>
      </w:r>
      <w:r>
        <w:rPr>
          <w:rFonts w:eastAsia="PMingLiU" w:cs="Arial"/>
          <w:color w:val="000000" w:themeColor="text1"/>
          <w:szCs w:val="22"/>
        </w:rPr>
        <w:t xml:space="preserve"> for A1081</w:t>
      </w:r>
      <w:r w:rsidR="003D1F06">
        <w:rPr>
          <w:rFonts w:eastAsia="PMingLiU" w:cs="Arial"/>
          <w:color w:val="000000" w:themeColor="text1"/>
          <w:szCs w:val="22"/>
        </w:rPr>
        <w:t xml:space="preserve"> these studies are now available on the FSANZ website</w:t>
      </w:r>
      <w:r>
        <w:rPr>
          <w:rFonts w:eastAsia="PMingLiU" w:cs="Arial"/>
          <w:color w:val="000000" w:themeColor="text1"/>
          <w:szCs w:val="22"/>
        </w:rPr>
        <w:t>.</w:t>
      </w:r>
      <w:r>
        <w:rPr>
          <w:rStyle w:val="FootnoteReference"/>
          <w:rFonts w:eastAsia="PMingLiU" w:cs="Arial"/>
          <w:color w:val="000000" w:themeColor="text1"/>
          <w:szCs w:val="22"/>
        </w:rPr>
        <w:footnoteReference w:id="6"/>
      </w:r>
      <w:r w:rsidR="003D1F06">
        <w:rPr>
          <w:rFonts w:eastAsia="PMingLiU" w:cs="Arial"/>
          <w:color w:val="000000" w:themeColor="text1"/>
          <w:szCs w:val="22"/>
        </w:rPr>
        <w:t xml:space="preserve"> </w:t>
      </w:r>
    </w:p>
    <w:p w:rsidR="00FF47DE" w:rsidRDefault="00FF47DE">
      <w:pPr>
        <w:widowControl/>
        <w:rPr>
          <w:rFonts w:cs="Arial"/>
          <w:i/>
          <w:color w:val="000000" w:themeColor="text1"/>
          <w:szCs w:val="22"/>
          <w:u w:val="single"/>
        </w:rPr>
      </w:pPr>
    </w:p>
    <w:p w:rsidR="006E7E0C" w:rsidRDefault="006E7E0C">
      <w:pPr>
        <w:widowControl/>
        <w:rPr>
          <w:rFonts w:cs="Arial"/>
          <w:i/>
          <w:color w:val="000000" w:themeColor="text1"/>
          <w:szCs w:val="22"/>
          <w:u w:val="single"/>
        </w:rPr>
      </w:pPr>
      <w:r>
        <w:rPr>
          <w:rFonts w:cs="Arial"/>
          <w:i/>
          <w:color w:val="000000" w:themeColor="text1"/>
          <w:szCs w:val="22"/>
          <w:u w:val="single"/>
        </w:rPr>
        <w:br w:type="page"/>
      </w:r>
    </w:p>
    <w:p w:rsidR="00924E0D" w:rsidRPr="00551E1F" w:rsidRDefault="00F270B9" w:rsidP="00147B53">
      <w:pPr>
        <w:pStyle w:val="Heading5"/>
      </w:pPr>
      <w:r w:rsidRPr="00551E1F">
        <w:lastRenderedPageBreak/>
        <w:t>I</w:t>
      </w:r>
      <w:r w:rsidR="00A75943">
        <w:t>ssue 3</w:t>
      </w:r>
      <w:r w:rsidRPr="00551E1F">
        <w:t xml:space="preserve"> </w:t>
      </w:r>
      <w:r w:rsidR="00147B53">
        <w:t>–</w:t>
      </w:r>
      <w:r w:rsidR="00551E1F" w:rsidRPr="00551E1F">
        <w:t xml:space="preserve"> </w:t>
      </w:r>
      <w:r w:rsidR="00924E0D" w:rsidRPr="00551E1F">
        <w:t>Compositional equivalence</w:t>
      </w:r>
    </w:p>
    <w:p w:rsidR="00F270B9" w:rsidRPr="00551E1F" w:rsidRDefault="00551E1F" w:rsidP="00F270B9">
      <w:pPr>
        <w:widowControl/>
        <w:autoSpaceDE w:val="0"/>
        <w:autoSpaceDN w:val="0"/>
        <w:adjustRightInd w:val="0"/>
        <w:rPr>
          <w:rFonts w:cs="Arial"/>
          <w:bCs/>
          <w:color w:val="000000" w:themeColor="text1"/>
          <w:szCs w:val="22"/>
          <w:lang w:eastAsia="en-GB" w:bidi="ar-SA"/>
        </w:rPr>
      </w:pPr>
      <w:r w:rsidRPr="00551E1F">
        <w:rPr>
          <w:rFonts w:cs="Arial"/>
          <w:color w:val="000000" w:themeColor="text1"/>
          <w:szCs w:val="22"/>
        </w:rPr>
        <w:t xml:space="preserve">GE Free NZ </w:t>
      </w:r>
      <w:r w:rsidR="00F270B9" w:rsidRPr="00551E1F">
        <w:rPr>
          <w:rFonts w:cs="Arial"/>
          <w:color w:val="000000" w:themeColor="text1"/>
          <w:szCs w:val="22"/>
        </w:rPr>
        <w:t>raised the following issues: ‘</w:t>
      </w:r>
      <w:r w:rsidR="00F270B9" w:rsidRPr="008F4CB0">
        <w:rPr>
          <w:rFonts w:cs="Arial"/>
          <w:bCs/>
          <w:i/>
          <w:color w:val="000000" w:themeColor="text1"/>
          <w:szCs w:val="22"/>
          <w:lang w:eastAsia="en-GB" w:bidi="ar-SA"/>
        </w:rPr>
        <w:t>Compositional equivalence” that is similar to “substantial equivalence” and is a new term (biological significance) not seen before and we do not know what it means. Please could you clarify? Specifically, if there are no feeding studies conducted on mammals/humans how did FSANZ deduce that there were no effects of “biological significance</w:t>
      </w:r>
      <w:r w:rsidR="00F270B9" w:rsidRPr="00551E1F">
        <w:rPr>
          <w:rFonts w:cs="Arial"/>
          <w:bCs/>
          <w:color w:val="000000" w:themeColor="text1"/>
          <w:szCs w:val="22"/>
          <w:lang w:eastAsia="en-GB" w:bidi="ar-SA"/>
        </w:rPr>
        <w:t>?</w:t>
      </w:r>
    </w:p>
    <w:p w:rsidR="00F270B9" w:rsidRDefault="00F270B9" w:rsidP="00F270B9">
      <w:pPr>
        <w:rPr>
          <w:rFonts w:cs="Arial"/>
          <w:i/>
          <w:color w:val="000000" w:themeColor="text1"/>
          <w:szCs w:val="22"/>
        </w:rPr>
      </w:pPr>
    </w:p>
    <w:p w:rsidR="00777D4C" w:rsidRPr="00147B53" w:rsidRDefault="00777D4C" w:rsidP="00F270B9">
      <w:pPr>
        <w:rPr>
          <w:rFonts w:cs="Arial"/>
          <w:color w:val="000000" w:themeColor="text1"/>
          <w:szCs w:val="22"/>
          <w:u w:val="single"/>
        </w:rPr>
      </w:pPr>
      <w:r w:rsidRPr="00147B53">
        <w:rPr>
          <w:rFonts w:cs="Arial"/>
          <w:color w:val="000000" w:themeColor="text1"/>
          <w:szCs w:val="22"/>
          <w:u w:val="single"/>
        </w:rPr>
        <w:t>Response</w:t>
      </w:r>
    </w:p>
    <w:p w:rsidR="00777D4C" w:rsidRPr="00551E1F" w:rsidRDefault="00777D4C" w:rsidP="00F270B9">
      <w:pPr>
        <w:rPr>
          <w:rFonts w:cs="Arial"/>
          <w:i/>
          <w:color w:val="000000" w:themeColor="text1"/>
          <w:szCs w:val="22"/>
        </w:rPr>
      </w:pPr>
    </w:p>
    <w:p w:rsidR="00CA33BC" w:rsidRDefault="00F270B9" w:rsidP="00F270B9">
      <w:pPr>
        <w:rPr>
          <w:rFonts w:cs="Arial"/>
          <w:color w:val="000000" w:themeColor="text1"/>
          <w:szCs w:val="22"/>
        </w:rPr>
      </w:pPr>
      <w:r w:rsidRPr="00551E1F">
        <w:rPr>
          <w:rFonts w:cs="Arial"/>
          <w:color w:val="000000" w:themeColor="text1"/>
          <w:szCs w:val="22"/>
        </w:rPr>
        <w:t xml:space="preserve">The </w:t>
      </w:r>
      <w:r w:rsidR="006E0FE3" w:rsidRPr="00551E1F">
        <w:rPr>
          <w:rFonts w:cs="Arial"/>
          <w:color w:val="000000" w:themeColor="text1"/>
          <w:szCs w:val="22"/>
        </w:rPr>
        <w:t xml:space="preserve">concept of ‘substantial equivalence’ was first established through a Joint FAO/WHO Consultation in 1991 </w:t>
      </w:r>
      <w:r w:rsidR="006E0FE3" w:rsidRPr="00551E1F">
        <w:rPr>
          <w:rFonts w:cs="Arial"/>
          <w:color w:val="000000" w:themeColor="text1"/>
          <w:szCs w:val="22"/>
        </w:rPr>
        <w:fldChar w:fldCharType="begin"/>
      </w:r>
      <w:r w:rsidR="006E7E0C">
        <w:rPr>
          <w:rFonts w:cs="Arial"/>
          <w:color w:val="000000" w:themeColor="text1"/>
          <w:szCs w:val="22"/>
        </w:rPr>
        <w:instrText xml:space="preserve"> ADDIN REFMGR.CITE &lt;Refman&gt;&lt;Cite&gt;&lt;Author&gt;FAO/WHO&lt;/Author&gt;&lt;Year&gt;1991&lt;/Year&gt;&lt;RecNum&gt;760&lt;/RecNum&gt;&lt;IDText&gt;Report of a joint FAO/WHO consultation: strategies for assessing the safety of food processed by biotechnology&lt;/IDText&gt;&lt;MDL Ref_Type="Report"&gt;&lt;Ref_Type&gt;Report&lt;/Ref_Type&gt;&lt;Ref_ID&gt;760&lt;/Ref_ID&gt;&lt;Title_Primary&gt;Report of a joint FAO/WHO consultation: strategies for assessing the safety of food processed by biotechnology&lt;/Title_Primary&gt;&lt;Authors_Primary&gt;FAO/WHO&lt;/Authors_Primary&gt;&lt;Date_Primary&gt;1991&lt;/Date_Primary&gt;&lt;Keywords&gt;Safety&lt;/Keywords&gt;&lt;Keywords&gt;Biotechnology&lt;/Keywords&gt;&lt;Reprint&gt;Not in File&lt;/Reprint&gt;&lt;Pub_Place&gt;Geneva&lt;/Pub_Place&gt;&lt;Publisher&gt;World Health Organisation&lt;/Publisher&gt;&lt;Web_URL&gt;&lt;f name="Times New Roman"&gt;&lt;u&gt;www.who.int/foodsafety/publications/biotech/en/1990.pdf&lt;/u&gt;&lt;/f&gt;&lt;/Web_URL&gt;&lt;Web_URL_Link2&gt;&lt;u&gt;file://F:\Risk Assessment - Chemical Safety\GMO - shared\References\GM References\FAO &amp;amp; WHO_1991_strategies for assessing the safety of GM foods.pdf&lt;/u&gt;&lt;/Web_URL_Link2&gt;&lt;ZZ_WorkformID&gt;24&lt;/ZZ_WorkformID&gt;&lt;/MDL&gt;&lt;/Cite&gt;&lt;/Refman&gt;</w:instrText>
      </w:r>
      <w:r w:rsidR="006E0FE3" w:rsidRPr="00551E1F">
        <w:rPr>
          <w:rFonts w:cs="Arial"/>
          <w:color w:val="000000" w:themeColor="text1"/>
          <w:szCs w:val="22"/>
        </w:rPr>
        <w:fldChar w:fldCharType="separate"/>
      </w:r>
      <w:r w:rsidR="006E0FE3" w:rsidRPr="00551E1F">
        <w:rPr>
          <w:rFonts w:cs="Arial"/>
          <w:noProof/>
          <w:color w:val="000000" w:themeColor="text1"/>
          <w:szCs w:val="22"/>
        </w:rPr>
        <w:t>(FAO/WHO, 1991)</w:t>
      </w:r>
      <w:r w:rsidR="006E0FE3" w:rsidRPr="00551E1F">
        <w:rPr>
          <w:rFonts w:cs="Arial"/>
          <w:color w:val="000000" w:themeColor="text1"/>
          <w:szCs w:val="22"/>
        </w:rPr>
        <w:fldChar w:fldCharType="end"/>
      </w:r>
      <w:r w:rsidR="006E0FE3" w:rsidRPr="00551E1F">
        <w:rPr>
          <w:rFonts w:cs="Arial"/>
          <w:color w:val="000000" w:themeColor="text1"/>
          <w:szCs w:val="22"/>
        </w:rPr>
        <w:t xml:space="preserve"> and was then further elaborated by the OECD</w:t>
      </w:r>
      <w:r w:rsidRPr="00551E1F">
        <w:rPr>
          <w:rFonts w:cs="Arial"/>
          <w:color w:val="000000" w:themeColor="text1"/>
          <w:szCs w:val="22"/>
        </w:rPr>
        <w:t xml:space="preserve"> </w:t>
      </w:r>
      <w:r w:rsidR="006E0FE3" w:rsidRPr="00551E1F">
        <w:rPr>
          <w:rFonts w:cs="Arial"/>
          <w:color w:val="000000" w:themeColor="text1"/>
          <w:szCs w:val="22"/>
        </w:rPr>
        <w:fldChar w:fldCharType="begin"/>
      </w:r>
      <w:r w:rsidR="006E7E0C">
        <w:rPr>
          <w:rFonts w:cs="Arial"/>
          <w:color w:val="000000" w:themeColor="text1"/>
          <w:szCs w:val="22"/>
        </w:rPr>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principles&lt;/Title_Primary&gt;&lt;Authors_Primary&gt;OECD&lt;/Authors_Primary&gt;&lt;Date_Primary&gt;1993&lt;/Date_Primary&gt;&lt;Keywords&gt;Biotechnology&lt;/Keywords&gt;&lt;Keywords&gt;Safety&lt;/Keywords&gt;&lt;Reprint&gt;In File&lt;/Reprint&gt;&lt;Pub_Place&gt;Paris&lt;/Pub_Place&gt;&lt;Publisher&gt;Organisation for Economic Co-operation and development&lt;/Publisher&gt;&lt;Web_URL_Link2&gt;&lt;u&gt;file://F:\Risk Assessment - Chemical Safety\GMO - shared\References\GM References\OECD_1993_safety evaluation of GM foods.pdf&lt;/u&gt;&lt;/Web_URL_Link2&gt;&lt;ZZ_WorkformID&gt;24&lt;/ZZ_WorkformID&gt;&lt;/MDL&gt;&lt;/Cite&gt;&lt;/Refman&gt;</w:instrText>
      </w:r>
      <w:r w:rsidR="006E0FE3" w:rsidRPr="00551E1F">
        <w:rPr>
          <w:rFonts w:cs="Arial"/>
          <w:color w:val="000000" w:themeColor="text1"/>
          <w:szCs w:val="22"/>
        </w:rPr>
        <w:fldChar w:fldCharType="separate"/>
      </w:r>
      <w:r w:rsidR="006E0FE3" w:rsidRPr="00551E1F">
        <w:rPr>
          <w:rFonts w:cs="Arial"/>
          <w:noProof/>
          <w:color w:val="000000" w:themeColor="text1"/>
          <w:szCs w:val="22"/>
        </w:rPr>
        <w:t>(OECD, 1993)</w:t>
      </w:r>
      <w:r w:rsidR="006E0FE3" w:rsidRPr="00551E1F">
        <w:rPr>
          <w:rFonts w:cs="Arial"/>
          <w:color w:val="000000" w:themeColor="text1"/>
          <w:szCs w:val="22"/>
        </w:rPr>
        <w:fldChar w:fldCharType="end"/>
      </w:r>
      <w:r w:rsidR="006E0FE3" w:rsidRPr="00551E1F">
        <w:rPr>
          <w:rFonts w:cs="Arial"/>
          <w:color w:val="000000" w:themeColor="text1"/>
          <w:szCs w:val="22"/>
        </w:rPr>
        <w:t>. Implicit in its meaning is that the safety of GM foods can be assessed, to a large extent, by comparison to a conventional counterpart having a history of safe use. The GM safety assessment comprises a number of parts (e.g. molecular characterisation, assess</w:t>
      </w:r>
      <w:r w:rsidR="00551E1F" w:rsidRPr="00551E1F">
        <w:rPr>
          <w:rFonts w:cs="Arial"/>
          <w:color w:val="000000" w:themeColor="text1"/>
          <w:szCs w:val="22"/>
        </w:rPr>
        <w:t xml:space="preserve">ment of novel proteins, compositional analysis) in which this comparative approach is used. </w:t>
      </w:r>
      <w:r w:rsidR="00551E1F">
        <w:rPr>
          <w:rFonts w:cs="Arial"/>
          <w:color w:val="000000" w:themeColor="text1"/>
          <w:szCs w:val="22"/>
        </w:rPr>
        <w:t>It should be note</w:t>
      </w:r>
      <w:r w:rsidR="00790014">
        <w:rPr>
          <w:rFonts w:cs="Arial"/>
          <w:color w:val="000000" w:themeColor="text1"/>
          <w:szCs w:val="22"/>
        </w:rPr>
        <w:t xml:space="preserve">d that </w:t>
      </w:r>
      <w:r w:rsidR="00790014" w:rsidRPr="00FF27B3">
        <w:rPr>
          <w:rFonts w:cs="Arial"/>
          <w:color w:val="000000" w:themeColor="text1"/>
          <w:szCs w:val="22"/>
        </w:rPr>
        <w:t>FSANZ does not routinely use</w:t>
      </w:r>
      <w:r w:rsidR="00551E1F" w:rsidRPr="00FF27B3">
        <w:rPr>
          <w:rFonts w:cs="Arial"/>
          <w:color w:val="000000" w:themeColor="text1"/>
          <w:szCs w:val="22"/>
        </w:rPr>
        <w:t xml:space="preserve"> either</w:t>
      </w:r>
      <w:r w:rsidR="00551E1F">
        <w:rPr>
          <w:rFonts w:cs="Arial"/>
          <w:color w:val="000000" w:themeColor="text1"/>
          <w:szCs w:val="22"/>
        </w:rPr>
        <w:t xml:space="preserve"> the term ‘substantial equivalence’ or ‘compositional equivalence’ in any of its safety assessments. </w:t>
      </w:r>
    </w:p>
    <w:p w:rsidR="00CA33BC" w:rsidRDefault="00CA33BC" w:rsidP="00F270B9">
      <w:pPr>
        <w:rPr>
          <w:rFonts w:cs="Arial"/>
          <w:color w:val="000000" w:themeColor="text1"/>
          <w:szCs w:val="22"/>
        </w:rPr>
      </w:pPr>
    </w:p>
    <w:p w:rsidR="0034582C" w:rsidRPr="00A44C84" w:rsidRDefault="00E66C91" w:rsidP="00A02EAD">
      <w:pPr>
        <w:rPr>
          <w:rFonts w:cs="Arial"/>
          <w:i/>
          <w:color w:val="000000" w:themeColor="text1"/>
          <w:szCs w:val="22"/>
        </w:rPr>
      </w:pPr>
      <w:r>
        <w:rPr>
          <w:rFonts w:cs="Arial"/>
          <w:color w:val="000000" w:themeColor="text1"/>
          <w:szCs w:val="22"/>
        </w:rPr>
        <w:t>The</w:t>
      </w:r>
      <w:r w:rsidRPr="00A44C84">
        <w:rPr>
          <w:rFonts w:cs="Arial"/>
          <w:color w:val="000000" w:themeColor="text1"/>
          <w:szCs w:val="22"/>
        </w:rPr>
        <w:t xml:space="preserve"> </w:t>
      </w:r>
      <w:r w:rsidR="00CA33BC" w:rsidRPr="00A44C84">
        <w:rPr>
          <w:rFonts w:cs="Arial"/>
          <w:color w:val="000000" w:themeColor="text1"/>
          <w:szCs w:val="22"/>
        </w:rPr>
        <w:t>main purpose</w:t>
      </w:r>
      <w:r w:rsidR="0034582C" w:rsidRPr="00A44C84">
        <w:rPr>
          <w:color w:val="000000" w:themeColor="text1"/>
        </w:rPr>
        <w:t xml:space="preserve"> </w:t>
      </w:r>
      <w:r>
        <w:rPr>
          <w:color w:val="000000" w:themeColor="text1"/>
        </w:rPr>
        <w:t xml:space="preserve">of the compositional analysis </w:t>
      </w:r>
      <w:r w:rsidR="0034582C" w:rsidRPr="00A44C84">
        <w:rPr>
          <w:color w:val="000000" w:themeColor="text1"/>
        </w:rPr>
        <w:t xml:space="preserve">is to determine if any unexpected changes in the composition of the food have occurred </w:t>
      </w:r>
      <w:r w:rsidR="00CA33BC" w:rsidRPr="00A44C84">
        <w:rPr>
          <w:color w:val="000000" w:themeColor="text1"/>
        </w:rPr>
        <w:t xml:space="preserve">(by comparison to a conventional counterpart) </w:t>
      </w:r>
      <w:r w:rsidR="0034582C" w:rsidRPr="00A44C84">
        <w:rPr>
          <w:color w:val="000000" w:themeColor="text1"/>
        </w:rPr>
        <w:t>and to establish that substances that are nutritionally important or that can affect the safety of the food have not been altered in a manner that would have an adverse impact on human health. The levels of various constituents in the GM food are compared to the levels in an appropriate comparator using a</w:t>
      </w:r>
      <w:r w:rsidR="00CA33BC" w:rsidRPr="00A44C84">
        <w:rPr>
          <w:color w:val="000000" w:themeColor="text1"/>
        </w:rPr>
        <w:t>ppropriate statistical analysis, as well as to levels in a number of non-GM lines (reference lines) grown in the same locations at the same time.</w:t>
      </w:r>
      <w:r w:rsidR="0034582C" w:rsidRPr="00A44C84">
        <w:rPr>
          <w:color w:val="000000" w:themeColor="text1"/>
        </w:rPr>
        <w:t xml:space="preserve"> Any identified statistically significant differences are then assessed to determine their biological relevance</w:t>
      </w:r>
      <w:r w:rsidR="00CA33BC" w:rsidRPr="00A44C84">
        <w:rPr>
          <w:color w:val="000000" w:themeColor="text1"/>
        </w:rPr>
        <w:t>/significance.</w:t>
      </w:r>
    </w:p>
    <w:p w:rsidR="00C37ED6" w:rsidRDefault="00C37ED6">
      <w:pPr>
        <w:widowControl/>
        <w:rPr>
          <w:color w:val="000000" w:themeColor="text1"/>
        </w:rPr>
      </w:pPr>
    </w:p>
    <w:p w:rsidR="00813263" w:rsidRDefault="00C37ED6">
      <w:pPr>
        <w:widowControl/>
        <w:rPr>
          <w:lang w:val="en-US"/>
        </w:rPr>
      </w:pPr>
      <w:r>
        <w:rPr>
          <w:lang w:val="en-US"/>
        </w:rPr>
        <w:t xml:space="preserve">This can usually be determined by comparing the measured level for the particular constituent against the levels typically found in the food in question. </w:t>
      </w:r>
    </w:p>
    <w:p w:rsidR="00813263" w:rsidRDefault="00813263">
      <w:pPr>
        <w:widowControl/>
        <w:rPr>
          <w:lang w:val="en-US"/>
        </w:rPr>
      </w:pPr>
    </w:p>
    <w:p w:rsidR="00813263" w:rsidRPr="00543CD1" w:rsidRDefault="00C37ED6">
      <w:pPr>
        <w:widowControl/>
        <w:rPr>
          <w:lang w:val="en-US"/>
        </w:rPr>
      </w:pPr>
      <w:r>
        <w:rPr>
          <w:lang w:val="en-US"/>
        </w:rPr>
        <w:t>If the measured level is consistent with that normally found in food then the fact that it may be higher or lower than the level for that constituent in the control will be of no biological consequence to humans, given the variation that already exists in our diet.  Should the level of a particular constituent fall outside the range of natural variation, then further assessment may be necessary to determine if it raises a safety or nutritional concern. The type of information required to inform that assessment would have to be determined on a case-by-case basis, taking into account the nature of the constituent, and what is already known about its safety.</w:t>
      </w:r>
    </w:p>
    <w:p w:rsidR="00672B40" w:rsidRPr="00557C2C" w:rsidRDefault="00543CD1" w:rsidP="00147B53">
      <w:pPr>
        <w:pStyle w:val="Heading5"/>
      </w:pPr>
      <w:r w:rsidRPr="00557C2C">
        <w:t>Issue 4</w:t>
      </w:r>
      <w:r w:rsidR="00EA3676" w:rsidRPr="00557C2C">
        <w:t xml:space="preserve"> – Criticism of the 28 unpublished studies submitted by the Applicants</w:t>
      </w:r>
    </w:p>
    <w:p w:rsidR="00EA3676" w:rsidRDefault="00A02EAD" w:rsidP="008766D6">
      <w:pPr>
        <w:rPr>
          <w:rFonts w:cs="Arial"/>
          <w:color w:val="000000" w:themeColor="text1"/>
          <w:szCs w:val="22"/>
        </w:rPr>
      </w:pPr>
      <w:r>
        <w:rPr>
          <w:rFonts w:cs="Arial"/>
          <w:color w:val="000000" w:themeColor="text1"/>
          <w:szCs w:val="22"/>
        </w:rPr>
        <w:t xml:space="preserve">Mr </w:t>
      </w:r>
      <w:r w:rsidR="00EA3676" w:rsidRPr="00CE4E20">
        <w:rPr>
          <w:rFonts w:cs="Arial"/>
          <w:color w:val="000000" w:themeColor="text1"/>
          <w:szCs w:val="22"/>
        </w:rPr>
        <w:t>Bob Phelps (representing Gene Ethics) made a detailed submission in which he provided a review of each of the studies submitted by the Applicant</w:t>
      </w:r>
      <w:r w:rsidR="00D60489">
        <w:rPr>
          <w:rFonts w:cs="Arial"/>
          <w:color w:val="000000" w:themeColor="text1"/>
          <w:szCs w:val="22"/>
        </w:rPr>
        <w:t>s. Mr</w:t>
      </w:r>
      <w:r w:rsidR="00EA3676" w:rsidRPr="00CE4E20">
        <w:rPr>
          <w:rFonts w:cs="Arial"/>
          <w:color w:val="000000" w:themeColor="text1"/>
          <w:szCs w:val="22"/>
        </w:rPr>
        <w:t xml:space="preserve"> Phelps </w:t>
      </w:r>
      <w:r w:rsidR="00777D4C" w:rsidRPr="00CE4E20">
        <w:rPr>
          <w:rFonts w:cs="Arial"/>
          <w:color w:val="000000" w:themeColor="text1"/>
          <w:szCs w:val="22"/>
        </w:rPr>
        <w:t xml:space="preserve">was critical of the use of unpublished studies prepared by the Applicants and </w:t>
      </w:r>
      <w:r w:rsidR="00EA3676" w:rsidRPr="00CE4E20">
        <w:rPr>
          <w:rFonts w:cs="Arial"/>
          <w:color w:val="000000" w:themeColor="text1"/>
          <w:szCs w:val="22"/>
        </w:rPr>
        <w:t>concluded that FSANZ would not be able to reach any conclusions about the safety of food derived from line SYHT0H2 because, in general, the studies lacked:</w:t>
      </w:r>
    </w:p>
    <w:p w:rsidR="00406720" w:rsidRPr="00CE4E20" w:rsidRDefault="00406720" w:rsidP="008766D6">
      <w:pPr>
        <w:rPr>
          <w:rFonts w:cs="Arial"/>
          <w:color w:val="000000" w:themeColor="text1"/>
          <w:szCs w:val="22"/>
        </w:rPr>
      </w:pPr>
    </w:p>
    <w:p w:rsidR="00EA3676" w:rsidRDefault="00CC5E2A" w:rsidP="00813263">
      <w:pPr>
        <w:pStyle w:val="FSBullet1"/>
      </w:pPr>
      <w:r>
        <w:t>a</w:t>
      </w:r>
      <w:r w:rsidR="00EA3676" w:rsidRPr="00CE4E20">
        <w:t>ny statement of the goals of the study (in terms of risks, hazards and safety)</w:t>
      </w:r>
    </w:p>
    <w:p w:rsidR="00EA3676" w:rsidRDefault="00CC5E2A" w:rsidP="00813263">
      <w:pPr>
        <w:pStyle w:val="FSBullet1"/>
      </w:pPr>
      <w:r>
        <w:t>q</w:t>
      </w:r>
      <w:r w:rsidR="00EA3676" w:rsidRPr="00CE4E20">
        <w:t>uantification or justification of sample size</w:t>
      </w:r>
    </w:p>
    <w:p w:rsidR="00FD5BC2" w:rsidRDefault="00CC5E2A" w:rsidP="00813263">
      <w:pPr>
        <w:pStyle w:val="FSBullet1"/>
      </w:pPr>
      <w:r>
        <w:t>s</w:t>
      </w:r>
      <w:r w:rsidR="00FD5BC2" w:rsidRPr="00CE4E20">
        <w:t>tatistical analysis</w:t>
      </w:r>
    </w:p>
    <w:p w:rsidR="00FD5BC2" w:rsidRDefault="00CC5E2A" w:rsidP="00813263">
      <w:pPr>
        <w:pStyle w:val="FSBullet1"/>
      </w:pPr>
      <w:r>
        <w:t>t</w:t>
      </w:r>
      <w:r w:rsidR="00FD5BC2" w:rsidRPr="00CE4E20">
        <w:t>ests of significant differences between treatments</w:t>
      </w:r>
    </w:p>
    <w:p w:rsidR="00FD5BC2" w:rsidRDefault="00CC5E2A" w:rsidP="00813263">
      <w:pPr>
        <w:pStyle w:val="FSBullet1"/>
      </w:pPr>
      <w:r>
        <w:t>s</w:t>
      </w:r>
      <w:r w:rsidR="00FD5BC2" w:rsidRPr="00CE4E20">
        <w:t>uitable controls</w:t>
      </w:r>
    </w:p>
    <w:p w:rsidR="00147B53" w:rsidRDefault="00CC5E2A" w:rsidP="00813263">
      <w:pPr>
        <w:pStyle w:val="FSBullet1"/>
      </w:pPr>
      <w:proofErr w:type="gramStart"/>
      <w:r>
        <w:t>r</w:t>
      </w:r>
      <w:r w:rsidR="00FD5BC2" w:rsidRPr="00CE4E20">
        <w:t>easons</w:t>
      </w:r>
      <w:proofErr w:type="gramEnd"/>
      <w:r w:rsidR="00FD5BC2" w:rsidRPr="00CE4E20">
        <w:t xml:space="preserve"> why data were rejected</w:t>
      </w:r>
      <w:r>
        <w:t>.</w:t>
      </w:r>
      <w:r w:rsidR="00147B53">
        <w:br w:type="page"/>
      </w:r>
    </w:p>
    <w:p w:rsidR="00777D4C" w:rsidRPr="00CE4E20" w:rsidRDefault="00777D4C" w:rsidP="008766D6">
      <w:pPr>
        <w:rPr>
          <w:rFonts w:cs="Arial"/>
          <w:color w:val="000000" w:themeColor="text1"/>
          <w:szCs w:val="22"/>
        </w:rPr>
      </w:pPr>
      <w:r w:rsidRPr="00CE4E20">
        <w:rPr>
          <w:rFonts w:cs="Arial"/>
          <w:color w:val="000000" w:themeColor="text1"/>
          <w:szCs w:val="22"/>
        </w:rPr>
        <w:lastRenderedPageBreak/>
        <w:t>Mr P</w:t>
      </w:r>
      <w:r w:rsidR="00E16376">
        <w:rPr>
          <w:rFonts w:cs="Arial"/>
          <w:color w:val="000000" w:themeColor="text1"/>
          <w:szCs w:val="22"/>
        </w:rPr>
        <w:t>helps did not comment on</w:t>
      </w:r>
      <w:r w:rsidRPr="00CE4E20">
        <w:rPr>
          <w:rFonts w:cs="Arial"/>
          <w:color w:val="000000" w:themeColor="text1"/>
          <w:szCs w:val="22"/>
        </w:rPr>
        <w:t xml:space="preserve"> </w:t>
      </w:r>
      <w:r w:rsidR="001B483D">
        <w:rPr>
          <w:rFonts w:cs="Arial"/>
          <w:color w:val="000000" w:themeColor="text1"/>
          <w:szCs w:val="22"/>
        </w:rPr>
        <w:t>the FSANZ safety a</w:t>
      </w:r>
      <w:r w:rsidRPr="00CE4E20">
        <w:rPr>
          <w:rFonts w:cs="Arial"/>
          <w:color w:val="000000" w:themeColor="text1"/>
          <w:szCs w:val="22"/>
        </w:rPr>
        <w:t>ssessment or of the conclusions reached by FSANZ in its discussion of the data supplied by the Applicants.</w:t>
      </w:r>
    </w:p>
    <w:p w:rsidR="00777D4C" w:rsidRPr="00CE4E20" w:rsidRDefault="00777D4C" w:rsidP="008766D6">
      <w:pPr>
        <w:rPr>
          <w:rFonts w:cs="Arial"/>
          <w:color w:val="000000" w:themeColor="text1"/>
          <w:szCs w:val="22"/>
        </w:rPr>
      </w:pPr>
    </w:p>
    <w:p w:rsidR="00777D4C" w:rsidRPr="00147B53" w:rsidRDefault="00777D4C" w:rsidP="008766D6">
      <w:pPr>
        <w:rPr>
          <w:rFonts w:cs="Arial"/>
          <w:color w:val="000000" w:themeColor="text1"/>
          <w:szCs w:val="22"/>
          <w:u w:val="single"/>
        </w:rPr>
      </w:pPr>
      <w:r w:rsidRPr="00147B53">
        <w:rPr>
          <w:rFonts w:cs="Arial"/>
          <w:color w:val="000000" w:themeColor="text1"/>
          <w:szCs w:val="22"/>
          <w:u w:val="single"/>
        </w:rPr>
        <w:t>Response</w:t>
      </w:r>
    </w:p>
    <w:p w:rsidR="00777D4C" w:rsidRPr="00CE4E20" w:rsidRDefault="00777D4C" w:rsidP="008766D6">
      <w:pPr>
        <w:rPr>
          <w:rFonts w:cs="Arial"/>
          <w:color w:val="000000" w:themeColor="text1"/>
          <w:szCs w:val="22"/>
        </w:rPr>
      </w:pPr>
    </w:p>
    <w:p w:rsidR="00777D4C" w:rsidRPr="00CE4E20" w:rsidRDefault="00777D4C" w:rsidP="00777D4C">
      <w:pPr>
        <w:pStyle w:val="NormalWeb"/>
        <w:spacing w:before="0" w:beforeAutospacing="0" w:after="0" w:afterAutospacing="0"/>
        <w:rPr>
          <w:rFonts w:ascii="Arial" w:hAnsi="Arial" w:cs="Arial"/>
          <w:color w:val="000000" w:themeColor="text1"/>
          <w:sz w:val="22"/>
          <w:szCs w:val="22"/>
          <w:lang w:val="en-GB"/>
        </w:rPr>
      </w:pPr>
      <w:r w:rsidRPr="00CE4E20">
        <w:rPr>
          <w:rFonts w:ascii="Arial" w:hAnsi="Arial" w:cs="Arial"/>
          <w:color w:val="000000" w:themeColor="text1"/>
          <w:sz w:val="22"/>
          <w:szCs w:val="22"/>
          <w:lang w:val="en-GB"/>
        </w:rPr>
        <w:t>It is the responsibility of an Applicant to demonstrate the safety of the f</w:t>
      </w:r>
      <w:r w:rsidR="00EE7151">
        <w:rPr>
          <w:rFonts w:ascii="Arial" w:hAnsi="Arial" w:cs="Arial"/>
          <w:color w:val="000000" w:themeColor="text1"/>
          <w:sz w:val="22"/>
          <w:szCs w:val="22"/>
          <w:lang w:val="en-GB"/>
        </w:rPr>
        <w:t>ood and to supply FSANZ with</w:t>
      </w:r>
      <w:r w:rsidRPr="00CE4E20">
        <w:rPr>
          <w:rFonts w:ascii="Arial" w:hAnsi="Arial" w:cs="Arial"/>
          <w:color w:val="000000" w:themeColor="text1"/>
          <w:sz w:val="22"/>
          <w:szCs w:val="22"/>
          <w:lang w:val="en-GB"/>
        </w:rPr>
        <w:t xml:space="preserve"> the </w:t>
      </w:r>
      <w:r w:rsidR="00EE7151">
        <w:rPr>
          <w:rFonts w:ascii="Arial" w:hAnsi="Arial" w:cs="Arial"/>
          <w:color w:val="000000" w:themeColor="text1"/>
          <w:sz w:val="22"/>
          <w:szCs w:val="22"/>
          <w:lang w:val="en-GB"/>
        </w:rPr>
        <w:t xml:space="preserve">raw </w:t>
      </w:r>
      <w:r w:rsidRPr="00CE4E20">
        <w:rPr>
          <w:rFonts w:ascii="Arial" w:hAnsi="Arial" w:cs="Arial"/>
          <w:color w:val="000000" w:themeColor="text1"/>
          <w:sz w:val="22"/>
          <w:szCs w:val="22"/>
          <w:lang w:val="en-GB"/>
        </w:rPr>
        <w:t xml:space="preserve">data from scientific studies </w:t>
      </w:r>
      <w:r w:rsidR="00E16376">
        <w:rPr>
          <w:rFonts w:ascii="Arial" w:hAnsi="Arial" w:cs="Arial"/>
          <w:color w:val="000000" w:themeColor="text1"/>
          <w:sz w:val="22"/>
          <w:szCs w:val="22"/>
          <w:lang w:val="en-GB"/>
        </w:rPr>
        <w:t xml:space="preserve">in accordance with the data requirements in </w:t>
      </w:r>
      <w:r w:rsidR="00E16376" w:rsidRPr="00E16376">
        <w:rPr>
          <w:rFonts w:ascii="Arial" w:hAnsi="Arial" w:cs="Arial"/>
          <w:color w:val="000000" w:themeColor="text1"/>
          <w:sz w:val="22"/>
          <w:szCs w:val="22"/>
          <w:lang w:val="en-GB"/>
        </w:rPr>
        <w:t xml:space="preserve">the </w:t>
      </w:r>
      <w:r w:rsidR="00E16376" w:rsidRPr="00E16376">
        <w:rPr>
          <w:rFonts w:ascii="Arial" w:hAnsi="Arial" w:cs="Arial"/>
          <w:i/>
          <w:color w:val="000000" w:themeColor="text1"/>
          <w:sz w:val="22"/>
          <w:szCs w:val="22"/>
        </w:rPr>
        <w:t>Application Handbook</w:t>
      </w:r>
      <w:r w:rsidR="00E16376" w:rsidRPr="00E16376">
        <w:rPr>
          <w:rFonts w:ascii="Arial" w:hAnsi="Arial" w:cs="Arial"/>
          <w:color w:val="000000" w:themeColor="text1"/>
          <w:sz w:val="22"/>
          <w:szCs w:val="22"/>
        </w:rPr>
        <w:t xml:space="preserve"> </w:t>
      </w:r>
      <w:r w:rsidR="00E16376" w:rsidRPr="00E16376">
        <w:rPr>
          <w:rFonts w:ascii="Arial" w:hAnsi="Arial" w:cs="Arial"/>
          <w:color w:val="000000" w:themeColor="text1"/>
          <w:sz w:val="22"/>
          <w:szCs w:val="22"/>
        </w:rPr>
        <w:fldChar w:fldCharType="begin"/>
      </w:r>
      <w:r w:rsidR="006E7E0C">
        <w:rPr>
          <w:rFonts w:ascii="Arial" w:hAnsi="Arial" w:cs="Arial"/>
          <w:color w:val="000000" w:themeColor="text1"/>
          <w:sz w:val="22"/>
          <w:szCs w:val="22"/>
        </w:rPr>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E16376" w:rsidRPr="00E16376">
        <w:rPr>
          <w:rFonts w:ascii="Arial" w:hAnsi="Arial" w:cs="Arial"/>
          <w:color w:val="000000" w:themeColor="text1"/>
          <w:sz w:val="22"/>
          <w:szCs w:val="22"/>
        </w:rPr>
        <w:fldChar w:fldCharType="separate"/>
      </w:r>
      <w:r w:rsidR="00E16376" w:rsidRPr="00E16376">
        <w:rPr>
          <w:rFonts w:ascii="Arial" w:hAnsi="Arial" w:cs="Arial"/>
          <w:noProof/>
          <w:color w:val="000000" w:themeColor="text1"/>
          <w:sz w:val="22"/>
          <w:szCs w:val="22"/>
        </w:rPr>
        <w:t>(FSANZ, 2011)</w:t>
      </w:r>
      <w:r w:rsidR="00E16376" w:rsidRPr="00E16376">
        <w:rPr>
          <w:rFonts w:ascii="Arial" w:hAnsi="Arial" w:cs="Arial"/>
          <w:color w:val="000000" w:themeColor="text1"/>
          <w:sz w:val="22"/>
          <w:szCs w:val="22"/>
        </w:rPr>
        <w:fldChar w:fldCharType="end"/>
      </w:r>
      <w:r w:rsidRPr="00CE4E20">
        <w:rPr>
          <w:rFonts w:ascii="Arial" w:hAnsi="Arial" w:cs="Arial"/>
          <w:color w:val="000000" w:themeColor="text1"/>
          <w:sz w:val="22"/>
          <w:szCs w:val="22"/>
          <w:lang w:val="en-GB"/>
        </w:rPr>
        <w:t xml:space="preserve"> (see also discussion in point 2 of Table 1).This procedure is consistent with that used to evaluate the safety of new chemicals and drugs and is standard practice for all regulatory agencies around the world. FSANZ experts review the scientific information and form their own conclusions from the results of the studies. FSANZ can, and does, request companies to undertake additional studies, where necessary. In addition, FSANZ complements the company data with information from the scientific literature, other applications and other government agencies.</w:t>
      </w:r>
    </w:p>
    <w:p w:rsidR="00777D4C" w:rsidRDefault="00777D4C" w:rsidP="00777D4C">
      <w:pPr>
        <w:pStyle w:val="NormalWeb"/>
        <w:spacing w:before="0" w:beforeAutospacing="0" w:after="0" w:afterAutospacing="0"/>
        <w:rPr>
          <w:rFonts w:ascii="Arial" w:hAnsi="Arial" w:cs="Arial"/>
          <w:color w:val="000000" w:themeColor="text1"/>
          <w:sz w:val="22"/>
          <w:szCs w:val="22"/>
          <w:lang w:val="en-GB"/>
        </w:rPr>
      </w:pPr>
    </w:p>
    <w:p w:rsidR="00CE4E20" w:rsidRPr="00CE4E20" w:rsidRDefault="00CE4E20" w:rsidP="00CE4E20">
      <w:pPr>
        <w:rPr>
          <w:rFonts w:cs="Arial"/>
          <w:color w:val="000000" w:themeColor="text1"/>
          <w:szCs w:val="22"/>
        </w:rPr>
      </w:pPr>
      <w:r w:rsidRPr="00CE4E20">
        <w:rPr>
          <w:rFonts w:cs="Arial"/>
          <w:color w:val="000000" w:themeColor="text1"/>
          <w:szCs w:val="22"/>
        </w:rPr>
        <w:t>While relevant peer-reviewed published studies and other sourc</w:t>
      </w:r>
      <w:r w:rsidR="00E16376">
        <w:rPr>
          <w:rFonts w:cs="Arial"/>
          <w:color w:val="000000" w:themeColor="text1"/>
          <w:szCs w:val="22"/>
        </w:rPr>
        <w:t xml:space="preserve">es of information, if available and </w:t>
      </w:r>
      <w:r w:rsidRPr="00CE4E20">
        <w:rPr>
          <w:rFonts w:cs="Arial"/>
          <w:color w:val="000000" w:themeColor="text1"/>
          <w:szCs w:val="22"/>
        </w:rPr>
        <w:t xml:space="preserve">of good quality, can be used to inform the safety assessment, they are not a substitute for company-supplied studies on the GM line of interest as they rarely address all the issues that are necessary to complete a safety assessment. </w:t>
      </w:r>
    </w:p>
    <w:p w:rsidR="00CE4E20" w:rsidRDefault="00CE4E20" w:rsidP="00777D4C">
      <w:pPr>
        <w:pStyle w:val="NormalWeb"/>
        <w:spacing w:before="0" w:beforeAutospacing="0" w:after="0" w:afterAutospacing="0"/>
        <w:rPr>
          <w:rFonts w:ascii="Arial" w:hAnsi="Arial" w:cs="Arial"/>
          <w:color w:val="000000" w:themeColor="text1"/>
          <w:sz w:val="22"/>
          <w:szCs w:val="22"/>
          <w:lang w:val="en-GB"/>
        </w:rPr>
      </w:pPr>
    </w:p>
    <w:p w:rsidR="00CE4E20" w:rsidRDefault="00CE4E20" w:rsidP="00777D4C">
      <w:pPr>
        <w:pStyle w:val="NormalWeb"/>
        <w:spacing w:before="0" w:beforeAutospacing="0" w:after="0" w:afterAutospacing="0"/>
        <w:rPr>
          <w:rFonts w:ascii="Arial" w:hAnsi="Arial" w:cs="Arial"/>
          <w:color w:val="000000" w:themeColor="text1"/>
          <w:sz w:val="22"/>
          <w:szCs w:val="22"/>
          <w:lang w:val="en-GB"/>
        </w:rPr>
      </w:pPr>
      <w:r>
        <w:rPr>
          <w:rFonts w:ascii="Arial" w:hAnsi="Arial" w:cs="Arial"/>
          <w:color w:val="000000" w:themeColor="text1"/>
          <w:sz w:val="22"/>
          <w:szCs w:val="22"/>
          <w:lang w:val="en-GB"/>
        </w:rPr>
        <w:t>The following points</w:t>
      </w:r>
      <w:r w:rsidR="001C63C1">
        <w:rPr>
          <w:rFonts w:ascii="Arial" w:hAnsi="Arial" w:cs="Arial"/>
          <w:color w:val="000000" w:themeColor="text1"/>
          <w:sz w:val="22"/>
          <w:szCs w:val="22"/>
          <w:lang w:val="en-GB"/>
        </w:rPr>
        <w:t xml:space="preserve"> are made in relation to the</w:t>
      </w:r>
      <w:r w:rsidR="001B483D">
        <w:rPr>
          <w:rFonts w:ascii="Arial" w:hAnsi="Arial" w:cs="Arial"/>
          <w:color w:val="000000" w:themeColor="text1"/>
          <w:sz w:val="22"/>
          <w:szCs w:val="22"/>
          <w:lang w:val="en-GB"/>
        </w:rPr>
        <w:t xml:space="preserve"> concerns</w:t>
      </w:r>
      <w:r>
        <w:rPr>
          <w:rFonts w:ascii="Arial" w:hAnsi="Arial" w:cs="Arial"/>
          <w:color w:val="000000" w:themeColor="text1"/>
          <w:sz w:val="22"/>
          <w:szCs w:val="22"/>
          <w:lang w:val="en-GB"/>
        </w:rPr>
        <w:t xml:space="preserve"> raised by Mr Phelps:</w:t>
      </w:r>
    </w:p>
    <w:p w:rsidR="00CE4E20" w:rsidRDefault="00CE4E20" w:rsidP="00777D4C">
      <w:pPr>
        <w:pStyle w:val="NormalWeb"/>
        <w:spacing w:before="0" w:beforeAutospacing="0" w:after="0" w:afterAutospacing="0"/>
        <w:rPr>
          <w:rFonts w:ascii="Arial" w:hAnsi="Arial" w:cs="Arial"/>
          <w:color w:val="000000" w:themeColor="text1"/>
          <w:sz w:val="22"/>
          <w:szCs w:val="22"/>
          <w:lang w:val="en-GB"/>
        </w:rPr>
      </w:pPr>
    </w:p>
    <w:p w:rsidR="00406720" w:rsidRDefault="00406720" w:rsidP="00813263">
      <w:pPr>
        <w:pStyle w:val="FSBullet1"/>
      </w:pPr>
      <w:r>
        <w:t>The studies supplied by an</w:t>
      </w:r>
      <w:r w:rsidR="001C63C1">
        <w:t xml:space="preserve"> Applicant</w:t>
      </w:r>
      <w:r w:rsidR="00E16376">
        <w:t xml:space="preserve"> are those required by FSANZ</w:t>
      </w:r>
      <w:r>
        <w:t xml:space="preserve"> in order to conduct a safety assessment. Implicit in the requirement is that each study </w:t>
      </w:r>
      <w:r w:rsidR="001B483D">
        <w:t xml:space="preserve">will provide the </w:t>
      </w:r>
      <w:r w:rsidR="00C37ED6">
        <w:t xml:space="preserve">necessary </w:t>
      </w:r>
      <w:r w:rsidR="001B483D">
        <w:t xml:space="preserve">information </w:t>
      </w:r>
      <w:r w:rsidR="00C37ED6">
        <w:t xml:space="preserve">to assist in the identification of any </w:t>
      </w:r>
      <w:r w:rsidR="001B483D">
        <w:t>potential hazard</w:t>
      </w:r>
      <w:r w:rsidR="00C37ED6">
        <w:t>s</w:t>
      </w:r>
      <w:r>
        <w:t>.</w:t>
      </w:r>
    </w:p>
    <w:p w:rsidR="00406720" w:rsidRDefault="00406720" w:rsidP="00406720">
      <w:pPr>
        <w:pStyle w:val="NormalWeb"/>
        <w:spacing w:before="0" w:beforeAutospacing="0" w:after="0" w:afterAutospacing="0"/>
        <w:ind w:left="720"/>
        <w:rPr>
          <w:rFonts w:ascii="Arial" w:hAnsi="Arial" w:cs="Arial"/>
          <w:color w:val="000000" w:themeColor="text1"/>
          <w:sz w:val="22"/>
          <w:szCs w:val="22"/>
          <w:lang w:val="en-GB"/>
        </w:rPr>
      </w:pPr>
    </w:p>
    <w:p w:rsidR="00220151" w:rsidRDefault="00813263" w:rsidP="00970312">
      <w:pPr>
        <w:pStyle w:val="FSBullet1"/>
      </w:pPr>
      <w:r>
        <w:t xml:space="preserve">As stated in the </w:t>
      </w:r>
      <w:r w:rsidRPr="00813263">
        <w:rPr>
          <w:i/>
        </w:rPr>
        <w:t>Application Handbook</w:t>
      </w:r>
      <w:r>
        <w:t>, a</w:t>
      </w:r>
      <w:r w:rsidR="00406720" w:rsidRPr="00A95CDA">
        <w:t>ll company-supplied studies must be adequately designed, conducted and documented in a manner that is consistent with the principles and practices of G</w:t>
      </w:r>
      <w:r w:rsidR="00EE7151" w:rsidRPr="00A95CDA">
        <w:t xml:space="preserve">ood Laboratory Practice. </w:t>
      </w:r>
      <w:r w:rsidR="00406720" w:rsidRPr="00A95CDA">
        <w:t xml:space="preserve">This enables FSANZ scientists to be confident about the integrity of the study and to undertake an independent review of the data. </w:t>
      </w:r>
    </w:p>
    <w:p w:rsidR="00970312" w:rsidRPr="00970312" w:rsidRDefault="00970312" w:rsidP="00970312">
      <w:pPr>
        <w:rPr>
          <w:lang w:bidi="ar-SA"/>
        </w:rPr>
      </w:pPr>
    </w:p>
    <w:p w:rsidR="00A95CDA" w:rsidRPr="00A95CDA" w:rsidRDefault="00EE7151" w:rsidP="00970312">
      <w:pPr>
        <w:pStyle w:val="Default"/>
        <w:ind w:left="567"/>
        <w:rPr>
          <w:rFonts w:ascii="Arial" w:hAnsi="Arial" w:cs="Arial"/>
          <w:sz w:val="22"/>
          <w:szCs w:val="22"/>
          <w:lang w:val="en-GB"/>
        </w:rPr>
      </w:pPr>
      <w:r w:rsidRPr="00A95CDA">
        <w:rPr>
          <w:rFonts w:ascii="Arial" w:hAnsi="Arial" w:cs="Arial"/>
          <w:color w:val="000000" w:themeColor="text1"/>
          <w:sz w:val="22"/>
          <w:szCs w:val="22"/>
          <w:lang w:val="en-GB"/>
        </w:rPr>
        <w:t>Mr Phelps was critical, for example</w:t>
      </w:r>
      <w:r w:rsidR="00C37ED6">
        <w:rPr>
          <w:rFonts w:ascii="Arial" w:hAnsi="Arial" w:cs="Arial"/>
          <w:color w:val="000000" w:themeColor="text1"/>
          <w:sz w:val="22"/>
          <w:szCs w:val="22"/>
          <w:lang w:val="en-GB"/>
        </w:rPr>
        <w:t>,</w:t>
      </w:r>
      <w:r w:rsidRPr="00A95CDA">
        <w:rPr>
          <w:rFonts w:ascii="Arial" w:hAnsi="Arial" w:cs="Arial"/>
          <w:color w:val="000000" w:themeColor="text1"/>
          <w:sz w:val="22"/>
          <w:szCs w:val="22"/>
          <w:lang w:val="en-GB"/>
        </w:rPr>
        <w:t xml:space="preserve"> of an acute oral toxicity study that used 10 animals while the published study of S</w:t>
      </w:r>
      <w:r w:rsidR="00177C05">
        <w:rPr>
          <w:rFonts w:ascii="Arial" w:hAnsi="Arial" w:cs="Arial"/>
          <w:color w:val="000000" w:themeColor="text1"/>
          <w:sz w:val="22"/>
          <w:szCs w:val="22"/>
          <w:lang w:val="en-GB"/>
        </w:rPr>
        <w:t>é</w:t>
      </w:r>
      <w:r w:rsidRPr="00A95CDA">
        <w:rPr>
          <w:rFonts w:ascii="Arial" w:hAnsi="Arial" w:cs="Arial"/>
          <w:color w:val="000000" w:themeColor="text1"/>
          <w:sz w:val="22"/>
          <w:szCs w:val="22"/>
          <w:lang w:val="en-GB"/>
        </w:rPr>
        <w:t xml:space="preserve">ralini </w:t>
      </w:r>
      <w:r w:rsidRPr="00A95CDA">
        <w:rPr>
          <w:rFonts w:ascii="Arial" w:hAnsi="Arial" w:cs="Arial"/>
          <w:i/>
          <w:color w:val="000000" w:themeColor="text1"/>
          <w:sz w:val="22"/>
          <w:szCs w:val="22"/>
          <w:lang w:val="en-GB"/>
        </w:rPr>
        <w:t>et al</w:t>
      </w:r>
      <w:r w:rsidR="00A75943">
        <w:rPr>
          <w:rFonts w:ascii="Arial" w:hAnsi="Arial" w:cs="Arial"/>
          <w:color w:val="000000" w:themeColor="text1"/>
          <w:sz w:val="22"/>
          <w:szCs w:val="22"/>
          <w:lang w:val="en-GB"/>
        </w:rPr>
        <w:t xml:space="preserve"> (2012)</w:t>
      </w:r>
      <w:r w:rsidR="00A75943">
        <w:rPr>
          <w:rStyle w:val="FootnoteReference"/>
          <w:rFonts w:ascii="Arial" w:hAnsi="Arial" w:cs="Arial"/>
          <w:color w:val="000000" w:themeColor="text1"/>
          <w:sz w:val="22"/>
          <w:szCs w:val="22"/>
          <w:lang w:val="en-GB"/>
        </w:rPr>
        <w:footnoteReference w:id="7"/>
      </w:r>
      <w:r w:rsidRPr="00A95CDA">
        <w:rPr>
          <w:rFonts w:ascii="Arial" w:hAnsi="Arial" w:cs="Arial"/>
          <w:color w:val="000000" w:themeColor="text1"/>
          <w:sz w:val="22"/>
          <w:szCs w:val="22"/>
          <w:lang w:val="en-GB"/>
        </w:rPr>
        <w:t xml:space="preserve"> was criticised for using groups of </w:t>
      </w:r>
      <w:r w:rsidR="00F66D97">
        <w:rPr>
          <w:rFonts w:ascii="Arial" w:hAnsi="Arial" w:cs="Arial"/>
          <w:color w:val="000000" w:themeColor="text1"/>
          <w:sz w:val="22"/>
          <w:szCs w:val="22"/>
          <w:lang w:val="en-GB"/>
        </w:rPr>
        <w:t>10</w:t>
      </w:r>
      <w:r w:rsidR="00F66D97" w:rsidRPr="00A95CDA">
        <w:rPr>
          <w:rFonts w:ascii="Arial" w:hAnsi="Arial" w:cs="Arial"/>
          <w:color w:val="000000" w:themeColor="text1"/>
          <w:sz w:val="22"/>
          <w:szCs w:val="22"/>
          <w:lang w:val="en-GB"/>
        </w:rPr>
        <w:t xml:space="preserve"> </w:t>
      </w:r>
      <w:r w:rsidRPr="00A95CDA">
        <w:rPr>
          <w:rFonts w:ascii="Arial" w:hAnsi="Arial" w:cs="Arial"/>
          <w:color w:val="000000" w:themeColor="text1"/>
          <w:sz w:val="22"/>
          <w:szCs w:val="22"/>
          <w:lang w:val="en-GB"/>
        </w:rPr>
        <w:t xml:space="preserve">animals. The acute oral toxicity study was carried out in accordance with </w:t>
      </w:r>
      <w:r w:rsidR="00111558" w:rsidRPr="00A95CDA">
        <w:rPr>
          <w:rFonts w:ascii="Arial" w:hAnsi="Arial" w:cs="Arial"/>
          <w:color w:val="000000" w:themeColor="text1"/>
          <w:sz w:val="22"/>
          <w:szCs w:val="22"/>
          <w:lang w:val="en-GB"/>
        </w:rPr>
        <w:t xml:space="preserve">the </w:t>
      </w:r>
      <w:r w:rsidR="00F66D97">
        <w:rPr>
          <w:rFonts w:ascii="Arial" w:hAnsi="Arial" w:cs="Arial"/>
          <w:color w:val="000000" w:themeColor="text1"/>
          <w:sz w:val="22"/>
          <w:szCs w:val="22"/>
          <w:lang w:val="en-GB"/>
        </w:rPr>
        <w:t xml:space="preserve">relevant </w:t>
      </w:r>
      <w:r w:rsidRPr="00A95CDA">
        <w:rPr>
          <w:rFonts w:ascii="Arial" w:hAnsi="Arial" w:cs="Arial"/>
          <w:color w:val="000000" w:themeColor="text1"/>
          <w:sz w:val="22"/>
          <w:szCs w:val="22"/>
          <w:lang w:val="en-GB"/>
        </w:rPr>
        <w:t xml:space="preserve">OECD </w:t>
      </w:r>
      <w:r w:rsidR="00111558" w:rsidRPr="00A95CDA">
        <w:rPr>
          <w:rFonts w:ascii="Arial" w:hAnsi="Arial" w:cs="Arial"/>
          <w:color w:val="000000" w:themeColor="text1"/>
          <w:sz w:val="22"/>
          <w:szCs w:val="22"/>
          <w:lang w:val="en-GB"/>
        </w:rPr>
        <w:t xml:space="preserve">Guideline </w:t>
      </w:r>
      <w:r w:rsidR="00B54B16">
        <w:rPr>
          <w:rFonts w:ascii="Arial" w:hAnsi="Arial" w:cs="Arial"/>
          <w:color w:val="000000" w:themeColor="text1"/>
          <w:sz w:val="22"/>
          <w:szCs w:val="22"/>
          <w:lang w:val="en-GB"/>
        </w:rPr>
        <w:fldChar w:fldCharType="begin"/>
      </w:r>
      <w:r w:rsidR="006E7E0C">
        <w:rPr>
          <w:rFonts w:ascii="Arial" w:hAnsi="Arial" w:cs="Arial"/>
          <w:color w:val="000000" w:themeColor="text1"/>
          <w:sz w:val="22"/>
          <w:szCs w:val="22"/>
          <w:lang w:val="en-GB"/>
        </w:rPr>
        <w:instrText xml:space="preserve"> ADDIN REFMGR.CITE &lt;Refman&gt;&lt;Cite&gt;&lt;Author&gt;OECD&lt;/Author&gt;&lt;Year&gt;2001&lt;/Year&gt;&lt;RecNum&gt;244&lt;/RecNum&gt;&lt;IDText&gt;Test No. 420: Acute Oral Toxicity - Fixed Dose Procedure&lt;/IDText&gt;&lt;MDL Ref_Type="Report"&gt;&lt;Ref_Type&gt;Report&lt;/Ref_Type&gt;&lt;Ref_ID&gt;244&lt;/Ref_ID&gt;&lt;Title_Primary&gt;Test No. 420: Acute Oral Toxicity - Fixed Dose Procedure&lt;/Title_Primary&gt;&lt;Authors_Primary&gt;OECD&lt;/Authors_Primary&gt;&lt;Date_Primary&gt;2001&lt;/Date_Primary&gt;&lt;Keywords&gt;toxicity&lt;/Keywords&gt;&lt;Reprint&gt;In File&lt;/Reprint&gt;&lt;Publisher&gt;Organisation for Economic Co-operation and Development&lt;/Publisher&gt;&lt;Title_Series&gt;OECD Guidelines for the Testing of Chemicals / Section 4: Health Effects&lt;/Title_Series&gt;&lt;Web_URL_Link2&gt;&lt;u&gt;file://F:\Risk Assessment - Chemical Safety\GMO - shared\References\GM References\OECD_2001_Guideline for acute oral tox studies.pdf&lt;/u&gt;&lt;/Web_URL_Link2&gt;&lt;ZZ_WorkformID&gt;24&lt;/ZZ_WorkformID&gt;&lt;/MDL&gt;&lt;/Cite&gt;&lt;/Refman&gt;</w:instrText>
      </w:r>
      <w:r w:rsidR="00B54B16">
        <w:rPr>
          <w:rFonts w:ascii="Arial" w:hAnsi="Arial" w:cs="Arial"/>
          <w:color w:val="000000" w:themeColor="text1"/>
          <w:sz w:val="22"/>
          <w:szCs w:val="22"/>
          <w:lang w:val="en-GB"/>
        </w:rPr>
        <w:fldChar w:fldCharType="separate"/>
      </w:r>
      <w:r w:rsidR="00B54B16">
        <w:rPr>
          <w:rFonts w:ascii="Arial" w:hAnsi="Arial" w:cs="Arial"/>
          <w:noProof/>
          <w:color w:val="000000" w:themeColor="text1"/>
          <w:sz w:val="22"/>
          <w:szCs w:val="22"/>
          <w:lang w:val="en-GB"/>
        </w:rPr>
        <w:t>(OECD, 2001)</w:t>
      </w:r>
      <w:r w:rsidR="00B54B16">
        <w:rPr>
          <w:rFonts w:ascii="Arial" w:hAnsi="Arial" w:cs="Arial"/>
          <w:color w:val="000000" w:themeColor="text1"/>
          <w:sz w:val="22"/>
          <w:szCs w:val="22"/>
          <w:lang w:val="en-GB"/>
        </w:rPr>
        <w:fldChar w:fldCharType="end"/>
      </w:r>
      <w:r w:rsidR="00111558" w:rsidRPr="00A95CDA">
        <w:rPr>
          <w:rFonts w:ascii="Arial" w:hAnsi="Arial" w:cs="Arial"/>
          <w:color w:val="000000" w:themeColor="text1"/>
          <w:sz w:val="22"/>
          <w:szCs w:val="22"/>
        </w:rPr>
        <w:t>. Such a study is designed to test the hazardous properties of a single chemical</w:t>
      </w:r>
      <w:r w:rsidR="00A95CDA" w:rsidRPr="00A95CDA">
        <w:rPr>
          <w:rFonts w:ascii="Arial" w:hAnsi="Arial" w:cs="Arial"/>
          <w:color w:val="000000" w:themeColor="text1"/>
          <w:sz w:val="22"/>
          <w:szCs w:val="22"/>
        </w:rPr>
        <w:t xml:space="preserve"> following a single dose</w:t>
      </w:r>
      <w:r w:rsidR="00111558" w:rsidRPr="00A95CDA">
        <w:rPr>
          <w:rFonts w:ascii="Arial" w:hAnsi="Arial" w:cs="Arial"/>
          <w:color w:val="000000" w:themeColor="text1"/>
          <w:sz w:val="22"/>
          <w:szCs w:val="22"/>
        </w:rPr>
        <w:t xml:space="preserve">. </w:t>
      </w:r>
      <w:r w:rsidR="00177C05">
        <w:rPr>
          <w:rFonts w:ascii="Arial" w:hAnsi="Arial" w:cs="Arial"/>
          <w:color w:val="000000" w:themeColor="text1"/>
          <w:sz w:val="22"/>
          <w:szCs w:val="22"/>
        </w:rPr>
        <w:t xml:space="preserve">The study done by </w:t>
      </w:r>
      <w:r w:rsidR="00177C05" w:rsidRPr="00A95CDA">
        <w:rPr>
          <w:rFonts w:ascii="Arial" w:hAnsi="Arial" w:cs="Arial"/>
          <w:color w:val="000000" w:themeColor="text1"/>
          <w:sz w:val="22"/>
          <w:szCs w:val="22"/>
          <w:lang w:val="en-GB"/>
        </w:rPr>
        <w:t>S</w:t>
      </w:r>
      <w:r w:rsidR="00177C05">
        <w:rPr>
          <w:rFonts w:ascii="Arial" w:hAnsi="Arial" w:cs="Arial"/>
          <w:color w:val="000000" w:themeColor="text1"/>
          <w:sz w:val="22"/>
          <w:szCs w:val="22"/>
          <w:lang w:val="en-GB"/>
        </w:rPr>
        <w:t>é</w:t>
      </w:r>
      <w:r w:rsidR="00177C05" w:rsidRPr="00A95CDA">
        <w:rPr>
          <w:rFonts w:ascii="Arial" w:hAnsi="Arial" w:cs="Arial"/>
          <w:color w:val="000000" w:themeColor="text1"/>
          <w:sz w:val="22"/>
          <w:szCs w:val="22"/>
          <w:lang w:val="en-GB"/>
        </w:rPr>
        <w:t>ralini</w:t>
      </w:r>
      <w:r w:rsidR="00F66D97">
        <w:rPr>
          <w:rFonts w:ascii="Arial" w:hAnsi="Arial" w:cs="Arial"/>
          <w:color w:val="000000" w:themeColor="text1"/>
          <w:sz w:val="22"/>
          <w:szCs w:val="22"/>
        </w:rPr>
        <w:t xml:space="preserve"> </w:t>
      </w:r>
      <w:r w:rsidR="00F66D97" w:rsidRPr="00A75943">
        <w:rPr>
          <w:rFonts w:ascii="Arial" w:hAnsi="Arial" w:cs="Arial"/>
          <w:i/>
          <w:color w:val="000000" w:themeColor="text1"/>
          <w:sz w:val="22"/>
          <w:szCs w:val="22"/>
        </w:rPr>
        <w:t>et al</w:t>
      </w:r>
      <w:r w:rsidR="00A75943">
        <w:rPr>
          <w:rFonts w:ascii="Arial" w:hAnsi="Arial" w:cs="Arial"/>
          <w:color w:val="000000" w:themeColor="text1"/>
          <w:sz w:val="22"/>
          <w:szCs w:val="22"/>
        </w:rPr>
        <w:t>.</w:t>
      </w:r>
      <w:r w:rsidR="00F66D97">
        <w:rPr>
          <w:rFonts w:ascii="Arial" w:hAnsi="Arial" w:cs="Arial"/>
          <w:color w:val="000000" w:themeColor="text1"/>
          <w:sz w:val="22"/>
          <w:szCs w:val="22"/>
        </w:rPr>
        <w:t xml:space="preserve"> was not an acute toxicity study therefore direct comparison of the study design is inappropriate.</w:t>
      </w:r>
    </w:p>
    <w:p w:rsidR="00406720" w:rsidRDefault="00406720" w:rsidP="00406720">
      <w:pPr>
        <w:pStyle w:val="NormalWeb"/>
        <w:spacing w:before="0" w:beforeAutospacing="0" w:after="0" w:afterAutospacing="0"/>
        <w:ind w:left="720"/>
        <w:rPr>
          <w:rFonts w:ascii="Arial" w:hAnsi="Arial" w:cs="Arial"/>
          <w:color w:val="000000" w:themeColor="text1"/>
          <w:sz w:val="22"/>
          <w:szCs w:val="22"/>
          <w:lang w:val="en-GB"/>
        </w:rPr>
      </w:pPr>
    </w:p>
    <w:p w:rsidR="006E7E0C" w:rsidRDefault="00CE4E20" w:rsidP="00813263">
      <w:pPr>
        <w:pStyle w:val="FSBullet1"/>
      </w:pPr>
      <w:r w:rsidRPr="00543CD1">
        <w:t>In many cases</w:t>
      </w:r>
      <w:r w:rsidR="00F41D16" w:rsidRPr="00543CD1">
        <w:t>, especially in the more ‘descriptive’ studies</w:t>
      </w:r>
      <w:r w:rsidRPr="00543CD1">
        <w:t xml:space="preserve"> </w:t>
      </w:r>
      <w:r w:rsidR="00F41D16" w:rsidRPr="00543CD1">
        <w:t xml:space="preserve">of which Mr Phelps is critical </w:t>
      </w:r>
      <w:r w:rsidRPr="00543CD1">
        <w:t>(e.g. insert and flanking sequence analysis, Southern blot analyses, genetic stability, method for event-specific detection</w:t>
      </w:r>
      <w:r w:rsidR="00D966C6" w:rsidRPr="00543CD1">
        <w:t>, comparison of microbially- and plant-produced proteins</w:t>
      </w:r>
      <w:r w:rsidRPr="00543CD1">
        <w:t>)</w:t>
      </w:r>
      <w:r w:rsidR="00F41D16" w:rsidRPr="00543CD1">
        <w:t>,</w:t>
      </w:r>
      <w:r w:rsidRPr="00543CD1">
        <w:t xml:space="preserve"> it is not appropriate</w:t>
      </w:r>
      <w:r w:rsidR="001B483D" w:rsidRPr="00543CD1">
        <w:t>, or sometimes not even possible,</w:t>
      </w:r>
      <w:r w:rsidRPr="00543CD1">
        <w:t xml:space="preserve"> to supply a statistical analysis. </w:t>
      </w:r>
      <w:r w:rsidR="00F41D16" w:rsidRPr="00543CD1">
        <w:t>Where appropriate, the Applicants’ studies reported the statistical analysis</w:t>
      </w:r>
      <w:r w:rsidR="004C17BF" w:rsidRPr="00543CD1">
        <w:t xml:space="preserve"> used and the probabilities obtained.</w:t>
      </w:r>
      <w:r w:rsidR="001C63C1" w:rsidRPr="00543CD1">
        <w:t xml:space="preserve"> </w:t>
      </w:r>
    </w:p>
    <w:p w:rsidR="006E7E0C" w:rsidRDefault="006E7E0C" w:rsidP="006E7E0C">
      <w:pPr>
        <w:pStyle w:val="FSBullet1"/>
        <w:numPr>
          <w:ilvl w:val="0"/>
          <w:numId w:val="0"/>
        </w:numPr>
        <w:ind w:left="567"/>
      </w:pPr>
    </w:p>
    <w:p w:rsidR="00147B53" w:rsidRDefault="00220151" w:rsidP="006E7E0C">
      <w:pPr>
        <w:pStyle w:val="FSBullet1"/>
        <w:numPr>
          <w:ilvl w:val="0"/>
          <w:numId w:val="0"/>
        </w:numPr>
        <w:ind w:left="567"/>
      </w:pPr>
      <w:r>
        <w:t xml:space="preserve">In some instances (e.g. compositional analyses and bioinformatic analyses) </w:t>
      </w:r>
      <w:r w:rsidR="00543CD1" w:rsidRPr="00220151">
        <w:t xml:space="preserve">the statistical significance of a result needs to be placed in a biological context (see </w:t>
      </w:r>
      <w:r>
        <w:t xml:space="preserve">e.g. </w:t>
      </w:r>
      <w:r w:rsidR="00543CD1" w:rsidRPr="00220151">
        <w:t xml:space="preserve">discussion in </w:t>
      </w:r>
      <w:r w:rsidR="00543CD1" w:rsidRPr="00220151">
        <w:rPr>
          <w:i/>
        </w:rPr>
        <w:t>Issue 3 Response</w:t>
      </w:r>
      <w:r w:rsidR="00543CD1" w:rsidRPr="00220151">
        <w:t>).</w:t>
      </w:r>
      <w:r w:rsidR="00177C05">
        <w:t xml:space="preserve"> In all cases, the statistical methods used were consistent with the objective of the study.</w:t>
      </w:r>
      <w:r w:rsidR="00147B53">
        <w:br w:type="page"/>
      </w:r>
    </w:p>
    <w:p w:rsidR="00777D4C" w:rsidRPr="001C63C1" w:rsidRDefault="004C17BF" w:rsidP="00734539">
      <w:pPr>
        <w:pStyle w:val="FSBullet1"/>
      </w:pPr>
      <w:r w:rsidRPr="001C63C1">
        <w:lastRenderedPageBreak/>
        <w:t>In FSANZ</w:t>
      </w:r>
      <w:r w:rsidR="0026198C">
        <w:t>’s</w:t>
      </w:r>
      <w:r w:rsidR="00734539">
        <w:t xml:space="preserve"> opinion, based on </w:t>
      </w:r>
      <w:proofErr w:type="gramStart"/>
      <w:r w:rsidR="00734539">
        <w:t>a knowledge</w:t>
      </w:r>
      <w:proofErr w:type="gramEnd"/>
      <w:r w:rsidR="00734539">
        <w:t xml:space="preserve"> of the controls required in the wide range of</w:t>
      </w:r>
      <w:r w:rsidRPr="001C63C1">
        <w:t xml:space="preserve"> </w:t>
      </w:r>
      <w:r w:rsidR="00734539">
        <w:t xml:space="preserve">experimental methods used to provide supporting data, </w:t>
      </w:r>
      <w:r w:rsidRPr="001C63C1">
        <w:t>appropriate controls were used in the studies where controls were required.</w:t>
      </w:r>
      <w:r w:rsidR="001B483D">
        <w:t xml:space="preserve"> </w:t>
      </w:r>
      <w:r w:rsidR="00177C05">
        <w:t>Some methodologies (e.g. bioinformatic analyses) do not require controls and are based on well-developed and accepted protocols</w:t>
      </w:r>
      <w:r w:rsidR="001B483D">
        <w:t>.</w:t>
      </w:r>
    </w:p>
    <w:p w:rsidR="004C17BF" w:rsidRPr="001C63C1" w:rsidRDefault="004C17BF" w:rsidP="004C17BF">
      <w:pPr>
        <w:pStyle w:val="ListParagraph"/>
        <w:rPr>
          <w:rFonts w:ascii="Arial" w:hAnsi="Arial" w:cs="Arial"/>
          <w:color w:val="000000" w:themeColor="text1"/>
          <w:sz w:val="22"/>
          <w:szCs w:val="22"/>
        </w:rPr>
      </w:pPr>
    </w:p>
    <w:p w:rsidR="004C17BF" w:rsidRPr="001C63C1" w:rsidRDefault="004C17BF" w:rsidP="00734539">
      <w:pPr>
        <w:pStyle w:val="FSBullet1"/>
      </w:pPr>
      <w:r w:rsidRPr="001C63C1">
        <w:t>Mr Phelps is concerned that data were “rejected” in cases where, for example,</w:t>
      </w:r>
      <w:r w:rsidR="001C63C1">
        <w:t>’</w:t>
      </w:r>
      <w:r w:rsidRPr="001C63C1">
        <w:t xml:space="preserve"> </w:t>
      </w:r>
      <w:r w:rsidR="001C63C1" w:rsidRPr="001C63C1">
        <w:t>three</w:t>
      </w:r>
      <w:r w:rsidRPr="001C63C1">
        <w:t xml:space="preserve"> c</w:t>
      </w:r>
      <w:r w:rsidR="001C63C1" w:rsidRPr="001C63C1">
        <w:t>olonies were</w:t>
      </w:r>
      <w:r w:rsidRPr="001C63C1">
        <w:t xml:space="preserve"> randomly chosen</w:t>
      </w:r>
      <w:r w:rsidR="001C63C1">
        <w:t>’ or ‘extractions were performed on</w:t>
      </w:r>
      <w:r w:rsidRPr="001C63C1">
        <w:t xml:space="preserve"> representative aliquot</w:t>
      </w:r>
      <w:r w:rsidR="001C63C1">
        <w:t>s’. The wording used by the Applicants does not imply that a conscious selection of some data and rejection of other data was made</w:t>
      </w:r>
      <w:r w:rsidR="00734539">
        <w:t>, i.e. the Applicant</w:t>
      </w:r>
      <w:r w:rsidR="00F13F6B">
        <w:t>s</w:t>
      </w:r>
      <w:r w:rsidR="00734539">
        <w:t xml:space="preserve"> clearly made an unbiased selection of samples in those cases where it was not logistically possible to analyse every sample. </w:t>
      </w:r>
    </w:p>
    <w:p w:rsidR="00777D4C" w:rsidRDefault="00777D4C" w:rsidP="00777D4C">
      <w:pPr>
        <w:rPr>
          <w:rFonts w:cs="Arial"/>
          <w:color w:val="000000" w:themeColor="text1"/>
          <w:szCs w:val="22"/>
        </w:rPr>
      </w:pPr>
    </w:p>
    <w:p w:rsidR="00D966C6" w:rsidRDefault="00D966C6" w:rsidP="00D966C6">
      <w:pPr>
        <w:rPr>
          <w:color w:val="000000" w:themeColor="text1"/>
        </w:rPr>
      </w:pPr>
      <w:r w:rsidRPr="00477C87">
        <w:rPr>
          <w:color w:val="000000" w:themeColor="text1"/>
        </w:rPr>
        <w:t xml:space="preserve">The Applicants for A1081 met all of the data requirements stipulated in the </w:t>
      </w:r>
      <w:r w:rsidRPr="00477C87">
        <w:rPr>
          <w:i/>
          <w:color w:val="000000" w:themeColor="text1"/>
        </w:rPr>
        <w:t>Application Handbook</w:t>
      </w:r>
      <w:r w:rsidRPr="00477C87">
        <w:rPr>
          <w:color w:val="000000" w:themeColor="text1"/>
        </w:rPr>
        <w:t xml:space="preserve"> </w:t>
      </w:r>
      <w:r w:rsidRPr="00477C87">
        <w:rPr>
          <w:color w:val="000000" w:themeColor="text1"/>
        </w:rPr>
        <w:fldChar w:fldCharType="begin"/>
      </w:r>
      <w:r w:rsidR="006E7E0C">
        <w:rPr>
          <w:color w:val="000000" w:themeColor="text1"/>
        </w:rPr>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477C87">
        <w:rPr>
          <w:color w:val="000000" w:themeColor="text1"/>
        </w:rPr>
        <w:fldChar w:fldCharType="separate"/>
      </w:r>
      <w:r w:rsidRPr="00477C87">
        <w:rPr>
          <w:noProof/>
          <w:color w:val="000000" w:themeColor="text1"/>
        </w:rPr>
        <w:t>(FSANZ, 2011)</w:t>
      </w:r>
      <w:r w:rsidRPr="00477C87">
        <w:rPr>
          <w:color w:val="000000" w:themeColor="text1"/>
        </w:rPr>
        <w:fldChar w:fldCharType="end"/>
      </w:r>
      <w:r w:rsidRPr="00477C87">
        <w:rPr>
          <w:color w:val="000000" w:themeColor="text1"/>
        </w:rPr>
        <w:t xml:space="preserve"> for the safety assessment of GM food and, upon assessment of these data, FSANZ is satisfied that sufficient evidence has been provided to demonstrate the safety of the food. </w:t>
      </w:r>
    </w:p>
    <w:p w:rsidR="006C158B" w:rsidRPr="00FF27B3" w:rsidRDefault="006E7E0C" w:rsidP="00147B53">
      <w:pPr>
        <w:pStyle w:val="Heading5"/>
      </w:pPr>
      <w:r w:rsidRPr="00FF27B3">
        <w:t>Issue 5</w:t>
      </w:r>
      <w:r w:rsidR="006C158B" w:rsidRPr="00FF27B3">
        <w:t xml:space="preserve"> – addressing s50 of the Act</w:t>
      </w:r>
    </w:p>
    <w:p w:rsidR="006C158B" w:rsidRPr="00FF27B3" w:rsidRDefault="006C158B" w:rsidP="00D966C6">
      <w:pPr>
        <w:rPr>
          <w:color w:val="000000" w:themeColor="text1"/>
        </w:rPr>
      </w:pPr>
      <w:r w:rsidRPr="00FF27B3">
        <w:rPr>
          <w:color w:val="000000" w:themeColor="text1"/>
        </w:rPr>
        <w:t>GE Free NZ indicated that the information to satisfy section 50 (i</w:t>
      </w:r>
      <w:proofErr w:type="gramStart"/>
      <w:r w:rsidRPr="00FF27B3">
        <w:rPr>
          <w:color w:val="000000" w:themeColor="text1"/>
        </w:rPr>
        <w:t>)(</w:t>
      </w:r>
      <w:proofErr w:type="gramEnd"/>
      <w:r w:rsidRPr="00FF27B3">
        <w:rPr>
          <w:color w:val="000000" w:themeColor="text1"/>
        </w:rPr>
        <w:t>ii)(iii) was not available to FSANZ.</w:t>
      </w:r>
    </w:p>
    <w:p w:rsidR="006C158B" w:rsidRPr="00FF27B3" w:rsidRDefault="006C158B" w:rsidP="00D966C6">
      <w:pPr>
        <w:rPr>
          <w:color w:val="000000" w:themeColor="text1"/>
        </w:rPr>
      </w:pPr>
    </w:p>
    <w:p w:rsidR="006C158B" w:rsidRPr="00147B53" w:rsidRDefault="006C158B" w:rsidP="00D966C6">
      <w:pPr>
        <w:rPr>
          <w:color w:val="000000" w:themeColor="text1"/>
          <w:u w:val="single"/>
        </w:rPr>
      </w:pPr>
      <w:r w:rsidRPr="00147B53">
        <w:rPr>
          <w:color w:val="000000" w:themeColor="text1"/>
          <w:u w:val="single"/>
        </w:rPr>
        <w:t>Response</w:t>
      </w:r>
    </w:p>
    <w:p w:rsidR="006C158B" w:rsidRPr="00FF27B3" w:rsidRDefault="006C158B" w:rsidP="00D966C6">
      <w:pPr>
        <w:rPr>
          <w:color w:val="000000" w:themeColor="text1"/>
        </w:rPr>
      </w:pPr>
    </w:p>
    <w:p w:rsidR="006C158B" w:rsidRDefault="006C158B" w:rsidP="00D966C6">
      <w:pPr>
        <w:rPr>
          <w:color w:val="000000" w:themeColor="text1"/>
        </w:rPr>
      </w:pPr>
      <w:r w:rsidRPr="00FF27B3">
        <w:rPr>
          <w:color w:val="000000" w:themeColor="text1"/>
        </w:rPr>
        <w:t xml:space="preserve">Section 50 of the Act refers </w:t>
      </w:r>
      <w:r w:rsidR="00737CBE" w:rsidRPr="00FF27B3">
        <w:rPr>
          <w:color w:val="000000" w:themeColor="text1"/>
        </w:rPr>
        <w:t xml:space="preserve">specifically </w:t>
      </w:r>
      <w:r w:rsidRPr="00FF27B3">
        <w:rPr>
          <w:color w:val="000000" w:themeColor="text1"/>
        </w:rPr>
        <w:t>to procedures for variations</w:t>
      </w:r>
      <w:r w:rsidR="00737CBE" w:rsidRPr="00FF27B3">
        <w:rPr>
          <w:color w:val="000000" w:themeColor="text1"/>
        </w:rPr>
        <w:t xml:space="preserve"> to nutrition, health and related claims and so is not relevant to Application A1081. </w:t>
      </w:r>
      <w:r w:rsidR="00FF27B3" w:rsidRPr="00FF27B3">
        <w:rPr>
          <w:color w:val="000000" w:themeColor="text1"/>
        </w:rPr>
        <w:t xml:space="preserve">It is noted that the three subsections of s50 refer to the same objectives given in </w:t>
      </w:r>
      <w:proofErr w:type="gramStart"/>
      <w:r w:rsidR="00FF27B3" w:rsidRPr="00FF27B3">
        <w:rPr>
          <w:color w:val="000000" w:themeColor="text1"/>
        </w:rPr>
        <w:t>s18(</w:t>
      </w:r>
      <w:proofErr w:type="gramEnd"/>
      <w:r w:rsidR="00FF27B3" w:rsidRPr="00FF27B3">
        <w:rPr>
          <w:color w:val="000000" w:themeColor="text1"/>
        </w:rPr>
        <w:t xml:space="preserve">1) of the Act and that s18 must be considered by FSANZ for an Application (such as A1081) to vary a Standard.  These objectives </w:t>
      </w:r>
      <w:r w:rsidR="00737CBE" w:rsidRPr="00FF27B3">
        <w:rPr>
          <w:color w:val="000000" w:themeColor="text1"/>
        </w:rPr>
        <w:t>are specifically addressed in Section 4.2 of this Approval Report.</w:t>
      </w:r>
    </w:p>
    <w:p w:rsidR="00674FE5" w:rsidRPr="00400169" w:rsidRDefault="00674FE5" w:rsidP="00674FE5">
      <w:pPr>
        <w:pStyle w:val="Heading2"/>
      </w:pPr>
      <w:bookmarkStart w:id="34" w:name="_Toc374451218"/>
      <w:r w:rsidRPr="00400169">
        <w:t>3.3</w:t>
      </w:r>
      <w:r w:rsidRPr="00400169">
        <w:tab/>
        <w:t>Risk communication</w:t>
      </w:r>
      <w:bookmarkEnd w:id="34"/>
      <w:r w:rsidRPr="00400169">
        <w:t xml:space="preserve"> </w:t>
      </w:r>
    </w:p>
    <w:p w:rsidR="00F808D1" w:rsidRPr="00400169" w:rsidRDefault="00F808D1" w:rsidP="00F808D1">
      <w:pPr>
        <w:rPr>
          <w:lang w:bidi="ar-SA"/>
        </w:rPr>
      </w:pPr>
      <w:r w:rsidRPr="00400169">
        <w:rPr>
          <w:lang w:bidi="ar-SA"/>
        </w:rPr>
        <w:t xml:space="preserve">FSANZ developed and applied a basic communication strategy to this Application. The call for submissions was notified via the Notification Circular, media release and through FSANZ’s social media tools and </w:t>
      </w:r>
      <w:r w:rsidR="00EE2A90" w:rsidRPr="00400169">
        <w:rPr>
          <w:lang w:bidi="ar-SA"/>
        </w:rPr>
        <w:t xml:space="preserve">the publication, </w:t>
      </w:r>
      <w:r w:rsidRPr="00400169">
        <w:rPr>
          <w:i/>
          <w:lang w:bidi="ar-SA"/>
        </w:rPr>
        <w:t>Food Standards News</w:t>
      </w:r>
      <w:r w:rsidRPr="00400169">
        <w:rPr>
          <w:lang w:bidi="ar-SA"/>
        </w:rPr>
        <w:t>. Subscribers and interested parties were also notified.</w:t>
      </w:r>
    </w:p>
    <w:p w:rsidR="00236461" w:rsidRPr="00400169" w:rsidRDefault="00236461">
      <w:pPr>
        <w:widowControl/>
        <w:rPr>
          <w:lang w:bidi="ar-SA"/>
        </w:rPr>
      </w:pPr>
    </w:p>
    <w:p w:rsidR="00F808D1" w:rsidRPr="00400169" w:rsidRDefault="00F808D1" w:rsidP="00F808D1">
      <w:pPr>
        <w:rPr>
          <w:lang w:bidi="ar-SA"/>
        </w:rPr>
      </w:pPr>
      <w:r w:rsidRPr="00400169">
        <w:rPr>
          <w:lang w:bidi="ar-SA"/>
        </w:rPr>
        <w:t>The process by which FSANZ considers standard matters is open, accountable, consultative and transparent. Public submissions are called to obtain the views of interested parties on issues raised by the application and the impacts of regulatory options.</w:t>
      </w:r>
    </w:p>
    <w:p w:rsidR="00F808D1" w:rsidRPr="00400169" w:rsidRDefault="00F808D1" w:rsidP="00F808D1">
      <w:pPr>
        <w:rPr>
          <w:lang w:bidi="ar-SA"/>
        </w:rPr>
      </w:pPr>
    </w:p>
    <w:p w:rsidR="00220151" w:rsidRPr="0049385C" w:rsidRDefault="00F808D1" w:rsidP="0049385C">
      <w:pPr>
        <w:rPr>
          <w:lang w:bidi="ar-SA"/>
        </w:rPr>
      </w:pPr>
      <w:r w:rsidRPr="00400169">
        <w:rPr>
          <w:lang w:bidi="ar-SA"/>
        </w:rPr>
        <w:t>Application A</w:t>
      </w:r>
      <w:r w:rsidR="00A66619">
        <w:rPr>
          <w:lang w:bidi="ar-SA"/>
        </w:rPr>
        <w:t>1081</w:t>
      </w:r>
      <w:r w:rsidR="004673BE" w:rsidRPr="00400169">
        <w:rPr>
          <w:lang w:bidi="ar-SA"/>
        </w:rPr>
        <w:t>,</w:t>
      </w:r>
      <w:r w:rsidRPr="00400169">
        <w:rPr>
          <w:lang w:bidi="ar-SA"/>
        </w:rPr>
        <w:t xml:space="preserve"> </w:t>
      </w:r>
      <w:r w:rsidR="004673BE" w:rsidRPr="00400169">
        <w:rPr>
          <w:lang w:bidi="ar-SA"/>
        </w:rPr>
        <w:t xml:space="preserve">including submissions received, </w:t>
      </w:r>
      <w:r w:rsidRPr="00400169">
        <w:rPr>
          <w:lang w:bidi="ar-SA"/>
        </w:rPr>
        <w:t xml:space="preserve">is available on the </w:t>
      </w:r>
      <w:r w:rsidR="004673BE" w:rsidRPr="00400169">
        <w:rPr>
          <w:lang w:bidi="ar-SA"/>
        </w:rPr>
        <w:t xml:space="preserve">FSANZ </w:t>
      </w:r>
      <w:r w:rsidRPr="00400169">
        <w:rPr>
          <w:lang w:bidi="ar-SA"/>
        </w:rPr>
        <w:t>website</w:t>
      </w:r>
      <w:r w:rsidR="004673BE" w:rsidRPr="00400169">
        <w:rPr>
          <w:lang w:bidi="ar-SA"/>
        </w:rPr>
        <w:t>.</w:t>
      </w:r>
    </w:p>
    <w:p w:rsidR="00EB6590" w:rsidRPr="00400169" w:rsidRDefault="00850B09" w:rsidP="00422EC9">
      <w:pPr>
        <w:pStyle w:val="Heading1"/>
      </w:pPr>
      <w:bookmarkStart w:id="35" w:name="_Toc374451219"/>
      <w:r w:rsidRPr="00400169">
        <w:t>4</w:t>
      </w:r>
      <w:r w:rsidR="00BD49FF" w:rsidRPr="00400169">
        <w:t>.</w:t>
      </w:r>
      <w:r w:rsidR="00BD49FF" w:rsidRPr="00400169">
        <w:tab/>
      </w:r>
      <w:bookmarkEnd w:id="33"/>
      <w:r w:rsidR="00780792" w:rsidRPr="00400169">
        <w:t xml:space="preserve">Reasons for </w:t>
      </w:r>
      <w:r w:rsidR="007C22CB" w:rsidRPr="00400169">
        <w:t>d</w:t>
      </w:r>
      <w:r w:rsidR="00780792" w:rsidRPr="00400169">
        <w:t>ecision</w:t>
      </w:r>
      <w:bookmarkEnd w:id="35"/>
      <w:r w:rsidR="00780792" w:rsidRPr="00400169">
        <w:t xml:space="preserve"> </w:t>
      </w:r>
    </w:p>
    <w:p w:rsidR="00F808D1" w:rsidRDefault="00F808D1" w:rsidP="00F808D1">
      <w:r w:rsidRPr="00400169">
        <w:t>The variation to the Code to permit the sale and use of food deri</w:t>
      </w:r>
      <w:r w:rsidR="00173BB9" w:rsidRPr="00400169">
        <w:t>ve</w:t>
      </w:r>
      <w:r w:rsidR="00CC0FF1" w:rsidRPr="00400169">
        <w:t>d from herbicide-t</w:t>
      </w:r>
      <w:r w:rsidR="00A66619">
        <w:t>olerant soybean line SYHT0H2</w:t>
      </w:r>
      <w:r w:rsidRPr="00400169">
        <w:t xml:space="preserve"> in Australia and New Zealand was approved based on available evidence, for the following reasons: </w:t>
      </w:r>
    </w:p>
    <w:p w:rsidR="00147B53" w:rsidRPr="00400169" w:rsidRDefault="00147B53" w:rsidP="00F808D1"/>
    <w:p w:rsidR="00F808D1" w:rsidRPr="00400169" w:rsidRDefault="00F808D1" w:rsidP="001365F2">
      <w:pPr>
        <w:pStyle w:val="FSBullet1"/>
      </w:pPr>
      <w:r w:rsidRPr="00400169">
        <w:t>The safety assessment did not identify any public health and safety concerns associated with the genetic m</w:t>
      </w:r>
      <w:r w:rsidR="00173BB9" w:rsidRPr="00400169">
        <w:t>od</w:t>
      </w:r>
      <w:r w:rsidR="00CC0FF1" w:rsidRPr="00400169">
        <w:t xml:space="preserve">ification used to </w:t>
      </w:r>
      <w:r w:rsidR="00A66619">
        <w:t>produce soybean line SYHT0H2</w:t>
      </w:r>
      <w:r w:rsidR="00D01C0A" w:rsidRPr="00400169">
        <w:t>.</w:t>
      </w:r>
    </w:p>
    <w:p w:rsidR="00147B53" w:rsidRDefault="00147B53" w:rsidP="00D01C0A">
      <w:pPr>
        <w:pStyle w:val="FSBullet"/>
        <w:numPr>
          <w:ilvl w:val="0"/>
          <w:numId w:val="0"/>
        </w:numPr>
        <w:ind w:left="567"/>
      </w:pPr>
      <w:r>
        <w:br w:type="page"/>
      </w:r>
    </w:p>
    <w:p w:rsidR="00F808D1" w:rsidRPr="00400169" w:rsidRDefault="00173BB9" w:rsidP="001365F2">
      <w:pPr>
        <w:pStyle w:val="FSBullet1"/>
      </w:pPr>
      <w:r w:rsidRPr="00400169">
        <w:lastRenderedPageBreak/>
        <w:t xml:space="preserve">Food derived from </w:t>
      </w:r>
      <w:r w:rsidR="00A66619">
        <w:t>soybean line SYHT0H2</w:t>
      </w:r>
      <w:r w:rsidR="00F808D1" w:rsidRPr="00400169">
        <w:t xml:space="preserve"> is equivalent to that derived from the conventional counterpart and o</w:t>
      </w:r>
      <w:r w:rsidRPr="00400169">
        <w:t>th</w:t>
      </w:r>
      <w:r w:rsidR="00CC0FF1" w:rsidRPr="00400169">
        <w:t>er commercially available soybean</w:t>
      </w:r>
      <w:r w:rsidR="00F808D1" w:rsidRPr="00400169">
        <w:t xml:space="preserve"> cultivars in terms of its safety for human consumption and nutritional adequacy.</w:t>
      </w:r>
    </w:p>
    <w:p w:rsidR="00F808D1" w:rsidRPr="00400169" w:rsidRDefault="00F808D1" w:rsidP="00F808D1"/>
    <w:p w:rsidR="00F808D1" w:rsidRPr="00400169" w:rsidRDefault="00F808D1" w:rsidP="001365F2">
      <w:pPr>
        <w:pStyle w:val="FSBullet1"/>
      </w:pPr>
      <w:r w:rsidRPr="00400169">
        <w:t>Lab</w:t>
      </w:r>
      <w:r w:rsidR="00173BB9" w:rsidRPr="00400169">
        <w:t>elling of food derived from</w:t>
      </w:r>
      <w:r w:rsidR="00A66619">
        <w:t xml:space="preserve"> soybean line SYHT0H2</w:t>
      </w:r>
      <w:r w:rsidRPr="00400169">
        <w:t xml:space="preserve"> will be required in the ingredients list or in conjunction with the name of the food, if it contains novel DNA or novel protein.</w:t>
      </w:r>
    </w:p>
    <w:p w:rsidR="00617B03" w:rsidRPr="00400169" w:rsidRDefault="00617B03" w:rsidP="00F808D1"/>
    <w:p w:rsidR="00F808D1" w:rsidRPr="00400169" w:rsidRDefault="00F808D1" w:rsidP="001365F2">
      <w:pPr>
        <w:pStyle w:val="FSBullet1"/>
        <w:rPr>
          <w:b/>
          <w:bCs/>
        </w:rPr>
      </w:pPr>
      <w:r w:rsidRPr="00400169">
        <w:t>There were no measures that would be more cost-effective than a variation to Standard 1.5.2 and could achieve the same end.</w:t>
      </w:r>
    </w:p>
    <w:p w:rsidR="00850B09" w:rsidRPr="00400169" w:rsidRDefault="00422EC9" w:rsidP="00F808D1">
      <w:pPr>
        <w:pStyle w:val="Heading2"/>
      </w:pPr>
      <w:bookmarkStart w:id="36" w:name="_Toc374451220"/>
      <w:r w:rsidRPr="00400169">
        <w:t>4.1</w:t>
      </w:r>
      <w:r w:rsidR="00850B09" w:rsidRPr="00400169">
        <w:tab/>
        <w:t>Section 29</w:t>
      </w:r>
      <w:bookmarkEnd w:id="36"/>
    </w:p>
    <w:p w:rsidR="00850B09" w:rsidRPr="00400169" w:rsidRDefault="00850B09" w:rsidP="00850B09">
      <w:r w:rsidRPr="00400169">
        <w:t>FSANZ had regard to the following matters under section 29 of the FSANZ Act:</w:t>
      </w:r>
    </w:p>
    <w:p w:rsidR="00850B09" w:rsidRPr="00400169" w:rsidRDefault="00850B09" w:rsidP="00850B09"/>
    <w:p w:rsidR="00850B09" w:rsidRPr="00400169" w:rsidRDefault="00850B09" w:rsidP="006D0C46">
      <w:pPr>
        <w:pStyle w:val="FSBullet1"/>
      </w:pPr>
      <w:r w:rsidRPr="00400169">
        <w:t>whether costs that would arise from a food regulatory measure developed or varied as a result of the Application</w:t>
      </w:r>
      <w:r w:rsidR="00F808D1" w:rsidRPr="00400169">
        <w:t xml:space="preserve"> </w:t>
      </w:r>
      <w:r w:rsidRPr="00400169">
        <w:t xml:space="preserve">outweighed the direct and indirect benefits to the community, Government or industry that would arise from the development or variation of the food regulatory measure </w:t>
      </w:r>
    </w:p>
    <w:p w:rsidR="00CC0FF1" w:rsidRPr="00400169" w:rsidRDefault="00CC0FF1" w:rsidP="00CC0FF1">
      <w:pPr>
        <w:rPr>
          <w:lang w:bidi="ar-SA"/>
        </w:rPr>
      </w:pPr>
    </w:p>
    <w:p w:rsidR="00AB1090" w:rsidRPr="007F7BF7" w:rsidRDefault="00AB1090" w:rsidP="006D0C46">
      <w:pPr>
        <w:pStyle w:val="FSBullet1"/>
      </w:pPr>
      <w:r>
        <w:t>whether</w:t>
      </w:r>
      <w:r w:rsidRPr="007F7BF7">
        <w:t xml:space="preserve"> other measures </w:t>
      </w:r>
      <w:r>
        <w:t xml:space="preserve">(whether available to FSANZ or not) </w:t>
      </w:r>
      <w:r w:rsidRPr="007F7BF7">
        <w:t>would</w:t>
      </w:r>
      <w:r>
        <w:t xml:space="preserve"> be more cost-</w:t>
      </w:r>
      <w:r w:rsidRPr="00AB1090">
        <w:t>effective than a food regulatory measure developed or varied as a result of the Application</w:t>
      </w:r>
    </w:p>
    <w:p w:rsidR="00CC0FF1" w:rsidRPr="00400169" w:rsidRDefault="00CC0FF1" w:rsidP="00CC0FF1">
      <w:pPr>
        <w:rPr>
          <w:lang w:bidi="ar-SA"/>
        </w:rPr>
      </w:pPr>
    </w:p>
    <w:p w:rsidR="00850B09" w:rsidRPr="00400169" w:rsidRDefault="00850B09" w:rsidP="006D0C46">
      <w:pPr>
        <w:pStyle w:val="FSBullet1"/>
      </w:pPr>
      <w:r w:rsidRPr="00400169">
        <w:t>any relevant New Zealand standards</w:t>
      </w:r>
    </w:p>
    <w:p w:rsidR="00CC0FF1" w:rsidRPr="00400169" w:rsidRDefault="00CC0FF1" w:rsidP="00CC0FF1">
      <w:pPr>
        <w:rPr>
          <w:lang w:bidi="ar-SA"/>
        </w:rPr>
      </w:pPr>
    </w:p>
    <w:p w:rsidR="00850B09" w:rsidRPr="00400169" w:rsidRDefault="00850B09" w:rsidP="006D0C46">
      <w:pPr>
        <w:pStyle w:val="FSBullet1"/>
      </w:pPr>
      <w:proofErr w:type="gramStart"/>
      <w:r w:rsidRPr="00400169">
        <w:t>any</w:t>
      </w:r>
      <w:proofErr w:type="gramEnd"/>
      <w:r w:rsidRPr="00400169">
        <w:t xml:space="preserve"> other relevant matters.</w:t>
      </w:r>
    </w:p>
    <w:p w:rsidR="00850B09" w:rsidRPr="00400169" w:rsidRDefault="00850B09" w:rsidP="00850B09"/>
    <w:p w:rsidR="00F808D1" w:rsidRPr="00400169" w:rsidRDefault="00F808D1" w:rsidP="00F808D1">
      <w:r w:rsidRPr="00400169">
        <w:t>The Office of Best Practice Regulation (OBPR), in a letter to FSANZ dated 24 November 2010 (reference 12065), provided an exemption from the need of the OBPR to be informed about GM food applications made to FSANZ.</w:t>
      </w:r>
    </w:p>
    <w:p w:rsidR="00F808D1" w:rsidRPr="00400169" w:rsidRDefault="00F808D1" w:rsidP="00F808D1">
      <w:pPr>
        <w:pStyle w:val="Heading3"/>
      </w:pPr>
      <w:bookmarkStart w:id="37" w:name="_Toc374451221"/>
      <w:r w:rsidRPr="00400169">
        <w:t>4.1.1</w:t>
      </w:r>
      <w:r w:rsidRPr="00400169">
        <w:tab/>
        <w:t>Cost/benefit analysis</w:t>
      </w:r>
      <w:bookmarkEnd w:id="37"/>
    </w:p>
    <w:p w:rsidR="00F808D1" w:rsidRPr="00400169" w:rsidRDefault="00F808D1" w:rsidP="00F808D1">
      <w:r w:rsidRPr="00400169">
        <w:t xml:space="preserve">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rsidR="00F808D1" w:rsidRPr="00400169" w:rsidRDefault="00F808D1" w:rsidP="00F808D1"/>
    <w:p w:rsidR="00F808D1" w:rsidRPr="00400169" w:rsidRDefault="00F808D1" w:rsidP="00F808D1">
      <w:r w:rsidRPr="00400169">
        <w:t>The points below list the effect that approving the draft would be expected to have on various sectors.</w:t>
      </w:r>
    </w:p>
    <w:p w:rsidR="00F808D1" w:rsidRPr="00400169" w:rsidRDefault="00F808D1" w:rsidP="00F808D1"/>
    <w:p w:rsidR="00CC0FF1" w:rsidRDefault="00CC0FF1" w:rsidP="00CC0FF1">
      <w:pPr>
        <w:ind w:left="1418" w:hanging="1418"/>
      </w:pPr>
      <w:r w:rsidRPr="00400169">
        <w:rPr>
          <w:i/>
        </w:rPr>
        <w:t>Consumers:</w:t>
      </w:r>
      <w:r w:rsidRPr="00400169">
        <w:tab/>
        <w:t>Broader availability of imported soybean products as there would be no restriction on imported foods con</w:t>
      </w:r>
      <w:r w:rsidR="00A66619">
        <w:t>taining soybean line SYHT0H2</w:t>
      </w:r>
      <w:r w:rsidRPr="00400169">
        <w:t xml:space="preserve">. </w:t>
      </w:r>
    </w:p>
    <w:p w:rsidR="00617B03" w:rsidRPr="00400169" w:rsidRDefault="00617B03" w:rsidP="00CC0FF1">
      <w:pPr>
        <w:ind w:left="1418" w:hanging="1418"/>
      </w:pPr>
    </w:p>
    <w:p w:rsidR="00CC0FF1" w:rsidRPr="00400169" w:rsidRDefault="00A57AC9" w:rsidP="00CC0FF1">
      <w:pPr>
        <w:ind w:left="1418"/>
      </w:pPr>
      <w:r w:rsidRPr="00A57AC9">
        <w:t>For those soybean line SYHT0H2 products containing novel DNA or novel protein, a</w:t>
      </w:r>
      <w:r w:rsidR="00CC0FF1" w:rsidRPr="00A57AC9">
        <w:t>ppropriate labelling would allow con</w:t>
      </w:r>
      <w:r w:rsidR="00F13F6B" w:rsidRPr="00A57AC9">
        <w:t xml:space="preserve">sumers wishing to avoid </w:t>
      </w:r>
      <w:r w:rsidRPr="00A57AC9">
        <w:t xml:space="preserve">them </w:t>
      </w:r>
      <w:r w:rsidR="00CC0FF1" w:rsidRPr="00A57AC9">
        <w:t>to do so.</w:t>
      </w:r>
    </w:p>
    <w:p w:rsidR="006E7E0C" w:rsidRDefault="00A57AC9" w:rsidP="00A57AC9">
      <w:pPr>
        <w:widowControl/>
        <w:tabs>
          <w:tab w:val="left" w:pos="2730"/>
        </w:tabs>
        <w:rPr>
          <w:i/>
        </w:rPr>
      </w:pPr>
      <w:r>
        <w:rPr>
          <w:i/>
        </w:rPr>
        <w:tab/>
      </w:r>
    </w:p>
    <w:p w:rsidR="00CC0FF1" w:rsidRDefault="00CC0FF1" w:rsidP="00CC0FF1">
      <w:pPr>
        <w:ind w:left="1418" w:hanging="1418"/>
      </w:pPr>
      <w:r w:rsidRPr="00400169">
        <w:rPr>
          <w:i/>
        </w:rPr>
        <w:t>Government:</w:t>
      </w:r>
      <w:r w:rsidRPr="00400169">
        <w:tab/>
        <w:t>Benefit that i</w:t>
      </w:r>
      <w:r w:rsidR="00A66619">
        <w:t>f soybean line SYHT0H2</w:t>
      </w:r>
      <w:r w:rsidRPr="00400169">
        <w:t xml:space="preserve"> was detected in soybean imports, approval would ensure compliance of those products with the Code. This would ensure no potential for trade disruption on regulatory grounds. </w:t>
      </w:r>
    </w:p>
    <w:p w:rsidR="00147B53" w:rsidRDefault="00147B53" w:rsidP="00CC0FF1">
      <w:pPr>
        <w:ind w:left="1418" w:hanging="1418"/>
      </w:pPr>
      <w:r>
        <w:br w:type="page"/>
      </w:r>
    </w:p>
    <w:p w:rsidR="00617B03" w:rsidRPr="005C18EC" w:rsidRDefault="00F13F6B" w:rsidP="00617B03">
      <w:pPr>
        <w:ind w:left="1418"/>
      </w:pPr>
      <w:r w:rsidRPr="00BD7235">
        <w:lastRenderedPageBreak/>
        <w:t xml:space="preserve">If soybean SYHT0H2 is approved for commercial growing in overseas countries </w:t>
      </w:r>
      <w:r w:rsidR="00A57AC9" w:rsidRPr="00BD7235">
        <w:t>it can be used in the manufacture of products usin</w:t>
      </w:r>
      <w:r w:rsidR="007911AF" w:rsidRPr="00BD7235">
        <w:t>g co-mingled soybean. This</w:t>
      </w:r>
      <w:r w:rsidR="00A57AC9" w:rsidRPr="00BD7235">
        <w:t xml:space="preserve"> mean</w:t>
      </w:r>
      <w:r w:rsidR="007911AF" w:rsidRPr="00BD7235">
        <w:t xml:space="preserve">s that there would be no cost involved in having to exclude SYHT0H2 from co-mingling and hence that </w:t>
      </w:r>
      <w:r w:rsidRPr="00BD7235">
        <w:t xml:space="preserve">there </w:t>
      </w:r>
      <w:r w:rsidR="007911AF" w:rsidRPr="00BD7235">
        <w:t xml:space="preserve">would be </w:t>
      </w:r>
      <w:r w:rsidR="00617B03" w:rsidRPr="00BD7235">
        <w:t xml:space="preserve">no </w:t>
      </w:r>
      <w:r w:rsidR="007911AF" w:rsidRPr="00BD7235">
        <w:t>consequential need to increase</w:t>
      </w:r>
      <w:r w:rsidR="00617B03" w:rsidRPr="00BD7235">
        <w:t xml:space="preserve"> the prices of imported foods </w:t>
      </w:r>
      <w:r w:rsidRPr="00BD7235">
        <w:t xml:space="preserve">that are </w:t>
      </w:r>
      <w:r w:rsidR="00617B03" w:rsidRPr="00BD7235">
        <w:t>manufactured using comingled soybean products.</w:t>
      </w:r>
    </w:p>
    <w:p w:rsidR="00CC0FF1" w:rsidRPr="00400169" w:rsidRDefault="00CC0FF1" w:rsidP="00CC0FF1">
      <w:pPr>
        <w:ind w:left="1418" w:hanging="1418"/>
      </w:pPr>
    </w:p>
    <w:p w:rsidR="00CC0FF1" w:rsidRPr="00400169" w:rsidRDefault="00CC0FF1" w:rsidP="00CC0FF1">
      <w:pPr>
        <w:ind w:left="1418"/>
      </w:pPr>
      <w:r w:rsidRPr="00400169">
        <w:t>Appr</w:t>
      </w:r>
      <w:r w:rsidR="00A66619">
        <w:t>oval of soybean line SYHT0H2</w:t>
      </w:r>
      <w:r w:rsidRPr="00400169">
        <w:t xml:space="preserve"> would ensure no conflict with WTO responsibilities.</w:t>
      </w:r>
    </w:p>
    <w:p w:rsidR="00CC0FF1" w:rsidRPr="00400169" w:rsidRDefault="00CC0FF1" w:rsidP="00CC0FF1">
      <w:pPr>
        <w:ind w:left="1418"/>
      </w:pPr>
    </w:p>
    <w:p w:rsidR="00CC0FF1" w:rsidRPr="00400169" w:rsidRDefault="00CC0FF1" w:rsidP="00CC0FF1">
      <w:pPr>
        <w:ind w:left="1418"/>
      </w:pPr>
      <w:r w:rsidRPr="00400169">
        <w:t xml:space="preserve">In the case of approved GM foods, monitoring is required to ensure compliance with the labelling requirements, and in the case of GM foods that have not been approved, monitoring is required to ensure they are not illegally entering the food supply. The costs of monitoring are thus expected to be comparable, whether a GM food is approved or not. </w:t>
      </w:r>
    </w:p>
    <w:p w:rsidR="00CC0FF1" w:rsidRPr="00400169" w:rsidRDefault="00CC0FF1" w:rsidP="00CC0FF1"/>
    <w:p w:rsidR="00CC0FF1" w:rsidRPr="00400169" w:rsidRDefault="00CC0FF1" w:rsidP="00CC0FF1">
      <w:pPr>
        <w:ind w:left="1418" w:hanging="1418"/>
      </w:pPr>
      <w:r w:rsidRPr="00400169">
        <w:rPr>
          <w:i/>
        </w:rPr>
        <w:t>Industry:</w:t>
      </w:r>
      <w:r w:rsidRPr="00400169">
        <w:tab/>
        <w:t xml:space="preserve">Importers of processed foods containing soybean derivatives would benefit as foods </w:t>
      </w:r>
      <w:r w:rsidR="00A66619">
        <w:t>derived from soybean line SYHT0H2</w:t>
      </w:r>
      <w:r w:rsidRPr="00400169">
        <w:t xml:space="preserve"> would be compliant with the Code, allowing broader market access and increased choice in raw materials. </w:t>
      </w:r>
    </w:p>
    <w:p w:rsidR="00CC0FF1" w:rsidRPr="00400169" w:rsidRDefault="00CC0FF1" w:rsidP="00CC0FF1">
      <w:pPr>
        <w:ind w:left="1418"/>
      </w:pPr>
    </w:p>
    <w:p w:rsidR="00CC0FF1" w:rsidRPr="00400169" w:rsidRDefault="00CC0FF1" w:rsidP="00CC0FF1">
      <w:pPr>
        <w:ind w:left="1418"/>
      </w:pPr>
      <w:r w:rsidRPr="00400169">
        <w:t>Retailers may be able to offer a broader range of soybean products or imported foods manufactured using soybean derivatives.</w:t>
      </w:r>
    </w:p>
    <w:p w:rsidR="00CC0FF1" w:rsidRPr="00400169" w:rsidRDefault="00CC0FF1" w:rsidP="00CC0FF1">
      <w:pPr>
        <w:ind w:left="1418"/>
      </w:pPr>
    </w:p>
    <w:p w:rsidR="00CC0FF1" w:rsidRPr="00400169" w:rsidRDefault="00CC0FF1" w:rsidP="00CC0FF1">
      <w:pPr>
        <w:ind w:left="1418"/>
      </w:pPr>
      <w:r w:rsidRPr="00400169">
        <w:t>Possible cost to food industry as some food ingredients deriv</w:t>
      </w:r>
      <w:r w:rsidR="00A66619">
        <w:t>ed from soybean line SYHT0H2</w:t>
      </w:r>
      <w:r w:rsidR="00177C05">
        <w:t xml:space="preserve"> may</w:t>
      </w:r>
      <w:r w:rsidRPr="00400169">
        <w:t xml:space="preserve"> be required to be labelled. </w:t>
      </w:r>
    </w:p>
    <w:p w:rsidR="00173BB9" w:rsidRPr="00400169" w:rsidRDefault="00173BB9" w:rsidP="00173BB9">
      <w:pPr>
        <w:rPr>
          <w:szCs w:val="22"/>
        </w:rPr>
      </w:pPr>
    </w:p>
    <w:p w:rsidR="00173BB9" w:rsidRPr="00400169" w:rsidRDefault="00173BB9" w:rsidP="00173BB9">
      <w:pPr>
        <w:rPr>
          <w:rFonts w:cs="Arial"/>
          <w:szCs w:val="22"/>
        </w:rPr>
      </w:pPr>
      <w:r w:rsidRPr="00400169">
        <w:rPr>
          <w:rFonts w:cs="Arial"/>
          <w:szCs w:val="22"/>
        </w:rPr>
        <w:t xml:space="preserve">As food from </w:t>
      </w:r>
      <w:r w:rsidR="00A66619">
        <w:rPr>
          <w:szCs w:val="22"/>
        </w:rPr>
        <w:t>soybean line SYHT0H2</w:t>
      </w:r>
      <w:r w:rsidRPr="00400169">
        <w:rPr>
          <w:szCs w:val="22"/>
        </w:rPr>
        <w:t xml:space="preserve"> </w:t>
      </w:r>
      <w:r w:rsidRPr="00400169">
        <w:rPr>
          <w:rFonts w:cs="Arial"/>
          <w:szCs w:val="22"/>
        </w:rPr>
        <w:t xml:space="preserve">has been found to be as safe as food from </w:t>
      </w:r>
      <w:r w:rsidR="00F97B01" w:rsidRPr="00400169">
        <w:rPr>
          <w:rFonts w:cs="Arial"/>
          <w:szCs w:val="22"/>
        </w:rPr>
        <w:t>conventional cultivars of soybean</w:t>
      </w:r>
      <w:r w:rsidRPr="00400169">
        <w:rPr>
          <w:rFonts w:cs="Arial"/>
          <w:szCs w:val="22"/>
        </w:rPr>
        <w:t xml:space="preserve">, not preparing a draft variation would offer little benefit to consumers, as approval of </w:t>
      </w:r>
      <w:r w:rsidR="00A66619">
        <w:rPr>
          <w:szCs w:val="22"/>
        </w:rPr>
        <w:t>soybean line SYHT0H2</w:t>
      </w:r>
      <w:r w:rsidRPr="00400169">
        <w:rPr>
          <w:szCs w:val="22"/>
        </w:rPr>
        <w:t xml:space="preserve"> </w:t>
      </w:r>
      <w:r w:rsidRPr="00400169">
        <w:rPr>
          <w:rFonts w:cs="Arial"/>
          <w:szCs w:val="22"/>
        </w:rPr>
        <w:t>by other countries could limit the availability of</w:t>
      </w:r>
      <w:r w:rsidR="00CC0FF1" w:rsidRPr="00400169">
        <w:rPr>
          <w:rFonts w:cs="Arial"/>
          <w:szCs w:val="22"/>
        </w:rPr>
        <w:t xml:space="preserve"> imported soybean</w:t>
      </w:r>
      <w:r w:rsidRPr="00400169">
        <w:rPr>
          <w:rFonts w:cs="Arial"/>
          <w:szCs w:val="22"/>
        </w:rPr>
        <w:t xml:space="preserve"> products in the Australian and New Zealand markets.</w:t>
      </w:r>
    </w:p>
    <w:p w:rsidR="004673BE" w:rsidRPr="00400169" w:rsidRDefault="004673BE">
      <w:pPr>
        <w:widowControl/>
        <w:rPr>
          <w:rFonts w:cs="Arial"/>
          <w:szCs w:val="22"/>
        </w:rPr>
      </w:pPr>
    </w:p>
    <w:p w:rsidR="007D5A1E" w:rsidRPr="00400169" w:rsidRDefault="00173BB9" w:rsidP="00173BB9">
      <w:pPr>
        <w:rPr>
          <w:rFonts w:cs="Arial"/>
          <w:szCs w:val="22"/>
        </w:rPr>
      </w:pPr>
      <w:r w:rsidRPr="00400169">
        <w:rPr>
          <w:rFonts w:cs="Arial"/>
          <w:szCs w:val="22"/>
        </w:rPr>
        <w:t xml:space="preserve">In addition, this option would result in the requirement for segregation of any products containing </w:t>
      </w:r>
      <w:r w:rsidR="00A66619">
        <w:rPr>
          <w:szCs w:val="22"/>
        </w:rPr>
        <w:t>soybean line SYHT0H2</w:t>
      </w:r>
      <w:r w:rsidRPr="00400169">
        <w:rPr>
          <w:szCs w:val="22"/>
        </w:rPr>
        <w:t xml:space="preserve"> </w:t>
      </w:r>
      <w:r w:rsidRPr="00400169">
        <w:rPr>
          <w:rFonts w:cs="Arial"/>
          <w:szCs w:val="22"/>
        </w:rPr>
        <w:t xml:space="preserve">from </w:t>
      </w:r>
      <w:r w:rsidR="00CC0FF1" w:rsidRPr="00400169">
        <w:rPr>
          <w:rFonts w:cs="Arial"/>
          <w:szCs w:val="22"/>
        </w:rPr>
        <w:t>those containing approved soybean</w:t>
      </w:r>
      <w:r w:rsidRPr="00400169">
        <w:rPr>
          <w:rFonts w:cs="Arial"/>
          <w:szCs w:val="22"/>
        </w:rPr>
        <w:t xml:space="preserve"> lines which would be likely to incre</w:t>
      </w:r>
      <w:r w:rsidR="00CC0FF1" w:rsidRPr="00400169">
        <w:rPr>
          <w:rFonts w:cs="Arial"/>
          <w:szCs w:val="22"/>
        </w:rPr>
        <w:t>ase the costs of imported soybean</w:t>
      </w:r>
      <w:r w:rsidRPr="00400169">
        <w:rPr>
          <w:rFonts w:cs="Arial"/>
          <w:szCs w:val="22"/>
        </w:rPr>
        <w:t xml:space="preserve">-derived foods. </w:t>
      </w:r>
    </w:p>
    <w:p w:rsidR="007D5A1E" w:rsidRPr="00400169" w:rsidRDefault="007D5A1E">
      <w:pPr>
        <w:widowControl/>
        <w:rPr>
          <w:rFonts w:cs="Arial"/>
          <w:szCs w:val="22"/>
        </w:rPr>
      </w:pPr>
    </w:p>
    <w:p w:rsidR="00173BB9" w:rsidRPr="00400169" w:rsidRDefault="00173BB9" w:rsidP="00173BB9">
      <w:pPr>
        <w:rPr>
          <w:rFonts w:cs="Arial"/>
          <w:szCs w:val="22"/>
        </w:rPr>
      </w:pPr>
      <w:r w:rsidRPr="00400169">
        <w:rPr>
          <w:rFonts w:cs="Arial"/>
          <w:szCs w:val="22"/>
        </w:rPr>
        <w:t>Also, not</w:t>
      </w:r>
      <w:r w:rsidR="00177C05">
        <w:rPr>
          <w:rFonts w:cs="Arial"/>
          <w:szCs w:val="22"/>
        </w:rPr>
        <w:t xml:space="preserve"> preparing a draft variation is</w:t>
      </w:r>
      <w:r w:rsidRPr="00400169">
        <w:rPr>
          <w:rFonts w:cs="Arial"/>
          <w:szCs w:val="22"/>
        </w:rPr>
        <w:t xml:space="preserve"> likely to be inconsistent with Australia’s and</w:t>
      </w:r>
      <w:r w:rsidR="00F13F6B">
        <w:rPr>
          <w:rFonts w:cs="Arial"/>
          <w:szCs w:val="22"/>
        </w:rPr>
        <w:t xml:space="preserve"> New Zealand’s WTO </w:t>
      </w:r>
      <w:r w:rsidR="00F13F6B" w:rsidRPr="00BD7235">
        <w:rPr>
          <w:rFonts w:cs="Arial"/>
          <w:szCs w:val="22"/>
        </w:rPr>
        <w:t>obligations if soybean SYHT0H2 is approved for commercial growing in other countries.</w:t>
      </w:r>
    </w:p>
    <w:p w:rsidR="00173BB9" w:rsidRPr="00400169" w:rsidRDefault="00173BB9" w:rsidP="00173BB9">
      <w:pPr>
        <w:rPr>
          <w:rFonts w:cs="Arial"/>
          <w:szCs w:val="22"/>
        </w:rPr>
      </w:pPr>
    </w:p>
    <w:p w:rsidR="00173BB9" w:rsidRPr="00400169" w:rsidRDefault="00173BB9" w:rsidP="00173BB9">
      <w:pPr>
        <w:rPr>
          <w:rFonts w:cs="Arial"/>
          <w:szCs w:val="22"/>
        </w:rPr>
      </w:pPr>
      <w:r w:rsidRPr="00400169">
        <w:rPr>
          <w:rFonts w:cs="Arial"/>
          <w:szCs w:val="22"/>
        </w:rPr>
        <w:t>Based on the conclusions of the safety assessments, the potential benefits of approving the variation outweighed the potential costs.</w:t>
      </w:r>
    </w:p>
    <w:p w:rsidR="00F808D1" w:rsidRPr="00400169" w:rsidRDefault="00F808D1" w:rsidP="00F808D1">
      <w:pPr>
        <w:pStyle w:val="Heading3"/>
      </w:pPr>
      <w:bookmarkStart w:id="38" w:name="_Toc374451222"/>
      <w:r w:rsidRPr="00400169">
        <w:t>4.1.2</w:t>
      </w:r>
      <w:r w:rsidRPr="00400169">
        <w:tab/>
        <w:t>Other measures</w:t>
      </w:r>
      <w:bookmarkEnd w:id="38"/>
    </w:p>
    <w:p w:rsidR="00F808D1" w:rsidRPr="00400169" w:rsidRDefault="00F808D1" w:rsidP="00F808D1">
      <w:r w:rsidRPr="00400169">
        <w:t>There were no measures that could achieve the same result other than an amendment to Standard 1.5.2.</w:t>
      </w:r>
    </w:p>
    <w:p w:rsidR="00F808D1" w:rsidRPr="00400169" w:rsidRDefault="00F808D1" w:rsidP="00F808D1">
      <w:pPr>
        <w:pStyle w:val="Heading3"/>
      </w:pPr>
      <w:bookmarkStart w:id="39" w:name="_Toc374451223"/>
      <w:r w:rsidRPr="00400169">
        <w:t>4.1.3</w:t>
      </w:r>
      <w:r w:rsidRPr="00400169">
        <w:tab/>
        <w:t>Relevant New Zealand standards</w:t>
      </w:r>
      <w:bookmarkEnd w:id="39"/>
    </w:p>
    <w:p w:rsidR="006E7E0C" w:rsidRPr="00496402" w:rsidRDefault="00F808D1" w:rsidP="00496402">
      <w:r w:rsidRPr="00400169">
        <w:t>Standard 1.5.2 applies in New Zealand.</w:t>
      </w:r>
    </w:p>
    <w:p w:rsidR="00F808D1" w:rsidRPr="00400169" w:rsidRDefault="00F808D1" w:rsidP="00F808D1">
      <w:pPr>
        <w:pStyle w:val="Heading3"/>
      </w:pPr>
      <w:bookmarkStart w:id="40" w:name="_Toc374451224"/>
      <w:r w:rsidRPr="00400169">
        <w:t>4.1.4</w:t>
      </w:r>
      <w:r w:rsidRPr="00400169">
        <w:tab/>
        <w:t>Any other relevant matters</w:t>
      </w:r>
      <w:bookmarkEnd w:id="40"/>
    </w:p>
    <w:p w:rsidR="00147B53" w:rsidRDefault="00A66619" w:rsidP="0026198C">
      <w:pPr>
        <w:rPr>
          <w:color w:val="000000"/>
        </w:rPr>
      </w:pPr>
      <w:r w:rsidRPr="005C18EC">
        <w:rPr>
          <w:color w:val="000000"/>
        </w:rPr>
        <w:t xml:space="preserve">The Applicants </w:t>
      </w:r>
      <w:r>
        <w:rPr>
          <w:color w:val="000000"/>
        </w:rPr>
        <w:t xml:space="preserve">have </w:t>
      </w:r>
      <w:r w:rsidRPr="005C18EC">
        <w:rPr>
          <w:color w:val="000000"/>
        </w:rPr>
        <w:t>submitted</w:t>
      </w:r>
      <w:r>
        <w:rPr>
          <w:color w:val="000000"/>
        </w:rPr>
        <w:t xml:space="preserve"> applications for regulatory approval of SYHT0H2 to a number of other countries, as listed in Table 1. To date, none has been finalised.</w:t>
      </w:r>
      <w:r w:rsidR="00147B53">
        <w:rPr>
          <w:color w:val="000000"/>
        </w:rPr>
        <w:br w:type="page"/>
      </w:r>
    </w:p>
    <w:p w:rsidR="00A66619" w:rsidRPr="002B5ACA" w:rsidRDefault="00A66619" w:rsidP="00A66619">
      <w:pPr>
        <w:widowControl/>
        <w:ind w:left="851" w:hanging="851"/>
        <w:rPr>
          <w:rFonts w:eastAsia="Batang"/>
          <w:b/>
          <w:i/>
        </w:rPr>
      </w:pPr>
      <w:r w:rsidRPr="002B5ACA">
        <w:rPr>
          <w:rFonts w:eastAsia="Batang"/>
          <w:b/>
          <w:i/>
        </w:rPr>
        <w:lastRenderedPageBreak/>
        <w:t>Table 1: List of countries to whom applications for regulatory approval of soybean line SYHT0H2 have been submitted</w:t>
      </w:r>
    </w:p>
    <w:p w:rsidR="00A66619" w:rsidRPr="002B5ACA" w:rsidRDefault="00A66619" w:rsidP="00A66619">
      <w:pPr>
        <w:widowControl/>
        <w:ind w:left="851" w:hanging="851"/>
        <w:rPr>
          <w:rFonts w:eastAsia="Batang"/>
          <w:i/>
        </w:rPr>
      </w:pPr>
    </w:p>
    <w:tbl>
      <w:tblPr>
        <w:tblW w:w="8487" w:type="dxa"/>
        <w:tblInd w:w="-15" w:type="dxa"/>
        <w:tblCellMar>
          <w:left w:w="0" w:type="dxa"/>
          <w:right w:w="0" w:type="dxa"/>
        </w:tblCellMar>
        <w:tblLook w:val="04A0" w:firstRow="1" w:lastRow="0" w:firstColumn="1" w:lastColumn="0" w:noHBand="0" w:noVBand="1"/>
      </w:tblPr>
      <w:tblGrid>
        <w:gridCol w:w="1400"/>
        <w:gridCol w:w="5811"/>
        <w:gridCol w:w="1276"/>
      </w:tblGrid>
      <w:tr w:rsidR="00A66619" w:rsidRPr="002B5ACA" w:rsidTr="002B5ACA">
        <w:trPr>
          <w:trHeight w:val="330"/>
          <w:tblHeader/>
        </w:trPr>
        <w:tc>
          <w:tcPr>
            <w:tcW w:w="1400" w:type="dxa"/>
            <w:noWrap/>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b/>
                <w:bCs/>
                <w:color w:val="000000"/>
                <w:sz w:val="20"/>
                <w:szCs w:val="20"/>
              </w:rPr>
              <w:t>Country</w:t>
            </w:r>
          </w:p>
        </w:tc>
        <w:tc>
          <w:tcPr>
            <w:tcW w:w="5811" w:type="dxa"/>
            <w:noWrap/>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b/>
                <w:bCs/>
                <w:color w:val="000000"/>
                <w:sz w:val="20"/>
                <w:szCs w:val="20"/>
              </w:rPr>
              <w:t>Agency</w:t>
            </w:r>
          </w:p>
        </w:tc>
        <w:tc>
          <w:tcPr>
            <w:tcW w:w="1276" w:type="dxa"/>
            <w:noWrap/>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b/>
                <w:bCs/>
                <w:color w:val="000000"/>
                <w:sz w:val="20"/>
                <w:szCs w:val="20"/>
              </w:rPr>
              <w:t>Submitted</w:t>
            </w:r>
          </w:p>
        </w:tc>
      </w:tr>
      <w:tr w:rsidR="00A66619" w:rsidRPr="002B5ACA" w:rsidTr="002B5ACA">
        <w:trPr>
          <w:trHeight w:val="315"/>
        </w:trPr>
        <w:tc>
          <w:tcPr>
            <w:tcW w:w="1400" w:type="dxa"/>
            <w:vMerge w:val="restart"/>
            <w:tcBorders>
              <w:top w:val="single" w:sz="8" w:space="0" w:color="626469"/>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USA</w:t>
            </w:r>
          </w:p>
        </w:tc>
        <w:tc>
          <w:tcPr>
            <w:tcW w:w="5811" w:type="dxa"/>
            <w:tcBorders>
              <w:top w:val="single" w:sz="8" w:space="0" w:color="626469"/>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United States Department of Agriculture</w:t>
            </w:r>
          </w:p>
        </w:tc>
        <w:tc>
          <w:tcPr>
            <w:tcW w:w="1276" w:type="dxa"/>
            <w:tcBorders>
              <w:top w:val="single" w:sz="8" w:space="0" w:color="626469"/>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31-Jul-12</w:t>
            </w:r>
          </w:p>
        </w:tc>
      </w:tr>
      <w:tr w:rsidR="00A66619" w:rsidRPr="002B5ACA" w:rsidTr="002B5ACA">
        <w:trPr>
          <w:trHeight w:val="315"/>
        </w:trPr>
        <w:tc>
          <w:tcPr>
            <w:tcW w:w="1400" w:type="dxa"/>
            <w:vMerge/>
            <w:tcBorders>
              <w:top w:val="single" w:sz="8" w:space="0" w:color="626469"/>
              <w:left w:val="nil"/>
              <w:bottom w:val="single" w:sz="8" w:space="0" w:color="626469"/>
              <w:right w:val="nil"/>
            </w:tcBorders>
            <w:vAlign w:val="center"/>
            <w:hideMark/>
          </w:tcPr>
          <w:p w:rsidR="00A66619" w:rsidRPr="002B5ACA" w:rsidRDefault="00A66619" w:rsidP="003E6806">
            <w:pPr>
              <w:rPr>
                <w:rFonts w:eastAsiaTheme="minorHAnsi" w:cs="Arial"/>
                <w:sz w:val="20"/>
                <w:szCs w:val="20"/>
              </w:rPr>
            </w:pP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Food and Drug Administration (Food)</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28-Aug-12</w:t>
            </w:r>
          </w:p>
        </w:tc>
      </w:tr>
      <w:tr w:rsidR="00A66619" w:rsidRPr="002B5ACA" w:rsidTr="002B5ACA">
        <w:trPr>
          <w:trHeight w:val="315"/>
        </w:trPr>
        <w:tc>
          <w:tcPr>
            <w:tcW w:w="1400" w:type="dxa"/>
            <w:vMerge w:val="restart"/>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Canada</w:t>
            </w: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Food Inspection Agency (Environment)</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17-Aug-12</w:t>
            </w:r>
          </w:p>
        </w:tc>
      </w:tr>
      <w:tr w:rsidR="00A66619" w:rsidRPr="002B5ACA" w:rsidTr="002B5ACA">
        <w:trPr>
          <w:trHeight w:val="315"/>
        </w:trPr>
        <w:tc>
          <w:tcPr>
            <w:tcW w:w="1400" w:type="dxa"/>
            <w:vMerge/>
            <w:tcBorders>
              <w:top w:val="nil"/>
              <w:left w:val="nil"/>
              <w:bottom w:val="single" w:sz="8" w:space="0" w:color="626469"/>
              <w:right w:val="nil"/>
            </w:tcBorders>
            <w:vAlign w:val="center"/>
            <w:hideMark/>
          </w:tcPr>
          <w:p w:rsidR="00A66619" w:rsidRPr="002B5ACA" w:rsidRDefault="00A66619" w:rsidP="003E6806">
            <w:pPr>
              <w:rPr>
                <w:rFonts w:eastAsiaTheme="minorHAnsi" w:cs="Arial"/>
                <w:sz w:val="20"/>
                <w:szCs w:val="20"/>
              </w:rPr>
            </w:pP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Food Inspection Agency (Animal Feed)</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30-Aug-12</w:t>
            </w:r>
          </w:p>
        </w:tc>
      </w:tr>
      <w:tr w:rsidR="00A66619" w:rsidRPr="002B5ACA" w:rsidTr="002B5ACA">
        <w:trPr>
          <w:trHeight w:val="315"/>
        </w:trPr>
        <w:tc>
          <w:tcPr>
            <w:tcW w:w="1400" w:type="dxa"/>
            <w:vMerge/>
            <w:tcBorders>
              <w:top w:val="nil"/>
              <w:left w:val="nil"/>
              <w:bottom w:val="single" w:sz="8" w:space="0" w:color="626469"/>
              <w:right w:val="nil"/>
            </w:tcBorders>
            <w:vAlign w:val="center"/>
            <w:hideMark/>
          </w:tcPr>
          <w:p w:rsidR="00A66619" w:rsidRPr="002B5ACA" w:rsidRDefault="00A66619" w:rsidP="003E6806">
            <w:pPr>
              <w:rPr>
                <w:rFonts w:eastAsiaTheme="minorHAnsi" w:cs="Arial"/>
                <w:sz w:val="20"/>
                <w:szCs w:val="20"/>
              </w:rPr>
            </w:pP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Health Canada (Food)</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30-Aug-12</w:t>
            </w:r>
          </w:p>
        </w:tc>
      </w:tr>
      <w:tr w:rsidR="00A66619" w:rsidRPr="002B5ACA" w:rsidTr="002B5ACA">
        <w:trPr>
          <w:trHeight w:val="315"/>
        </w:trPr>
        <w:tc>
          <w:tcPr>
            <w:tcW w:w="1400"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EU</w:t>
            </w: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European Food Safety Authority (Import)</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31-Jul-12</w:t>
            </w:r>
          </w:p>
        </w:tc>
      </w:tr>
      <w:tr w:rsidR="00A66619" w:rsidRPr="002B5ACA" w:rsidTr="002B5ACA">
        <w:trPr>
          <w:trHeight w:val="315"/>
        </w:trPr>
        <w:tc>
          <w:tcPr>
            <w:tcW w:w="1400" w:type="dxa"/>
            <w:vMerge w:val="restart"/>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Japan</w:t>
            </w: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Ministry of Health, Labor, and Welfare (Food)</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27-Sep-12</w:t>
            </w:r>
          </w:p>
        </w:tc>
      </w:tr>
      <w:tr w:rsidR="00A66619" w:rsidRPr="002B5ACA" w:rsidTr="002B5ACA">
        <w:trPr>
          <w:trHeight w:val="315"/>
        </w:trPr>
        <w:tc>
          <w:tcPr>
            <w:tcW w:w="1400" w:type="dxa"/>
            <w:vMerge/>
            <w:tcBorders>
              <w:top w:val="nil"/>
              <w:left w:val="nil"/>
              <w:bottom w:val="single" w:sz="8" w:space="0" w:color="626469"/>
              <w:right w:val="nil"/>
            </w:tcBorders>
            <w:vAlign w:val="center"/>
            <w:hideMark/>
          </w:tcPr>
          <w:p w:rsidR="00A66619" w:rsidRPr="002B5ACA" w:rsidRDefault="00A66619" w:rsidP="003E6806">
            <w:pPr>
              <w:rPr>
                <w:rFonts w:eastAsiaTheme="minorHAnsi" w:cs="Arial"/>
                <w:sz w:val="20"/>
                <w:szCs w:val="20"/>
              </w:rPr>
            </w:pP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Ministry of Agriculture, Forestry and Fisheries (Feed)</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1-Mar-13</w:t>
            </w:r>
          </w:p>
        </w:tc>
      </w:tr>
      <w:tr w:rsidR="00A66619" w:rsidRPr="002B5ACA" w:rsidTr="002B5ACA">
        <w:trPr>
          <w:trHeight w:val="315"/>
        </w:trPr>
        <w:tc>
          <w:tcPr>
            <w:tcW w:w="1400" w:type="dxa"/>
            <w:vMerge w:val="restart"/>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Korea</w:t>
            </w: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Ministry of Food and Drug Safety (Formerly Korea Food and Drug Administration)</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26-Sep-12</w:t>
            </w:r>
          </w:p>
        </w:tc>
      </w:tr>
      <w:tr w:rsidR="00A66619" w:rsidRPr="002B5ACA" w:rsidTr="002B5ACA">
        <w:trPr>
          <w:trHeight w:val="315"/>
        </w:trPr>
        <w:tc>
          <w:tcPr>
            <w:tcW w:w="1400" w:type="dxa"/>
            <w:vMerge/>
            <w:tcBorders>
              <w:top w:val="nil"/>
              <w:left w:val="nil"/>
              <w:bottom w:val="single" w:sz="8" w:space="0" w:color="626469"/>
              <w:right w:val="nil"/>
            </w:tcBorders>
            <w:vAlign w:val="center"/>
            <w:hideMark/>
          </w:tcPr>
          <w:p w:rsidR="00A66619" w:rsidRPr="002B5ACA" w:rsidRDefault="00A66619" w:rsidP="003E6806">
            <w:pPr>
              <w:rPr>
                <w:rFonts w:eastAsiaTheme="minorHAnsi" w:cs="Arial"/>
                <w:sz w:val="20"/>
                <w:szCs w:val="20"/>
              </w:rPr>
            </w:pP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National Fisheries Research &amp; Development Institute</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26-Sep-12</w:t>
            </w:r>
          </w:p>
        </w:tc>
      </w:tr>
      <w:tr w:rsidR="00A66619" w:rsidRPr="002B5ACA" w:rsidTr="002B5ACA">
        <w:trPr>
          <w:trHeight w:val="315"/>
        </w:trPr>
        <w:tc>
          <w:tcPr>
            <w:tcW w:w="1400" w:type="dxa"/>
            <w:vMerge/>
            <w:tcBorders>
              <w:top w:val="nil"/>
              <w:left w:val="nil"/>
              <w:bottom w:val="single" w:sz="8" w:space="0" w:color="626469"/>
              <w:right w:val="nil"/>
            </w:tcBorders>
            <w:vAlign w:val="center"/>
            <w:hideMark/>
          </w:tcPr>
          <w:p w:rsidR="00A66619" w:rsidRPr="002B5ACA" w:rsidRDefault="00A66619" w:rsidP="003E6806">
            <w:pPr>
              <w:rPr>
                <w:rFonts w:eastAsiaTheme="minorHAnsi" w:cs="Arial"/>
                <w:sz w:val="20"/>
                <w:szCs w:val="20"/>
              </w:rPr>
            </w:pP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National Inst. of Environmental Research</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26-Sep-12</w:t>
            </w:r>
          </w:p>
        </w:tc>
      </w:tr>
      <w:tr w:rsidR="00A66619" w:rsidRPr="002B5ACA" w:rsidTr="002B5ACA">
        <w:trPr>
          <w:trHeight w:val="315"/>
        </w:trPr>
        <w:tc>
          <w:tcPr>
            <w:tcW w:w="1400" w:type="dxa"/>
            <w:vMerge/>
            <w:tcBorders>
              <w:top w:val="nil"/>
              <w:left w:val="nil"/>
              <w:bottom w:val="single" w:sz="8" w:space="0" w:color="626469"/>
              <w:right w:val="nil"/>
            </w:tcBorders>
            <w:vAlign w:val="center"/>
            <w:hideMark/>
          </w:tcPr>
          <w:p w:rsidR="00A66619" w:rsidRPr="002B5ACA" w:rsidRDefault="00A66619" w:rsidP="003E6806">
            <w:pPr>
              <w:rPr>
                <w:rFonts w:eastAsiaTheme="minorHAnsi" w:cs="Arial"/>
                <w:sz w:val="20"/>
                <w:szCs w:val="20"/>
              </w:rPr>
            </w:pP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Korea Center for Disease Control</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28-Sep-12</w:t>
            </w:r>
          </w:p>
        </w:tc>
      </w:tr>
      <w:tr w:rsidR="00A66619" w:rsidRPr="002B5ACA" w:rsidTr="002B5ACA">
        <w:trPr>
          <w:trHeight w:val="315"/>
        </w:trPr>
        <w:tc>
          <w:tcPr>
            <w:tcW w:w="1400" w:type="dxa"/>
            <w:vMerge/>
            <w:tcBorders>
              <w:top w:val="nil"/>
              <w:left w:val="nil"/>
              <w:bottom w:val="single" w:sz="8" w:space="0" w:color="626469"/>
              <w:right w:val="nil"/>
            </w:tcBorders>
            <w:vAlign w:val="center"/>
            <w:hideMark/>
          </w:tcPr>
          <w:p w:rsidR="00A66619" w:rsidRPr="002B5ACA" w:rsidRDefault="00A66619" w:rsidP="003E6806">
            <w:pPr>
              <w:rPr>
                <w:rFonts w:eastAsiaTheme="minorHAnsi" w:cs="Arial"/>
                <w:sz w:val="20"/>
                <w:szCs w:val="20"/>
              </w:rPr>
            </w:pP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Rural Development Administration (</w:t>
            </w:r>
            <w:proofErr w:type="spellStart"/>
            <w:r w:rsidRPr="002B5ACA">
              <w:rPr>
                <w:rFonts w:cs="Arial"/>
                <w:sz w:val="20"/>
                <w:szCs w:val="20"/>
              </w:rPr>
              <w:t>Env</w:t>
            </w:r>
            <w:proofErr w:type="spellEnd"/>
            <w:r w:rsidRPr="002B5ACA">
              <w:rPr>
                <w:rFonts w:cs="Arial"/>
                <w:sz w:val="20"/>
                <w:szCs w:val="20"/>
              </w:rPr>
              <w:t>)</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28-Sep-12</w:t>
            </w:r>
          </w:p>
        </w:tc>
      </w:tr>
      <w:tr w:rsidR="00A66619" w:rsidRPr="002B5ACA" w:rsidTr="002B5ACA">
        <w:trPr>
          <w:trHeight w:val="315"/>
        </w:trPr>
        <w:tc>
          <w:tcPr>
            <w:tcW w:w="1400"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Taiwan</w:t>
            </w:r>
          </w:p>
        </w:tc>
        <w:tc>
          <w:tcPr>
            <w:tcW w:w="5811"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Food and Drug Administration (Food)</w:t>
            </w:r>
          </w:p>
        </w:tc>
        <w:tc>
          <w:tcPr>
            <w:tcW w:w="1276"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27-Sep-12</w:t>
            </w:r>
          </w:p>
        </w:tc>
      </w:tr>
      <w:tr w:rsidR="00A66619" w:rsidRPr="002B5ACA" w:rsidTr="002B5ACA">
        <w:trPr>
          <w:trHeight w:val="315"/>
        </w:trPr>
        <w:tc>
          <w:tcPr>
            <w:tcW w:w="1400"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South Africa</w:t>
            </w:r>
          </w:p>
        </w:tc>
        <w:tc>
          <w:tcPr>
            <w:tcW w:w="5811"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Agriculture, Forestry and Fisheries (Import)</w:t>
            </w:r>
          </w:p>
        </w:tc>
        <w:tc>
          <w:tcPr>
            <w:tcW w:w="1276" w:type="dxa"/>
            <w:tcBorders>
              <w:top w:val="nil"/>
              <w:left w:val="nil"/>
              <w:bottom w:val="single" w:sz="8" w:space="0" w:color="626469"/>
              <w:right w:val="nil"/>
            </w:tcBorders>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30-Nov-12</w:t>
            </w:r>
          </w:p>
        </w:tc>
      </w:tr>
      <w:tr w:rsidR="00A66619" w:rsidRPr="002B5ACA" w:rsidTr="002B5ACA">
        <w:trPr>
          <w:trHeight w:val="315"/>
        </w:trPr>
        <w:tc>
          <w:tcPr>
            <w:tcW w:w="1400" w:type="dxa"/>
            <w:vMerge w:val="restart"/>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Argentina</w:t>
            </w:r>
          </w:p>
        </w:tc>
        <w:tc>
          <w:tcPr>
            <w:tcW w:w="5811" w:type="dxa"/>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Secretariat of Agriculture, Livestock, Fisheries and Food (Food and Feed)</w:t>
            </w:r>
          </w:p>
        </w:tc>
        <w:tc>
          <w:tcPr>
            <w:tcW w:w="1276" w:type="dxa"/>
            <w:tcBorders>
              <w:top w:val="nil"/>
              <w:left w:val="nil"/>
              <w:bottom w:val="single" w:sz="8" w:space="0" w:color="626469"/>
              <w:right w:val="nil"/>
            </w:tcBorders>
            <w:shd w:val="clear" w:color="auto" w:fill="D9D9D9" w:themeFill="background1" w:themeFillShade="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9-Nov-12</w:t>
            </w:r>
          </w:p>
        </w:tc>
      </w:tr>
      <w:tr w:rsidR="00A66619" w:rsidRPr="002B5ACA" w:rsidTr="002B5ACA">
        <w:trPr>
          <w:trHeight w:val="315"/>
        </w:trPr>
        <w:tc>
          <w:tcPr>
            <w:tcW w:w="1400" w:type="dxa"/>
            <w:vMerge/>
            <w:tcBorders>
              <w:top w:val="nil"/>
              <w:left w:val="nil"/>
              <w:bottom w:val="single" w:sz="4" w:space="0" w:color="auto"/>
              <w:right w:val="nil"/>
            </w:tcBorders>
            <w:shd w:val="clear" w:color="auto" w:fill="D9D9D9" w:themeFill="background1" w:themeFillShade="D9"/>
            <w:vAlign w:val="center"/>
            <w:hideMark/>
          </w:tcPr>
          <w:p w:rsidR="00A66619" w:rsidRPr="002B5ACA" w:rsidRDefault="00A66619" w:rsidP="003E6806">
            <w:pPr>
              <w:rPr>
                <w:rFonts w:eastAsiaTheme="minorHAnsi" w:cs="Arial"/>
                <w:sz w:val="20"/>
                <w:szCs w:val="20"/>
              </w:rPr>
            </w:pPr>
          </w:p>
        </w:tc>
        <w:tc>
          <w:tcPr>
            <w:tcW w:w="5811"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National Advisory Commission on Agricultural Biotechnology (Cultivation)</w:t>
            </w:r>
          </w:p>
        </w:tc>
        <w:tc>
          <w:tcPr>
            <w:tcW w:w="1276" w:type="dxa"/>
            <w:tcBorders>
              <w:top w:val="nil"/>
              <w:left w:val="nil"/>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1-Mar-13</w:t>
            </w:r>
          </w:p>
        </w:tc>
      </w:tr>
      <w:tr w:rsidR="00A66619" w:rsidRPr="002B5ACA" w:rsidTr="002B5ACA">
        <w:trPr>
          <w:trHeight w:val="315"/>
        </w:trPr>
        <w:tc>
          <w:tcPr>
            <w:tcW w:w="1400" w:type="dxa"/>
            <w:vMerge w:val="restart"/>
            <w:tcBorders>
              <w:top w:val="single" w:sz="4" w:space="0" w:color="auto"/>
              <w:left w:val="nil"/>
              <w:bottom w:val="single" w:sz="8" w:space="0" w:color="626469"/>
              <w:right w:val="nil"/>
            </w:tcBorders>
            <w:shd w:val="clear" w:color="auto" w:fill="FFFFFF" w:themeFill="background1"/>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Russia</w:t>
            </w:r>
          </w:p>
        </w:tc>
        <w:tc>
          <w:tcPr>
            <w:tcW w:w="5811" w:type="dxa"/>
            <w:tcBorders>
              <w:top w:val="single" w:sz="4" w:space="0" w:color="auto"/>
              <w:left w:val="nil"/>
              <w:bottom w:val="single" w:sz="8" w:space="0" w:color="626469"/>
              <w:right w:val="nil"/>
            </w:tcBorders>
            <w:shd w:val="clear" w:color="auto" w:fill="FFFFFF" w:themeFill="background1"/>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Food (</w:t>
            </w:r>
            <w:proofErr w:type="spellStart"/>
            <w:r w:rsidRPr="002B5ACA">
              <w:rPr>
                <w:rFonts w:cs="Arial"/>
                <w:sz w:val="20"/>
                <w:szCs w:val="20"/>
              </w:rPr>
              <w:t>inc</w:t>
            </w:r>
            <w:proofErr w:type="spellEnd"/>
            <w:r w:rsidRPr="002B5ACA">
              <w:rPr>
                <w:rFonts w:cs="Arial"/>
                <w:sz w:val="20"/>
                <w:szCs w:val="20"/>
              </w:rPr>
              <w:t xml:space="preserve"> Belarus and Kazakhstan)</w:t>
            </w:r>
          </w:p>
        </w:tc>
        <w:tc>
          <w:tcPr>
            <w:tcW w:w="1276" w:type="dxa"/>
            <w:tcBorders>
              <w:top w:val="single" w:sz="4" w:space="0" w:color="auto"/>
              <w:left w:val="nil"/>
              <w:bottom w:val="single" w:sz="8" w:space="0" w:color="626469"/>
              <w:right w:val="nil"/>
            </w:tcBorders>
            <w:shd w:val="clear" w:color="auto" w:fill="FFFFFF" w:themeFill="background1"/>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26-Apr-13</w:t>
            </w:r>
          </w:p>
        </w:tc>
      </w:tr>
      <w:tr w:rsidR="00A66619" w:rsidRPr="00A66619" w:rsidTr="002B5ACA">
        <w:trPr>
          <w:trHeight w:val="315"/>
        </w:trPr>
        <w:tc>
          <w:tcPr>
            <w:tcW w:w="1400" w:type="dxa"/>
            <w:vMerge/>
            <w:tcBorders>
              <w:top w:val="nil"/>
              <w:left w:val="nil"/>
              <w:bottom w:val="single" w:sz="4" w:space="0" w:color="auto"/>
              <w:right w:val="nil"/>
            </w:tcBorders>
            <w:shd w:val="clear" w:color="auto" w:fill="FFFFFF" w:themeFill="background1"/>
            <w:vAlign w:val="center"/>
            <w:hideMark/>
          </w:tcPr>
          <w:p w:rsidR="00A66619" w:rsidRPr="002B5ACA" w:rsidRDefault="00A66619" w:rsidP="003E6806">
            <w:pPr>
              <w:rPr>
                <w:rFonts w:eastAsiaTheme="minorHAnsi" w:cs="Arial"/>
                <w:sz w:val="20"/>
                <w:szCs w:val="20"/>
              </w:rPr>
            </w:pPr>
          </w:p>
        </w:tc>
        <w:tc>
          <w:tcPr>
            <w:tcW w:w="5811" w:type="dxa"/>
            <w:tcBorders>
              <w:top w:val="nil"/>
              <w:left w:val="nil"/>
              <w:bottom w:val="single" w:sz="4" w:space="0" w:color="auto"/>
              <w:right w:val="nil"/>
            </w:tcBorders>
            <w:shd w:val="clear" w:color="auto" w:fill="FFFFFF" w:themeFill="background1"/>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Feed</w:t>
            </w:r>
          </w:p>
        </w:tc>
        <w:tc>
          <w:tcPr>
            <w:tcW w:w="1276" w:type="dxa"/>
            <w:tcBorders>
              <w:top w:val="nil"/>
              <w:left w:val="nil"/>
              <w:bottom w:val="single" w:sz="4" w:space="0" w:color="auto"/>
              <w:right w:val="nil"/>
            </w:tcBorders>
            <w:shd w:val="clear" w:color="auto" w:fill="FFFFFF" w:themeFill="background1"/>
            <w:tcMar>
              <w:top w:w="0" w:type="dxa"/>
              <w:left w:w="108" w:type="dxa"/>
              <w:bottom w:w="0" w:type="dxa"/>
              <w:right w:w="108" w:type="dxa"/>
            </w:tcMar>
            <w:vAlign w:val="center"/>
            <w:hideMark/>
          </w:tcPr>
          <w:p w:rsidR="00A66619" w:rsidRPr="002B5ACA" w:rsidRDefault="00A66619" w:rsidP="003E6806">
            <w:pPr>
              <w:rPr>
                <w:rFonts w:eastAsiaTheme="minorHAnsi" w:cs="Arial"/>
                <w:sz w:val="20"/>
                <w:szCs w:val="20"/>
              </w:rPr>
            </w:pPr>
            <w:r w:rsidRPr="002B5ACA">
              <w:rPr>
                <w:rFonts w:cs="Arial"/>
                <w:sz w:val="20"/>
                <w:szCs w:val="20"/>
              </w:rPr>
              <w:t>26-Apr-13</w:t>
            </w:r>
          </w:p>
        </w:tc>
      </w:tr>
      <w:tr w:rsidR="003A04DC" w:rsidRPr="00A66619" w:rsidTr="009B53EF">
        <w:trPr>
          <w:trHeight w:val="315"/>
        </w:trPr>
        <w:tc>
          <w:tcPr>
            <w:tcW w:w="1400" w:type="dxa"/>
            <w:vMerge w:val="restart"/>
            <w:tcBorders>
              <w:top w:val="single" w:sz="4" w:space="0" w:color="auto"/>
              <w:left w:val="nil"/>
              <w:right w:val="nil"/>
            </w:tcBorders>
            <w:shd w:val="clear" w:color="auto" w:fill="D9D9D9" w:themeFill="background1" w:themeFillShade="D9"/>
            <w:vAlign w:val="center"/>
          </w:tcPr>
          <w:p w:rsidR="003A04DC" w:rsidRPr="002B5ACA" w:rsidRDefault="003A04DC" w:rsidP="003E6806">
            <w:pPr>
              <w:rPr>
                <w:rFonts w:eastAsiaTheme="minorHAnsi" w:cs="Arial"/>
                <w:sz w:val="20"/>
                <w:szCs w:val="20"/>
              </w:rPr>
            </w:pPr>
            <w:r>
              <w:rPr>
                <w:rFonts w:eastAsiaTheme="minorHAnsi" w:cs="Arial"/>
                <w:sz w:val="20"/>
                <w:szCs w:val="20"/>
              </w:rPr>
              <w:t>Switzerland</w:t>
            </w:r>
          </w:p>
        </w:tc>
        <w:tc>
          <w:tcPr>
            <w:tcW w:w="5811" w:type="dxa"/>
            <w:tcBorders>
              <w:top w:val="single" w:sz="4" w:space="0" w:color="auto"/>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rsidR="003A04DC" w:rsidRPr="002B5ACA" w:rsidRDefault="003A04DC" w:rsidP="003E6806">
            <w:pPr>
              <w:rPr>
                <w:rFonts w:cs="Arial"/>
                <w:sz w:val="20"/>
                <w:szCs w:val="20"/>
              </w:rPr>
            </w:pPr>
            <w:r>
              <w:rPr>
                <w:rFonts w:cs="Arial"/>
                <w:sz w:val="20"/>
                <w:szCs w:val="20"/>
              </w:rPr>
              <w:t>Food</w:t>
            </w:r>
          </w:p>
        </w:tc>
        <w:tc>
          <w:tcPr>
            <w:tcW w:w="1276" w:type="dxa"/>
            <w:tcBorders>
              <w:top w:val="single" w:sz="4" w:space="0" w:color="auto"/>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rsidR="003A04DC" w:rsidRPr="002B5ACA" w:rsidRDefault="003A04DC" w:rsidP="003E6806">
            <w:pPr>
              <w:rPr>
                <w:rFonts w:cs="Arial"/>
                <w:sz w:val="20"/>
                <w:szCs w:val="20"/>
              </w:rPr>
            </w:pPr>
            <w:r>
              <w:rPr>
                <w:rFonts w:cs="Arial"/>
                <w:sz w:val="20"/>
                <w:szCs w:val="20"/>
              </w:rPr>
              <w:t>23-Jul-13</w:t>
            </w:r>
          </w:p>
        </w:tc>
      </w:tr>
      <w:tr w:rsidR="003A04DC" w:rsidRPr="00A66619" w:rsidTr="009B53EF">
        <w:trPr>
          <w:trHeight w:val="315"/>
        </w:trPr>
        <w:tc>
          <w:tcPr>
            <w:tcW w:w="1400" w:type="dxa"/>
            <w:vMerge/>
            <w:tcBorders>
              <w:left w:val="nil"/>
              <w:bottom w:val="single" w:sz="4" w:space="0" w:color="auto"/>
              <w:right w:val="nil"/>
            </w:tcBorders>
            <w:shd w:val="clear" w:color="auto" w:fill="D9D9D9" w:themeFill="background1" w:themeFillShade="D9"/>
            <w:vAlign w:val="center"/>
          </w:tcPr>
          <w:p w:rsidR="003A04DC" w:rsidRDefault="003A04DC" w:rsidP="003E6806">
            <w:pPr>
              <w:rPr>
                <w:rFonts w:eastAsiaTheme="minorHAnsi" w:cs="Arial"/>
                <w:sz w:val="20"/>
                <w:szCs w:val="20"/>
              </w:rPr>
            </w:pPr>
          </w:p>
        </w:tc>
        <w:tc>
          <w:tcPr>
            <w:tcW w:w="5811" w:type="dxa"/>
            <w:tcBorders>
              <w:top w:val="single" w:sz="4" w:space="0" w:color="auto"/>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rsidR="003A04DC" w:rsidRDefault="003A04DC" w:rsidP="003E6806">
            <w:pPr>
              <w:rPr>
                <w:rFonts w:cs="Arial"/>
                <w:sz w:val="20"/>
                <w:szCs w:val="20"/>
              </w:rPr>
            </w:pPr>
            <w:r>
              <w:rPr>
                <w:rFonts w:cs="Arial"/>
                <w:sz w:val="20"/>
                <w:szCs w:val="20"/>
              </w:rPr>
              <w:t>Feed</w:t>
            </w:r>
          </w:p>
        </w:tc>
        <w:tc>
          <w:tcPr>
            <w:tcW w:w="1276" w:type="dxa"/>
            <w:tcBorders>
              <w:top w:val="single" w:sz="4" w:space="0" w:color="auto"/>
              <w:left w:val="nil"/>
              <w:bottom w:val="single" w:sz="4" w:space="0" w:color="auto"/>
              <w:right w:val="nil"/>
            </w:tcBorders>
            <w:shd w:val="clear" w:color="auto" w:fill="D9D9D9" w:themeFill="background1" w:themeFillShade="D9"/>
            <w:tcMar>
              <w:top w:w="0" w:type="dxa"/>
              <w:left w:w="108" w:type="dxa"/>
              <w:bottom w:w="0" w:type="dxa"/>
              <w:right w:w="108" w:type="dxa"/>
            </w:tcMar>
            <w:vAlign w:val="center"/>
          </w:tcPr>
          <w:p w:rsidR="003A04DC" w:rsidRDefault="003A04DC" w:rsidP="003E6806">
            <w:pPr>
              <w:rPr>
                <w:rFonts w:cs="Arial"/>
                <w:sz w:val="20"/>
                <w:szCs w:val="20"/>
              </w:rPr>
            </w:pPr>
            <w:r>
              <w:rPr>
                <w:rFonts w:cs="Arial"/>
                <w:sz w:val="20"/>
                <w:szCs w:val="20"/>
              </w:rPr>
              <w:t>23-Jul-13</w:t>
            </w:r>
          </w:p>
        </w:tc>
      </w:tr>
    </w:tbl>
    <w:p w:rsidR="00A66619" w:rsidRPr="00A66619" w:rsidRDefault="00A66619" w:rsidP="00A66619">
      <w:pPr>
        <w:widowControl/>
        <w:rPr>
          <w:rFonts w:eastAsia="Batang"/>
          <w:highlight w:val="yellow"/>
        </w:rPr>
      </w:pPr>
    </w:p>
    <w:p w:rsidR="00A66619" w:rsidRDefault="00617B03" w:rsidP="00A66619">
      <w:pPr>
        <w:widowControl/>
        <w:rPr>
          <w:rFonts w:eastAsia="Batang"/>
        </w:rPr>
      </w:pPr>
      <w:r>
        <w:rPr>
          <w:rFonts w:eastAsia="Batang"/>
        </w:rPr>
        <w:t>The Applicants have indicated they intend</w:t>
      </w:r>
      <w:r w:rsidR="00A66619" w:rsidRPr="002B5ACA">
        <w:rPr>
          <w:rFonts w:eastAsia="Batang"/>
        </w:rPr>
        <w:t xml:space="preserve"> to submit applications to a number of othe</w:t>
      </w:r>
      <w:r w:rsidR="002B5ACA" w:rsidRPr="002B5ACA">
        <w:rPr>
          <w:rFonts w:eastAsia="Batang"/>
        </w:rPr>
        <w:t>r countries such as</w:t>
      </w:r>
      <w:r w:rsidR="00A66619" w:rsidRPr="002B5ACA">
        <w:rPr>
          <w:rFonts w:eastAsia="Batang"/>
        </w:rPr>
        <w:t xml:space="preserve"> Colombia, Singapore, Malaysia, Mexico, Philippines, Indonesia, Thailand and China for various regulatory approvals.</w:t>
      </w:r>
    </w:p>
    <w:p w:rsidR="006B6660" w:rsidRPr="008F4BDF" w:rsidRDefault="006B6660" w:rsidP="00A66619">
      <w:pPr>
        <w:widowControl/>
        <w:rPr>
          <w:rFonts w:eastAsia="Batang"/>
        </w:rPr>
      </w:pPr>
    </w:p>
    <w:p w:rsidR="00A66619" w:rsidRPr="00B96FEF" w:rsidRDefault="00A66619" w:rsidP="00A66619">
      <w:pPr>
        <w:rPr>
          <w:rFonts w:eastAsia="Batang"/>
        </w:rPr>
      </w:pPr>
      <w:r>
        <w:rPr>
          <w:rFonts w:eastAsia="Batang"/>
        </w:rPr>
        <w:t>It is the Applicant</w:t>
      </w:r>
      <w:r w:rsidRPr="008F4BDF">
        <w:rPr>
          <w:rFonts w:eastAsia="Batang"/>
        </w:rPr>
        <w:t>s</w:t>
      </w:r>
      <w:r>
        <w:rPr>
          <w:rFonts w:eastAsia="Batang"/>
        </w:rPr>
        <w:t>’</w:t>
      </w:r>
      <w:r w:rsidRPr="008F4BDF">
        <w:rPr>
          <w:rFonts w:eastAsia="Batang"/>
        </w:rPr>
        <w:t xml:space="preserve"> intenti</w:t>
      </w:r>
      <w:r>
        <w:rPr>
          <w:rFonts w:eastAsia="Batang"/>
        </w:rPr>
        <w:t>on that soybean line SYHT0H2</w:t>
      </w:r>
      <w:r w:rsidRPr="008F4BDF">
        <w:rPr>
          <w:rFonts w:eastAsia="Batang"/>
        </w:rPr>
        <w:t xml:space="preserve"> be commercially cultivated predominantly in North America. There is currently no intention to apply for approval to cultivate this line in either Australia or New Zealand.</w:t>
      </w:r>
      <w:r>
        <w:rPr>
          <w:rFonts w:eastAsia="Batang"/>
        </w:rPr>
        <w:t xml:space="preserve"> </w:t>
      </w:r>
      <w:r w:rsidRPr="008F4BDF">
        <w:t xml:space="preserve">Such cultivation in Australia or New Zealand </w:t>
      </w:r>
      <w:r w:rsidR="00617B03">
        <w:t>would require a separate independent assessment</w:t>
      </w:r>
      <w:r w:rsidRPr="008F4BDF">
        <w:t xml:space="preserve"> by the Office of the Gene Technology Regulator in Australia and the Environmental Protectio</w:t>
      </w:r>
      <w:r w:rsidR="00617B03">
        <w:t>n Authority</w:t>
      </w:r>
      <w:r w:rsidRPr="008F4BDF">
        <w:t xml:space="preserve"> in New Zealand, before commercial release in either country could be permitted. </w:t>
      </w:r>
    </w:p>
    <w:p w:rsidR="007F7BF7" w:rsidRPr="00400169" w:rsidRDefault="00307958" w:rsidP="00F808D1">
      <w:pPr>
        <w:pStyle w:val="Heading2"/>
      </w:pPr>
      <w:bookmarkStart w:id="41" w:name="_Toc374451225"/>
      <w:r w:rsidRPr="00400169">
        <w:t>4.2</w:t>
      </w:r>
      <w:r w:rsidRPr="00400169">
        <w:tab/>
      </w:r>
      <w:r w:rsidR="00C078DA" w:rsidRPr="00400169">
        <w:t xml:space="preserve">Addressing FSANZ’s </w:t>
      </w:r>
      <w:r w:rsidR="007F7BF7" w:rsidRPr="00400169">
        <w:t>objectives for standards</w:t>
      </w:r>
      <w:r w:rsidR="002E1820" w:rsidRPr="00400169">
        <w:t xml:space="preserve"> </w:t>
      </w:r>
      <w:r w:rsidR="007F7BF7" w:rsidRPr="00400169">
        <w:t>setting</w:t>
      </w:r>
      <w:bookmarkEnd w:id="41"/>
    </w:p>
    <w:p w:rsidR="007F7BF7" w:rsidRPr="00400169" w:rsidRDefault="007F7BF7" w:rsidP="007F7BF7">
      <w:r w:rsidRPr="00400169">
        <w:rPr>
          <w:rFonts w:cs="Arial"/>
        </w:rPr>
        <w:t xml:space="preserve">FSANZ has </w:t>
      </w:r>
      <w:r w:rsidRPr="00400169">
        <w:t xml:space="preserve">considered the three objectives in subsection 18(1) of the FSANZ Act during the assessment of this Application as follows. </w:t>
      </w:r>
    </w:p>
    <w:p w:rsidR="007F7BF7" w:rsidRPr="00400169" w:rsidRDefault="00DB123A" w:rsidP="00422EC9">
      <w:pPr>
        <w:pStyle w:val="Heading3"/>
      </w:pPr>
      <w:bookmarkStart w:id="42" w:name="_Toc297029117"/>
      <w:bookmarkStart w:id="43" w:name="_Toc374451226"/>
      <w:r w:rsidRPr="00400169">
        <w:t>4.2</w:t>
      </w:r>
      <w:r w:rsidR="007F7BF7" w:rsidRPr="00400169">
        <w:t>.1</w:t>
      </w:r>
      <w:r w:rsidR="007F7BF7" w:rsidRPr="00400169">
        <w:tab/>
      </w:r>
      <w:r w:rsidR="007F7BF7" w:rsidRPr="00400169">
        <w:tab/>
        <w:t>Protection of public health and safety</w:t>
      </w:r>
      <w:bookmarkEnd w:id="42"/>
      <w:bookmarkEnd w:id="43"/>
    </w:p>
    <w:p w:rsidR="00147B53" w:rsidRDefault="00A66619" w:rsidP="00A66619">
      <w:r w:rsidRPr="005C18EC">
        <w:t>Food deriv</w:t>
      </w:r>
      <w:r>
        <w:t>ed from soybean line SYHT0H2</w:t>
      </w:r>
      <w:r w:rsidRPr="005C18EC">
        <w:rPr>
          <w:rFonts w:cs="Arial"/>
        </w:rPr>
        <w:t xml:space="preserve"> </w:t>
      </w:r>
      <w:r w:rsidRPr="005C18EC">
        <w:t xml:space="preserve">has been assessed according to the safety assessment guidelines prepared by FSANZ </w:t>
      </w:r>
      <w:r>
        <w:fldChar w:fldCharType="begin"/>
      </w:r>
      <w:r w:rsidR="006E7E0C">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fldChar w:fldCharType="separate"/>
      </w:r>
      <w:r>
        <w:rPr>
          <w:noProof/>
        </w:rPr>
        <w:t>(2007)</w:t>
      </w:r>
      <w:r>
        <w:fldChar w:fldCharType="end"/>
      </w:r>
      <w:r w:rsidRPr="005C18EC">
        <w:t>.</w:t>
      </w:r>
      <w:r w:rsidR="00147B53">
        <w:br w:type="page"/>
      </w:r>
    </w:p>
    <w:p w:rsidR="00A66619" w:rsidRPr="008F4BDF" w:rsidRDefault="00A66619" w:rsidP="00A66619">
      <w:r w:rsidRPr="008F4BDF">
        <w:lastRenderedPageBreak/>
        <w:t>No public health and safety concerns were identified in this assessment. Based on the available evidence, including detailed studies provided by the Applicant</w:t>
      </w:r>
      <w:r w:rsidR="00F13F6B">
        <w:t>s</w:t>
      </w:r>
      <w:r w:rsidRPr="008F4BDF">
        <w:t xml:space="preserve">, food derived from </w:t>
      </w:r>
      <w:r>
        <w:t>soybean line SYHT0H2</w:t>
      </w:r>
      <w:r w:rsidRPr="008F4BDF">
        <w:t xml:space="preserve"> is considered as safe and wholesome as food derived from other commercial soybean cultivars.</w:t>
      </w:r>
    </w:p>
    <w:p w:rsidR="007F7BF7" w:rsidRPr="00400169" w:rsidRDefault="00DB123A" w:rsidP="00422EC9">
      <w:pPr>
        <w:pStyle w:val="Heading3"/>
      </w:pPr>
      <w:bookmarkStart w:id="44" w:name="_Toc374451227"/>
      <w:r w:rsidRPr="00400169">
        <w:t>4.2.</w:t>
      </w:r>
      <w:r w:rsidR="007F7BF7" w:rsidRPr="00400169">
        <w:t>2</w:t>
      </w:r>
      <w:r w:rsidR="007F7BF7" w:rsidRPr="00400169">
        <w:tab/>
        <w:t>The provision of adequate information relating to food to enable consumers to make informed choices</w:t>
      </w:r>
      <w:bookmarkEnd w:id="44"/>
    </w:p>
    <w:p w:rsidR="00F808D1" w:rsidRPr="00400169" w:rsidRDefault="00F808D1" w:rsidP="00F808D1">
      <w:pPr>
        <w:rPr>
          <w:b/>
          <w:bCs/>
        </w:rPr>
      </w:pPr>
      <w:r w:rsidRPr="00400169">
        <w:t>In accordance with existing labelling pr</w:t>
      </w:r>
      <w:r w:rsidR="00C078DA" w:rsidRPr="00400169">
        <w:t>ov</w:t>
      </w:r>
      <w:r w:rsidR="002F241A" w:rsidRPr="00400169">
        <w:t>isions, food deri</w:t>
      </w:r>
      <w:r w:rsidR="00C05C62">
        <w:t>ved from soybean line SYHT0H2</w:t>
      </w:r>
      <w:r w:rsidRPr="00400169">
        <w:t xml:space="preserve"> would have to be labelled as </w:t>
      </w:r>
      <w:r w:rsidR="00AC2CED" w:rsidRPr="00400169">
        <w:t>‘</w:t>
      </w:r>
      <w:r w:rsidRPr="00400169">
        <w:t>genetically modified</w:t>
      </w:r>
      <w:r w:rsidR="00AC2CED" w:rsidRPr="00400169">
        <w:t>’</w:t>
      </w:r>
      <w:r w:rsidRPr="00400169">
        <w:t xml:space="preserve"> if it cont</w:t>
      </w:r>
      <w:r w:rsidR="00C05C62">
        <w:t>ains novel DNA or novel protein (see Section 3.2.1)</w:t>
      </w:r>
      <w:r w:rsidR="00A84891">
        <w:t>.</w:t>
      </w:r>
    </w:p>
    <w:p w:rsidR="007F7BF7" w:rsidRPr="00400169" w:rsidRDefault="0036533D" w:rsidP="00422EC9">
      <w:pPr>
        <w:pStyle w:val="Heading3"/>
      </w:pPr>
      <w:bookmarkStart w:id="45" w:name="_Toc374451228"/>
      <w:r w:rsidRPr="00400169">
        <w:t>4.</w:t>
      </w:r>
      <w:r w:rsidR="00DB123A" w:rsidRPr="00400169">
        <w:t>2.</w:t>
      </w:r>
      <w:r w:rsidR="007F7BF7" w:rsidRPr="00400169">
        <w:t>3</w:t>
      </w:r>
      <w:r w:rsidR="007F7BF7" w:rsidRPr="00400169">
        <w:tab/>
        <w:t>The prevention of misleading or deceptive conduct</w:t>
      </w:r>
      <w:bookmarkEnd w:id="45"/>
    </w:p>
    <w:p w:rsidR="00F808D1" w:rsidRPr="00400169" w:rsidRDefault="00C078DA" w:rsidP="00F808D1">
      <w:pPr>
        <w:rPr>
          <w:lang w:eastAsia="en-AU" w:bidi="ar-SA"/>
        </w:rPr>
      </w:pPr>
      <w:r w:rsidRPr="00400169">
        <w:rPr>
          <w:lang w:eastAsia="en-AU" w:bidi="ar-SA"/>
        </w:rPr>
        <w:t>T</w:t>
      </w:r>
      <w:r w:rsidR="00F808D1" w:rsidRPr="00400169">
        <w:rPr>
          <w:lang w:eastAsia="en-AU" w:bidi="ar-SA"/>
        </w:rPr>
        <w:t>he requirement for detection methodology (see Section 3.2.2</w:t>
      </w:r>
      <w:r w:rsidRPr="00400169">
        <w:rPr>
          <w:lang w:eastAsia="en-AU" w:bidi="ar-SA"/>
        </w:rPr>
        <w:t>) is</w:t>
      </w:r>
      <w:r w:rsidR="00F808D1" w:rsidRPr="00400169">
        <w:rPr>
          <w:lang w:eastAsia="en-AU" w:bidi="ar-SA"/>
        </w:rPr>
        <w:t xml:space="preserve"> designed to address this objective.</w:t>
      </w:r>
    </w:p>
    <w:p w:rsidR="007F7BF7" w:rsidRPr="00400169" w:rsidRDefault="00DB123A" w:rsidP="00C91C02">
      <w:pPr>
        <w:pStyle w:val="Heading4"/>
      </w:pPr>
      <w:r w:rsidRPr="00400169">
        <w:t>4.</w:t>
      </w:r>
      <w:r w:rsidR="00422EC9" w:rsidRPr="00400169">
        <w:t>2.</w:t>
      </w:r>
      <w:r w:rsidRPr="00400169">
        <w:t>4</w:t>
      </w:r>
      <w:r w:rsidR="007F7BF7" w:rsidRPr="00400169">
        <w:tab/>
        <w:t>Subsection 18(2) considerations</w:t>
      </w:r>
    </w:p>
    <w:p w:rsidR="007F7BF7" w:rsidRPr="00400169" w:rsidRDefault="007F7BF7" w:rsidP="007F7BF7">
      <w:pPr>
        <w:rPr>
          <w:rFonts w:cs="Arial"/>
        </w:rPr>
      </w:pPr>
      <w:r w:rsidRPr="00400169">
        <w:rPr>
          <w:rFonts w:cs="Arial"/>
        </w:rPr>
        <w:t>FSANZ has also had regard to the objectives set out in subsection 18(2):</w:t>
      </w:r>
    </w:p>
    <w:p w:rsidR="005D3FFD" w:rsidRPr="00400169" w:rsidRDefault="005D3FFD" w:rsidP="007F7BF7">
      <w:pPr>
        <w:rPr>
          <w:rFonts w:cs="Arial"/>
        </w:rPr>
      </w:pPr>
    </w:p>
    <w:p w:rsidR="00F808D1" w:rsidRPr="001365F2" w:rsidRDefault="00F808D1" w:rsidP="001365F2">
      <w:pPr>
        <w:pStyle w:val="FSBullet1"/>
        <w:rPr>
          <w:i/>
        </w:rPr>
      </w:pPr>
      <w:r w:rsidRPr="001365F2">
        <w:rPr>
          <w:i/>
        </w:rPr>
        <w:t>The need for standards to be based on risk analysis using the best available scientific evidence</w:t>
      </w:r>
    </w:p>
    <w:p w:rsidR="00F808D1" w:rsidRPr="00400169" w:rsidRDefault="00F808D1" w:rsidP="00F808D1">
      <w:pPr>
        <w:pStyle w:val="FSBullet1"/>
        <w:numPr>
          <w:ilvl w:val="0"/>
          <w:numId w:val="0"/>
        </w:numPr>
        <w:ind w:left="567"/>
      </w:pPr>
    </w:p>
    <w:p w:rsidR="00F808D1" w:rsidRPr="00400169" w:rsidRDefault="002F241A" w:rsidP="002F241A">
      <w:pPr>
        <w:ind w:left="567"/>
        <w:rPr>
          <w:color w:val="000000" w:themeColor="text1"/>
          <w:szCs w:val="22"/>
        </w:rPr>
      </w:pPr>
      <w:r w:rsidRPr="00400169">
        <w:rPr>
          <w:color w:val="000000" w:themeColor="text1"/>
        </w:rPr>
        <w:t xml:space="preserve">FSANZ’s approach to the safety assessment of all GM foods applies concepts and principles outlined in the Codex General Principles for the Risk Analysis of Foods derived from Biotechnology </w:t>
      </w:r>
      <w:r w:rsidRPr="00400169">
        <w:rPr>
          <w:color w:val="000000" w:themeColor="text1"/>
        </w:rPr>
        <w:fldChar w:fldCharType="begin"/>
      </w:r>
      <w:r w:rsidR="006E7E0C">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Pr="00400169">
        <w:rPr>
          <w:color w:val="000000" w:themeColor="text1"/>
        </w:rPr>
        <w:fldChar w:fldCharType="separate"/>
      </w:r>
      <w:r w:rsidRPr="00400169">
        <w:rPr>
          <w:noProof/>
          <w:color w:val="000000" w:themeColor="text1"/>
        </w:rPr>
        <w:t>(Codex, 2004)</w:t>
      </w:r>
      <w:r w:rsidRPr="00400169">
        <w:rPr>
          <w:color w:val="000000" w:themeColor="text1"/>
        </w:rPr>
        <w:fldChar w:fldCharType="end"/>
      </w:r>
      <w:r w:rsidRPr="00400169">
        <w:rPr>
          <w:color w:val="000000" w:themeColor="text1"/>
        </w:rPr>
        <w:t xml:space="preserve">. Based on these principles, the risk analysis undertaken for </w:t>
      </w:r>
      <w:r w:rsidR="00C05C62">
        <w:t>soybean SYHT0H2</w:t>
      </w:r>
      <w:r w:rsidRPr="00400169">
        <w:t xml:space="preserve"> </w:t>
      </w:r>
      <w:r w:rsidRPr="00400169">
        <w:rPr>
          <w:color w:val="000000" w:themeColor="text1"/>
        </w:rPr>
        <w:t>used the best scientific evidence available. The Applicant</w:t>
      </w:r>
      <w:r w:rsidR="001B52DF" w:rsidRPr="00400169">
        <w:rPr>
          <w:color w:val="000000" w:themeColor="text1"/>
        </w:rPr>
        <w:t>s</w:t>
      </w:r>
      <w:r w:rsidRPr="00400169">
        <w:rPr>
          <w:color w:val="000000" w:themeColor="text1"/>
        </w:rPr>
        <w:t xml:space="preserve"> submitted to FSANZ, a comprehensive dossier of quality-assured raw experimental data. </w:t>
      </w:r>
      <w:r w:rsidRPr="00400169">
        <w:rPr>
          <w:color w:val="000000" w:themeColor="text1"/>
          <w:szCs w:val="22"/>
        </w:rPr>
        <w:t>In addition to the information supplied by the Applicant</w:t>
      </w:r>
      <w:r w:rsidR="001B52DF" w:rsidRPr="00400169">
        <w:rPr>
          <w:color w:val="000000" w:themeColor="text1"/>
          <w:szCs w:val="22"/>
        </w:rPr>
        <w:t>s</w:t>
      </w:r>
      <w:r w:rsidRPr="00400169">
        <w:rPr>
          <w:color w:val="000000" w:themeColor="text1"/>
          <w:szCs w:val="22"/>
        </w:rPr>
        <w:t>, other available resource material including published scientific literature and general technical information was used in the safety assessment.</w:t>
      </w:r>
    </w:p>
    <w:p w:rsidR="002F241A" w:rsidRPr="00400169" w:rsidRDefault="002F241A" w:rsidP="00F808D1">
      <w:pPr>
        <w:rPr>
          <w:lang w:bidi="ar-SA"/>
        </w:rPr>
      </w:pPr>
    </w:p>
    <w:p w:rsidR="00F808D1" w:rsidRPr="001365F2" w:rsidRDefault="00F808D1" w:rsidP="001365F2">
      <w:pPr>
        <w:pStyle w:val="FSBullet1"/>
        <w:rPr>
          <w:i/>
        </w:rPr>
      </w:pPr>
      <w:r w:rsidRPr="001365F2">
        <w:rPr>
          <w:i/>
        </w:rPr>
        <w:t>The promotion of consistency between domestic and international food standards</w:t>
      </w:r>
    </w:p>
    <w:p w:rsidR="00F808D1" w:rsidRPr="00400169" w:rsidRDefault="00F808D1" w:rsidP="00F808D1">
      <w:pPr>
        <w:rPr>
          <w:lang w:bidi="ar-SA"/>
        </w:rPr>
      </w:pPr>
    </w:p>
    <w:p w:rsidR="00307958" w:rsidRPr="00400169" w:rsidRDefault="00307958" w:rsidP="00307958">
      <w:pPr>
        <w:ind w:left="1134" w:hanging="567"/>
      </w:pPr>
      <w:r w:rsidRPr="00400169">
        <w:t>This is not a consideration as there are no relevant international standards.</w:t>
      </w:r>
    </w:p>
    <w:p w:rsidR="00F808D1" w:rsidRPr="00400169" w:rsidRDefault="00F808D1" w:rsidP="00F808D1">
      <w:pPr>
        <w:rPr>
          <w:lang w:bidi="ar-SA"/>
        </w:rPr>
      </w:pPr>
    </w:p>
    <w:p w:rsidR="00F808D1" w:rsidRPr="001365F2" w:rsidRDefault="00F808D1" w:rsidP="001365F2">
      <w:pPr>
        <w:pStyle w:val="FSBullet1"/>
        <w:rPr>
          <w:i/>
        </w:rPr>
      </w:pPr>
      <w:r w:rsidRPr="001365F2">
        <w:rPr>
          <w:i/>
        </w:rPr>
        <w:t>The desirability of an efficient and internationally competitive food industry</w:t>
      </w:r>
    </w:p>
    <w:p w:rsidR="00F808D1" w:rsidRPr="00400169" w:rsidRDefault="00F808D1" w:rsidP="00F808D1">
      <w:pPr>
        <w:ind w:left="567"/>
        <w:rPr>
          <w:lang w:bidi="ar-SA"/>
        </w:rPr>
      </w:pPr>
    </w:p>
    <w:p w:rsidR="00307958" w:rsidRPr="00400169" w:rsidRDefault="00307958" w:rsidP="00307958">
      <w:pPr>
        <w:ind w:left="567"/>
        <w:rPr>
          <w:lang w:bidi="ar-SA"/>
        </w:rPr>
      </w:pPr>
      <w:r w:rsidRPr="00400169">
        <w:rPr>
          <w:lang w:bidi="ar-SA"/>
        </w:rPr>
        <w:t xml:space="preserve">The inclusion of </w:t>
      </w:r>
      <w:r w:rsidR="003F62BD" w:rsidRPr="00400169">
        <w:rPr>
          <w:lang w:bidi="ar-SA"/>
        </w:rPr>
        <w:t>GM</w:t>
      </w:r>
      <w:r w:rsidRPr="00400169">
        <w:rPr>
          <w:lang w:bidi="ar-SA"/>
        </w:rPr>
        <w:t xml:space="preserve"> foods in the food supply, providing there are no safety concerns, allows for innovation by developers and a widening of the technological base for</w:t>
      </w:r>
      <w:r w:rsidR="002F241A" w:rsidRPr="00400169">
        <w:rPr>
          <w:lang w:bidi="ar-SA"/>
        </w:rPr>
        <w:t xml:space="preserve"> the production of</w:t>
      </w:r>
      <w:r w:rsidR="00C05C62">
        <w:rPr>
          <w:lang w:bidi="ar-SA"/>
        </w:rPr>
        <w:t xml:space="preserve"> foods. Soybean line SYHT0H2</w:t>
      </w:r>
      <w:r w:rsidRPr="00400169">
        <w:rPr>
          <w:lang w:bidi="ar-SA"/>
        </w:rPr>
        <w:t xml:space="preserve"> is a new food crop designed to provide growers in a number of countries around the world with an alternative weed management strategy.</w:t>
      </w:r>
    </w:p>
    <w:p w:rsidR="00F808D1" w:rsidRPr="00400169" w:rsidRDefault="00F808D1" w:rsidP="00F808D1">
      <w:pPr>
        <w:ind w:left="567"/>
        <w:rPr>
          <w:lang w:bidi="ar-SA"/>
        </w:rPr>
      </w:pPr>
    </w:p>
    <w:p w:rsidR="00F808D1" w:rsidRPr="001365F2" w:rsidRDefault="00F808D1" w:rsidP="001365F2">
      <w:pPr>
        <w:pStyle w:val="FSBullet1"/>
        <w:rPr>
          <w:i/>
        </w:rPr>
      </w:pPr>
      <w:r w:rsidRPr="001365F2">
        <w:rPr>
          <w:i/>
        </w:rPr>
        <w:t>The promotion of fair trading in food</w:t>
      </w:r>
    </w:p>
    <w:p w:rsidR="00F808D1" w:rsidRPr="00400169" w:rsidRDefault="00F808D1" w:rsidP="00F808D1">
      <w:pPr>
        <w:rPr>
          <w:lang w:bidi="ar-SA"/>
        </w:rPr>
      </w:pPr>
    </w:p>
    <w:p w:rsidR="00F808D1" w:rsidRPr="00400169" w:rsidRDefault="00F808D1" w:rsidP="00F808D1">
      <w:pPr>
        <w:ind w:left="567"/>
        <w:rPr>
          <w:lang w:bidi="ar-SA"/>
        </w:rPr>
      </w:pPr>
      <w:r w:rsidRPr="00400169">
        <w:rPr>
          <w:lang w:bidi="ar-SA"/>
        </w:rPr>
        <w:t>The cost/benefit analysis in Section 4.1 lists a number of considerations that address fair</w:t>
      </w:r>
      <w:r w:rsidR="00C078DA" w:rsidRPr="00400169">
        <w:rPr>
          <w:lang w:bidi="ar-SA"/>
        </w:rPr>
        <w:t xml:space="preserve"> trading with respect t</w:t>
      </w:r>
      <w:r w:rsidR="00AB1090">
        <w:rPr>
          <w:lang w:bidi="ar-SA"/>
        </w:rPr>
        <w:t>o soybean line SYHT0H2</w:t>
      </w:r>
      <w:r w:rsidRPr="00400169">
        <w:rPr>
          <w:lang w:bidi="ar-SA"/>
        </w:rPr>
        <w:t>.</w:t>
      </w:r>
    </w:p>
    <w:p w:rsidR="00F808D1" w:rsidRPr="00400169" w:rsidRDefault="00F808D1" w:rsidP="00F808D1">
      <w:pPr>
        <w:rPr>
          <w:lang w:bidi="ar-SA"/>
        </w:rPr>
      </w:pPr>
    </w:p>
    <w:p w:rsidR="00F808D1" w:rsidRPr="001365F2" w:rsidRDefault="00F808D1" w:rsidP="001365F2">
      <w:pPr>
        <w:pStyle w:val="FSBullet1"/>
        <w:rPr>
          <w:i/>
        </w:rPr>
      </w:pPr>
      <w:r w:rsidRPr="001365F2">
        <w:rPr>
          <w:i/>
        </w:rPr>
        <w:t>Any written policy guidelines formulated by the Ministerial Council</w:t>
      </w:r>
    </w:p>
    <w:p w:rsidR="00F808D1" w:rsidRPr="00400169" w:rsidRDefault="00F808D1" w:rsidP="00F808D1">
      <w:pPr>
        <w:rPr>
          <w:lang w:bidi="ar-SA"/>
        </w:rPr>
      </w:pPr>
    </w:p>
    <w:p w:rsidR="00147B53" w:rsidRDefault="004F1EDC" w:rsidP="00F808D1">
      <w:pPr>
        <w:ind w:left="567"/>
        <w:rPr>
          <w:i/>
          <w:color w:val="000000" w:themeColor="text1"/>
        </w:rPr>
      </w:pPr>
      <w:r w:rsidRPr="009E0494">
        <w:rPr>
          <w:lang w:val="en-US"/>
        </w:rPr>
        <w:t xml:space="preserve">No specific policy guidelines have been developed </w:t>
      </w:r>
      <w:r>
        <w:rPr>
          <w:lang w:val="en-US"/>
        </w:rPr>
        <w:t>since</w:t>
      </w:r>
      <w:r w:rsidRPr="009E0494">
        <w:rPr>
          <w:lang w:val="en-US"/>
        </w:rPr>
        <w:t xml:space="preserve"> Standard </w:t>
      </w:r>
      <w:r>
        <w:rPr>
          <w:lang w:val="en-US"/>
        </w:rPr>
        <w:t>1.5.2 commenced</w:t>
      </w:r>
      <w:r>
        <w:rPr>
          <w:i/>
          <w:color w:val="000000" w:themeColor="text1"/>
        </w:rPr>
        <w:t>.</w:t>
      </w:r>
      <w:r w:rsidR="00147B53">
        <w:rPr>
          <w:i/>
          <w:color w:val="000000" w:themeColor="text1"/>
        </w:rPr>
        <w:br w:type="page"/>
      </w:r>
    </w:p>
    <w:p w:rsidR="0012388D" w:rsidRPr="00400169" w:rsidRDefault="00DB123A" w:rsidP="00F224B7">
      <w:pPr>
        <w:pStyle w:val="Heading2"/>
      </w:pPr>
      <w:bookmarkStart w:id="46" w:name="_Toc175381456"/>
      <w:bookmarkStart w:id="47" w:name="_Toc374451229"/>
      <w:r w:rsidRPr="00400169">
        <w:lastRenderedPageBreak/>
        <w:t>4</w:t>
      </w:r>
      <w:r w:rsidR="00422EC9" w:rsidRPr="00400169">
        <w:t>.3</w:t>
      </w:r>
      <w:r w:rsidR="00453646" w:rsidRPr="00400169">
        <w:tab/>
      </w:r>
      <w:bookmarkStart w:id="48" w:name="_Toc11735642"/>
      <w:bookmarkStart w:id="49" w:name="_Toc29883129"/>
      <w:bookmarkStart w:id="50" w:name="_Toc41906816"/>
      <w:bookmarkStart w:id="51" w:name="_Toc41907563"/>
      <w:bookmarkStart w:id="52" w:name="_Toc120358595"/>
      <w:bookmarkStart w:id="53" w:name="_Toc175381457"/>
      <w:bookmarkEnd w:id="46"/>
      <w:r w:rsidR="003C4969" w:rsidRPr="00400169">
        <w:t>Implementation</w:t>
      </w:r>
      <w:bookmarkEnd w:id="47"/>
      <w:r w:rsidR="003C4969" w:rsidRPr="00400169">
        <w:t xml:space="preserve"> </w:t>
      </w:r>
      <w:bookmarkEnd w:id="48"/>
      <w:bookmarkEnd w:id="49"/>
      <w:bookmarkEnd w:id="50"/>
      <w:bookmarkEnd w:id="51"/>
      <w:bookmarkEnd w:id="52"/>
      <w:bookmarkEnd w:id="53"/>
    </w:p>
    <w:p w:rsidR="00453646" w:rsidRPr="00400169" w:rsidRDefault="00F808D1" w:rsidP="000B427A">
      <w:pPr>
        <w:rPr>
          <w:rFonts w:cs="Arial"/>
        </w:rPr>
      </w:pPr>
      <w:r w:rsidRPr="00400169">
        <w:rPr>
          <w:rFonts w:cs="Arial"/>
        </w:rPr>
        <w:t>The variati</w:t>
      </w:r>
      <w:r w:rsidR="00B11450">
        <w:rPr>
          <w:rFonts w:cs="Arial"/>
        </w:rPr>
        <w:t>on will take effect on gazettal</w:t>
      </w:r>
      <w:r w:rsidR="00036E4B">
        <w:rPr>
          <w:rFonts w:cs="Arial"/>
        </w:rPr>
        <w:t>.</w:t>
      </w:r>
    </w:p>
    <w:p w:rsidR="001122EC" w:rsidRPr="00400169" w:rsidRDefault="00DB123A" w:rsidP="001122EC">
      <w:pPr>
        <w:pStyle w:val="Heading1"/>
      </w:pPr>
      <w:bookmarkStart w:id="54" w:name="_Toc374451230"/>
      <w:bookmarkStart w:id="55" w:name="_Toc11735643"/>
      <w:bookmarkStart w:id="56" w:name="_Toc29883130"/>
      <w:bookmarkStart w:id="57" w:name="_Toc41906817"/>
      <w:bookmarkStart w:id="58" w:name="_Toc41907564"/>
      <w:bookmarkStart w:id="59" w:name="_Toc43112360"/>
      <w:r w:rsidRPr="00400169">
        <w:t>5</w:t>
      </w:r>
      <w:r w:rsidR="001122EC" w:rsidRPr="00400169">
        <w:t>.</w:t>
      </w:r>
      <w:r w:rsidR="001122EC" w:rsidRPr="00400169">
        <w:tab/>
        <w:t>R</w:t>
      </w:r>
      <w:r w:rsidR="000B427A" w:rsidRPr="00400169">
        <w:t>eferences</w:t>
      </w:r>
      <w:bookmarkEnd w:id="54"/>
    </w:p>
    <w:bookmarkEnd w:id="55"/>
    <w:bookmarkEnd w:id="56"/>
    <w:bookmarkEnd w:id="57"/>
    <w:bookmarkEnd w:id="58"/>
    <w:bookmarkEnd w:id="59"/>
    <w:p w:rsidR="006E7E0C" w:rsidRPr="00654D30" w:rsidRDefault="00643BA9" w:rsidP="006E7E0C">
      <w:pPr>
        <w:tabs>
          <w:tab w:val="left" w:pos="0"/>
        </w:tabs>
        <w:spacing w:after="240"/>
        <w:rPr>
          <w:rFonts w:cs="Arial"/>
          <w:noProof/>
          <w:sz w:val="20"/>
          <w:szCs w:val="20"/>
        </w:rPr>
      </w:pPr>
      <w:r w:rsidRPr="00FF47DE">
        <w:rPr>
          <w:rFonts w:cs="Arial"/>
          <w:sz w:val="20"/>
          <w:szCs w:val="20"/>
        </w:rPr>
        <w:fldChar w:fldCharType="begin"/>
      </w:r>
      <w:r w:rsidRPr="00FF47DE">
        <w:rPr>
          <w:rFonts w:cs="Arial"/>
          <w:sz w:val="20"/>
          <w:szCs w:val="20"/>
        </w:rPr>
        <w:instrText xml:space="preserve"> ADDIN REFMGR.REFLIST </w:instrText>
      </w:r>
      <w:r w:rsidRPr="00FF47DE">
        <w:rPr>
          <w:rFonts w:cs="Arial"/>
          <w:sz w:val="20"/>
          <w:szCs w:val="20"/>
        </w:rPr>
        <w:fldChar w:fldCharType="separate"/>
      </w:r>
      <w:r w:rsidR="006E7E0C" w:rsidRPr="00654D30">
        <w:rPr>
          <w:rFonts w:cs="Arial"/>
          <w:noProof/>
          <w:sz w:val="20"/>
          <w:szCs w:val="20"/>
        </w:rPr>
        <w:t xml:space="preserve">Bartholomaeus, A., Parrott, W., Bondy, G. and Walker, K. (2013) The use of whole food animal studies in the safety assessment of genetically modified crops: Limitations and recommendations. </w:t>
      </w:r>
      <w:r w:rsidR="006E7E0C" w:rsidRPr="00654D30">
        <w:rPr>
          <w:rFonts w:cs="Arial"/>
          <w:i/>
          <w:noProof/>
          <w:sz w:val="20"/>
          <w:szCs w:val="20"/>
        </w:rPr>
        <w:t xml:space="preserve">Critical Reviews in Toxicology </w:t>
      </w:r>
      <w:r w:rsidR="006E7E0C" w:rsidRPr="00654D30">
        <w:rPr>
          <w:rFonts w:cs="Arial"/>
          <w:noProof/>
          <w:sz w:val="20"/>
          <w:szCs w:val="20"/>
        </w:rPr>
        <w:t>43(S2):1-24.</w:t>
      </w:r>
    </w:p>
    <w:p w:rsidR="006E7E0C" w:rsidRPr="00654D30" w:rsidRDefault="006E7E0C" w:rsidP="006E7E0C">
      <w:pPr>
        <w:tabs>
          <w:tab w:val="left" w:pos="0"/>
        </w:tabs>
        <w:spacing w:after="240"/>
        <w:rPr>
          <w:rFonts w:cs="Arial"/>
          <w:noProof/>
          <w:sz w:val="20"/>
          <w:szCs w:val="20"/>
        </w:rPr>
      </w:pPr>
      <w:r w:rsidRPr="00654D30">
        <w:rPr>
          <w:rFonts w:cs="Arial"/>
          <w:noProof/>
          <w:sz w:val="20"/>
          <w:szCs w:val="20"/>
        </w:rPr>
        <w:t xml:space="preserve">Codex (2004) </w:t>
      </w:r>
      <w:r w:rsidRPr="00654D30">
        <w:rPr>
          <w:rFonts w:cs="Arial"/>
          <w:i/>
          <w:noProof/>
          <w:sz w:val="20"/>
          <w:szCs w:val="20"/>
        </w:rPr>
        <w:t>Principles for the risk analysis of foods derived from modern biotechnology</w:t>
      </w:r>
      <w:r w:rsidRPr="00654D30">
        <w:rPr>
          <w:rFonts w:cs="Arial"/>
          <w:noProof/>
          <w:sz w:val="20"/>
          <w:szCs w:val="20"/>
        </w:rPr>
        <w:t xml:space="preserve">. Report No. CAC/GL 44-2003, Codex Alimentarius Commission, Rome. </w:t>
      </w:r>
      <w:hyperlink r:id="rId29" w:history="1">
        <w:r w:rsidRPr="00654D30">
          <w:rPr>
            <w:rStyle w:val="Hyperlink"/>
            <w:rFonts w:cs="Arial"/>
            <w:noProof/>
            <w:sz w:val="20"/>
            <w:szCs w:val="20"/>
          </w:rPr>
          <w:t>http://www.codexalimentarius.net/web/standard_list.do?lang=en</w:t>
        </w:r>
      </w:hyperlink>
      <w:r w:rsidRPr="00654D30">
        <w:rPr>
          <w:rFonts w:cs="Arial"/>
          <w:noProof/>
          <w:sz w:val="20"/>
          <w:szCs w:val="20"/>
        </w:rPr>
        <w:t xml:space="preserve">. </w:t>
      </w:r>
    </w:p>
    <w:p w:rsidR="006E7E0C" w:rsidRPr="00654D30" w:rsidRDefault="006E7E0C" w:rsidP="006E7E0C">
      <w:pPr>
        <w:tabs>
          <w:tab w:val="left" w:pos="0"/>
        </w:tabs>
        <w:spacing w:after="240"/>
        <w:rPr>
          <w:rFonts w:cs="Arial"/>
          <w:noProof/>
          <w:sz w:val="20"/>
          <w:szCs w:val="20"/>
        </w:rPr>
      </w:pPr>
      <w:r w:rsidRPr="00654D30">
        <w:rPr>
          <w:rFonts w:cs="Arial"/>
          <w:noProof/>
          <w:sz w:val="20"/>
          <w:szCs w:val="20"/>
        </w:rPr>
        <w:t xml:space="preserve">FAO/WHO (1991) </w:t>
      </w:r>
      <w:r w:rsidRPr="00654D30">
        <w:rPr>
          <w:rFonts w:cs="Arial"/>
          <w:i/>
          <w:noProof/>
          <w:sz w:val="20"/>
          <w:szCs w:val="20"/>
        </w:rPr>
        <w:t>Report of a joint FAO/WHO consultation: strategies for assessing the safety of food processed by biotechnology</w:t>
      </w:r>
      <w:r w:rsidRPr="00654D30">
        <w:rPr>
          <w:rFonts w:cs="Arial"/>
          <w:noProof/>
          <w:sz w:val="20"/>
          <w:szCs w:val="20"/>
        </w:rPr>
        <w:t xml:space="preserve">. World Health Organisation, Geneva. </w:t>
      </w:r>
      <w:hyperlink r:id="rId30" w:history="1">
        <w:r w:rsidRPr="00654D30">
          <w:rPr>
            <w:rStyle w:val="Hyperlink"/>
            <w:rFonts w:cs="Arial"/>
            <w:noProof/>
            <w:sz w:val="20"/>
            <w:szCs w:val="20"/>
          </w:rPr>
          <w:t>www.who.int/foodsafety/publications/biotech/en/1990.pdf</w:t>
        </w:r>
      </w:hyperlink>
      <w:r w:rsidRPr="00654D30">
        <w:rPr>
          <w:rFonts w:cs="Arial"/>
          <w:noProof/>
          <w:sz w:val="20"/>
          <w:szCs w:val="20"/>
        </w:rPr>
        <w:t xml:space="preserve">. </w:t>
      </w:r>
    </w:p>
    <w:p w:rsidR="006E7E0C" w:rsidRPr="00654D30" w:rsidRDefault="006E7E0C" w:rsidP="006E7E0C">
      <w:pPr>
        <w:tabs>
          <w:tab w:val="left" w:pos="0"/>
        </w:tabs>
        <w:spacing w:after="240"/>
        <w:rPr>
          <w:rFonts w:cs="Arial"/>
          <w:noProof/>
          <w:sz w:val="20"/>
          <w:szCs w:val="20"/>
        </w:rPr>
      </w:pPr>
      <w:r w:rsidRPr="00654D30">
        <w:rPr>
          <w:rFonts w:cs="Arial"/>
          <w:noProof/>
          <w:sz w:val="20"/>
          <w:szCs w:val="20"/>
        </w:rPr>
        <w:t xml:space="preserve">FSANZ (2007) </w:t>
      </w:r>
      <w:r w:rsidRPr="00654D30">
        <w:rPr>
          <w:rFonts w:cs="Arial"/>
          <w:i/>
          <w:noProof/>
          <w:sz w:val="20"/>
          <w:szCs w:val="20"/>
        </w:rPr>
        <w:t>Safety assessment of genetically modified foods – Guidance document</w:t>
      </w:r>
      <w:r w:rsidRPr="00654D30">
        <w:rPr>
          <w:rFonts w:cs="Arial"/>
          <w:noProof/>
          <w:sz w:val="20"/>
          <w:szCs w:val="20"/>
        </w:rPr>
        <w:t xml:space="preserve">. Document prepared by Food Standards Australia New Zealand. </w:t>
      </w:r>
      <w:hyperlink r:id="rId31" w:history="1">
        <w:r w:rsidRPr="00654D30">
          <w:rPr>
            <w:rStyle w:val="Hyperlink"/>
            <w:rFonts w:cs="Arial"/>
            <w:noProof/>
            <w:sz w:val="20"/>
            <w:szCs w:val="20"/>
          </w:rPr>
          <w:t>http://www.foodstandards.gov.au/_srcfiles/GM%20FINAL%20Sept%2007L%20_2_.pdf</w:t>
        </w:r>
      </w:hyperlink>
      <w:r w:rsidRPr="00654D30">
        <w:rPr>
          <w:rFonts w:cs="Arial"/>
          <w:noProof/>
          <w:sz w:val="20"/>
          <w:szCs w:val="20"/>
        </w:rPr>
        <w:t xml:space="preserve">. </w:t>
      </w:r>
    </w:p>
    <w:p w:rsidR="006E7E0C" w:rsidRPr="00654D30" w:rsidRDefault="006E7E0C" w:rsidP="006E7E0C">
      <w:pPr>
        <w:tabs>
          <w:tab w:val="left" w:pos="0"/>
        </w:tabs>
        <w:spacing w:after="240"/>
        <w:rPr>
          <w:rFonts w:cs="Arial"/>
          <w:noProof/>
          <w:sz w:val="20"/>
          <w:szCs w:val="20"/>
        </w:rPr>
      </w:pPr>
      <w:r w:rsidRPr="00654D30">
        <w:rPr>
          <w:rFonts w:cs="Arial"/>
          <w:noProof/>
          <w:sz w:val="20"/>
          <w:szCs w:val="20"/>
        </w:rPr>
        <w:t xml:space="preserve">FSANZ (2011) </w:t>
      </w:r>
      <w:r w:rsidRPr="00654D30">
        <w:rPr>
          <w:rFonts w:cs="Arial"/>
          <w:i/>
          <w:noProof/>
          <w:sz w:val="20"/>
          <w:szCs w:val="20"/>
        </w:rPr>
        <w:t>Application handbook</w:t>
      </w:r>
      <w:r w:rsidRPr="00654D30">
        <w:rPr>
          <w:rFonts w:cs="Arial"/>
          <w:noProof/>
          <w:sz w:val="20"/>
          <w:szCs w:val="20"/>
        </w:rPr>
        <w:t xml:space="preserve">. Prepared by Food Standards Australia New Zealand. </w:t>
      </w:r>
      <w:hyperlink r:id="rId32" w:history="1">
        <w:r w:rsidRPr="00654D30">
          <w:rPr>
            <w:rStyle w:val="Hyperlink"/>
            <w:rFonts w:cs="Arial"/>
            <w:noProof/>
            <w:sz w:val="20"/>
            <w:szCs w:val="20"/>
          </w:rPr>
          <w:t>http://www.foodstandards.gov.au/foodstandards/changingthecode/applicationshandbook.cfm</w:t>
        </w:r>
      </w:hyperlink>
      <w:r w:rsidRPr="00654D30">
        <w:rPr>
          <w:rFonts w:cs="Arial"/>
          <w:noProof/>
          <w:sz w:val="20"/>
          <w:szCs w:val="20"/>
        </w:rPr>
        <w:t xml:space="preserve">. </w:t>
      </w:r>
    </w:p>
    <w:p w:rsidR="006E7E0C" w:rsidRPr="00654D30" w:rsidRDefault="006E7E0C" w:rsidP="006E7E0C">
      <w:pPr>
        <w:tabs>
          <w:tab w:val="left" w:pos="0"/>
        </w:tabs>
        <w:spacing w:after="240"/>
        <w:rPr>
          <w:rFonts w:cs="Arial"/>
          <w:noProof/>
          <w:sz w:val="20"/>
          <w:szCs w:val="20"/>
        </w:rPr>
      </w:pPr>
      <w:r w:rsidRPr="00654D30">
        <w:rPr>
          <w:rFonts w:cs="Arial"/>
          <w:noProof/>
          <w:sz w:val="20"/>
          <w:szCs w:val="20"/>
        </w:rPr>
        <w:t xml:space="preserve">Mullins, R.J. (2007) Paediatric food allergy trends in a community-based specialist allergy practice, 1995-2006. </w:t>
      </w:r>
      <w:r w:rsidRPr="00654D30">
        <w:rPr>
          <w:rFonts w:cs="Arial"/>
          <w:i/>
          <w:noProof/>
          <w:sz w:val="20"/>
          <w:szCs w:val="20"/>
        </w:rPr>
        <w:t xml:space="preserve">Medical Journal of Australia </w:t>
      </w:r>
      <w:r w:rsidRPr="00654D30">
        <w:rPr>
          <w:rFonts w:cs="Arial"/>
          <w:noProof/>
          <w:sz w:val="20"/>
          <w:szCs w:val="20"/>
        </w:rPr>
        <w:t>186(12):618-621.</w:t>
      </w:r>
    </w:p>
    <w:p w:rsidR="006E7E0C" w:rsidRPr="00654D30" w:rsidRDefault="006E7E0C" w:rsidP="006E7E0C">
      <w:pPr>
        <w:tabs>
          <w:tab w:val="left" w:pos="0"/>
        </w:tabs>
        <w:spacing w:after="240"/>
        <w:rPr>
          <w:rFonts w:cs="Arial"/>
          <w:noProof/>
          <w:sz w:val="20"/>
          <w:szCs w:val="20"/>
        </w:rPr>
      </w:pPr>
      <w:r w:rsidRPr="00654D30">
        <w:rPr>
          <w:rFonts w:cs="Arial"/>
          <w:noProof/>
          <w:sz w:val="20"/>
          <w:szCs w:val="20"/>
        </w:rPr>
        <w:t xml:space="preserve">OECD (1993) </w:t>
      </w:r>
      <w:r w:rsidRPr="00654D30">
        <w:rPr>
          <w:rFonts w:cs="Arial"/>
          <w:i/>
          <w:noProof/>
          <w:sz w:val="20"/>
          <w:szCs w:val="20"/>
        </w:rPr>
        <w:t>Safety evaluation of foods derived by modern biotechnology: Concepts and principles</w:t>
      </w:r>
      <w:r w:rsidRPr="00654D30">
        <w:rPr>
          <w:rFonts w:cs="Arial"/>
          <w:noProof/>
          <w:sz w:val="20"/>
          <w:szCs w:val="20"/>
        </w:rPr>
        <w:t>. Organisation for Economic Co-operation and development, Paris.</w:t>
      </w:r>
    </w:p>
    <w:p w:rsidR="006E7E0C" w:rsidRPr="00654D30" w:rsidRDefault="006E7E0C" w:rsidP="006E7E0C">
      <w:pPr>
        <w:tabs>
          <w:tab w:val="left" w:pos="0"/>
        </w:tabs>
        <w:spacing w:after="240"/>
        <w:rPr>
          <w:rFonts w:cs="Arial"/>
          <w:noProof/>
          <w:sz w:val="20"/>
          <w:szCs w:val="20"/>
        </w:rPr>
      </w:pPr>
      <w:r w:rsidRPr="00654D30">
        <w:rPr>
          <w:rFonts w:cs="Arial"/>
          <w:noProof/>
          <w:sz w:val="20"/>
          <w:szCs w:val="20"/>
        </w:rPr>
        <w:t xml:space="preserve">OECD (2001) </w:t>
      </w:r>
      <w:r w:rsidRPr="00654D30">
        <w:rPr>
          <w:rFonts w:cs="Arial"/>
          <w:i/>
          <w:noProof/>
          <w:sz w:val="20"/>
          <w:szCs w:val="20"/>
        </w:rPr>
        <w:t>Test No. 420: Acute Oral Toxicity - Fixed Dose Procedure</w:t>
      </w:r>
      <w:r w:rsidRPr="00654D30">
        <w:rPr>
          <w:rFonts w:cs="Arial"/>
          <w:noProof/>
          <w:sz w:val="20"/>
          <w:szCs w:val="20"/>
        </w:rPr>
        <w:t>. OECD Guidelines for the Testing of Chemicals / Section 4: Health Effects. Organisation for Economic Co-operation and Development.</w:t>
      </w:r>
    </w:p>
    <w:p w:rsidR="006E7E0C" w:rsidRPr="00654D30" w:rsidRDefault="006E7E0C" w:rsidP="006E7E0C">
      <w:pPr>
        <w:tabs>
          <w:tab w:val="left" w:pos="0"/>
        </w:tabs>
        <w:rPr>
          <w:rFonts w:cs="Arial"/>
          <w:noProof/>
          <w:sz w:val="20"/>
          <w:szCs w:val="20"/>
        </w:rPr>
      </w:pPr>
      <w:r w:rsidRPr="00654D30">
        <w:rPr>
          <w:rFonts w:cs="Arial"/>
          <w:noProof/>
          <w:sz w:val="20"/>
          <w:szCs w:val="20"/>
        </w:rPr>
        <w:t xml:space="preserve">Rigaud, N. (2008) </w:t>
      </w:r>
      <w:r w:rsidRPr="00654D30">
        <w:rPr>
          <w:rFonts w:cs="Arial"/>
          <w:i/>
          <w:noProof/>
          <w:sz w:val="20"/>
          <w:szCs w:val="20"/>
        </w:rPr>
        <w:t>Biotechnology: ethical and social debates</w:t>
      </w:r>
      <w:r w:rsidRPr="00654D30">
        <w:rPr>
          <w:rFonts w:cs="Arial"/>
          <w:noProof/>
          <w:sz w:val="20"/>
          <w:szCs w:val="20"/>
        </w:rPr>
        <w:t xml:space="preserve">. OECD International Futures Project on "The Bioeconomy to 2030: Designing a Policy Agenda". </w:t>
      </w:r>
      <w:hyperlink r:id="rId33" w:history="1">
        <w:r w:rsidRPr="00654D30">
          <w:rPr>
            <w:rStyle w:val="Hyperlink"/>
            <w:rFonts w:cs="Arial"/>
            <w:noProof/>
            <w:sz w:val="20"/>
            <w:szCs w:val="20"/>
          </w:rPr>
          <w:t>http://www.oecd.org/futures/long-termtechnologicalsocietalchallenges/40926844.pdf</w:t>
        </w:r>
      </w:hyperlink>
      <w:r w:rsidRPr="00654D30">
        <w:rPr>
          <w:rFonts w:cs="Arial"/>
          <w:noProof/>
          <w:sz w:val="20"/>
          <w:szCs w:val="20"/>
        </w:rPr>
        <w:t xml:space="preserve">. </w:t>
      </w:r>
    </w:p>
    <w:p w:rsidR="00F20964" w:rsidRPr="00400169" w:rsidRDefault="00643BA9" w:rsidP="00643BA9">
      <w:pPr>
        <w:spacing w:before="240"/>
        <w:rPr>
          <w:b/>
          <w:sz w:val="28"/>
          <w:szCs w:val="28"/>
        </w:rPr>
      </w:pPr>
      <w:r w:rsidRPr="00FF47DE">
        <w:rPr>
          <w:rFonts w:cs="Arial"/>
          <w:sz w:val="20"/>
          <w:szCs w:val="20"/>
        </w:rPr>
        <w:fldChar w:fldCharType="end"/>
      </w:r>
      <w:r w:rsidR="00F20964" w:rsidRPr="00400169">
        <w:rPr>
          <w:b/>
          <w:sz w:val="28"/>
          <w:szCs w:val="28"/>
        </w:rPr>
        <w:t>Attachments</w:t>
      </w:r>
    </w:p>
    <w:p w:rsidR="00F20964" w:rsidRPr="00400169" w:rsidRDefault="00F20964" w:rsidP="00755F02"/>
    <w:p w:rsidR="0012388D" w:rsidRPr="00400169" w:rsidRDefault="00755F02" w:rsidP="009A2699">
      <w:pPr>
        <w:ind w:left="567" w:hanging="567"/>
      </w:pPr>
      <w:r w:rsidRPr="00400169">
        <w:t>A.</w:t>
      </w:r>
      <w:r w:rsidRPr="00400169">
        <w:tab/>
      </w:r>
      <w:r w:rsidR="009A2699" w:rsidRPr="00400169">
        <w:t xml:space="preserve">Approved </w:t>
      </w:r>
      <w:r w:rsidR="00147B53">
        <w:t xml:space="preserve">draft </w:t>
      </w:r>
      <w:r w:rsidR="000576EB" w:rsidRPr="00400169">
        <w:t xml:space="preserve">variation to the </w:t>
      </w:r>
      <w:r w:rsidR="000576EB" w:rsidRPr="00400169">
        <w:rPr>
          <w:i/>
        </w:rPr>
        <w:t>Australia New Zealand Food Standards Code</w:t>
      </w:r>
      <w:r w:rsidR="00486C66" w:rsidRPr="00400169">
        <w:t xml:space="preserve"> </w:t>
      </w:r>
    </w:p>
    <w:p w:rsidR="00795D86" w:rsidRPr="00400169" w:rsidRDefault="00795D86" w:rsidP="00755F02">
      <w:r w:rsidRPr="00400169">
        <w:t>B.</w:t>
      </w:r>
      <w:r w:rsidRPr="00400169">
        <w:tab/>
        <w:t>Explanatory Statement</w:t>
      </w:r>
    </w:p>
    <w:p w:rsidR="0012388D" w:rsidRPr="00400169" w:rsidRDefault="003C4969" w:rsidP="007D0189">
      <w:pPr>
        <w:pStyle w:val="Heading2"/>
        <w:ind w:left="0" w:firstLine="0"/>
      </w:pPr>
      <w:r w:rsidRPr="00400169">
        <w:br w:type="page"/>
      </w:r>
      <w:bookmarkStart w:id="60" w:name="_Toc29883131"/>
      <w:bookmarkStart w:id="61" w:name="_Toc41906818"/>
      <w:bookmarkStart w:id="62" w:name="_Toc41907565"/>
      <w:bookmarkStart w:id="63" w:name="_Toc120358596"/>
      <w:bookmarkStart w:id="64" w:name="_Toc175381458"/>
      <w:bookmarkStart w:id="65" w:name="_Toc11735644"/>
      <w:bookmarkStart w:id="66" w:name="_Toc374451231"/>
      <w:r w:rsidRPr="00400169">
        <w:lastRenderedPageBreak/>
        <w:t xml:space="preserve">Attachment </w:t>
      </w:r>
      <w:bookmarkEnd w:id="60"/>
      <w:bookmarkEnd w:id="61"/>
      <w:bookmarkEnd w:id="62"/>
      <w:bookmarkEnd w:id="63"/>
      <w:bookmarkEnd w:id="64"/>
      <w:r w:rsidR="00456B54" w:rsidRPr="00400169">
        <w:t>A</w:t>
      </w:r>
      <w:bookmarkStart w:id="67" w:name="_Toc120358597"/>
      <w:bookmarkStart w:id="68" w:name="_Toc175381459"/>
      <w:bookmarkEnd w:id="65"/>
      <w:r w:rsidR="00755F02" w:rsidRPr="00400169">
        <w:t xml:space="preserve"> – </w:t>
      </w:r>
      <w:r w:rsidR="009A2699" w:rsidRPr="00400169">
        <w:t>Approved</w:t>
      </w:r>
      <w:r w:rsidRPr="00400169">
        <w:t xml:space="preserve"> </w:t>
      </w:r>
      <w:r w:rsidR="00147B53">
        <w:t xml:space="preserve">draft </w:t>
      </w:r>
      <w:r w:rsidRPr="00400169">
        <w:t xml:space="preserve">variation to the </w:t>
      </w:r>
      <w:r w:rsidR="00D15A08" w:rsidRPr="00400169">
        <w:rPr>
          <w:i/>
        </w:rPr>
        <w:t>Australia New Zealand Food Standards Code</w:t>
      </w:r>
      <w:bookmarkEnd w:id="67"/>
      <w:bookmarkEnd w:id="68"/>
      <w:bookmarkEnd w:id="66"/>
    </w:p>
    <w:p w:rsidR="00643BA9" w:rsidRPr="00400169" w:rsidRDefault="00643BA9" w:rsidP="00643BA9">
      <w:pPr>
        <w:rPr>
          <w:noProof/>
          <w:sz w:val="20"/>
          <w:lang w:eastAsia="en-AU"/>
        </w:rPr>
      </w:pPr>
      <w:r w:rsidRPr="00400169">
        <w:rPr>
          <w:noProof/>
          <w:color w:val="000000" w:themeColor="text1"/>
          <w:sz w:val="20"/>
          <w:lang w:eastAsia="en-GB" w:bidi="ar-SA"/>
        </w:rPr>
        <w:drawing>
          <wp:inline distT="0" distB="0" distL="0" distR="0" wp14:anchorId="0D73E3ED" wp14:editId="31FBC3DB">
            <wp:extent cx="2657475" cy="438150"/>
            <wp:effectExtent l="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643BA9" w:rsidRPr="00400169" w:rsidRDefault="00643BA9" w:rsidP="00643BA9">
      <w:pPr>
        <w:pStyle w:val="Title"/>
        <w:pBdr>
          <w:bottom w:val="single" w:sz="4" w:space="1" w:color="auto"/>
        </w:pBdr>
        <w:rPr>
          <w:b w:val="0"/>
          <w:bCs w:val="0"/>
          <w:szCs w:val="20"/>
          <w:lang w:val="en-GB"/>
        </w:rPr>
      </w:pPr>
    </w:p>
    <w:p w:rsidR="00C05C62" w:rsidRDefault="00C05C62" w:rsidP="00C05C62">
      <w:pPr>
        <w:pBdr>
          <w:bottom w:val="single" w:sz="4" w:space="1" w:color="auto"/>
        </w:pBdr>
        <w:rPr>
          <w:b/>
          <w:sz w:val="20"/>
        </w:rPr>
      </w:pPr>
      <w:r w:rsidRPr="006153A1">
        <w:rPr>
          <w:b/>
          <w:sz w:val="20"/>
        </w:rPr>
        <w:t>Food Standards (</w:t>
      </w:r>
      <w:r w:rsidRPr="00F618DF">
        <w:rPr>
          <w:b/>
          <w:sz w:val="20"/>
        </w:rPr>
        <w:t xml:space="preserve">Application </w:t>
      </w:r>
      <w:r>
        <w:rPr>
          <w:b/>
          <w:sz w:val="20"/>
        </w:rPr>
        <w:t>A1081</w:t>
      </w:r>
      <w:r w:rsidRPr="00F618DF">
        <w:rPr>
          <w:b/>
          <w:sz w:val="20"/>
        </w:rPr>
        <w:t xml:space="preserve"> </w:t>
      </w:r>
      <w:r w:rsidRPr="005F3DB4">
        <w:rPr>
          <w:b/>
          <w:sz w:val="20"/>
        </w:rPr>
        <w:t xml:space="preserve">– </w:t>
      </w:r>
      <w:r w:rsidRPr="000F4042">
        <w:rPr>
          <w:b/>
          <w:iCs/>
          <w:sz w:val="20"/>
        </w:rPr>
        <w:t>Food derived from Herbicide-tolerant Soybean Line SYHT0H2</w:t>
      </w:r>
      <w:r w:rsidRPr="005F3DB4">
        <w:rPr>
          <w:b/>
          <w:iCs/>
          <w:sz w:val="20"/>
        </w:rPr>
        <w:t>)</w:t>
      </w:r>
      <w:r w:rsidRPr="000F4042">
        <w:rPr>
          <w:b/>
          <w:sz w:val="20"/>
        </w:rPr>
        <w:t xml:space="preserve"> </w:t>
      </w:r>
      <w:r w:rsidRPr="00D3581B">
        <w:rPr>
          <w:b/>
          <w:sz w:val="20"/>
        </w:rPr>
        <w:t>Variation</w:t>
      </w:r>
    </w:p>
    <w:p w:rsidR="00C05C62" w:rsidRPr="00D3581B" w:rsidRDefault="00C05C62" w:rsidP="00C05C62">
      <w:pPr>
        <w:pBdr>
          <w:bottom w:val="single" w:sz="4" w:space="1" w:color="auto"/>
        </w:pBdr>
        <w:rPr>
          <w:b/>
          <w:sz w:val="20"/>
        </w:rPr>
      </w:pPr>
    </w:p>
    <w:p w:rsidR="00C05C62" w:rsidRPr="008F2616" w:rsidRDefault="00C05C62" w:rsidP="00C05C62">
      <w:pPr>
        <w:rPr>
          <w:sz w:val="20"/>
        </w:rPr>
      </w:pPr>
    </w:p>
    <w:p w:rsidR="00C05C62" w:rsidRPr="008F2616" w:rsidRDefault="00C05C62" w:rsidP="00C05C62">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C05C62" w:rsidRPr="008F2616" w:rsidRDefault="00C05C62" w:rsidP="00C05C62">
      <w:pPr>
        <w:rPr>
          <w:sz w:val="20"/>
        </w:rPr>
      </w:pPr>
    </w:p>
    <w:p w:rsidR="00C05C62" w:rsidRPr="008F2616" w:rsidRDefault="00C05C62" w:rsidP="00C05C62">
      <w:pPr>
        <w:rPr>
          <w:sz w:val="20"/>
        </w:rPr>
      </w:pPr>
      <w:r w:rsidRPr="008F2616">
        <w:rPr>
          <w:sz w:val="20"/>
        </w:rPr>
        <w:t xml:space="preserve">Dated </w:t>
      </w:r>
      <w:r>
        <w:rPr>
          <w:sz w:val="20"/>
        </w:rPr>
        <w:t>[To be completed by Standards Management Officer]</w:t>
      </w:r>
    </w:p>
    <w:p w:rsidR="00C05C62" w:rsidRPr="008F2616" w:rsidRDefault="00C05C62" w:rsidP="00C05C62">
      <w:pPr>
        <w:rPr>
          <w:sz w:val="20"/>
        </w:rPr>
      </w:pPr>
    </w:p>
    <w:p w:rsidR="00C05C62" w:rsidRDefault="00C05C62" w:rsidP="00C05C62">
      <w:pPr>
        <w:rPr>
          <w:sz w:val="20"/>
        </w:rPr>
      </w:pPr>
    </w:p>
    <w:p w:rsidR="00C05C62" w:rsidRDefault="00C05C62" w:rsidP="00C05C62">
      <w:pPr>
        <w:rPr>
          <w:sz w:val="20"/>
        </w:rPr>
      </w:pPr>
    </w:p>
    <w:p w:rsidR="00C05C62" w:rsidRPr="008F2616" w:rsidRDefault="00C05C62" w:rsidP="00C05C62">
      <w:pPr>
        <w:rPr>
          <w:sz w:val="20"/>
        </w:rPr>
      </w:pPr>
    </w:p>
    <w:p w:rsidR="00C05C62" w:rsidRPr="008F2616" w:rsidRDefault="00C05C62" w:rsidP="00C05C62">
      <w:pPr>
        <w:rPr>
          <w:sz w:val="20"/>
        </w:rPr>
      </w:pPr>
    </w:p>
    <w:p w:rsidR="00C05C62" w:rsidRPr="008F2616" w:rsidRDefault="00C05C62" w:rsidP="00C05C62">
      <w:pPr>
        <w:rPr>
          <w:sz w:val="20"/>
        </w:rPr>
      </w:pPr>
      <w:r w:rsidRPr="008F2616">
        <w:rPr>
          <w:sz w:val="20"/>
        </w:rPr>
        <w:t>Standards Management Officer</w:t>
      </w:r>
    </w:p>
    <w:p w:rsidR="00C05C62" w:rsidRPr="008F2616" w:rsidRDefault="00C05C62" w:rsidP="00C05C62">
      <w:pPr>
        <w:rPr>
          <w:sz w:val="20"/>
        </w:rPr>
      </w:pPr>
      <w:r w:rsidRPr="008F2616">
        <w:rPr>
          <w:sz w:val="20"/>
        </w:rPr>
        <w:t>Delegate of the Board of Food Standards Australia New Zealand</w:t>
      </w:r>
    </w:p>
    <w:p w:rsidR="00C05C62" w:rsidRDefault="00C05C62" w:rsidP="00C05C62">
      <w:pPr>
        <w:rPr>
          <w:sz w:val="20"/>
        </w:rPr>
      </w:pPr>
    </w:p>
    <w:p w:rsidR="00C05C62" w:rsidRDefault="00C05C62" w:rsidP="00C05C62">
      <w:pPr>
        <w:rPr>
          <w:sz w:val="20"/>
        </w:rPr>
      </w:pPr>
    </w:p>
    <w:p w:rsidR="00C05C62" w:rsidRDefault="00C05C62" w:rsidP="00C05C62">
      <w:pPr>
        <w:rPr>
          <w:sz w:val="20"/>
        </w:rPr>
      </w:pPr>
    </w:p>
    <w:p w:rsidR="00C05C62" w:rsidRDefault="00C05C62" w:rsidP="00C05C62">
      <w:pPr>
        <w:rPr>
          <w:sz w:val="20"/>
        </w:rPr>
      </w:pPr>
    </w:p>
    <w:p w:rsidR="00C05C62" w:rsidRDefault="00C05C62" w:rsidP="00C05C62">
      <w:pPr>
        <w:rPr>
          <w:sz w:val="20"/>
        </w:rPr>
      </w:pPr>
    </w:p>
    <w:p w:rsidR="00C05C62" w:rsidRPr="00574DE1" w:rsidRDefault="00C05C62" w:rsidP="00C05C62">
      <w:pPr>
        <w:pStyle w:val="EditorialNoteLine1"/>
        <w:rPr>
          <w:lang w:val="en-AU"/>
        </w:rPr>
      </w:pPr>
      <w:r w:rsidRPr="00574DE1">
        <w:rPr>
          <w:lang w:val="en-AU"/>
        </w:rPr>
        <w:t xml:space="preserve">Note:  </w:t>
      </w:r>
    </w:p>
    <w:p w:rsidR="00C05C62" w:rsidRPr="00574DE1" w:rsidRDefault="00C05C62" w:rsidP="00C05C62">
      <w:pPr>
        <w:pStyle w:val="EditorialNotetext"/>
        <w:rPr>
          <w:lang w:val="en-AU"/>
        </w:rPr>
      </w:pPr>
    </w:p>
    <w:p w:rsidR="00C05C62" w:rsidRDefault="00C05C62" w:rsidP="00C05C62">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C05C62" w:rsidRDefault="00C05C62" w:rsidP="00C05C62">
      <w:pPr>
        <w:rPr>
          <w:sz w:val="20"/>
        </w:rPr>
      </w:pPr>
    </w:p>
    <w:p w:rsidR="002F241A" w:rsidRPr="00400169" w:rsidRDefault="002F241A" w:rsidP="002F241A">
      <w:pPr>
        <w:widowControl/>
      </w:pPr>
      <w:r w:rsidRPr="00400169">
        <w:br w:type="page"/>
      </w:r>
    </w:p>
    <w:p w:rsidR="00C05C62" w:rsidRDefault="00C05C62" w:rsidP="00C05C62">
      <w:pPr>
        <w:pStyle w:val="Clauseheading"/>
      </w:pPr>
      <w:r>
        <w:lastRenderedPageBreak/>
        <w:t>1</w:t>
      </w:r>
      <w:r>
        <w:tab/>
        <w:t>Name</w:t>
      </w:r>
    </w:p>
    <w:p w:rsidR="00C05C62" w:rsidRDefault="00C05C62" w:rsidP="00C05C62">
      <w:pPr>
        <w:pStyle w:val="Clause"/>
      </w:pPr>
    </w:p>
    <w:p w:rsidR="00C05C62" w:rsidRPr="00F618DF" w:rsidRDefault="00C05C62" w:rsidP="00C05C62">
      <w:pPr>
        <w:pStyle w:val="Clause"/>
      </w:pPr>
      <w:r w:rsidRPr="00DB170D">
        <w:t xml:space="preserve">This instrument is the </w:t>
      </w:r>
      <w:r>
        <w:rPr>
          <w:i/>
        </w:rPr>
        <w:t xml:space="preserve">Food Standards </w:t>
      </w:r>
      <w:r w:rsidRPr="00F618DF">
        <w:rPr>
          <w:i/>
        </w:rPr>
        <w:t>(</w:t>
      </w:r>
      <w:r w:rsidRPr="001F6F1A">
        <w:rPr>
          <w:i/>
        </w:rPr>
        <w:t>Application A1081 – Food derived from Herbicide-tolerant Soybean Line SYHT0H2)</w:t>
      </w:r>
      <w:r>
        <w:rPr>
          <w:i/>
        </w:rPr>
        <w:t xml:space="preserve"> </w:t>
      </w:r>
      <w:r w:rsidRPr="00F618DF">
        <w:rPr>
          <w:i/>
        </w:rPr>
        <w:t>Variation</w:t>
      </w:r>
      <w:r w:rsidRPr="00F618DF">
        <w:t>.</w:t>
      </w:r>
    </w:p>
    <w:p w:rsidR="00C05C62" w:rsidRDefault="00C05C62" w:rsidP="00C05C62">
      <w:pPr>
        <w:pStyle w:val="Clause"/>
      </w:pPr>
    </w:p>
    <w:p w:rsidR="00C05C62" w:rsidRPr="0036244B" w:rsidRDefault="00C05C62" w:rsidP="00C05C62">
      <w:pPr>
        <w:pStyle w:val="Clauseheading"/>
        <w:tabs>
          <w:tab w:val="clear" w:pos="851"/>
        </w:tabs>
        <w:ind w:left="851" w:hanging="851"/>
      </w:pPr>
      <w:r>
        <w:t>2</w:t>
      </w:r>
      <w:r>
        <w:tab/>
        <w:t>V</w:t>
      </w:r>
      <w:r w:rsidRPr="0036244B">
        <w:t xml:space="preserve">ariation to Standards in the </w:t>
      </w:r>
      <w:r w:rsidRPr="007D3879">
        <w:rPr>
          <w:i/>
        </w:rPr>
        <w:t>Australia New Zealand Food Standards Code</w:t>
      </w:r>
    </w:p>
    <w:p w:rsidR="00C05C62" w:rsidRDefault="00C05C62" w:rsidP="00C05C62">
      <w:pPr>
        <w:pStyle w:val="Clause"/>
      </w:pPr>
    </w:p>
    <w:p w:rsidR="00C05C62" w:rsidRDefault="00C05C62" w:rsidP="00C05C62">
      <w:pPr>
        <w:pStyle w:val="Clause"/>
      </w:pPr>
      <w:r>
        <w:t xml:space="preserve">The Schedule varies a Standard in the </w:t>
      </w:r>
      <w:r w:rsidRPr="00FF1C11">
        <w:rPr>
          <w:i/>
        </w:rPr>
        <w:t>Australia New Zealand Food Standards Code</w:t>
      </w:r>
      <w:r>
        <w:t>.</w:t>
      </w:r>
    </w:p>
    <w:p w:rsidR="00C05C62" w:rsidRDefault="00C05C62" w:rsidP="00C05C62">
      <w:pPr>
        <w:rPr>
          <w:sz w:val="20"/>
        </w:rPr>
      </w:pPr>
    </w:p>
    <w:p w:rsidR="00C05C62" w:rsidRDefault="00C05C62" w:rsidP="00C05C62">
      <w:pPr>
        <w:pStyle w:val="Clauseheading"/>
      </w:pPr>
      <w:r>
        <w:t>3</w:t>
      </w:r>
      <w:r>
        <w:tab/>
        <w:t>Commencement</w:t>
      </w:r>
    </w:p>
    <w:p w:rsidR="00C05C62" w:rsidRDefault="00C05C62" w:rsidP="00C05C62">
      <w:pPr>
        <w:pStyle w:val="Clause"/>
      </w:pPr>
    </w:p>
    <w:p w:rsidR="00C05C62" w:rsidRDefault="00C05C62" w:rsidP="00C05C62">
      <w:pPr>
        <w:pStyle w:val="Clause"/>
      </w:pPr>
      <w:r>
        <w:t>The variation commenc</w:t>
      </w:r>
      <w:r w:rsidRPr="000055C4">
        <w:t>e</w:t>
      </w:r>
      <w:r>
        <w:t>s</w:t>
      </w:r>
      <w:r w:rsidRPr="000055C4">
        <w:t xml:space="preserve"> on </w:t>
      </w:r>
      <w:r>
        <w:t>the date of gazettal.</w:t>
      </w:r>
    </w:p>
    <w:p w:rsidR="00C05C62" w:rsidRDefault="00C05C62" w:rsidP="00C05C62">
      <w:pPr>
        <w:pStyle w:val="ScheduleHeading"/>
      </w:pPr>
    </w:p>
    <w:p w:rsidR="00C05C62" w:rsidRDefault="00C05C62" w:rsidP="00C05C62">
      <w:pPr>
        <w:pStyle w:val="ScheduleHeading"/>
      </w:pPr>
      <w:r>
        <w:t>SCHEDULE</w:t>
      </w:r>
    </w:p>
    <w:p w:rsidR="00C05C62" w:rsidRDefault="00C05C62" w:rsidP="00C05C62">
      <w:pPr>
        <w:widowControl/>
        <w:rPr>
          <w:sz w:val="20"/>
        </w:rPr>
      </w:pPr>
    </w:p>
    <w:p w:rsidR="00C05C62" w:rsidRPr="008B3957" w:rsidRDefault="00C05C62" w:rsidP="00C05C62">
      <w:pPr>
        <w:pStyle w:val="Clause"/>
        <w:rPr>
          <w:iCs/>
        </w:rPr>
      </w:pPr>
      <w:r w:rsidRPr="001A0BF0">
        <w:rPr>
          <w:b/>
          <w:bCs/>
        </w:rPr>
        <w:t>[1]</w:t>
      </w:r>
      <w:r w:rsidRPr="001A0BF0">
        <w:tab/>
      </w:r>
      <w:r>
        <w:rPr>
          <w:b/>
          <w:bCs/>
          <w:iCs/>
        </w:rPr>
        <w:t>Standard 1.5.2</w:t>
      </w:r>
      <w:r w:rsidRPr="001A0BF0">
        <w:rPr>
          <w:iCs/>
        </w:rPr>
        <w:t xml:space="preserve"> is </w:t>
      </w:r>
      <w:r w:rsidRPr="00D3581B">
        <w:rPr>
          <w:iCs/>
        </w:rPr>
        <w:t>varied by</w:t>
      </w:r>
      <w:r>
        <w:rPr>
          <w:iCs/>
        </w:rPr>
        <w:t xml:space="preserve"> </w:t>
      </w:r>
      <w:r w:rsidRPr="00D3581B">
        <w:t xml:space="preserve">inserting in </w:t>
      </w:r>
      <w:r>
        <w:t>numerical order in the Schedule</w:t>
      </w:r>
      <w:r w:rsidRPr="00D3581B">
        <w:t xml:space="preserve"> </w:t>
      </w:r>
    </w:p>
    <w:p w:rsidR="00C05C62" w:rsidRDefault="00C05C62" w:rsidP="00C05C62"/>
    <w:p w:rsidR="00C05C62" w:rsidRDefault="00C05C62" w:rsidP="00C05C62">
      <w: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C05C62" w:rsidRPr="00771CC7" w:rsidTr="003E6806">
        <w:trPr>
          <w:cantSplit/>
          <w:trHeight w:val="465"/>
        </w:trPr>
        <w:tc>
          <w:tcPr>
            <w:tcW w:w="1364" w:type="dxa"/>
          </w:tcPr>
          <w:p w:rsidR="00C05C62" w:rsidRPr="00771CC7" w:rsidRDefault="00C05C62" w:rsidP="003E6806">
            <w:pPr>
              <w:pStyle w:val="Table2"/>
              <w:rPr>
                <w:color w:val="000000"/>
              </w:rPr>
            </w:pPr>
          </w:p>
        </w:tc>
        <w:tc>
          <w:tcPr>
            <w:tcW w:w="1443" w:type="dxa"/>
          </w:tcPr>
          <w:p w:rsidR="00C05C62" w:rsidRDefault="00C05C62" w:rsidP="003E6806">
            <w:pPr>
              <w:pStyle w:val="Table2"/>
            </w:pPr>
            <w:r>
              <w:t>7.14</w:t>
            </w:r>
          </w:p>
        </w:tc>
        <w:tc>
          <w:tcPr>
            <w:tcW w:w="3516" w:type="dxa"/>
          </w:tcPr>
          <w:p w:rsidR="00C05C62" w:rsidRPr="00901636" w:rsidRDefault="00C05C62" w:rsidP="003E6806">
            <w:pPr>
              <w:pStyle w:val="Table2"/>
            </w:pPr>
            <w:r>
              <w:t>Food derived from herbicide-tolerant soybean line SYHT0H2</w:t>
            </w:r>
          </w:p>
        </w:tc>
        <w:tc>
          <w:tcPr>
            <w:tcW w:w="2466" w:type="dxa"/>
          </w:tcPr>
          <w:p w:rsidR="00C05C62" w:rsidRPr="00771CC7" w:rsidRDefault="00C05C62" w:rsidP="003E6806">
            <w:pPr>
              <w:pStyle w:val="Table2"/>
              <w:rPr>
                <w:color w:val="000000"/>
              </w:rPr>
            </w:pPr>
          </w:p>
        </w:tc>
      </w:tr>
    </w:tbl>
    <w:p w:rsidR="00C05C62" w:rsidRPr="00C846AB" w:rsidRDefault="00C05C62" w:rsidP="00C05C62">
      <w:pPr>
        <w:jc w:val="right"/>
      </w:pPr>
      <w:r>
        <w:t>”</w:t>
      </w:r>
    </w:p>
    <w:p w:rsidR="00C05C62" w:rsidRDefault="00C05C62" w:rsidP="00C05C62"/>
    <w:p w:rsidR="002F241A" w:rsidRPr="00400169" w:rsidRDefault="002F241A" w:rsidP="002F241A">
      <w:pPr>
        <w:widowControl/>
      </w:pPr>
      <w:r w:rsidRPr="00400169">
        <w:br w:type="page"/>
      </w:r>
    </w:p>
    <w:p w:rsidR="007D0189" w:rsidRPr="00400169" w:rsidRDefault="007D0189" w:rsidP="007D0189">
      <w:pPr>
        <w:pStyle w:val="Heading2"/>
        <w:ind w:left="0" w:firstLine="0"/>
      </w:pPr>
      <w:bookmarkStart w:id="69" w:name="_Toc374451232"/>
      <w:bookmarkStart w:id="70" w:name="_Toc120358598"/>
      <w:bookmarkStart w:id="71" w:name="_Toc175381460"/>
      <w:r w:rsidRPr="00400169">
        <w:lastRenderedPageBreak/>
        <w:t>Attachment B – Explanatory Statement</w:t>
      </w:r>
      <w:bookmarkEnd w:id="69"/>
    </w:p>
    <w:bookmarkEnd w:id="70"/>
    <w:bookmarkEnd w:id="71"/>
    <w:p w:rsidR="00F20964" w:rsidRPr="00400169" w:rsidRDefault="00F20964" w:rsidP="00F20964">
      <w:pPr>
        <w:rPr>
          <w:b/>
          <w:lang w:eastAsia="en-GB" w:bidi="ar-SA"/>
        </w:rPr>
      </w:pPr>
      <w:r w:rsidRPr="00400169">
        <w:rPr>
          <w:b/>
          <w:lang w:eastAsia="en-GB" w:bidi="ar-SA"/>
        </w:rPr>
        <w:t>1.</w:t>
      </w:r>
      <w:r w:rsidRPr="00400169">
        <w:rPr>
          <w:b/>
          <w:lang w:eastAsia="en-GB" w:bidi="ar-SA"/>
        </w:rPr>
        <w:tab/>
        <w:t>Authority</w:t>
      </w:r>
    </w:p>
    <w:p w:rsidR="00F20964" w:rsidRPr="00400169" w:rsidRDefault="00F20964" w:rsidP="00F20964">
      <w:pPr>
        <w:rPr>
          <w:lang w:eastAsia="en-GB" w:bidi="ar-SA"/>
        </w:rPr>
      </w:pPr>
    </w:p>
    <w:p w:rsidR="00F20964" w:rsidRPr="00400169" w:rsidRDefault="00F20964" w:rsidP="00F20964">
      <w:pPr>
        <w:rPr>
          <w:lang w:eastAsia="en-GB" w:bidi="ar-SA"/>
        </w:rPr>
      </w:pPr>
      <w:r w:rsidRPr="00400169">
        <w:rPr>
          <w:lang w:eastAsia="en-GB" w:bidi="ar-SA"/>
        </w:rPr>
        <w:t xml:space="preserve">Section 13 of the </w:t>
      </w:r>
      <w:r w:rsidRPr="00400169">
        <w:rPr>
          <w:i/>
          <w:lang w:eastAsia="en-GB" w:bidi="ar-SA"/>
        </w:rPr>
        <w:t>Food Standards Australia New Zealand Act 1991</w:t>
      </w:r>
      <w:r w:rsidRPr="00400169">
        <w:rPr>
          <w:lang w:eastAsia="en-GB" w:bidi="ar-SA"/>
        </w:rPr>
        <w:t xml:space="preserve"> (the FSANZ Act) provides that the functions of Food Standards Australia New Zealand (the Authority) include the development of standards and variations of standards for inclusion in </w:t>
      </w:r>
      <w:r w:rsidRPr="001365F2">
        <w:rPr>
          <w:lang w:eastAsia="en-GB" w:bidi="ar-SA"/>
        </w:rPr>
        <w:t>the</w:t>
      </w:r>
      <w:r w:rsidRPr="00400169">
        <w:rPr>
          <w:i/>
          <w:lang w:eastAsia="en-GB" w:bidi="ar-SA"/>
        </w:rPr>
        <w:t xml:space="preserve"> Australia New Zealand Food Standards Code</w:t>
      </w:r>
      <w:r w:rsidRPr="00400169">
        <w:rPr>
          <w:lang w:eastAsia="en-GB" w:bidi="ar-SA"/>
        </w:rPr>
        <w:t xml:space="preserve"> (the Code).`</w:t>
      </w:r>
    </w:p>
    <w:p w:rsidR="00F20964" w:rsidRPr="00400169" w:rsidRDefault="00F20964" w:rsidP="00F20964">
      <w:pPr>
        <w:rPr>
          <w:lang w:eastAsia="en-GB" w:bidi="ar-SA"/>
        </w:rPr>
      </w:pPr>
    </w:p>
    <w:p w:rsidR="00F20964" w:rsidRPr="00400169" w:rsidRDefault="00F20964" w:rsidP="00F20964">
      <w:pPr>
        <w:rPr>
          <w:lang w:eastAsia="en-GB" w:bidi="ar-SA"/>
        </w:rPr>
      </w:pPr>
      <w:r w:rsidRPr="00400169">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F20964" w:rsidRPr="00400169" w:rsidRDefault="00F20964" w:rsidP="00F20964">
      <w:pPr>
        <w:rPr>
          <w:lang w:eastAsia="en-GB" w:bidi="ar-SA"/>
        </w:rPr>
      </w:pPr>
    </w:p>
    <w:p w:rsidR="00F20964" w:rsidRPr="00400169" w:rsidRDefault="00C05C62" w:rsidP="00F20964">
      <w:pPr>
        <w:rPr>
          <w:lang w:eastAsia="en-GB" w:bidi="ar-SA"/>
        </w:rPr>
      </w:pPr>
      <w:r>
        <w:rPr>
          <w:rFonts w:eastAsiaTheme="minorHAnsi"/>
          <w:lang w:bidi="ar-SA"/>
        </w:rPr>
        <w:t>FSANZ accepted Application A1081</w:t>
      </w:r>
      <w:r w:rsidR="002F241A" w:rsidRPr="00400169">
        <w:rPr>
          <w:rFonts w:eastAsiaTheme="minorHAnsi"/>
          <w:lang w:bidi="ar-SA"/>
        </w:rPr>
        <w:t xml:space="preserve"> which seeks permission for the sale and use of food derived from herbicide-t</w:t>
      </w:r>
      <w:r>
        <w:rPr>
          <w:rFonts w:eastAsiaTheme="minorHAnsi"/>
          <w:lang w:bidi="ar-SA"/>
        </w:rPr>
        <w:t>olerant soybean line SYHT0H2</w:t>
      </w:r>
      <w:r w:rsidR="002F241A" w:rsidRPr="00400169">
        <w:rPr>
          <w:rFonts w:eastAsiaTheme="minorHAnsi"/>
          <w:lang w:bidi="ar-SA"/>
        </w:rPr>
        <w:t xml:space="preserve">. </w:t>
      </w:r>
      <w:r w:rsidR="00F20964" w:rsidRPr="00400169">
        <w:rPr>
          <w:lang w:eastAsia="en-GB" w:bidi="ar-SA"/>
        </w:rPr>
        <w:t>The Authority considered the Application in accordance with Divis</w:t>
      </w:r>
      <w:r w:rsidR="00643BA9" w:rsidRPr="00400169">
        <w:rPr>
          <w:lang w:eastAsia="en-GB" w:bidi="ar-SA"/>
        </w:rPr>
        <w:t>ion 1 of Part 3 and has approved</w:t>
      </w:r>
      <w:r>
        <w:rPr>
          <w:lang w:eastAsia="en-GB" w:bidi="ar-SA"/>
        </w:rPr>
        <w:t xml:space="preserve"> the</w:t>
      </w:r>
      <w:r w:rsidR="00AB1090">
        <w:rPr>
          <w:lang w:eastAsia="en-GB" w:bidi="ar-SA"/>
        </w:rPr>
        <w:t xml:space="preserve"> variation to</w:t>
      </w:r>
      <w:r w:rsidR="00F20964" w:rsidRPr="00400169">
        <w:rPr>
          <w:lang w:eastAsia="en-GB" w:bidi="ar-SA"/>
        </w:rPr>
        <w:t xml:space="preserve"> Standard</w:t>
      </w:r>
      <w:r w:rsidR="00AB1090">
        <w:rPr>
          <w:lang w:eastAsia="en-GB" w:bidi="ar-SA"/>
        </w:rPr>
        <w:t xml:space="preserve"> 1.5.2</w:t>
      </w:r>
      <w:r w:rsidR="00F20964" w:rsidRPr="00400169">
        <w:rPr>
          <w:lang w:eastAsia="en-GB" w:bidi="ar-SA"/>
        </w:rPr>
        <w:t xml:space="preserve">. </w:t>
      </w:r>
    </w:p>
    <w:p w:rsidR="00F20964" w:rsidRPr="00400169" w:rsidRDefault="00F20964" w:rsidP="00F20964">
      <w:pPr>
        <w:rPr>
          <w:lang w:eastAsia="en-GB" w:bidi="ar-SA"/>
        </w:rPr>
      </w:pPr>
    </w:p>
    <w:p w:rsidR="00F20964" w:rsidRPr="00400169" w:rsidRDefault="00AB1090" w:rsidP="00F20964">
      <w:pPr>
        <w:rPr>
          <w:lang w:eastAsia="en-GB" w:bidi="ar-SA"/>
        </w:rPr>
      </w:pPr>
      <w:r>
        <w:rPr>
          <w:lang w:eastAsia="en-GB" w:bidi="ar-SA"/>
        </w:rPr>
        <w:t xml:space="preserve">Following consideration by </w:t>
      </w:r>
      <w:r w:rsidR="00F20964" w:rsidRPr="00400169">
        <w:rPr>
          <w:lang w:eastAsia="en-GB" w:bidi="ar-SA"/>
        </w:rPr>
        <w:t>COAG Legislative and Governance Forum on Food Regulation</w:t>
      </w:r>
      <w:r w:rsidR="00F20964" w:rsidRPr="00400169">
        <w:rPr>
          <w:rStyle w:val="FootnoteReference"/>
          <w:lang w:eastAsia="en-GB" w:bidi="ar-SA"/>
        </w:rPr>
        <w:footnoteReference w:id="8"/>
      </w:r>
      <w:r w:rsidR="00F20964" w:rsidRPr="00400169">
        <w:rPr>
          <w:lang w:eastAsia="en-GB" w:bidi="ar-SA"/>
        </w:rPr>
        <w:t xml:space="preserve">, section 92 of the FSANZ Act stipulates that the Authority must publish a notice about the variation of a standard. </w:t>
      </w:r>
    </w:p>
    <w:p w:rsidR="00F20964" w:rsidRPr="00400169" w:rsidRDefault="00F20964" w:rsidP="00F20964">
      <w:pPr>
        <w:rPr>
          <w:lang w:eastAsia="en-GB" w:bidi="ar-SA"/>
        </w:rPr>
      </w:pPr>
    </w:p>
    <w:p w:rsidR="00F20964" w:rsidRPr="00400169" w:rsidRDefault="00F20964" w:rsidP="00F20964">
      <w:pPr>
        <w:rPr>
          <w:i/>
          <w:lang w:eastAsia="en-GB" w:bidi="ar-SA"/>
        </w:rPr>
      </w:pPr>
      <w:r w:rsidRPr="00400169">
        <w:rPr>
          <w:lang w:eastAsia="en-GB" w:bidi="ar-SA"/>
        </w:rPr>
        <w:t xml:space="preserve">Section 94 of the FSANZ Act specifies that a standard, or a variation of a standard, in relation to which a notice is published under section 92 is a legislative instrument, but is not subject to parliamentary disallowance or sunsetting under the </w:t>
      </w:r>
      <w:r w:rsidRPr="00400169">
        <w:rPr>
          <w:i/>
          <w:lang w:eastAsia="en-GB" w:bidi="ar-SA"/>
        </w:rPr>
        <w:t>Legislative Instruments Act 2003.</w:t>
      </w:r>
    </w:p>
    <w:p w:rsidR="00F20964" w:rsidRPr="00400169" w:rsidRDefault="00F20964" w:rsidP="00F20964">
      <w:pPr>
        <w:rPr>
          <w:lang w:eastAsia="en-GB" w:bidi="ar-SA"/>
        </w:rPr>
      </w:pPr>
    </w:p>
    <w:p w:rsidR="00F20964" w:rsidRPr="00400169" w:rsidRDefault="00F20964" w:rsidP="00F20964">
      <w:pPr>
        <w:rPr>
          <w:b/>
          <w:lang w:eastAsia="en-GB" w:bidi="ar-SA"/>
        </w:rPr>
      </w:pPr>
      <w:r w:rsidRPr="00400169">
        <w:rPr>
          <w:b/>
          <w:lang w:eastAsia="en-GB" w:bidi="ar-SA"/>
        </w:rPr>
        <w:t>2.</w:t>
      </w:r>
      <w:r w:rsidRPr="00400169">
        <w:rPr>
          <w:b/>
          <w:lang w:eastAsia="en-GB" w:bidi="ar-SA"/>
        </w:rPr>
        <w:tab/>
        <w:t>Purpose and operation</w:t>
      </w:r>
    </w:p>
    <w:p w:rsidR="00F20964" w:rsidRPr="00400169" w:rsidRDefault="00F20964" w:rsidP="00F20964">
      <w:pPr>
        <w:rPr>
          <w:lang w:eastAsia="en-GB" w:bidi="ar-SA"/>
        </w:rPr>
      </w:pPr>
    </w:p>
    <w:p w:rsidR="00F20964" w:rsidRPr="00400169" w:rsidRDefault="00F20964" w:rsidP="00993B7D">
      <w:pPr>
        <w:rPr>
          <w:lang w:eastAsia="en-GB" w:bidi="ar-SA"/>
        </w:rPr>
      </w:pPr>
      <w:r w:rsidRPr="00400169">
        <w:rPr>
          <w:lang w:eastAsia="en-GB" w:bidi="ar-SA"/>
        </w:rPr>
        <w:t>As it is not listed in the Schedule to Standa</w:t>
      </w:r>
      <w:r w:rsidR="00643BA9" w:rsidRPr="00400169">
        <w:rPr>
          <w:lang w:eastAsia="en-GB" w:bidi="ar-SA"/>
        </w:rPr>
        <w:t>rd</w:t>
      </w:r>
      <w:r w:rsidR="002F241A" w:rsidRPr="00400169">
        <w:rPr>
          <w:lang w:eastAsia="en-GB" w:bidi="ar-SA"/>
        </w:rPr>
        <w:t xml:space="preserve"> 1.5.2, food derived from soybean line</w:t>
      </w:r>
      <w:r w:rsidR="00C05C62">
        <w:rPr>
          <w:lang w:eastAsia="en-GB" w:bidi="ar-SA"/>
        </w:rPr>
        <w:t xml:space="preserve"> SYHT0H2</w:t>
      </w:r>
      <w:r w:rsidRPr="00400169">
        <w:rPr>
          <w:lang w:eastAsia="en-GB" w:bidi="ar-SA"/>
        </w:rPr>
        <w:t xml:space="preserve"> is not currently permitted for sale </w:t>
      </w:r>
      <w:r w:rsidR="00643BA9" w:rsidRPr="00400169">
        <w:rPr>
          <w:lang w:eastAsia="en-GB" w:bidi="ar-SA"/>
        </w:rPr>
        <w:t xml:space="preserve">or use in food. </w:t>
      </w:r>
      <w:r w:rsidR="00993B7D" w:rsidRPr="00400169">
        <w:rPr>
          <w:lang w:eastAsia="en-GB" w:bidi="ar-SA"/>
        </w:rPr>
        <w:t>This variation</w:t>
      </w:r>
      <w:r w:rsidRPr="00400169">
        <w:rPr>
          <w:lang w:eastAsia="en-GB" w:bidi="ar-SA"/>
        </w:rPr>
        <w:t xml:space="preserve"> </w:t>
      </w:r>
      <w:r w:rsidR="00205F87" w:rsidRPr="00400169">
        <w:rPr>
          <w:lang w:eastAsia="en-GB" w:bidi="ar-SA"/>
        </w:rPr>
        <w:t>permit</w:t>
      </w:r>
      <w:r w:rsidR="00993B7D" w:rsidRPr="00400169">
        <w:rPr>
          <w:lang w:eastAsia="en-GB" w:bidi="ar-SA"/>
        </w:rPr>
        <w:t>s</w:t>
      </w:r>
      <w:r w:rsidR="00205F87" w:rsidRPr="00400169">
        <w:rPr>
          <w:lang w:eastAsia="en-GB" w:bidi="ar-SA"/>
        </w:rPr>
        <w:t xml:space="preserve"> the sale, or use in food, of</w:t>
      </w:r>
      <w:r w:rsidR="002F241A" w:rsidRPr="00400169">
        <w:rPr>
          <w:lang w:eastAsia="en-GB" w:bidi="ar-SA"/>
        </w:rPr>
        <w:t xml:space="preserve"> food deriv</w:t>
      </w:r>
      <w:r w:rsidR="00C05C62">
        <w:rPr>
          <w:lang w:eastAsia="en-GB" w:bidi="ar-SA"/>
        </w:rPr>
        <w:t>ed from soybean line SYHT0H2.</w:t>
      </w:r>
    </w:p>
    <w:p w:rsidR="00F20964" w:rsidRPr="00400169" w:rsidRDefault="00F20964" w:rsidP="00F20964">
      <w:pPr>
        <w:rPr>
          <w:lang w:eastAsia="en-GB" w:bidi="ar-SA"/>
        </w:rPr>
      </w:pPr>
    </w:p>
    <w:p w:rsidR="00F20964" w:rsidRPr="00400169" w:rsidRDefault="00F20964" w:rsidP="00F20964">
      <w:pPr>
        <w:rPr>
          <w:b/>
          <w:lang w:eastAsia="en-GB" w:bidi="ar-SA"/>
        </w:rPr>
      </w:pPr>
      <w:r w:rsidRPr="00400169">
        <w:rPr>
          <w:b/>
          <w:lang w:eastAsia="en-GB" w:bidi="ar-SA"/>
        </w:rPr>
        <w:t>3.</w:t>
      </w:r>
      <w:r w:rsidRPr="00400169">
        <w:rPr>
          <w:b/>
          <w:lang w:eastAsia="en-GB" w:bidi="ar-SA"/>
        </w:rPr>
        <w:tab/>
        <w:t>Documents incorporated by reference</w:t>
      </w:r>
    </w:p>
    <w:p w:rsidR="00F20964" w:rsidRPr="00400169" w:rsidRDefault="00F20964" w:rsidP="00F20964">
      <w:pPr>
        <w:rPr>
          <w:lang w:eastAsia="en-GB" w:bidi="ar-SA"/>
        </w:rPr>
      </w:pPr>
    </w:p>
    <w:p w:rsidR="00F20964" w:rsidRPr="00400169" w:rsidRDefault="00643BA9" w:rsidP="00F20964">
      <w:pPr>
        <w:rPr>
          <w:lang w:eastAsia="en-GB" w:bidi="ar-SA"/>
        </w:rPr>
      </w:pPr>
      <w:r w:rsidRPr="00400169">
        <w:rPr>
          <w:rFonts w:eastAsia="Calibri" w:cs="Arial"/>
          <w:bCs/>
          <w:szCs w:val="22"/>
          <w:lang w:bidi="ar-SA"/>
        </w:rPr>
        <w:t>Th</w:t>
      </w:r>
      <w:r w:rsidR="000C08DE" w:rsidRPr="00400169">
        <w:rPr>
          <w:rFonts w:eastAsia="Calibri" w:cs="Arial"/>
          <w:bCs/>
          <w:szCs w:val="22"/>
          <w:lang w:bidi="ar-SA"/>
        </w:rPr>
        <w:t xml:space="preserve">is </w:t>
      </w:r>
      <w:r w:rsidRPr="00400169">
        <w:rPr>
          <w:rFonts w:eastAsia="Calibri" w:cs="Arial"/>
          <w:bCs/>
          <w:szCs w:val="22"/>
          <w:lang w:bidi="ar-SA"/>
        </w:rPr>
        <w:t>variation</w:t>
      </w:r>
      <w:r w:rsidR="000C08DE" w:rsidRPr="00400169">
        <w:rPr>
          <w:rFonts w:eastAsia="Calibri" w:cs="Arial"/>
          <w:bCs/>
          <w:szCs w:val="22"/>
          <w:lang w:bidi="ar-SA"/>
        </w:rPr>
        <w:t xml:space="preserve"> does </w:t>
      </w:r>
      <w:r w:rsidR="00F20964" w:rsidRPr="00400169">
        <w:rPr>
          <w:lang w:eastAsia="en-GB" w:bidi="ar-SA"/>
        </w:rPr>
        <w:t>not incorporate any documents by reference.</w:t>
      </w:r>
    </w:p>
    <w:p w:rsidR="00F20964" w:rsidRPr="00400169" w:rsidRDefault="00F20964" w:rsidP="00F20964">
      <w:pPr>
        <w:rPr>
          <w:lang w:eastAsia="en-GB" w:bidi="ar-SA"/>
        </w:rPr>
      </w:pPr>
    </w:p>
    <w:p w:rsidR="00F20964" w:rsidRPr="00400169" w:rsidRDefault="00F20964" w:rsidP="00F20964">
      <w:pPr>
        <w:rPr>
          <w:b/>
          <w:lang w:eastAsia="en-GB" w:bidi="ar-SA"/>
        </w:rPr>
      </w:pPr>
      <w:r w:rsidRPr="00400169">
        <w:rPr>
          <w:b/>
          <w:lang w:eastAsia="en-GB" w:bidi="ar-SA"/>
        </w:rPr>
        <w:t>4.</w:t>
      </w:r>
      <w:r w:rsidRPr="00400169">
        <w:rPr>
          <w:b/>
          <w:lang w:eastAsia="en-GB" w:bidi="ar-SA"/>
        </w:rPr>
        <w:tab/>
        <w:t>Consultation</w:t>
      </w:r>
    </w:p>
    <w:p w:rsidR="00F20964" w:rsidRPr="00400169" w:rsidRDefault="00F20964" w:rsidP="00F20964">
      <w:pPr>
        <w:rPr>
          <w:lang w:eastAsia="en-GB" w:bidi="ar-SA"/>
        </w:rPr>
      </w:pPr>
    </w:p>
    <w:p w:rsidR="00F20964" w:rsidRPr="00400169" w:rsidRDefault="00F20964" w:rsidP="00F20964">
      <w:pPr>
        <w:rPr>
          <w:lang w:eastAsia="en-GB" w:bidi="ar-SA"/>
        </w:rPr>
      </w:pPr>
      <w:r w:rsidRPr="00400169">
        <w:rPr>
          <w:lang w:eastAsia="en-GB" w:bidi="ar-SA"/>
        </w:rPr>
        <w:t>In accordance with the procedure in Division 1 of Part 3 of the FSANZ Act, the Authority’s co</w:t>
      </w:r>
      <w:r w:rsidR="00C05C62">
        <w:rPr>
          <w:lang w:eastAsia="en-GB" w:bidi="ar-SA"/>
        </w:rPr>
        <w:t>nsideration of Application A1081</w:t>
      </w:r>
      <w:r w:rsidRPr="00400169">
        <w:rPr>
          <w:lang w:eastAsia="en-GB" w:bidi="ar-SA"/>
        </w:rPr>
        <w:t xml:space="preserve"> included one round of public consultation following an assessment and the preparation of a draft variation to the Standard</w:t>
      </w:r>
      <w:r w:rsidR="00643BA9" w:rsidRPr="00400169">
        <w:rPr>
          <w:lang w:eastAsia="en-GB" w:bidi="ar-SA"/>
        </w:rPr>
        <w:t xml:space="preserve"> and associated report. Submissions were called for on </w:t>
      </w:r>
      <w:r w:rsidR="00C05C62">
        <w:rPr>
          <w:lang w:eastAsia="en-GB" w:bidi="ar-SA"/>
        </w:rPr>
        <w:t>12 July 2013</w:t>
      </w:r>
      <w:r w:rsidR="0026198C">
        <w:rPr>
          <w:lang w:eastAsia="en-GB" w:bidi="ar-SA"/>
        </w:rPr>
        <w:t xml:space="preserve"> for an eight</w:t>
      </w:r>
      <w:r w:rsidRPr="00400169">
        <w:rPr>
          <w:lang w:eastAsia="en-GB" w:bidi="ar-SA"/>
        </w:rPr>
        <w:t xml:space="preserve">-week consultation period. </w:t>
      </w:r>
    </w:p>
    <w:p w:rsidR="00F20964" w:rsidRPr="00400169" w:rsidRDefault="00F20964" w:rsidP="00F20964">
      <w:pPr>
        <w:rPr>
          <w:lang w:eastAsia="en-GB" w:bidi="ar-SA"/>
        </w:rPr>
      </w:pPr>
    </w:p>
    <w:p w:rsidR="00F20964" w:rsidRPr="00400169" w:rsidRDefault="00F20964" w:rsidP="00F20964">
      <w:pPr>
        <w:rPr>
          <w:lang w:eastAsia="en-GB" w:bidi="ar-SA"/>
        </w:rPr>
      </w:pPr>
      <w:r w:rsidRPr="00400169">
        <w:rPr>
          <w:lang w:eastAsia="en-GB" w:bidi="ar-SA"/>
        </w:rPr>
        <w:t xml:space="preserve">A Regulation Impact Statement was not required because the </w:t>
      </w:r>
      <w:r w:rsidR="00643BA9" w:rsidRPr="00400169">
        <w:rPr>
          <w:lang w:eastAsia="en-GB" w:bidi="ar-SA"/>
        </w:rPr>
        <w:t xml:space="preserve">proposed </w:t>
      </w:r>
      <w:r w:rsidRPr="00400169">
        <w:rPr>
          <w:lang w:eastAsia="en-GB" w:bidi="ar-SA"/>
        </w:rPr>
        <w:t xml:space="preserve">variation to Standard 1.5.2 is likely to have a minor impact on business and individuals. </w:t>
      </w:r>
    </w:p>
    <w:p w:rsidR="00F20964" w:rsidRPr="00400169" w:rsidRDefault="00F20964" w:rsidP="00F20964">
      <w:pPr>
        <w:rPr>
          <w:lang w:eastAsia="en-GB" w:bidi="ar-SA"/>
        </w:rPr>
      </w:pPr>
    </w:p>
    <w:p w:rsidR="00F20964" w:rsidRPr="00400169" w:rsidRDefault="00F20964" w:rsidP="00F20964">
      <w:pPr>
        <w:rPr>
          <w:b/>
          <w:lang w:eastAsia="en-GB" w:bidi="ar-SA"/>
        </w:rPr>
      </w:pPr>
      <w:r w:rsidRPr="00400169">
        <w:rPr>
          <w:b/>
          <w:lang w:eastAsia="en-GB" w:bidi="ar-SA"/>
        </w:rPr>
        <w:t>5.</w:t>
      </w:r>
      <w:r w:rsidRPr="00400169">
        <w:rPr>
          <w:b/>
          <w:lang w:eastAsia="en-GB" w:bidi="ar-SA"/>
        </w:rPr>
        <w:tab/>
        <w:t>Statement of compatibility with human rights</w:t>
      </w:r>
    </w:p>
    <w:p w:rsidR="00F20964" w:rsidRPr="00400169" w:rsidRDefault="00F20964" w:rsidP="00F20964">
      <w:pPr>
        <w:rPr>
          <w:lang w:eastAsia="en-GB" w:bidi="ar-SA"/>
        </w:rPr>
      </w:pPr>
    </w:p>
    <w:p w:rsidR="00147B53" w:rsidRDefault="00F20964" w:rsidP="00205F87">
      <w:pPr>
        <w:rPr>
          <w:lang w:eastAsia="en-GB" w:bidi="ar-SA"/>
        </w:rPr>
      </w:pPr>
      <w:r w:rsidRPr="00400169">
        <w:rPr>
          <w:lang w:eastAsia="en-GB" w:bidi="ar-SA"/>
        </w:rPr>
        <w:t>This instrument is exempt from the requirements for a statement of compatibility with human rights as it is a non-disallowable instrument under section 94 of the FSANZ Act.</w:t>
      </w:r>
      <w:r w:rsidR="00147B53">
        <w:rPr>
          <w:lang w:eastAsia="en-GB" w:bidi="ar-SA"/>
        </w:rPr>
        <w:br w:type="page"/>
      </w:r>
    </w:p>
    <w:p w:rsidR="00F20964" w:rsidRPr="00400169" w:rsidRDefault="00F20964" w:rsidP="00205F87">
      <w:pPr>
        <w:rPr>
          <w:b/>
          <w:lang w:eastAsia="en-GB" w:bidi="ar-SA"/>
        </w:rPr>
      </w:pPr>
      <w:r w:rsidRPr="00400169">
        <w:rPr>
          <w:b/>
          <w:lang w:eastAsia="en-GB" w:bidi="ar-SA"/>
        </w:rPr>
        <w:lastRenderedPageBreak/>
        <w:t>6.</w:t>
      </w:r>
      <w:r w:rsidRPr="00400169">
        <w:rPr>
          <w:b/>
          <w:lang w:eastAsia="en-GB" w:bidi="ar-SA"/>
        </w:rPr>
        <w:tab/>
        <w:t xml:space="preserve">Variation </w:t>
      </w:r>
    </w:p>
    <w:p w:rsidR="00F20964" w:rsidRPr="00400169" w:rsidRDefault="00F20964" w:rsidP="00F20964">
      <w:pPr>
        <w:rPr>
          <w:lang w:eastAsia="en-GB" w:bidi="ar-SA"/>
        </w:rPr>
      </w:pPr>
    </w:p>
    <w:p w:rsidR="0012388D" w:rsidRPr="00400169" w:rsidRDefault="00F20964" w:rsidP="00F20964">
      <w:pPr>
        <w:rPr>
          <w:lang w:eastAsia="en-GB" w:bidi="ar-SA"/>
        </w:rPr>
      </w:pPr>
      <w:r w:rsidRPr="00400169">
        <w:rPr>
          <w:lang w:eastAsia="en-GB" w:bidi="ar-SA"/>
        </w:rPr>
        <w:t xml:space="preserve">This </w:t>
      </w:r>
      <w:r w:rsidR="00643BA9" w:rsidRPr="00400169">
        <w:rPr>
          <w:lang w:eastAsia="en-GB" w:bidi="ar-SA"/>
        </w:rPr>
        <w:t>it</w:t>
      </w:r>
      <w:r w:rsidR="002F241A" w:rsidRPr="00400169">
        <w:rPr>
          <w:lang w:eastAsia="en-GB" w:bidi="ar-SA"/>
        </w:rPr>
        <w:t xml:space="preserve">em adds food derived from soybean line </w:t>
      </w:r>
      <w:r w:rsidR="00C05C62">
        <w:rPr>
          <w:lang w:eastAsia="en-GB" w:bidi="ar-SA"/>
        </w:rPr>
        <w:t>SYHT0H2</w:t>
      </w:r>
      <w:r w:rsidR="00E0047D">
        <w:rPr>
          <w:lang w:eastAsia="en-GB" w:bidi="ar-SA"/>
        </w:rPr>
        <w:t xml:space="preserve"> </w:t>
      </w:r>
      <w:r w:rsidRPr="00400169">
        <w:rPr>
          <w:lang w:eastAsia="en-GB" w:bidi="ar-SA"/>
        </w:rPr>
        <w:t>to the Schedule to Standard 1.5.2.</w:t>
      </w:r>
    </w:p>
    <w:sectPr w:rsidR="0012388D" w:rsidRPr="00400169" w:rsidSect="00F2096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B3" w:rsidRDefault="00FF27B3">
      <w:r>
        <w:separator/>
      </w:r>
    </w:p>
  </w:endnote>
  <w:endnote w:type="continuationSeparator" w:id="0">
    <w:p w:rsidR="00FF27B3" w:rsidRDefault="00FF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B3" w:rsidRDefault="00FF27B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7B3" w:rsidRDefault="00FF2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FF27B3" w:rsidRDefault="00FF27B3" w:rsidP="00A671E6">
        <w:pPr>
          <w:pStyle w:val="Footer"/>
          <w:jc w:val="center"/>
        </w:pPr>
        <w:r>
          <w:fldChar w:fldCharType="begin"/>
        </w:r>
        <w:r>
          <w:instrText xml:space="preserve"> PAGE   \* MERGEFORMAT </w:instrText>
        </w:r>
        <w:r>
          <w:fldChar w:fldCharType="separate"/>
        </w:r>
        <w:r w:rsidR="00FC22F0">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D5" w:rsidRDefault="00D84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B3" w:rsidRDefault="00FF27B3">
      <w:r>
        <w:separator/>
      </w:r>
    </w:p>
  </w:footnote>
  <w:footnote w:type="continuationSeparator" w:id="0">
    <w:p w:rsidR="00FF27B3" w:rsidRDefault="00FF27B3">
      <w:r>
        <w:continuationSeparator/>
      </w:r>
    </w:p>
  </w:footnote>
  <w:footnote w:id="1">
    <w:p w:rsidR="00FF27B3" w:rsidRPr="00B90B03" w:rsidRDefault="00FF27B3" w:rsidP="009B52B3">
      <w:pPr>
        <w:rPr>
          <w:sz w:val="18"/>
          <w:szCs w:val="18"/>
          <w:lang w:val="en-AU"/>
        </w:rPr>
      </w:pPr>
      <w:r w:rsidRPr="00B90B03">
        <w:rPr>
          <w:sz w:val="18"/>
          <w:szCs w:val="18"/>
          <w:vertAlign w:val="superscript"/>
        </w:rPr>
        <w:footnoteRef/>
      </w:r>
      <w:r w:rsidRPr="00B90B03">
        <w:rPr>
          <w:sz w:val="18"/>
          <w:szCs w:val="18"/>
        </w:rPr>
        <w:t xml:space="preserve"> </w:t>
      </w:r>
      <w:r w:rsidRPr="00B90B03">
        <w:rPr>
          <w:sz w:val="18"/>
          <w:szCs w:val="18"/>
          <w:lang w:val="en-AU"/>
        </w:rPr>
        <w:t>Previously known as the Australia and New Zealand Food Regulation Ministerial Council</w:t>
      </w:r>
    </w:p>
  </w:footnote>
  <w:footnote w:id="2">
    <w:p w:rsidR="00FF27B3" w:rsidRPr="009549B7" w:rsidRDefault="00FF27B3">
      <w:pPr>
        <w:pStyle w:val="FootnoteText"/>
        <w:rPr>
          <w:sz w:val="18"/>
          <w:szCs w:val="18"/>
          <w:lang w:val="en-AU"/>
        </w:rPr>
      </w:pPr>
      <w:r w:rsidRPr="009549B7">
        <w:rPr>
          <w:rStyle w:val="FootnoteReference"/>
          <w:sz w:val="18"/>
        </w:rPr>
        <w:footnoteRef/>
      </w:r>
      <w:r w:rsidRPr="009549B7">
        <w:rPr>
          <w:sz w:val="18"/>
        </w:rPr>
        <w:t xml:space="preserve"> </w:t>
      </w:r>
      <w:r w:rsidRPr="009549B7">
        <w:rPr>
          <w:sz w:val="18"/>
          <w:szCs w:val="18"/>
          <w:lang w:val="en-AU"/>
        </w:rPr>
        <w:t>Now known as th</w:t>
      </w:r>
      <w:r>
        <w:rPr>
          <w:sz w:val="18"/>
          <w:szCs w:val="18"/>
          <w:lang w:val="en-AU"/>
        </w:rPr>
        <w:t>e Implementation Subcommittee for</w:t>
      </w:r>
      <w:r w:rsidRPr="009549B7">
        <w:rPr>
          <w:sz w:val="18"/>
          <w:szCs w:val="18"/>
          <w:lang w:val="en-AU"/>
        </w:rPr>
        <w:t xml:space="preserve"> Food Regulation</w:t>
      </w:r>
    </w:p>
  </w:footnote>
  <w:footnote w:id="3">
    <w:p w:rsidR="00FF27B3" w:rsidRPr="009549B7" w:rsidRDefault="00FF27B3">
      <w:pPr>
        <w:pStyle w:val="FootnoteText"/>
        <w:rPr>
          <w:sz w:val="18"/>
          <w:szCs w:val="18"/>
          <w:lang w:val="en-AU"/>
        </w:rPr>
      </w:pPr>
      <w:r w:rsidRPr="009549B7">
        <w:rPr>
          <w:rStyle w:val="FootnoteReference"/>
          <w:sz w:val="18"/>
          <w:szCs w:val="18"/>
        </w:rPr>
        <w:footnoteRef/>
      </w:r>
      <w:r w:rsidRPr="009549B7">
        <w:rPr>
          <w:sz w:val="18"/>
          <w:szCs w:val="18"/>
        </w:rPr>
        <w:t xml:space="preserve"> </w:t>
      </w:r>
      <w:r w:rsidRPr="009549B7">
        <w:rPr>
          <w:rFonts w:cs="Arial"/>
          <w:color w:val="000000" w:themeColor="text1"/>
          <w:sz w:val="18"/>
          <w:szCs w:val="18"/>
        </w:rPr>
        <w:t>(</w:t>
      </w:r>
      <w:hyperlink r:id="rId1" w:history="1">
        <w:r w:rsidRPr="009549B7">
          <w:rPr>
            <w:rStyle w:val="Hyperlink"/>
            <w:rFonts w:cs="Arial"/>
            <w:bCs/>
            <w:sz w:val="18"/>
            <w:szCs w:val="18"/>
            <w:lang w:val="en" w:eastAsia="en-GB"/>
          </w:rPr>
          <w:t>https://www.facebook.com/TruefoodNetwork/posts/10151547780856299</w:t>
        </w:r>
      </w:hyperlink>
      <w:r w:rsidRPr="009549B7">
        <w:rPr>
          <w:rFonts w:cs="Arial"/>
          <w:color w:val="000000" w:themeColor="text1"/>
          <w:sz w:val="18"/>
          <w:szCs w:val="18"/>
        </w:rPr>
        <w:t>)</w:t>
      </w:r>
    </w:p>
  </w:footnote>
  <w:footnote w:id="4">
    <w:p w:rsidR="00FF27B3" w:rsidRPr="009549B7" w:rsidRDefault="00FF27B3">
      <w:pPr>
        <w:pStyle w:val="FootnoteText"/>
        <w:rPr>
          <w:sz w:val="18"/>
          <w:szCs w:val="18"/>
          <w:lang w:val="en-AU"/>
        </w:rPr>
      </w:pPr>
      <w:r w:rsidRPr="009549B7">
        <w:rPr>
          <w:rStyle w:val="FootnoteReference"/>
          <w:sz w:val="18"/>
          <w:szCs w:val="18"/>
        </w:rPr>
        <w:footnoteRef/>
      </w:r>
      <w:r w:rsidRPr="009549B7">
        <w:rPr>
          <w:sz w:val="18"/>
          <w:szCs w:val="18"/>
        </w:rPr>
        <w:t xml:space="preserve"> </w:t>
      </w:r>
      <w:r w:rsidRPr="009549B7">
        <w:rPr>
          <w:rFonts w:cs="Arial"/>
          <w:color w:val="000000" w:themeColor="text1"/>
          <w:sz w:val="18"/>
          <w:szCs w:val="18"/>
        </w:rPr>
        <w:t>(</w:t>
      </w:r>
      <w:hyperlink r:id="rId2" w:history="1">
        <w:r w:rsidRPr="009549B7">
          <w:rPr>
            <w:rStyle w:val="Hyperlink"/>
            <w:rFonts w:cs="Arial"/>
            <w:sz w:val="18"/>
            <w:szCs w:val="18"/>
          </w:rPr>
          <w:t>https://www.facebook.com/safefoodfoundation/posts/532736996791527</w:t>
        </w:r>
      </w:hyperlink>
      <w:r w:rsidRPr="009549B7">
        <w:rPr>
          <w:rFonts w:cs="Arial"/>
          <w:color w:val="000000" w:themeColor="text1"/>
          <w:sz w:val="18"/>
          <w:szCs w:val="18"/>
        </w:rPr>
        <w:t>)</w:t>
      </w:r>
    </w:p>
  </w:footnote>
  <w:footnote w:id="5">
    <w:p w:rsidR="00FF27B3" w:rsidRPr="00790014" w:rsidRDefault="00FF27B3">
      <w:pPr>
        <w:pStyle w:val="FootnoteText"/>
        <w:rPr>
          <w:sz w:val="16"/>
          <w:szCs w:val="16"/>
        </w:rPr>
      </w:pPr>
      <w:r>
        <w:rPr>
          <w:rStyle w:val="FootnoteReference"/>
        </w:rPr>
        <w:footnoteRef/>
      </w:r>
      <w:r>
        <w:t xml:space="preserve"> </w:t>
      </w:r>
      <w:r w:rsidRPr="00790014">
        <w:rPr>
          <w:sz w:val="16"/>
          <w:szCs w:val="16"/>
        </w:rPr>
        <w:t>S</w:t>
      </w:r>
      <w:r w:rsidRPr="00790014">
        <w:rPr>
          <w:rFonts w:cs="Arial"/>
          <w:sz w:val="16"/>
          <w:szCs w:val="16"/>
        </w:rPr>
        <w:t>é</w:t>
      </w:r>
      <w:r w:rsidRPr="00790014">
        <w:rPr>
          <w:sz w:val="16"/>
          <w:szCs w:val="16"/>
        </w:rPr>
        <w:t xml:space="preserve">ralini, G.-E.; Clair, E.; </w:t>
      </w:r>
      <w:proofErr w:type="spellStart"/>
      <w:r w:rsidRPr="00790014">
        <w:rPr>
          <w:sz w:val="16"/>
          <w:szCs w:val="16"/>
        </w:rPr>
        <w:t>Mesnage</w:t>
      </w:r>
      <w:proofErr w:type="spellEnd"/>
      <w:r w:rsidRPr="00790014">
        <w:rPr>
          <w:sz w:val="16"/>
          <w:szCs w:val="16"/>
        </w:rPr>
        <w:t xml:space="preserve">, R.; </w:t>
      </w:r>
      <w:proofErr w:type="spellStart"/>
      <w:r w:rsidRPr="00790014">
        <w:rPr>
          <w:sz w:val="16"/>
          <w:szCs w:val="16"/>
        </w:rPr>
        <w:t>Gress</w:t>
      </w:r>
      <w:proofErr w:type="spellEnd"/>
      <w:r w:rsidRPr="00790014">
        <w:rPr>
          <w:sz w:val="16"/>
          <w:szCs w:val="16"/>
        </w:rPr>
        <w:t xml:space="preserve">, S.; </w:t>
      </w:r>
      <w:proofErr w:type="spellStart"/>
      <w:r w:rsidRPr="00790014">
        <w:rPr>
          <w:sz w:val="16"/>
          <w:szCs w:val="16"/>
        </w:rPr>
        <w:t>Defarge</w:t>
      </w:r>
      <w:proofErr w:type="spellEnd"/>
      <w:r w:rsidRPr="00790014">
        <w:rPr>
          <w:sz w:val="16"/>
          <w:szCs w:val="16"/>
        </w:rPr>
        <w:t xml:space="preserve">, N.; </w:t>
      </w:r>
      <w:proofErr w:type="spellStart"/>
      <w:r w:rsidRPr="00790014">
        <w:rPr>
          <w:sz w:val="16"/>
          <w:szCs w:val="16"/>
        </w:rPr>
        <w:t>Malatesta</w:t>
      </w:r>
      <w:proofErr w:type="spellEnd"/>
      <w:r w:rsidRPr="00790014">
        <w:rPr>
          <w:sz w:val="16"/>
          <w:szCs w:val="16"/>
        </w:rPr>
        <w:t xml:space="preserve">, M.; </w:t>
      </w:r>
      <w:proofErr w:type="spellStart"/>
      <w:r w:rsidRPr="00790014">
        <w:rPr>
          <w:sz w:val="16"/>
          <w:szCs w:val="16"/>
        </w:rPr>
        <w:t>Hennequin</w:t>
      </w:r>
      <w:proofErr w:type="spellEnd"/>
      <w:r w:rsidRPr="00790014">
        <w:rPr>
          <w:sz w:val="16"/>
          <w:szCs w:val="16"/>
        </w:rPr>
        <w:t xml:space="preserve">, D.; </w:t>
      </w:r>
      <w:proofErr w:type="spellStart"/>
      <w:r w:rsidRPr="00790014">
        <w:rPr>
          <w:sz w:val="16"/>
          <w:szCs w:val="16"/>
        </w:rPr>
        <w:t>Spiroux</w:t>
      </w:r>
      <w:proofErr w:type="spellEnd"/>
      <w:r w:rsidRPr="00790014">
        <w:rPr>
          <w:sz w:val="16"/>
          <w:szCs w:val="16"/>
        </w:rPr>
        <w:t xml:space="preserve"> de </w:t>
      </w:r>
      <w:proofErr w:type="spellStart"/>
      <w:r w:rsidRPr="00790014">
        <w:rPr>
          <w:sz w:val="16"/>
          <w:szCs w:val="16"/>
        </w:rPr>
        <w:t>Vendemois</w:t>
      </w:r>
      <w:proofErr w:type="spellEnd"/>
      <w:r w:rsidRPr="00790014">
        <w:rPr>
          <w:sz w:val="16"/>
          <w:szCs w:val="16"/>
        </w:rPr>
        <w:t xml:space="preserve">, J. (2012). Long term toxicity of a Roundup herbicide and </w:t>
      </w:r>
      <w:proofErr w:type="gramStart"/>
      <w:r w:rsidRPr="00790014">
        <w:rPr>
          <w:sz w:val="16"/>
          <w:szCs w:val="16"/>
        </w:rPr>
        <w:t>a Roundup</w:t>
      </w:r>
      <w:proofErr w:type="gramEnd"/>
      <w:r w:rsidRPr="00790014">
        <w:rPr>
          <w:sz w:val="16"/>
          <w:szCs w:val="16"/>
        </w:rPr>
        <w:t xml:space="preserve">-tolerant genetically-modified maize. </w:t>
      </w:r>
      <w:proofErr w:type="gramStart"/>
      <w:r w:rsidRPr="00790014">
        <w:rPr>
          <w:i/>
          <w:sz w:val="16"/>
          <w:szCs w:val="16"/>
        </w:rPr>
        <w:t>Food and Chemical Toxicology</w:t>
      </w:r>
      <w:r w:rsidRPr="00790014">
        <w:rPr>
          <w:sz w:val="16"/>
          <w:szCs w:val="16"/>
        </w:rPr>
        <w:t xml:space="preserve"> 50: 4221 – 4231.</w:t>
      </w:r>
      <w:proofErr w:type="gramEnd"/>
    </w:p>
    <w:p w:rsidR="00FF27B3" w:rsidRPr="00790014" w:rsidRDefault="00FF27B3" w:rsidP="00790014">
      <w:pPr>
        <w:tabs>
          <w:tab w:val="left" w:pos="0"/>
        </w:tabs>
        <w:spacing w:after="240"/>
        <w:rPr>
          <w:rFonts w:cs="Arial"/>
          <w:noProof/>
          <w:sz w:val="16"/>
          <w:szCs w:val="16"/>
        </w:rPr>
      </w:pPr>
      <w:r w:rsidRPr="00790014">
        <w:rPr>
          <w:rFonts w:cs="Arial"/>
          <w:noProof/>
          <w:sz w:val="16"/>
          <w:szCs w:val="16"/>
        </w:rPr>
        <w:t xml:space="preserve">Carman, J.A., Vlieger, H.R., Ver Steeg, L.J., Sneller, V.E., Robinson, G.W., Clinch-Jones, C.A., Haynes, J.I. and Edwards, J.W. (2013) A long-term toxicology study on pigs fed a combined genetically modified (GM) soy and GM maize diet. </w:t>
      </w:r>
      <w:r w:rsidRPr="00790014">
        <w:rPr>
          <w:rFonts w:cs="Arial"/>
          <w:i/>
          <w:noProof/>
          <w:sz w:val="16"/>
          <w:szCs w:val="16"/>
        </w:rPr>
        <w:t xml:space="preserve">Journal of Organic Systems </w:t>
      </w:r>
      <w:r w:rsidRPr="00790014">
        <w:rPr>
          <w:rFonts w:cs="Arial"/>
          <w:noProof/>
          <w:sz w:val="16"/>
          <w:szCs w:val="16"/>
        </w:rPr>
        <w:t>8(1):38-54.</w:t>
      </w:r>
    </w:p>
    <w:p w:rsidR="00FF27B3" w:rsidRPr="006A3BA5" w:rsidRDefault="00FF27B3">
      <w:pPr>
        <w:pStyle w:val="FootnoteText"/>
        <w:rPr>
          <w:lang w:val="en-AU"/>
        </w:rPr>
      </w:pPr>
    </w:p>
  </w:footnote>
  <w:footnote w:id="6">
    <w:p w:rsidR="00FF27B3" w:rsidRPr="00790014" w:rsidRDefault="00FF27B3">
      <w:pPr>
        <w:pStyle w:val="FootnoteText"/>
        <w:rPr>
          <w:color w:val="0000FF"/>
          <w:sz w:val="18"/>
          <w:szCs w:val="18"/>
          <w:u w:val="single"/>
        </w:rPr>
      </w:pPr>
      <w:r>
        <w:rPr>
          <w:rStyle w:val="FootnoteReference"/>
        </w:rPr>
        <w:footnoteRef/>
      </w:r>
      <w:r>
        <w:t xml:space="preserve"> </w:t>
      </w:r>
      <w:hyperlink r:id="rId3" w:history="1">
        <w:r w:rsidRPr="00B87E11">
          <w:rPr>
            <w:rStyle w:val="Hyperlink"/>
            <w:sz w:val="18"/>
            <w:szCs w:val="18"/>
          </w:rPr>
          <w:t>http://www.foodstandards.gov.au/code/applications/Pages/a1081foodderivedfrom5825.aspx</w:t>
        </w:r>
      </w:hyperlink>
    </w:p>
  </w:footnote>
  <w:footnote w:id="7">
    <w:p w:rsidR="00FF27B3" w:rsidRPr="00A75943" w:rsidRDefault="00FF27B3">
      <w:pPr>
        <w:pStyle w:val="FootnoteText"/>
        <w:rPr>
          <w:lang w:val="en-AU"/>
        </w:rPr>
      </w:pPr>
      <w:r>
        <w:rPr>
          <w:rStyle w:val="FootnoteReference"/>
        </w:rPr>
        <w:footnoteRef/>
      </w:r>
      <w:r>
        <w:t xml:space="preserve"> </w:t>
      </w:r>
      <w:r w:rsidRPr="00220151">
        <w:rPr>
          <w:sz w:val="18"/>
          <w:szCs w:val="18"/>
        </w:rPr>
        <w:t>S</w:t>
      </w:r>
      <w:r w:rsidRPr="00220151">
        <w:rPr>
          <w:rFonts w:cs="Arial"/>
          <w:sz w:val="18"/>
          <w:szCs w:val="18"/>
        </w:rPr>
        <w:t>é</w:t>
      </w:r>
      <w:r w:rsidRPr="00220151">
        <w:rPr>
          <w:sz w:val="18"/>
          <w:szCs w:val="18"/>
        </w:rPr>
        <w:t xml:space="preserve">ralini, G.-E.; Clair, E.; </w:t>
      </w:r>
      <w:proofErr w:type="spellStart"/>
      <w:r w:rsidRPr="00220151">
        <w:rPr>
          <w:sz w:val="18"/>
          <w:szCs w:val="18"/>
        </w:rPr>
        <w:t>Mesnage</w:t>
      </w:r>
      <w:proofErr w:type="spellEnd"/>
      <w:r w:rsidRPr="00220151">
        <w:rPr>
          <w:sz w:val="18"/>
          <w:szCs w:val="18"/>
        </w:rPr>
        <w:t xml:space="preserve">, R.; </w:t>
      </w:r>
      <w:proofErr w:type="spellStart"/>
      <w:r w:rsidRPr="00220151">
        <w:rPr>
          <w:sz w:val="18"/>
          <w:szCs w:val="18"/>
        </w:rPr>
        <w:t>Gress</w:t>
      </w:r>
      <w:proofErr w:type="spellEnd"/>
      <w:r w:rsidRPr="00220151">
        <w:rPr>
          <w:sz w:val="18"/>
          <w:szCs w:val="18"/>
        </w:rPr>
        <w:t xml:space="preserve">, S.; </w:t>
      </w:r>
      <w:proofErr w:type="spellStart"/>
      <w:r w:rsidRPr="00220151">
        <w:rPr>
          <w:sz w:val="18"/>
          <w:szCs w:val="18"/>
        </w:rPr>
        <w:t>Defarge</w:t>
      </w:r>
      <w:proofErr w:type="spellEnd"/>
      <w:r w:rsidRPr="00220151">
        <w:rPr>
          <w:sz w:val="18"/>
          <w:szCs w:val="18"/>
        </w:rPr>
        <w:t xml:space="preserve">, N.; </w:t>
      </w:r>
      <w:proofErr w:type="spellStart"/>
      <w:r w:rsidRPr="00220151">
        <w:rPr>
          <w:sz w:val="18"/>
          <w:szCs w:val="18"/>
        </w:rPr>
        <w:t>Malatesta</w:t>
      </w:r>
      <w:proofErr w:type="spellEnd"/>
      <w:r w:rsidRPr="00220151">
        <w:rPr>
          <w:sz w:val="18"/>
          <w:szCs w:val="18"/>
        </w:rPr>
        <w:t xml:space="preserve">, M.; </w:t>
      </w:r>
      <w:proofErr w:type="spellStart"/>
      <w:r w:rsidRPr="00220151">
        <w:rPr>
          <w:sz w:val="18"/>
          <w:szCs w:val="18"/>
        </w:rPr>
        <w:t>Hennequin</w:t>
      </w:r>
      <w:proofErr w:type="spellEnd"/>
      <w:r w:rsidRPr="00220151">
        <w:rPr>
          <w:sz w:val="18"/>
          <w:szCs w:val="18"/>
        </w:rPr>
        <w:t xml:space="preserve">, D.; </w:t>
      </w:r>
      <w:proofErr w:type="spellStart"/>
      <w:r w:rsidRPr="00220151">
        <w:rPr>
          <w:sz w:val="18"/>
          <w:szCs w:val="18"/>
        </w:rPr>
        <w:t>Spiroux</w:t>
      </w:r>
      <w:proofErr w:type="spellEnd"/>
      <w:r w:rsidRPr="00220151">
        <w:rPr>
          <w:sz w:val="18"/>
          <w:szCs w:val="18"/>
        </w:rPr>
        <w:t xml:space="preserve"> de </w:t>
      </w:r>
      <w:proofErr w:type="spellStart"/>
      <w:r w:rsidRPr="00220151">
        <w:rPr>
          <w:sz w:val="18"/>
          <w:szCs w:val="18"/>
        </w:rPr>
        <w:t>Vendemois</w:t>
      </w:r>
      <w:proofErr w:type="spellEnd"/>
      <w:r w:rsidRPr="00220151">
        <w:rPr>
          <w:sz w:val="18"/>
          <w:szCs w:val="18"/>
        </w:rPr>
        <w:t xml:space="preserve">, J. (2012). Long term toxicity of a Roundup herbicide and </w:t>
      </w:r>
      <w:proofErr w:type="gramStart"/>
      <w:r w:rsidRPr="00220151">
        <w:rPr>
          <w:sz w:val="18"/>
          <w:szCs w:val="18"/>
        </w:rPr>
        <w:t>a Roundup</w:t>
      </w:r>
      <w:proofErr w:type="gramEnd"/>
      <w:r w:rsidRPr="00220151">
        <w:rPr>
          <w:sz w:val="18"/>
          <w:szCs w:val="18"/>
        </w:rPr>
        <w:t xml:space="preserve">-tolerant genetically-modified maize. </w:t>
      </w:r>
      <w:proofErr w:type="gramStart"/>
      <w:r w:rsidRPr="00220151">
        <w:rPr>
          <w:i/>
          <w:sz w:val="18"/>
          <w:szCs w:val="18"/>
        </w:rPr>
        <w:t>Food and Chemical Toxicology</w:t>
      </w:r>
      <w:r w:rsidRPr="00220151">
        <w:rPr>
          <w:sz w:val="18"/>
          <w:szCs w:val="18"/>
        </w:rPr>
        <w:t xml:space="preserve"> 50: 4221 – 4231.</w:t>
      </w:r>
      <w:proofErr w:type="gramEnd"/>
    </w:p>
  </w:footnote>
  <w:footnote w:id="8">
    <w:p w:rsidR="00FF27B3" w:rsidRPr="001E0128" w:rsidRDefault="00FF27B3">
      <w:pPr>
        <w:pStyle w:val="FootnoteText"/>
        <w:rPr>
          <w:sz w:val="18"/>
          <w:szCs w:val="18"/>
          <w:lang w:val="en-AU"/>
        </w:rPr>
      </w:pPr>
      <w:r w:rsidRPr="001E0128">
        <w:rPr>
          <w:rStyle w:val="FootnoteReference"/>
          <w:sz w:val="18"/>
          <w:szCs w:val="18"/>
        </w:rPr>
        <w:footnoteRef/>
      </w:r>
      <w:r w:rsidRPr="001E0128">
        <w:rPr>
          <w:sz w:val="18"/>
          <w:szCs w:val="18"/>
        </w:rPr>
        <w:t xml:space="preserve"> 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D5" w:rsidRDefault="00D844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D5" w:rsidRDefault="00D84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7B3" w:rsidRDefault="00FF27B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584"/>
    <w:multiLevelType w:val="hybridMultilevel"/>
    <w:tmpl w:val="8B0E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4530638"/>
    <w:multiLevelType w:val="hybridMultilevel"/>
    <w:tmpl w:val="FEE0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BF49F7"/>
    <w:multiLevelType w:val="hybridMultilevel"/>
    <w:tmpl w:val="49849F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1F56B15"/>
    <w:multiLevelType w:val="hybridMultilevel"/>
    <w:tmpl w:val="95A8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27C356D"/>
    <w:multiLevelType w:val="hybridMultilevel"/>
    <w:tmpl w:val="BA8C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415350"/>
    <w:multiLevelType w:val="hybridMultilevel"/>
    <w:tmpl w:val="E080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5D5ADC"/>
    <w:multiLevelType w:val="hybridMultilevel"/>
    <w:tmpl w:val="C7DC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F51513"/>
    <w:multiLevelType w:val="hybridMultilevel"/>
    <w:tmpl w:val="7E66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1966A7"/>
    <w:multiLevelType w:val="hybridMultilevel"/>
    <w:tmpl w:val="AF1AF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95E0A7E"/>
    <w:multiLevelType w:val="hybridMultilevel"/>
    <w:tmpl w:val="6136BD9E"/>
    <w:lvl w:ilvl="0" w:tplc="55B8F18A">
      <w:start w:val="1"/>
      <w:numFmt w:val="bullet"/>
      <w:pStyle w:val="FS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4779FF"/>
    <w:multiLevelType w:val="hybridMultilevel"/>
    <w:tmpl w:val="6DB0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num>
  <w:num w:numId="5">
    <w:abstractNumId w:val="15"/>
  </w:num>
  <w:num w:numId="6">
    <w:abstractNumId w:val="8"/>
  </w:num>
  <w:num w:numId="7">
    <w:abstractNumId w:val="7"/>
  </w:num>
  <w:num w:numId="8">
    <w:abstractNumId w:val="9"/>
  </w:num>
  <w:num w:numId="9">
    <w:abstractNumId w:val="13"/>
  </w:num>
  <w:num w:numId="10">
    <w:abstractNumId w:val="0"/>
  </w:num>
  <w:num w:numId="11">
    <w:abstractNumId w:val="14"/>
  </w:num>
  <w:num w:numId="12">
    <w:abstractNumId w:val="0"/>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11"/>
  </w:num>
  <w:num w:numId="17">
    <w:abstractNumId w:val="12"/>
  </w:num>
  <w:num w:numId="18">
    <w:abstractNumId w:val="6"/>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337CBC"/>
    <w:rsid w:val="000000FE"/>
    <w:rsid w:val="00002190"/>
    <w:rsid w:val="0000247B"/>
    <w:rsid w:val="0000469B"/>
    <w:rsid w:val="000047E9"/>
    <w:rsid w:val="00005F79"/>
    <w:rsid w:val="00010E79"/>
    <w:rsid w:val="00014066"/>
    <w:rsid w:val="00014E34"/>
    <w:rsid w:val="00017B7E"/>
    <w:rsid w:val="00024C82"/>
    <w:rsid w:val="00035FF3"/>
    <w:rsid w:val="00036E4B"/>
    <w:rsid w:val="000370E6"/>
    <w:rsid w:val="0004110F"/>
    <w:rsid w:val="000418F0"/>
    <w:rsid w:val="00042590"/>
    <w:rsid w:val="000460D9"/>
    <w:rsid w:val="00051021"/>
    <w:rsid w:val="000524F0"/>
    <w:rsid w:val="00052D54"/>
    <w:rsid w:val="00056D19"/>
    <w:rsid w:val="000576EB"/>
    <w:rsid w:val="00061D1B"/>
    <w:rsid w:val="00064B2D"/>
    <w:rsid w:val="00065F1F"/>
    <w:rsid w:val="00071006"/>
    <w:rsid w:val="00076D33"/>
    <w:rsid w:val="00076D3B"/>
    <w:rsid w:val="00077AEA"/>
    <w:rsid w:val="00081B0A"/>
    <w:rsid w:val="00081D87"/>
    <w:rsid w:val="00082517"/>
    <w:rsid w:val="000871B8"/>
    <w:rsid w:val="00093E01"/>
    <w:rsid w:val="000968EB"/>
    <w:rsid w:val="000A00CA"/>
    <w:rsid w:val="000A3D8B"/>
    <w:rsid w:val="000B1380"/>
    <w:rsid w:val="000B35CE"/>
    <w:rsid w:val="000B427A"/>
    <w:rsid w:val="000B442D"/>
    <w:rsid w:val="000B5875"/>
    <w:rsid w:val="000B6AF2"/>
    <w:rsid w:val="000C08DE"/>
    <w:rsid w:val="000C0B66"/>
    <w:rsid w:val="000C3B69"/>
    <w:rsid w:val="000C7CB7"/>
    <w:rsid w:val="000D6136"/>
    <w:rsid w:val="000D6FD4"/>
    <w:rsid w:val="000D7B1C"/>
    <w:rsid w:val="000E0AE4"/>
    <w:rsid w:val="000E1EA4"/>
    <w:rsid w:val="000E3DBC"/>
    <w:rsid w:val="000E5B9A"/>
    <w:rsid w:val="000E662F"/>
    <w:rsid w:val="000F3CFE"/>
    <w:rsid w:val="000F6568"/>
    <w:rsid w:val="000F7FB4"/>
    <w:rsid w:val="00100CFA"/>
    <w:rsid w:val="00102819"/>
    <w:rsid w:val="001069AB"/>
    <w:rsid w:val="00111558"/>
    <w:rsid w:val="001122EC"/>
    <w:rsid w:val="001145A0"/>
    <w:rsid w:val="0012388D"/>
    <w:rsid w:val="001244D5"/>
    <w:rsid w:val="00131C8C"/>
    <w:rsid w:val="0013435F"/>
    <w:rsid w:val="001365F2"/>
    <w:rsid w:val="00141796"/>
    <w:rsid w:val="00147B53"/>
    <w:rsid w:val="00155420"/>
    <w:rsid w:val="001570BF"/>
    <w:rsid w:val="00165621"/>
    <w:rsid w:val="00170153"/>
    <w:rsid w:val="00173BB9"/>
    <w:rsid w:val="00174BA2"/>
    <w:rsid w:val="00177C05"/>
    <w:rsid w:val="00182C4C"/>
    <w:rsid w:val="00183AFF"/>
    <w:rsid w:val="001878C5"/>
    <w:rsid w:val="00191CFE"/>
    <w:rsid w:val="001929E2"/>
    <w:rsid w:val="00193121"/>
    <w:rsid w:val="0019399D"/>
    <w:rsid w:val="00197D8D"/>
    <w:rsid w:val="001A1A75"/>
    <w:rsid w:val="001A6410"/>
    <w:rsid w:val="001A695F"/>
    <w:rsid w:val="001A77A9"/>
    <w:rsid w:val="001A7E9A"/>
    <w:rsid w:val="001B0F0C"/>
    <w:rsid w:val="001B32CB"/>
    <w:rsid w:val="001B483D"/>
    <w:rsid w:val="001B52DF"/>
    <w:rsid w:val="001C27A3"/>
    <w:rsid w:val="001C2996"/>
    <w:rsid w:val="001C63C1"/>
    <w:rsid w:val="001D307B"/>
    <w:rsid w:val="001D31CA"/>
    <w:rsid w:val="001E0128"/>
    <w:rsid w:val="001E09FA"/>
    <w:rsid w:val="00202A6F"/>
    <w:rsid w:val="00205F87"/>
    <w:rsid w:val="0021279C"/>
    <w:rsid w:val="00213350"/>
    <w:rsid w:val="0021738B"/>
    <w:rsid w:val="00220151"/>
    <w:rsid w:val="0022197C"/>
    <w:rsid w:val="00221D07"/>
    <w:rsid w:val="00224E3B"/>
    <w:rsid w:val="002272CF"/>
    <w:rsid w:val="00227E4A"/>
    <w:rsid w:val="00235766"/>
    <w:rsid w:val="00236461"/>
    <w:rsid w:val="002421C1"/>
    <w:rsid w:val="0026130A"/>
    <w:rsid w:val="0026198C"/>
    <w:rsid w:val="002635DE"/>
    <w:rsid w:val="00263E20"/>
    <w:rsid w:val="0026504C"/>
    <w:rsid w:val="002653A0"/>
    <w:rsid w:val="00272F05"/>
    <w:rsid w:val="002755FF"/>
    <w:rsid w:val="002758A0"/>
    <w:rsid w:val="00291327"/>
    <w:rsid w:val="0029204E"/>
    <w:rsid w:val="00293670"/>
    <w:rsid w:val="002A0194"/>
    <w:rsid w:val="002A5F8B"/>
    <w:rsid w:val="002A7F6C"/>
    <w:rsid w:val="002B2612"/>
    <w:rsid w:val="002B5ACA"/>
    <w:rsid w:val="002B5C6E"/>
    <w:rsid w:val="002C064D"/>
    <w:rsid w:val="002C74F7"/>
    <w:rsid w:val="002D5D52"/>
    <w:rsid w:val="002E018B"/>
    <w:rsid w:val="002E1820"/>
    <w:rsid w:val="002E43BB"/>
    <w:rsid w:val="002F241A"/>
    <w:rsid w:val="002F35EA"/>
    <w:rsid w:val="002F3E2C"/>
    <w:rsid w:val="002F4595"/>
    <w:rsid w:val="002F6488"/>
    <w:rsid w:val="00302CC8"/>
    <w:rsid w:val="003036B4"/>
    <w:rsid w:val="0030448E"/>
    <w:rsid w:val="00305C54"/>
    <w:rsid w:val="00307958"/>
    <w:rsid w:val="0031016C"/>
    <w:rsid w:val="00317940"/>
    <w:rsid w:val="003213F9"/>
    <w:rsid w:val="00323AB6"/>
    <w:rsid w:val="00323DBF"/>
    <w:rsid w:val="00326826"/>
    <w:rsid w:val="00326B7E"/>
    <w:rsid w:val="00327867"/>
    <w:rsid w:val="00332B12"/>
    <w:rsid w:val="00333832"/>
    <w:rsid w:val="00333CED"/>
    <w:rsid w:val="00334BB7"/>
    <w:rsid w:val="00337CBC"/>
    <w:rsid w:val="003428FC"/>
    <w:rsid w:val="0034582C"/>
    <w:rsid w:val="003507DB"/>
    <w:rsid w:val="00351AB0"/>
    <w:rsid w:val="00351B07"/>
    <w:rsid w:val="003567AB"/>
    <w:rsid w:val="00356F53"/>
    <w:rsid w:val="0036533D"/>
    <w:rsid w:val="0037109C"/>
    <w:rsid w:val="00371B29"/>
    <w:rsid w:val="003766F8"/>
    <w:rsid w:val="00380106"/>
    <w:rsid w:val="0038048E"/>
    <w:rsid w:val="003814F0"/>
    <w:rsid w:val="00381E07"/>
    <w:rsid w:val="003835C1"/>
    <w:rsid w:val="00384D32"/>
    <w:rsid w:val="00385788"/>
    <w:rsid w:val="00386A52"/>
    <w:rsid w:val="003905CE"/>
    <w:rsid w:val="00391769"/>
    <w:rsid w:val="0039237A"/>
    <w:rsid w:val="003953E1"/>
    <w:rsid w:val="003956B3"/>
    <w:rsid w:val="003A04DC"/>
    <w:rsid w:val="003A0A4D"/>
    <w:rsid w:val="003A0E03"/>
    <w:rsid w:val="003A0E0F"/>
    <w:rsid w:val="003A3D30"/>
    <w:rsid w:val="003A68BE"/>
    <w:rsid w:val="003A7B84"/>
    <w:rsid w:val="003B4F42"/>
    <w:rsid w:val="003B53D7"/>
    <w:rsid w:val="003C1864"/>
    <w:rsid w:val="003C2AF1"/>
    <w:rsid w:val="003C4969"/>
    <w:rsid w:val="003C6814"/>
    <w:rsid w:val="003D1F06"/>
    <w:rsid w:val="003D2CDC"/>
    <w:rsid w:val="003E41D5"/>
    <w:rsid w:val="003E425F"/>
    <w:rsid w:val="003E46BA"/>
    <w:rsid w:val="003E6806"/>
    <w:rsid w:val="003F523D"/>
    <w:rsid w:val="003F5AAB"/>
    <w:rsid w:val="003F62BD"/>
    <w:rsid w:val="003F74C1"/>
    <w:rsid w:val="00400169"/>
    <w:rsid w:val="00405B1A"/>
    <w:rsid w:val="00405F3A"/>
    <w:rsid w:val="00406720"/>
    <w:rsid w:val="0040776D"/>
    <w:rsid w:val="00410C76"/>
    <w:rsid w:val="00411907"/>
    <w:rsid w:val="00414B75"/>
    <w:rsid w:val="00417EE3"/>
    <w:rsid w:val="004207EB"/>
    <w:rsid w:val="00421730"/>
    <w:rsid w:val="00422EC9"/>
    <w:rsid w:val="00423AC7"/>
    <w:rsid w:val="00430C29"/>
    <w:rsid w:val="0043166F"/>
    <w:rsid w:val="00437276"/>
    <w:rsid w:val="004433DB"/>
    <w:rsid w:val="00444252"/>
    <w:rsid w:val="00450B46"/>
    <w:rsid w:val="00451E6D"/>
    <w:rsid w:val="00453646"/>
    <w:rsid w:val="00453DEF"/>
    <w:rsid w:val="00456B54"/>
    <w:rsid w:val="004576CC"/>
    <w:rsid w:val="00464643"/>
    <w:rsid w:val="00464B0F"/>
    <w:rsid w:val="00464F98"/>
    <w:rsid w:val="00465372"/>
    <w:rsid w:val="004673BE"/>
    <w:rsid w:val="00472379"/>
    <w:rsid w:val="00473EF4"/>
    <w:rsid w:val="00477A86"/>
    <w:rsid w:val="00477C87"/>
    <w:rsid w:val="0048001F"/>
    <w:rsid w:val="00486793"/>
    <w:rsid w:val="00486C66"/>
    <w:rsid w:val="00487454"/>
    <w:rsid w:val="0049010E"/>
    <w:rsid w:val="00491B52"/>
    <w:rsid w:val="0049385C"/>
    <w:rsid w:val="00494A3F"/>
    <w:rsid w:val="00496402"/>
    <w:rsid w:val="004A0545"/>
    <w:rsid w:val="004A117F"/>
    <w:rsid w:val="004A2037"/>
    <w:rsid w:val="004A793C"/>
    <w:rsid w:val="004B047B"/>
    <w:rsid w:val="004B0D06"/>
    <w:rsid w:val="004B4CDC"/>
    <w:rsid w:val="004C17BF"/>
    <w:rsid w:val="004C2073"/>
    <w:rsid w:val="004D0F3B"/>
    <w:rsid w:val="004D121E"/>
    <w:rsid w:val="004D1B1C"/>
    <w:rsid w:val="004D24F9"/>
    <w:rsid w:val="004D25A5"/>
    <w:rsid w:val="004D2D9B"/>
    <w:rsid w:val="004D408E"/>
    <w:rsid w:val="004D7041"/>
    <w:rsid w:val="004E428E"/>
    <w:rsid w:val="004E5B67"/>
    <w:rsid w:val="004F03EB"/>
    <w:rsid w:val="004F1EDC"/>
    <w:rsid w:val="004F4F98"/>
    <w:rsid w:val="004F69F6"/>
    <w:rsid w:val="004F6EA3"/>
    <w:rsid w:val="004F79AC"/>
    <w:rsid w:val="00500AC8"/>
    <w:rsid w:val="00506E9B"/>
    <w:rsid w:val="005072C0"/>
    <w:rsid w:val="0051067D"/>
    <w:rsid w:val="005207D8"/>
    <w:rsid w:val="00523930"/>
    <w:rsid w:val="005244F1"/>
    <w:rsid w:val="00526511"/>
    <w:rsid w:val="00527DF1"/>
    <w:rsid w:val="00533999"/>
    <w:rsid w:val="005340F3"/>
    <w:rsid w:val="005349BF"/>
    <w:rsid w:val="00537CDC"/>
    <w:rsid w:val="00543CD1"/>
    <w:rsid w:val="00551E1F"/>
    <w:rsid w:val="005551E3"/>
    <w:rsid w:val="00557C2C"/>
    <w:rsid w:val="00560185"/>
    <w:rsid w:val="0056086A"/>
    <w:rsid w:val="00562917"/>
    <w:rsid w:val="00564790"/>
    <w:rsid w:val="00571B8C"/>
    <w:rsid w:val="005811B7"/>
    <w:rsid w:val="00583E62"/>
    <w:rsid w:val="00586228"/>
    <w:rsid w:val="00593441"/>
    <w:rsid w:val="00595387"/>
    <w:rsid w:val="005A375B"/>
    <w:rsid w:val="005A572E"/>
    <w:rsid w:val="005B6AF4"/>
    <w:rsid w:val="005C04CB"/>
    <w:rsid w:val="005C59D0"/>
    <w:rsid w:val="005C624A"/>
    <w:rsid w:val="005D16AD"/>
    <w:rsid w:val="005D2016"/>
    <w:rsid w:val="005D3FFD"/>
    <w:rsid w:val="005D50A6"/>
    <w:rsid w:val="005D51DE"/>
    <w:rsid w:val="005D72E1"/>
    <w:rsid w:val="005E6E16"/>
    <w:rsid w:val="005F166C"/>
    <w:rsid w:val="005F3787"/>
    <w:rsid w:val="005F400E"/>
    <w:rsid w:val="005F512F"/>
    <w:rsid w:val="005F7342"/>
    <w:rsid w:val="00603112"/>
    <w:rsid w:val="00610A3C"/>
    <w:rsid w:val="006138D7"/>
    <w:rsid w:val="0061540E"/>
    <w:rsid w:val="00615E83"/>
    <w:rsid w:val="00617B03"/>
    <w:rsid w:val="00617CD5"/>
    <w:rsid w:val="0062703C"/>
    <w:rsid w:val="00627F48"/>
    <w:rsid w:val="00630545"/>
    <w:rsid w:val="00630D10"/>
    <w:rsid w:val="00631895"/>
    <w:rsid w:val="00632FD6"/>
    <w:rsid w:val="0063455F"/>
    <w:rsid w:val="00635814"/>
    <w:rsid w:val="006359E5"/>
    <w:rsid w:val="00643BA9"/>
    <w:rsid w:val="006477E4"/>
    <w:rsid w:val="00647FDC"/>
    <w:rsid w:val="00650888"/>
    <w:rsid w:val="00654D30"/>
    <w:rsid w:val="00663FCF"/>
    <w:rsid w:val="006652A2"/>
    <w:rsid w:val="00667860"/>
    <w:rsid w:val="006710BC"/>
    <w:rsid w:val="00672B40"/>
    <w:rsid w:val="00674FE5"/>
    <w:rsid w:val="0067711A"/>
    <w:rsid w:val="00680156"/>
    <w:rsid w:val="00680662"/>
    <w:rsid w:val="00684EFF"/>
    <w:rsid w:val="006857A6"/>
    <w:rsid w:val="00687FA7"/>
    <w:rsid w:val="006918CE"/>
    <w:rsid w:val="006926CB"/>
    <w:rsid w:val="0069619A"/>
    <w:rsid w:val="006969CC"/>
    <w:rsid w:val="00696A15"/>
    <w:rsid w:val="0069730F"/>
    <w:rsid w:val="006A3BA5"/>
    <w:rsid w:val="006A48A7"/>
    <w:rsid w:val="006B190B"/>
    <w:rsid w:val="006B2644"/>
    <w:rsid w:val="006B3212"/>
    <w:rsid w:val="006B6660"/>
    <w:rsid w:val="006C158B"/>
    <w:rsid w:val="006C22A7"/>
    <w:rsid w:val="006C24B7"/>
    <w:rsid w:val="006C34BC"/>
    <w:rsid w:val="006C5CF5"/>
    <w:rsid w:val="006D098A"/>
    <w:rsid w:val="006D0C46"/>
    <w:rsid w:val="006D2C98"/>
    <w:rsid w:val="006D33FF"/>
    <w:rsid w:val="006D7958"/>
    <w:rsid w:val="006E0FE3"/>
    <w:rsid w:val="006E634D"/>
    <w:rsid w:val="006E6739"/>
    <w:rsid w:val="006E7E0C"/>
    <w:rsid w:val="006F4A82"/>
    <w:rsid w:val="006F5B64"/>
    <w:rsid w:val="006F6393"/>
    <w:rsid w:val="007073ED"/>
    <w:rsid w:val="007103E6"/>
    <w:rsid w:val="00710C37"/>
    <w:rsid w:val="0071477F"/>
    <w:rsid w:val="0071592F"/>
    <w:rsid w:val="00715B7D"/>
    <w:rsid w:val="00716C38"/>
    <w:rsid w:val="007232EF"/>
    <w:rsid w:val="00724FA4"/>
    <w:rsid w:val="00730800"/>
    <w:rsid w:val="00734539"/>
    <w:rsid w:val="00734A41"/>
    <w:rsid w:val="00737A1C"/>
    <w:rsid w:val="00737CBE"/>
    <w:rsid w:val="00740AA9"/>
    <w:rsid w:val="00755F02"/>
    <w:rsid w:val="007602AA"/>
    <w:rsid w:val="007608F6"/>
    <w:rsid w:val="007630BE"/>
    <w:rsid w:val="007652EF"/>
    <w:rsid w:val="00765DDC"/>
    <w:rsid w:val="00765DE1"/>
    <w:rsid w:val="00772BDC"/>
    <w:rsid w:val="00773BF8"/>
    <w:rsid w:val="00777437"/>
    <w:rsid w:val="00777D4C"/>
    <w:rsid w:val="00780792"/>
    <w:rsid w:val="00781E66"/>
    <w:rsid w:val="0078309E"/>
    <w:rsid w:val="00790014"/>
    <w:rsid w:val="007911AF"/>
    <w:rsid w:val="00791AF9"/>
    <w:rsid w:val="007929D0"/>
    <w:rsid w:val="00793D48"/>
    <w:rsid w:val="00795D86"/>
    <w:rsid w:val="00796669"/>
    <w:rsid w:val="0079687B"/>
    <w:rsid w:val="00796D33"/>
    <w:rsid w:val="007A15DB"/>
    <w:rsid w:val="007A25D7"/>
    <w:rsid w:val="007A44B4"/>
    <w:rsid w:val="007A4FD5"/>
    <w:rsid w:val="007A50E0"/>
    <w:rsid w:val="007A7D3D"/>
    <w:rsid w:val="007B225D"/>
    <w:rsid w:val="007B5F7A"/>
    <w:rsid w:val="007C1C64"/>
    <w:rsid w:val="007C22CB"/>
    <w:rsid w:val="007D0189"/>
    <w:rsid w:val="007D18A8"/>
    <w:rsid w:val="007D3B68"/>
    <w:rsid w:val="007D5A1E"/>
    <w:rsid w:val="007E484C"/>
    <w:rsid w:val="007E48BC"/>
    <w:rsid w:val="007E79F7"/>
    <w:rsid w:val="007F33FC"/>
    <w:rsid w:val="007F3630"/>
    <w:rsid w:val="007F720E"/>
    <w:rsid w:val="007F7BF7"/>
    <w:rsid w:val="00800C67"/>
    <w:rsid w:val="00802C7B"/>
    <w:rsid w:val="00807559"/>
    <w:rsid w:val="008116E4"/>
    <w:rsid w:val="00813263"/>
    <w:rsid w:val="008132E7"/>
    <w:rsid w:val="00813464"/>
    <w:rsid w:val="008141EB"/>
    <w:rsid w:val="00831154"/>
    <w:rsid w:val="008355F7"/>
    <w:rsid w:val="00837C46"/>
    <w:rsid w:val="00844007"/>
    <w:rsid w:val="008450BC"/>
    <w:rsid w:val="00847066"/>
    <w:rsid w:val="00850B09"/>
    <w:rsid w:val="0085334B"/>
    <w:rsid w:val="008537BA"/>
    <w:rsid w:val="008542C0"/>
    <w:rsid w:val="00860808"/>
    <w:rsid w:val="00860C92"/>
    <w:rsid w:val="00861C13"/>
    <w:rsid w:val="008660B9"/>
    <w:rsid w:val="00867059"/>
    <w:rsid w:val="00870214"/>
    <w:rsid w:val="008766D6"/>
    <w:rsid w:val="008779ED"/>
    <w:rsid w:val="008810D9"/>
    <w:rsid w:val="00885C51"/>
    <w:rsid w:val="0089533B"/>
    <w:rsid w:val="00895BFD"/>
    <w:rsid w:val="00896B85"/>
    <w:rsid w:val="008A243D"/>
    <w:rsid w:val="008A7F8A"/>
    <w:rsid w:val="008C0907"/>
    <w:rsid w:val="008C4EAE"/>
    <w:rsid w:val="008C6436"/>
    <w:rsid w:val="008D06C6"/>
    <w:rsid w:val="008E4D06"/>
    <w:rsid w:val="008E6250"/>
    <w:rsid w:val="008F1EA0"/>
    <w:rsid w:val="008F4CB0"/>
    <w:rsid w:val="008F7A06"/>
    <w:rsid w:val="00900B3D"/>
    <w:rsid w:val="00920249"/>
    <w:rsid w:val="00923055"/>
    <w:rsid w:val="00924E0D"/>
    <w:rsid w:val="00927158"/>
    <w:rsid w:val="00932F14"/>
    <w:rsid w:val="009353F1"/>
    <w:rsid w:val="00935999"/>
    <w:rsid w:val="0094247F"/>
    <w:rsid w:val="00942D60"/>
    <w:rsid w:val="009460FA"/>
    <w:rsid w:val="0094643B"/>
    <w:rsid w:val="00947534"/>
    <w:rsid w:val="009478A1"/>
    <w:rsid w:val="00950E23"/>
    <w:rsid w:val="009549B7"/>
    <w:rsid w:val="00955C39"/>
    <w:rsid w:val="009632EA"/>
    <w:rsid w:val="0096523B"/>
    <w:rsid w:val="00965EC6"/>
    <w:rsid w:val="00970312"/>
    <w:rsid w:val="00972157"/>
    <w:rsid w:val="00972D06"/>
    <w:rsid w:val="00976801"/>
    <w:rsid w:val="0099323D"/>
    <w:rsid w:val="00993B7D"/>
    <w:rsid w:val="00994A3E"/>
    <w:rsid w:val="009A2699"/>
    <w:rsid w:val="009A391C"/>
    <w:rsid w:val="009B0055"/>
    <w:rsid w:val="009B01A9"/>
    <w:rsid w:val="009B52B3"/>
    <w:rsid w:val="009B53EF"/>
    <w:rsid w:val="009B6D18"/>
    <w:rsid w:val="009C0A5F"/>
    <w:rsid w:val="009C228D"/>
    <w:rsid w:val="009D7A58"/>
    <w:rsid w:val="009E00C7"/>
    <w:rsid w:val="009E0A61"/>
    <w:rsid w:val="009E3010"/>
    <w:rsid w:val="009E46F5"/>
    <w:rsid w:val="009E717F"/>
    <w:rsid w:val="009F5EDC"/>
    <w:rsid w:val="009F7065"/>
    <w:rsid w:val="00A02EAD"/>
    <w:rsid w:val="00A03216"/>
    <w:rsid w:val="00A04D91"/>
    <w:rsid w:val="00A13D0B"/>
    <w:rsid w:val="00A13F05"/>
    <w:rsid w:val="00A2449C"/>
    <w:rsid w:val="00A25A2C"/>
    <w:rsid w:val="00A318EB"/>
    <w:rsid w:val="00A33F8A"/>
    <w:rsid w:val="00A445B6"/>
    <w:rsid w:val="00A44C84"/>
    <w:rsid w:val="00A47976"/>
    <w:rsid w:val="00A551B9"/>
    <w:rsid w:val="00A56DC7"/>
    <w:rsid w:val="00A57AC9"/>
    <w:rsid w:val="00A66619"/>
    <w:rsid w:val="00A66FDD"/>
    <w:rsid w:val="00A671E6"/>
    <w:rsid w:val="00A709E5"/>
    <w:rsid w:val="00A724FD"/>
    <w:rsid w:val="00A73AC5"/>
    <w:rsid w:val="00A73E2E"/>
    <w:rsid w:val="00A74FD1"/>
    <w:rsid w:val="00A75943"/>
    <w:rsid w:val="00A82506"/>
    <w:rsid w:val="00A84891"/>
    <w:rsid w:val="00A84A58"/>
    <w:rsid w:val="00A91966"/>
    <w:rsid w:val="00A929A9"/>
    <w:rsid w:val="00A95CDA"/>
    <w:rsid w:val="00A96594"/>
    <w:rsid w:val="00A976C6"/>
    <w:rsid w:val="00AA239D"/>
    <w:rsid w:val="00AA41BA"/>
    <w:rsid w:val="00AA6D0D"/>
    <w:rsid w:val="00AA6FA3"/>
    <w:rsid w:val="00AA7348"/>
    <w:rsid w:val="00AB019D"/>
    <w:rsid w:val="00AB1090"/>
    <w:rsid w:val="00AB3943"/>
    <w:rsid w:val="00AB40F1"/>
    <w:rsid w:val="00AB4320"/>
    <w:rsid w:val="00AB5748"/>
    <w:rsid w:val="00AC1D5B"/>
    <w:rsid w:val="00AC2CED"/>
    <w:rsid w:val="00AC428E"/>
    <w:rsid w:val="00AC784C"/>
    <w:rsid w:val="00AD0FFF"/>
    <w:rsid w:val="00AD2E76"/>
    <w:rsid w:val="00AD344F"/>
    <w:rsid w:val="00AE4A8C"/>
    <w:rsid w:val="00AE4FFD"/>
    <w:rsid w:val="00AF24FA"/>
    <w:rsid w:val="00AF328B"/>
    <w:rsid w:val="00AF387F"/>
    <w:rsid w:val="00AF397D"/>
    <w:rsid w:val="00AF6E4C"/>
    <w:rsid w:val="00B00E7F"/>
    <w:rsid w:val="00B0135A"/>
    <w:rsid w:val="00B11450"/>
    <w:rsid w:val="00B17112"/>
    <w:rsid w:val="00B17F5E"/>
    <w:rsid w:val="00B21055"/>
    <w:rsid w:val="00B21D62"/>
    <w:rsid w:val="00B21DCC"/>
    <w:rsid w:val="00B25F37"/>
    <w:rsid w:val="00B34E05"/>
    <w:rsid w:val="00B425AA"/>
    <w:rsid w:val="00B42A38"/>
    <w:rsid w:val="00B44422"/>
    <w:rsid w:val="00B45859"/>
    <w:rsid w:val="00B46EA0"/>
    <w:rsid w:val="00B500FF"/>
    <w:rsid w:val="00B509FB"/>
    <w:rsid w:val="00B54B16"/>
    <w:rsid w:val="00B55714"/>
    <w:rsid w:val="00B60907"/>
    <w:rsid w:val="00B6116C"/>
    <w:rsid w:val="00B63440"/>
    <w:rsid w:val="00B64E13"/>
    <w:rsid w:val="00B679D8"/>
    <w:rsid w:val="00B731D3"/>
    <w:rsid w:val="00B75B57"/>
    <w:rsid w:val="00B75E62"/>
    <w:rsid w:val="00B76123"/>
    <w:rsid w:val="00B811B3"/>
    <w:rsid w:val="00B839A3"/>
    <w:rsid w:val="00B86AC0"/>
    <w:rsid w:val="00B902BD"/>
    <w:rsid w:val="00B90B03"/>
    <w:rsid w:val="00B928CB"/>
    <w:rsid w:val="00B94723"/>
    <w:rsid w:val="00BA47F8"/>
    <w:rsid w:val="00BA7D81"/>
    <w:rsid w:val="00BB233A"/>
    <w:rsid w:val="00BB24EF"/>
    <w:rsid w:val="00BB385D"/>
    <w:rsid w:val="00BB6342"/>
    <w:rsid w:val="00BC152C"/>
    <w:rsid w:val="00BC621F"/>
    <w:rsid w:val="00BD016E"/>
    <w:rsid w:val="00BD2A39"/>
    <w:rsid w:val="00BD2E80"/>
    <w:rsid w:val="00BD49FF"/>
    <w:rsid w:val="00BD4B64"/>
    <w:rsid w:val="00BD4BDF"/>
    <w:rsid w:val="00BD7235"/>
    <w:rsid w:val="00BD739D"/>
    <w:rsid w:val="00BD77E1"/>
    <w:rsid w:val="00BE11B8"/>
    <w:rsid w:val="00BE257B"/>
    <w:rsid w:val="00BE6C9B"/>
    <w:rsid w:val="00BE7CD8"/>
    <w:rsid w:val="00BF7FF0"/>
    <w:rsid w:val="00C00271"/>
    <w:rsid w:val="00C0504E"/>
    <w:rsid w:val="00C05C62"/>
    <w:rsid w:val="00C078DA"/>
    <w:rsid w:val="00C12502"/>
    <w:rsid w:val="00C17686"/>
    <w:rsid w:val="00C228CA"/>
    <w:rsid w:val="00C23794"/>
    <w:rsid w:val="00C25381"/>
    <w:rsid w:val="00C25A18"/>
    <w:rsid w:val="00C33021"/>
    <w:rsid w:val="00C37ED6"/>
    <w:rsid w:val="00C40AA5"/>
    <w:rsid w:val="00C46F70"/>
    <w:rsid w:val="00C476D0"/>
    <w:rsid w:val="00C578DB"/>
    <w:rsid w:val="00C579B4"/>
    <w:rsid w:val="00C606DE"/>
    <w:rsid w:val="00C6434A"/>
    <w:rsid w:val="00C662F9"/>
    <w:rsid w:val="00C74398"/>
    <w:rsid w:val="00C77ECE"/>
    <w:rsid w:val="00C836E3"/>
    <w:rsid w:val="00C836FF"/>
    <w:rsid w:val="00C854DC"/>
    <w:rsid w:val="00C86324"/>
    <w:rsid w:val="00C86577"/>
    <w:rsid w:val="00C91C02"/>
    <w:rsid w:val="00C92E07"/>
    <w:rsid w:val="00C96868"/>
    <w:rsid w:val="00CA0416"/>
    <w:rsid w:val="00CA27FC"/>
    <w:rsid w:val="00CA33BC"/>
    <w:rsid w:val="00CA45D0"/>
    <w:rsid w:val="00CA5734"/>
    <w:rsid w:val="00CB0F4D"/>
    <w:rsid w:val="00CB115C"/>
    <w:rsid w:val="00CB5ACB"/>
    <w:rsid w:val="00CC0FF1"/>
    <w:rsid w:val="00CC3A35"/>
    <w:rsid w:val="00CC5468"/>
    <w:rsid w:val="00CC560B"/>
    <w:rsid w:val="00CC5E2A"/>
    <w:rsid w:val="00CC75E2"/>
    <w:rsid w:val="00CC7883"/>
    <w:rsid w:val="00CD3A1A"/>
    <w:rsid w:val="00CD46EB"/>
    <w:rsid w:val="00CD6530"/>
    <w:rsid w:val="00CD6CBA"/>
    <w:rsid w:val="00CD7EBF"/>
    <w:rsid w:val="00CD7F08"/>
    <w:rsid w:val="00CE26FB"/>
    <w:rsid w:val="00CE4E20"/>
    <w:rsid w:val="00CF15C9"/>
    <w:rsid w:val="00CF4A20"/>
    <w:rsid w:val="00D01C0A"/>
    <w:rsid w:val="00D02E5B"/>
    <w:rsid w:val="00D056F1"/>
    <w:rsid w:val="00D06163"/>
    <w:rsid w:val="00D06616"/>
    <w:rsid w:val="00D13C78"/>
    <w:rsid w:val="00D144D7"/>
    <w:rsid w:val="00D15A08"/>
    <w:rsid w:val="00D16004"/>
    <w:rsid w:val="00D17F09"/>
    <w:rsid w:val="00D22B01"/>
    <w:rsid w:val="00D23DB6"/>
    <w:rsid w:val="00D251DD"/>
    <w:rsid w:val="00D2707F"/>
    <w:rsid w:val="00D42BF8"/>
    <w:rsid w:val="00D51A95"/>
    <w:rsid w:val="00D60489"/>
    <w:rsid w:val="00D60568"/>
    <w:rsid w:val="00D645DA"/>
    <w:rsid w:val="00D70C7A"/>
    <w:rsid w:val="00D711B5"/>
    <w:rsid w:val="00D72A29"/>
    <w:rsid w:val="00D75D75"/>
    <w:rsid w:val="00D76C3E"/>
    <w:rsid w:val="00D82D5E"/>
    <w:rsid w:val="00D834E5"/>
    <w:rsid w:val="00D844D5"/>
    <w:rsid w:val="00D92EE0"/>
    <w:rsid w:val="00D952BB"/>
    <w:rsid w:val="00D966C6"/>
    <w:rsid w:val="00D97DC6"/>
    <w:rsid w:val="00DA02F4"/>
    <w:rsid w:val="00DA10A8"/>
    <w:rsid w:val="00DA1765"/>
    <w:rsid w:val="00DA5AE2"/>
    <w:rsid w:val="00DB123A"/>
    <w:rsid w:val="00DB1E08"/>
    <w:rsid w:val="00DB2973"/>
    <w:rsid w:val="00DC0FBA"/>
    <w:rsid w:val="00DC1B56"/>
    <w:rsid w:val="00DC20CC"/>
    <w:rsid w:val="00DC2129"/>
    <w:rsid w:val="00DC2F10"/>
    <w:rsid w:val="00DC35CC"/>
    <w:rsid w:val="00DC59B7"/>
    <w:rsid w:val="00DC5F90"/>
    <w:rsid w:val="00DC6570"/>
    <w:rsid w:val="00DC6D4A"/>
    <w:rsid w:val="00DC7BD0"/>
    <w:rsid w:val="00DD265C"/>
    <w:rsid w:val="00DD3703"/>
    <w:rsid w:val="00DD6762"/>
    <w:rsid w:val="00DE27CB"/>
    <w:rsid w:val="00DE5528"/>
    <w:rsid w:val="00DE60BD"/>
    <w:rsid w:val="00DF09C3"/>
    <w:rsid w:val="00DF25C3"/>
    <w:rsid w:val="00DF3BF4"/>
    <w:rsid w:val="00E0047D"/>
    <w:rsid w:val="00E01715"/>
    <w:rsid w:val="00E026FE"/>
    <w:rsid w:val="00E04062"/>
    <w:rsid w:val="00E04148"/>
    <w:rsid w:val="00E05C25"/>
    <w:rsid w:val="00E063C6"/>
    <w:rsid w:val="00E16376"/>
    <w:rsid w:val="00E16923"/>
    <w:rsid w:val="00E2003B"/>
    <w:rsid w:val="00E21CB9"/>
    <w:rsid w:val="00E25C60"/>
    <w:rsid w:val="00E26887"/>
    <w:rsid w:val="00E279D8"/>
    <w:rsid w:val="00E319B1"/>
    <w:rsid w:val="00E34B10"/>
    <w:rsid w:val="00E3670F"/>
    <w:rsid w:val="00E44CDD"/>
    <w:rsid w:val="00E45837"/>
    <w:rsid w:val="00E46281"/>
    <w:rsid w:val="00E500DB"/>
    <w:rsid w:val="00E5372B"/>
    <w:rsid w:val="00E5492F"/>
    <w:rsid w:val="00E572B1"/>
    <w:rsid w:val="00E66C91"/>
    <w:rsid w:val="00E70631"/>
    <w:rsid w:val="00E70A86"/>
    <w:rsid w:val="00E73E50"/>
    <w:rsid w:val="00E777EC"/>
    <w:rsid w:val="00E80FCD"/>
    <w:rsid w:val="00E867BC"/>
    <w:rsid w:val="00E86AD0"/>
    <w:rsid w:val="00E97033"/>
    <w:rsid w:val="00EA3676"/>
    <w:rsid w:val="00EA62FE"/>
    <w:rsid w:val="00EA6901"/>
    <w:rsid w:val="00EA7F2F"/>
    <w:rsid w:val="00EB6590"/>
    <w:rsid w:val="00EC00DE"/>
    <w:rsid w:val="00EC21DF"/>
    <w:rsid w:val="00EC30E1"/>
    <w:rsid w:val="00EC3156"/>
    <w:rsid w:val="00EC3436"/>
    <w:rsid w:val="00EC3704"/>
    <w:rsid w:val="00EC66BB"/>
    <w:rsid w:val="00ED12CF"/>
    <w:rsid w:val="00ED172A"/>
    <w:rsid w:val="00ED42D3"/>
    <w:rsid w:val="00EE01DC"/>
    <w:rsid w:val="00EE2A90"/>
    <w:rsid w:val="00EE2FF8"/>
    <w:rsid w:val="00EE5773"/>
    <w:rsid w:val="00EE7151"/>
    <w:rsid w:val="00EF1123"/>
    <w:rsid w:val="00EF49D4"/>
    <w:rsid w:val="00EF5EC2"/>
    <w:rsid w:val="00F01475"/>
    <w:rsid w:val="00F07B0F"/>
    <w:rsid w:val="00F07C8C"/>
    <w:rsid w:val="00F13F6B"/>
    <w:rsid w:val="00F14BEC"/>
    <w:rsid w:val="00F20964"/>
    <w:rsid w:val="00F21C90"/>
    <w:rsid w:val="00F224B7"/>
    <w:rsid w:val="00F225C5"/>
    <w:rsid w:val="00F2587A"/>
    <w:rsid w:val="00F26866"/>
    <w:rsid w:val="00F270B9"/>
    <w:rsid w:val="00F2775E"/>
    <w:rsid w:val="00F322BA"/>
    <w:rsid w:val="00F34CF8"/>
    <w:rsid w:val="00F34E02"/>
    <w:rsid w:val="00F36D10"/>
    <w:rsid w:val="00F3715D"/>
    <w:rsid w:val="00F37A10"/>
    <w:rsid w:val="00F37D81"/>
    <w:rsid w:val="00F41D16"/>
    <w:rsid w:val="00F420C8"/>
    <w:rsid w:val="00F42A4C"/>
    <w:rsid w:val="00F4470B"/>
    <w:rsid w:val="00F447BA"/>
    <w:rsid w:val="00F526BD"/>
    <w:rsid w:val="00F56B47"/>
    <w:rsid w:val="00F634A1"/>
    <w:rsid w:val="00F66D97"/>
    <w:rsid w:val="00F747B8"/>
    <w:rsid w:val="00F753DF"/>
    <w:rsid w:val="00F771D9"/>
    <w:rsid w:val="00F808D1"/>
    <w:rsid w:val="00F82E26"/>
    <w:rsid w:val="00F97B01"/>
    <w:rsid w:val="00FA1D1E"/>
    <w:rsid w:val="00FA21C1"/>
    <w:rsid w:val="00FA2ECB"/>
    <w:rsid w:val="00FA463B"/>
    <w:rsid w:val="00FA5511"/>
    <w:rsid w:val="00FA7671"/>
    <w:rsid w:val="00FB3272"/>
    <w:rsid w:val="00FB43D1"/>
    <w:rsid w:val="00FB5E22"/>
    <w:rsid w:val="00FB7512"/>
    <w:rsid w:val="00FC22F0"/>
    <w:rsid w:val="00FD5BC2"/>
    <w:rsid w:val="00FD7547"/>
    <w:rsid w:val="00FD782D"/>
    <w:rsid w:val="00FE287B"/>
    <w:rsid w:val="00FE6B50"/>
    <w:rsid w:val="00FF165B"/>
    <w:rsid w:val="00FF27B3"/>
    <w:rsid w:val="00FF3BF2"/>
    <w:rsid w:val="00FF47DE"/>
    <w:rsid w:val="00FF5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9B52B3"/>
    <w:pPr>
      <w:numPr>
        <w:numId w:val="5"/>
      </w:numPr>
      <w:ind w:left="567" w:hanging="567"/>
    </w:pPr>
    <w:rPr>
      <w:rFonts w:cs="Arial"/>
    </w:rPr>
  </w:style>
  <w:style w:type="character" w:customStyle="1" w:styleId="FSBulletChar">
    <w:name w:val="FS Bullet Char"/>
    <w:basedOn w:val="DefaultParagraphFont"/>
    <w:link w:val="FSBullet"/>
    <w:rsid w:val="009B52B3"/>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ClauseChar">
    <w:name w:val="Clause Char"/>
    <w:basedOn w:val="DefaultParagraphFont"/>
    <w:link w:val="Clause"/>
    <w:rsid w:val="00643BA9"/>
    <w:rPr>
      <w:rFonts w:ascii="Arial" w:hAnsi="Arial"/>
      <w:lang w:eastAsia="en-US" w:bidi="en-US"/>
    </w:rPr>
  </w:style>
  <w:style w:type="paragraph" w:styleId="Title">
    <w:name w:val="Title"/>
    <w:basedOn w:val="Normal"/>
    <w:link w:val="TitleChar"/>
    <w:uiPriority w:val="10"/>
    <w:qFormat/>
    <w:rsid w:val="00643BA9"/>
    <w:pPr>
      <w:tabs>
        <w:tab w:val="left" w:pos="851"/>
      </w:tabs>
      <w:jc w:val="center"/>
    </w:pPr>
    <w:rPr>
      <w:b/>
      <w:bCs/>
      <w:sz w:val="20"/>
      <w:lang w:val="en-AU" w:bidi="ar-SA"/>
    </w:rPr>
  </w:style>
  <w:style w:type="character" w:customStyle="1" w:styleId="TitleChar">
    <w:name w:val="Title Char"/>
    <w:basedOn w:val="DefaultParagraphFont"/>
    <w:link w:val="Title"/>
    <w:uiPriority w:val="10"/>
    <w:rsid w:val="00643BA9"/>
    <w:rPr>
      <w:rFonts w:ascii="Arial" w:hAnsi="Arial"/>
      <w:b/>
      <w:bCs/>
      <w:szCs w:val="24"/>
      <w:lang w:val="en-AU" w:eastAsia="en-US"/>
    </w:rPr>
  </w:style>
  <w:style w:type="paragraph" w:styleId="NormalWeb">
    <w:name w:val="Normal (Web)"/>
    <w:basedOn w:val="Normal"/>
    <w:uiPriority w:val="99"/>
    <w:unhideWhenUsed/>
    <w:rsid w:val="00CB5ACB"/>
    <w:pPr>
      <w:widowControl/>
      <w:spacing w:before="100" w:beforeAutospacing="1" w:after="100" w:afterAutospacing="1"/>
    </w:pPr>
    <w:rPr>
      <w:rFonts w:ascii="Times New Roman" w:eastAsiaTheme="minorHAnsi" w:hAnsi="Times New Roman"/>
      <w:sz w:val="24"/>
      <w:lang w:val="en-AU" w:eastAsia="en-AU" w:bidi="ar-SA"/>
    </w:rPr>
  </w:style>
  <w:style w:type="paragraph" w:styleId="ListParagraph">
    <w:name w:val="List Paragraph"/>
    <w:basedOn w:val="Normal"/>
    <w:uiPriority w:val="34"/>
    <w:qFormat/>
    <w:rsid w:val="00CB5ACB"/>
    <w:pPr>
      <w:widowControl/>
      <w:ind w:left="720"/>
    </w:pPr>
    <w:rPr>
      <w:rFonts w:ascii="Times New Roman" w:eastAsiaTheme="minorHAnsi" w:hAnsi="Times New Roman"/>
      <w:sz w:val="24"/>
      <w:lang w:val="en-AU" w:eastAsia="en-AU" w:bidi="ar-SA"/>
    </w:rPr>
  </w:style>
  <w:style w:type="character" w:customStyle="1" w:styleId="FootnoteTextChar">
    <w:name w:val="Footnote Text Char"/>
    <w:aliases w:val="FSFootnote Text Char"/>
    <w:basedOn w:val="DefaultParagraphFont"/>
    <w:link w:val="FootnoteText"/>
    <w:uiPriority w:val="99"/>
    <w:rsid w:val="00630D10"/>
    <w:rPr>
      <w:rFonts w:ascii="Arial" w:hAnsi="Arial"/>
      <w:lang w:eastAsia="en-US" w:bidi="en-US"/>
    </w:rPr>
  </w:style>
  <w:style w:type="character" w:customStyle="1" w:styleId="normalchar">
    <w:name w:val="normal_char"/>
    <w:rsid w:val="00131C8C"/>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9B52B3"/>
    <w:pPr>
      <w:numPr>
        <w:numId w:val="5"/>
      </w:numPr>
      <w:ind w:left="567" w:hanging="567"/>
    </w:pPr>
    <w:rPr>
      <w:rFonts w:cs="Arial"/>
    </w:rPr>
  </w:style>
  <w:style w:type="character" w:customStyle="1" w:styleId="FSBulletChar">
    <w:name w:val="FS Bullet Char"/>
    <w:basedOn w:val="DefaultParagraphFont"/>
    <w:link w:val="FSBullet"/>
    <w:rsid w:val="009B52B3"/>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ClauseChar">
    <w:name w:val="Clause Char"/>
    <w:basedOn w:val="DefaultParagraphFont"/>
    <w:link w:val="Clause"/>
    <w:rsid w:val="00643BA9"/>
    <w:rPr>
      <w:rFonts w:ascii="Arial" w:hAnsi="Arial"/>
      <w:lang w:eastAsia="en-US" w:bidi="en-US"/>
    </w:rPr>
  </w:style>
  <w:style w:type="paragraph" w:styleId="Title">
    <w:name w:val="Title"/>
    <w:basedOn w:val="Normal"/>
    <w:link w:val="TitleChar"/>
    <w:uiPriority w:val="10"/>
    <w:qFormat/>
    <w:rsid w:val="00643BA9"/>
    <w:pPr>
      <w:tabs>
        <w:tab w:val="left" w:pos="851"/>
      </w:tabs>
      <w:jc w:val="center"/>
    </w:pPr>
    <w:rPr>
      <w:b/>
      <w:bCs/>
      <w:sz w:val="20"/>
      <w:lang w:val="en-AU" w:bidi="ar-SA"/>
    </w:rPr>
  </w:style>
  <w:style w:type="character" w:customStyle="1" w:styleId="TitleChar">
    <w:name w:val="Title Char"/>
    <w:basedOn w:val="DefaultParagraphFont"/>
    <w:link w:val="Title"/>
    <w:uiPriority w:val="10"/>
    <w:rsid w:val="00643BA9"/>
    <w:rPr>
      <w:rFonts w:ascii="Arial" w:hAnsi="Arial"/>
      <w:b/>
      <w:bCs/>
      <w:szCs w:val="24"/>
      <w:lang w:val="en-AU" w:eastAsia="en-US"/>
    </w:rPr>
  </w:style>
  <w:style w:type="paragraph" w:styleId="NormalWeb">
    <w:name w:val="Normal (Web)"/>
    <w:basedOn w:val="Normal"/>
    <w:uiPriority w:val="99"/>
    <w:unhideWhenUsed/>
    <w:rsid w:val="00CB5ACB"/>
    <w:pPr>
      <w:widowControl/>
      <w:spacing w:before="100" w:beforeAutospacing="1" w:after="100" w:afterAutospacing="1"/>
    </w:pPr>
    <w:rPr>
      <w:rFonts w:ascii="Times New Roman" w:eastAsiaTheme="minorHAnsi" w:hAnsi="Times New Roman"/>
      <w:sz w:val="24"/>
      <w:lang w:val="en-AU" w:eastAsia="en-AU" w:bidi="ar-SA"/>
    </w:rPr>
  </w:style>
  <w:style w:type="paragraph" w:styleId="ListParagraph">
    <w:name w:val="List Paragraph"/>
    <w:basedOn w:val="Normal"/>
    <w:uiPriority w:val="34"/>
    <w:qFormat/>
    <w:rsid w:val="00CB5ACB"/>
    <w:pPr>
      <w:widowControl/>
      <w:ind w:left="720"/>
    </w:pPr>
    <w:rPr>
      <w:rFonts w:ascii="Times New Roman" w:eastAsiaTheme="minorHAnsi" w:hAnsi="Times New Roman"/>
      <w:sz w:val="24"/>
      <w:lang w:val="en-AU" w:eastAsia="en-AU" w:bidi="ar-SA"/>
    </w:rPr>
  </w:style>
  <w:style w:type="character" w:customStyle="1" w:styleId="FootnoteTextChar">
    <w:name w:val="Footnote Text Char"/>
    <w:aliases w:val="FSFootnote Text Char"/>
    <w:basedOn w:val="DefaultParagraphFont"/>
    <w:link w:val="FootnoteText"/>
    <w:uiPriority w:val="99"/>
    <w:rsid w:val="00630D10"/>
    <w:rPr>
      <w:rFonts w:ascii="Arial" w:hAnsi="Arial"/>
      <w:lang w:eastAsia="en-US" w:bidi="en-US"/>
    </w:rPr>
  </w:style>
  <w:style w:type="character" w:customStyle="1" w:styleId="normalchar">
    <w:name w:val="normal_char"/>
    <w:rsid w:val="00131C8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98965">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51298903">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294873042">
      <w:bodyDiv w:val="1"/>
      <w:marLeft w:val="0"/>
      <w:marRight w:val="0"/>
      <w:marTop w:val="0"/>
      <w:marBottom w:val="0"/>
      <w:divBdr>
        <w:top w:val="none" w:sz="0" w:space="0" w:color="auto"/>
        <w:left w:val="none" w:sz="0" w:space="0" w:color="auto"/>
        <w:bottom w:val="none" w:sz="0" w:space="0" w:color="auto"/>
        <w:right w:val="none" w:sz="0" w:space="0" w:color="auto"/>
      </w:divBdr>
      <w:divsChild>
        <w:div w:id="2103061692">
          <w:marLeft w:val="0"/>
          <w:marRight w:val="0"/>
          <w:marTop w:val="0"/>
          <w:marBottom w:val="0"/>
          <w:divBdr>
            <w:top w:val="none" w:sz="0" w:space="0" w:color="auto"/>
            <w:left w:val="none" w:sz="0" w:space="0" w:color="auto"/>
            <w:bottom w:val="none" w:sz="0" w:space="0" w:color="auto"/>
            <w:right w:val="none" w:sz="0" w:space="0" w:color="auto"/>
          </w:divBdr>
          <w:divsChild>
            <w:div w:id="404452193">
              <w:marLeft w:val="0"/>
              <w:marRight w:val="0"/>
              <w:marTop w:val="0"/>
              <w:marBottom w:val="0"/>
              <w:divBdr>
                <w:top w:val="none" w:sz="0" w:space="0" w:color="auto"/>
                <w:left w:val="none" w:sz="0" w:space="0" w:color="auto"/>
                <w:bottom w:val="none" w:sz="0" w:space="0" w:color="auto"/>
                <w:right w:val="none" w:sz="0" w:space="0" w:color="auto"/>
              </w:divBdr>
              <w:divsChild>
                <w:div w:id="1536577529">
                  <w:marLeft w:val="0"/>
                  <w:marRight w:val="0"/>
                  <w:marTop w:val="0"/>
                  <w:marBottom w:val="0"/>
                  <w:divBdr>
                    <w:top w:val="none" w:sz="0" w:space="0" w:color="auto"/>
                    <w:left w:val="none" w:sz="0" w:space="0" w:color="auto"/>
                    <w:bottom w:val="none" w:sz="0" w:space="0" w:color="auto"/>
                    <w:right w:val="none" w:sz="0" w:space="0" w:color="auto"/>
                  </w:divBdr>
                  <w:divsChild>
                    <w:div w:id="886139277">
                      <w:marLeft w:val="0"/>
                      <w:marRight w:val="0"/>
                      <w:marTop w:val="0"/>
                      <w:marBottom w:val="0"/>
                      <w:divBdr>
                        <w:top w:val="none" w:sz="0" w:space="0" w:color="auto"/>
                        <w:left w:val="none" w:sz="0" w:space="0" w:color="auto"/>
                        <w:bottom w:val="none" w:sz="0" w:space="0" w:color="auto"/>
                        <w:right w:val="none" w:sz="0" w:space="0" w:color="auto"/>
                      </w:divBdr>
                      <w:divsChild>
                        <w:div w:id="1026980737">
                          <w:marLeft w:val="0"/>
                          <w:marRight w:val="0"/>
                          <w:marTop w:val="0"/>
                          <w:marBottom w:val="0"/>
                          <w:divBdr>
                            <w:top w:val="none" w:sz="0" w:space="0" w:color="auto"/>
                            <w:left w:val="none" w:sz="0" w:space="0" w:color="auto"/>
                            <w:bottom w:val="none" w:sz="0" w:space="0" w:color="auto"/>
                            <w:right w:val="none" w:sz="0" w:space="0" w:color="auto"/>
                          </w:divBdr>
                          <w:divsChild>
                            <w:div w:id="1814905368">
                              <w:marLeft w:val="0"/>
                              <w:marRight w:val="0"/>
                              <w:marTop w:val="0"/>
                              <w:marBottom w:val="0"/>
                              <w:divBdr>
                                <w:top w:val="none" w:sz="0" w:space="0" w:color="auto"/>
                                <w:left w:val="none" w:sz="0" w:space="0" w:color="auto"/>
                                <w:bottom w:val="none" w:sz="0" w:space="0" w:color="auto"/>
                                <w:right w:val="none" w:sz="0" w:space="0" w:color="auto"/>
                              </w:divBdr>
                              <w:divsChild>
                                <w:div w:id="1670055672">
                                  <w:marLeft w:val="0"/>
                                  <w:marRight w:val="0"/>
                                  <w:marTop w:val="0"/>
                                  <w:marBottom w:val="0"/>
                                  <w:divBdr>
                                    <w:top w:val="none" w:sz="0" w:space="0" w:color="auto"/>
                                    <w:left w:val="none" w:sz="0" w:space="0" w:color="auto"/>
                                    <w:bottom w:val="none" w:sz="0" w:space="0" w:color="auto"/>
                                    <w:right w:val="none" w:sz="0" w:space="0" w:color="auto"/>
                                  </w:divBdr>
                                  <w:divsChild>
                                    <w:div w:id="158278861">
                                      <w:marLeft w:val="0"/>
                                      <w:marRight w:val="0"/>
                                      <w:marTop w:val="0"/>
                                      <w:marBottom w:val="0"/>
                                      <w:divBdr>
                                        <w:top w:val="none" w:sz="0" w:space="0" w:color="auto"/>
                                        <w:left w:val="none" w:sz="0" w:space="0" w:color="auto"/>
                                        <w:bottom w:val="none" w:sz="0" w:space="0" w:color="auto"/>
                                        <w:right w:val="none" w:sz="0" w:space="0" w:color="auto"/>
                                      </w:divBdr>
                                      <w:divsChild>
                                        <w:div w:id="2866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145427">
      <w:bodyDiv w:val="1"/>
      <w:marLeft w:val="0"/>
      <w:marRight w:val="0"/>
      <w:marTop w:val="0"/>
      <w:marBottom w:val="0"/>
      <w:divBdr>
        <w:top w:val="none" w:sz="0" w:space="0" w:color="auto"/>
        <w:left w:val="none" w:sz="0" w:space="0" w:color="auto"/>
        <w:bottom w:val="none" w:sz="0" w:space="0" w:color="auto"/>
        <w:right w:val="none" w:sz="0" w:space="0" w:color="auto"/>
      </w:divBdr>
      <w:divsChild>
        <w:div w:id="593435952">
          <w:marLeft w:val="0"/>
          <w:marRight w:val="0"/>
          <w:marTop w:val="0"/>
          <w:marBottom w:val="0"/>
          <w:divBdr>
            <w:top w:val="none" w:sz="0" w:space="0" w:color="auto"/>
            <w:left w:val="none" w:sz="0" w:space="0" w:color="auto"/>
            <w:bottom w:val="none" w:sz="0" w:space="0" w:color="auto"/>
            <w:right w:val="none" w:sz="0" w:space="0" w:color="auto"/>
          </w:divBdr>
          <w:divsChild>
            <w:div w:id="943415537">
              <w:marLeft w:val="0"/>
              <w:marRight w:val="0"/>
              <w:marTop w:val="0"/>
              <w:marBottom w:val="0"/>
              <w:divBdr>
                <w:top w:val="none" w:sz="0" w:space="0" w:color="auto"/>
                <w:left w:val="none" w:sz="0" w:space="0" w:color="auto"/>
                <w:bottom w:val="none" w:sz="0" w:space="0" w:color="auto"/>
                <w:right w:val="none" w:sz="0" w:space="0" w:color="auto"/>
              </w:divBdr>
              <w:divsChild>
                <w:div w:id="1251813480">
                  <w:marLeft w:val="0"/>
                  <w:marRight w:val="0"/>
                  <w:marTop w:val="0"/>
                  <w:marBottom w:val="0"/>
                  <w:divBdr>
                    <w:top w:val="none" w:sz="0" w:space="0" w:color="auto"/>
                    <w:left w:val="none" w:sz="0" w:space="0" w:color="auto"/>
                    <w:bottom w:val="none" w:sz="0" w:space="0" w:color="auto"/>
                    <w:right w:val="none" w:sz="0" w:space="0" w:color="auto"/>
                  </w:divBdr>
                  <w:divsChild>
                    <w:div w:id="5767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74267">
      <w:bodyDiv w:val="1"/>
      <w:marLeft w:val="0"/>
      <w:marRight w:val="0"/>
      <w:marTop w:val="0"/>
      <w:marBottom w:val="0"/>
      <w:divBdr>
        <w:top w:val="none" w:sz="0" w:space="0" w:color="auto"/>
        <w:left w:val="none" w:sz="0" w:space="0" w:color="auto"/>
        <w:bottom w:val="none" w:sz="0" w:space="0" w:color="auto"/>
        <w:right w:val="none" w:sz="0" w:space="0" w:color="auto"/>
      </w:divBdr>
      <w:divsChild>
        <w:div w:id="775833734">
          <w:marLeft w:val="0"/>
          <w:marRight w:val="0"/>
          <w:marTop w:val="0"/>
          <w:marBottom w:val="0"/>
          <w:divBdr>
            <w:top w:val="none" w:sz="0" w:space="0" w:color="auto"/>
            <w:left w:val="none" w:sz="0" w:space="0" w:color="auto"/>
            <w:bottom w:val="none" w:sz="0" w:space="0" w:color="auto"/>
            <w:right w:val="none" w:sz="0" w:space="0" w:color="auto"/>
          </w:divBdr>
          <w:divsChild>
            <w:div w:id="434449088">
              <w:marLeft w:val="0"/>
              <w:marRight w:val="0"/>
              <w:marTop w:val="0"/>
              <w:marBottom w:val="0"/>
              <w:divBdr>
                <w:top w:val="none" w:sz="0" w:space="0" w:color="auto"/>
                <w:left w:val="none" w:sz="0" w:space="0" w:color="auto"/>
                <w:bottom w:val="none" w:sz="0" w:space="0" w:color="auto"/>
                <w:right w:val="none" w:sz="0" w:space="0" w:color="auto"/>
              </w:divBdr>
              <w:divsChild>
                <w:div w:id="1009911626">
                  <w:marLeft w:val="0"/>
                  <w:marRight w:val="0"/>
                  <w:marTop w:val="0"/>
                  <w:marBottom w:val="0"/>
                  <w:divBdr>
                    <w:top w:val="none" w:sz="0" w:space="0" w:color="auto"/>
                    <w:left w:val="none" w:sz="0" w:space="0" w:color="auto"/>
                    <w:bottom w:val="none" w:sz="0" w:space="0" w:color="auto"/>
                    <w:right w:val="none" w:sz="0" w:space="0" w:color="auto"/>
                  </w:divBdr>
                  <w:divsChild>
                    <w:div w:id="6406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oodstandards.gov.au/consumer/gmfood/safety/Pages/default.aspx" TargetMode="External"/><Relationship Id="rId26" Type="http://schemas.openxmlformats.org/officeDocument/2006/relationships/hyperlink" Target="http://www.prnewswire.co.uk/news-releases/elsevier-announces-article-retraction-from-journal-food-and-chemical-toxicology-233754961.html" TargetMode="External"/><Relationship Id="rId39" Type="http://schemas.openxmlformats.org/officeDocument/2006/relationships/customXml" Target="../customXml/item4.xml"/><Relationship Id="rId21" Type="http://schemas.openxmlformats.org/officeDocument/2006/relationships/hyperlink" Target="http://www.foodstandards.gov.au/consumer/gmfood/labelling/pages/default.aspx"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consumer/gmfood/adverse/Pages/default.aspx" TargetMode="External"/><Relationship Id="rId25" Type="http://schemas.openxmlformats.org/officeDocument/2006/relationships/hyperlink" Target="http://www.foodstandards.gov.au/consumer/gmfood/Pages/roleofanimalfeedings3717.aspx" TargetMode="External"/><Relationship Id="rId33" Type="http://schemas.openxmlformats.org/officeDocument/2006/relationships/hyperlink" Target="http://www.oecd.org/futures/long-termtechnologicalsocietalchallenges/40926844.pdf"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foodstandards.gov.au/code/applications/Pages/a1081foodderivedfrom5825.aspx" TargetMode="External"/><Relationship Id="rId20" Type="http://schemas.openxmlformats.org/officeDocument/2006/relationships/hyperlink" Target="http://www.comlaw.gov.au/Series/F2008B00628" TargetMode="External"/><Relationship Id="rId29" Type="http://schemas.openxmlformats.org/officeDocument/2006/relationships/hyperlink" Target="http://www.codexalimentarius.net/web/standard_list.do?la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consumer/gmfood/recombinantdna/Pages/default.aspx" TargetMode="External"/><Relationship Id="rId32" Type="http://schemas.openxmlformats.org/officeDocument/2006/relationships/hyperlink" Target="http://www.foodstandards.gov.au/foodstandards/changingthecode/applicationshandbook.cfm" TargetMode="Externa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consumer/chemicals/maxresidue/Pages/default.aspx" TargetMode="External"/><Relationship Id="rId28" Type="http://schemas.openxmlformats.org/officeDocument/2006/relationships/hyperlink" Target="http://www.foodstandards.gov.au/consumer/gmfood/seralini/Pages/default.aspx"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foodstandards.gov.au/consumer/gmfood/Pages/reviewofgeneticallym4394.aspx" TargetMode="External"/><Relationship Id="rId31" Type="http://schemas.openxmlformats.org/officeDocument/2006/relationships/hyperlink" Target="http://www.foodstandards.gov.au/_srcfiles/GM%20FINAL%20Sept%2007L%20_2_.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newsroom/publications/gmlabellingreviewrep2460.cfm" TargetMode="External"/><Relationship Id="rId27" Type="http://schemas.openxmlformats.org/officeDocument/2006/relationships/hyperlink" Target="http://www.foodstandards.gov.au/consumer/gmfood/Pages/Response-to-Dr-Carman's-study.aspx" TargetMode="External"/><Relationship Id="rId30" Type="http://schemas.openxmlformats.org/officeDocument/2006/relationships/hyperlink" Target="http://www.who.int/foodsafety/publications/biotech/en/1990.pdf"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Pages/a1081foodderivedfrom5825.aspx" TargetMode="External"/><Relationship Id="rId2" Type="http://schemas.openxmlformats.org/officeDocument/2006/relationships/hyperlink" Target="https://www.facebook.com/safefoodfoundation/posts/532736996791527" TargetMode="External"/><Relationship Id="rId1" Type="http://schemas.openxmlformats.org/officeDocument/2006/relationships/hyperlink" Target="https://www.facebook.com/TruefoodNetwork/posts/10151547780856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2D2815-BC02-401A-BBA2-932E0F4EF701}"/>
</file>

<file path=customXml/itemProps2.xml><?xml version="1.0" encoding="utf-8"?>
<ds:datastoreItem xmlns:ds="http://schemas.openxmlformats.org/officeDocument/2006/customXml" ds:itemID="{008E1F59-A935-40A9-8DFC-218CAC36EA34}"/>
</file>

<file path=customXml/itemProps3.xml><?xml version="1.0" encoding="utf-8"?>
<ds:datastoreItem xmlns:ds="http://schemas.openxmlformats.org/officeDocument/2006/customXml" ds:itemID="{CF3A9310-2103-4ABE-BA2F-B8998819424F}"/>
</file>

<file path=customXml/itemProps4.xml><?xml version="1.0" encoding="utf-8"?>
<ds:datastoreItem xmlns:ds="http://schemas.openxmlformats.org/officeDocument/2006/customXml" ds:itemID="{EB177D4A-A45C-4D33-8DE2-15CC42A6F51A}"/>
</file>

<file path=docProps/app.xml><?xml version="1.0" encoding="utf-8"?>
<Properties xmlns="http://schemas.openxmlformats.org/officeDocument/2006/extended-properties" xmlns:vt="http://schemas.openxmlformats.org/officeDocument/2006/docPropsVTypes">
  <Template>Normal</Template>
  <TotalTime>0</TotalTime>
  <Pages>22</Pages>
  <Words>7067</Words>
  <Characters>53986</Characters>
  <Application>Microsoft Office Word</Application>
  <DocSecurity>0</DocSecurity>
  <Lines>449</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60932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A1081-GM-AppR</dc:title>
  <dc:creator/>
  <cp:lastModifiedBy/>
  <cp:revision>1</cp:revision>
  <dcterms:created xsi:type="dcterms:W3CDTF">2013-12-17T01:24:00Z</dcterms:created>
  <dcterms:modified xsi:type="dcterms:W3CDTF">2013-12-17T01:28:00Z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