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Pr="00272E09" w:rsidRDefault="00772BDC" w:rsidP="00CA5734">
      <w:pPr>
        <w:rPr>
          <w:rFonts w:cs="Arial"/>
        </w:rPr>
      </w:pPr>
      <w:bookmarkStart w:id="0" w:name="_GoBack"/>
      <w:bookmarkEnd w:id="0"/>
      <w:r w:rsidRPr="00272E09">
        <w:rPr>
          <w:rFonts w:cs="Arial"/>
          <w:noProof/>
          <w:lang w:eastAsia="en-GB" w:bidi="ar-SA"/>
        </w:rPr>
        <w:drawing>
          <wp:inline distT="0" distB="0" distL="0" distR="0" wp14:anchorId="1ADDC193" wp14:editId="4857EB0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272E09" w:rsidRDefault="00A671E6" w:rsidP="00A671E6"/>
    <w:p w:rsidR="00564790" w:rsidRPr="00F36294" w:rsidRDefault="00F36294" w:rsidP="00564790">
      <w:pPr>
        <w:rPr>
          <w:b/>
          <w:sz w:val="28"/>
          <w:szCs w:val="28"/>
        </w:rPr>
      </w:pPr>
      <w:r w:rsidRPr="00F36294">
        <w:rPr>
          <w:b/>
          <w:sz w:val="28"/>
          <w:szCs w:val="28"/>
        </w:rPr>
        <w:t>12 March</w:t>
      </w:r>
      <w:r w:rsidR="00B068D7" w:rsidRPr="00F36294">
        <w:rPr>
          <w:b/>
          <w:sz w:val="28"/>
          <w:szCs w:val="28"/>
        </w:rPr>
        <w:t xml:space="preserve"> 2014</w:t>
      </w:r>
    </w:p>
    <w:p w:rsidR="00564790" w:rsidRPr="00F36294" w:rsidRDefault="00564790" w:rsidP="00564790">
      <w:pPr>
        <w:rPr>
          <w:b/>
          <w:sz w:val="28"/>
          <w:szCs w:val="28"/>
        </w:rPr>
      </w:pPr>
      <w:r w:rsidRPr="00F36294">
        <w:rPr>
          <w:b/>
          <w:sz w:val="28"/>
          <w:szCs w:val="28"/>
        </w:rPr>
        <w:t>[</w:t>
      </w:r>
      <w:r w:rsidR="00F36294" w:rsidRPr="00F36294">
        <w:rPr>
          <w:b/>
          <w:sz w:val="28"/>
          <w:szCs w:val="28"/>
        </w:rPr>
        <w:t>04</w:t>
      </w:r>
      <w:r w:rsidRPr="00F36294">
        <w:rPr>
          <w:b/>
          <w:sz w:val="28"/>
          <w:szCs w:val="28"/>
        </w:rPr>
        <w:t>-1</w:t>
      </w:r>
      <w:r w:rsidR="00B068D7" w:rsidRPr="00F36294">
        <w:rPr>
          <w:b/>
          <w:sz w:val="28"/>
          <w:szCs w:val="28"/>
        </w:rPr>
        <w:t>4</w:t>
      </w:r>
      <w:r w:rsidRPr="00F36294">
        <w:rPr>
          <w:b/>
          <w:sz w:val="28"/>
          <w:szCs w:val="28"/>
        </w:rPr>
        <w:t>]</w:t>
      </w:r>
    </w:p>
    <w:p w:rsidR="00A671E6" w:rsidRPr="00272E09" w:rsidRDefault="00A671E6" w:rsidP="00A671E6"/>
    <w:p w:rsidR="0012388D" w:rsidRPr="00272E09" w:rsidRDefault="00B425AA" w:rsidP="00B425AA">
      <w:pPr>
        <w:pStyle w:val="FSTitle"/>
      </w:pPr>
      <w:r w:rsidRPr="00272E09">
        <w:t>A</w:t>
      </w:r>
      <w:r w:rsidR="00DD265C" w:rsidRPr="00272E09">
        <w:t>pproval</w:t>
      </w:r>
      <w:r w:rsidRPr="00272E09">
        <w:t xml:space="preserve"> R</w:t>
      </w:r>
      <w:r w:rsidR="00DD265C" w:rsidRPr="00272E09">
        <w:t>eport</w:t>
      </w:r>
      <w:r w:rsidRPr="00272E09">
        <w:t xml:space="preserve"> – </w:t>
      </w:r>
      <w:r w:rsidR="00EB6590" w:rsidRPr="00272E09">
        <w:t>A</w:t>
      </w:r>
      <w:r w:rsidR="00DD265C" w:rsidRPr="00272E09">
        <w:t>pplication</w:t>
      </w:r>
      <w:r w:rsidR="00F542C9">
        <w:t xml:space="preserve"> A1087</w:t>
      </w:r>
    </w:p>
    <w:p w:rsidR="003A7B84" w:rsidRPr="00272E09" w:rsidRDefault="003A7B84" w:rsidP="00A671E6"/>
    <w:p w:rsidR="009C5D87" w:rsidRPr="005C18EC" w:rsidRDefault="009C5D87" w:rsidP="009C5D87">
      <w:pPr>
        <w:pStyle w:val="FSSUBJECT"/>
        <w:jc w:val="left"/>
        <w:rPr>
          <w:rFonts w:cs="Arial"/>
          <w:b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Pr>
          <w:rFonts w:cs="Arial"/>
          <w:b w:val="0"/>
          <w:caps w:val="0"/>
          <w:color w:val="000000" w:themeColor="text1"/>
          <w:sz w:val="32"/>
          <w:szCs w:val="32"/>
        </w:rPr>
        <w:t xml:space="preserve"> derived from Insect-protected</w:t>
      </w:r>
      <w:r w:rsidRPr="005C18EC">
        <w:rPr>
          <w:rFonts w:cs="Arial"/>
          <w:b w:val="0"/>
          <w:caps w:val="0"/>
          <w:color w:val="000000" w:themeColor="text1"/>
          <w:sz w:val="32"/>
          <w:szCs w:val="32"/>
        </w:rPr>
        <w:t xml:space="preserve"> Soybean Line </w:t>
      </w:r>
      <w:r>
        <w:rPr>
          <w:rFonts w:cs="Arial"/>
          <w:b w:val="0"/>
          <w:color w:val="000000" w:themeColor="text1"/>
          <w:sz w:val="32"/>
          <w:szCs w:val="32"/>
        </w:rPr>
        <w:t>DAS-81419-2</w:t>
      </w:r>
    </w:p>
    <w:p w:rsidR="008810D9" w:rsidRPr="00272E09" w:rsidRDefault="008810D9" w:rsidP="009C5D87">
      <w:pPr>
        <w:pBdr>
          <w:bottom w:val="single" w:sz="12" w:space="1" w:color="auto"/>
        </w:pBdr>
        <w:tabs>
          <w:tab w:val="left" w:pos="870"/>
        </w:tabs>
        <w:spacing w:line="280" w:lineRule="exact"/>
        <w:rPr>
          <w:rFonts w:cs="Arial"/>
          <w:bCs/>
        </w:rPr>
      </w:pPr>
    </w:p>
    <w:p w:rsidR="008810D9" w:rsidRPr="00272E09" w:rsidRDefault="008810D9" w:rsidP="008810D9">
      <w:pPr>
        <w:rPr>
          <w:szCs w:val="22"/>
        </w:rPr>
      </w:pPr>
    </w:p>
    <w:p w:rsidR="00564790" w:rsidRPr="00272E09" w:rsidRDefault="003E6806" w:rsidP="009B52B3">
      <w:pPr>
        <w:rPr>
          <w:color w:val="000000" w:themeColor="text1"/>
          <w:szCs w:val="22"/>
        </w:rPr>
      </w:pPr>
      <w:r w:rsidRPr="00272E09">
        <w:rPr>
          <w:color w:val="000000" w:themeColor="text1"/>
          <w:szCs w:val="22"/>
        </w:rPr>
        <w:t>Food Standards Australia New Zealand (FSANZ) has assessed an a</w:t>
      </w:r>
      <w:r w:rsidR="00564790" w:rsidRPr="00272E09">
        <w:rPr>
          <w:color w:val="000000" w:themeColor="text1"/>
          <w:szCs w:val="22"/>
        </w:rPr>
        <w:t xml:space="preserve">pplication made by </w:t>
      </w:r>
      <w:r w:rsidR="009C5D87">
        <w:rPr>
          <w:color w:val="000000" w:themeColor="text1"/>
          <w:szCs w:val="22"/>
        </w:rPr>
        <w:t>Dow AgroSciences Australia Ltd</w:t>
      </w:r>
      <w:r w:rsidR="00564790" w:rsidRPr="00272E09">
        <w:rPr>
          <w:color w:val="000000" w:themeColor="text1"/>
          <w:szCs w:val="22"/>
        </w:rPr>
        <w:t xml:space="preserve"> seeking permission for food derived </w:t>
      </w:r>
      <w:r w:rsidR="00E138A9" w:rsidRPr="00272E09">
        <w:rPr>
          <w:color w:val="000000" w:themeColor="text1"/>
          <w:szCs w:val="22"/>
        </w:rPr>
        <w:t xml:space="preserve">from </w:t>
      </w:r>
      <w:r w:rsidR="009C5D87">
        <w:rPr>
          <w:color w:val="000000" w:themeColor="text1"/>
          <w:szCs w:val="22"/>
        </w:rPr>
        <w:t>soybean line           DAS-81419-2</w:t>
      </w:r>
      <w:r w:rsidR="00E138A9" w:rsidRPr="00272E09">
        <w:rPr>
          <w:color w:val="000000" w:themeColor="text1"/>
          <w:szCs w:val="22"/>
        </w:rPr>
        <w:t>, which is genetically modifi</w:t>
      </w:r>
      <w:r w:rsidR="009C5D87">
        <w:rPr>
          <w:color w:val="000000" w:themeColor="text1"/>
          <w:szCs w:val="22"/>
        </w:rPr>
        <w:t>ed to provide protection against several lepidopteran pests</w:t>
      </w:r>
      <w:r w:rsidR="00E138A9" w:rsidRPr="00272E09">
        <w:rPr>
          <w:color w:val="000000" w:themeColor="text1"/>
          <w:szCs w:val="22"/>
        </w:rPr>
        <w:t>.</w:t>
      </w:r>
    </w:p>
    <w:p w:rsidR="00E138A9" w:rsidRPr="00272E09" w:rsidRDefault="00E138A9" w:rsidP="009B52B3">
      <w:pPr>
        <w:rPr>
          <w:szCs w:val="22"/>
        </w:rPr>
      </w:pPr>
    </w:p>
    <w:p w:rsidR="009B52B3" w:rsidRPr="00272E09" w:rsidRDefault="009C5D87" w:rsidP="009B52B3">
      <w:r>
        <w:t>On 5 November</w:t>
      </w:r>
      <w:r w:rsidR="00564790" w:rsidRPr="00272E09">
        <w:t xml:space="preserve"> 2013</w:t>
      </w:r>
      <w:r w:rsidR="009B52B3" w:rsidRPr="00272E09">
        <w:t>, FSANZ sought submissions on</w:t>
      </w:r>
      <w:r w:rsidR="00263E20" w:rsidRPr="00272E09">
        <w:t xml:space="preserve"> a draft variation to Standard 1.5.2</w:t>
      </w:r>
      <w:r w:rsidR="009B52B3" w:rsidRPr="00272E09">
        <w:t xml:space="preserve"> and published an associat</w:t>
      </w:r>
      <w:r w:rsidR="004D25A5" w:rsidRPr="00272E09">
        <w:t xml:space="preserve">ed report. FSANZ received </w:t>
      </w:r>
      <w:r w:rsidR="00ED663C">
        <w:t>four</w:t>
      </w:r>
      <w:r w:rsidR="009B52B3" w:rsidRPr="00272E09">
        <w:t xml:space="preserve"> submissions.</w:t>
      </w:r>
    </w:p>
    <w:p w:rsidR="009B52B3" w:rsidRPr="00272E09" w:rsidRDefault="009B52B3" w:rsidP="009B52B3"/>
    <w:p w:rsidR="009B52B3" w:rsidRPr="00F36294" w:rsidRDefault="009B52B3" w:rsidP="009B52B3">
      <w:r w:rsidRPr="00272E09">
        <w:t>FSANZ approved the draft variation to the Standard on</w:t>
      </w:r>
      <w:r w:rsidR="00400169" w:rsidRPr="00F36294">
        <w:t xml:space="preserve"> </w:t>
      </w:r>
      <w:r w:rsidR="00F36294" w:rsidRPr="00F36294">
        <w:t xml:space="preserve">6 </w:t>
      </w:r>
      <w:r w:rsidR="009C5D87" w:rsidRPr="00F36294">
        <w:t>March</w:t>
      </w:r>
      <w:r w:rsidR="00400169" w:rsidRPr="00F36294">
        <w:t xml:space="preserve"> 201</w:t>
      </w:r>
      <w:r w:rsidR="00E138A9" w:rsidRPr="00F36294">
        <w:t>4</w:t>
      </w:r>
      <w:r w:rsidRPr="00F36294">
        <w:t>. The COAG Legislative and Governance Forum on Food Regulation</w:t>
      </w:r>
      <w:r w:rsidRPr="00F36294">
        <w:rPr>
          <w:vertAlign w:val="superscript"/>
        </w:rPr>
        <w:footnoteReference w:id="1"/>
      </w:r>
      <w:r w:rsidRPr="00F36294">
        <w:t xml:space="preserve"> (the Forum)</w:t>
      </w:r>
      <w:r w:rsidR="004D25A5" w:rsidRPr="00F36294">
        <w:t xml:space="preserve"> </w:t>
      </w:r>
      <w:proofErr w:type="gramStart"/>
      <w:r w:rsidRPr="00F36294">
        <w:t>was</w:t>
      </w:r>
      <w:proofErr w:type="gramEnd"/>
      <w:r w:rsidRPr="00F36294">
        <w:t xml:space="preserve"> notified of FSANZ’s decision on</w:t>
      </w:r>
      <w:r w:rsidR="00400169" w:rsidRPr="00F36294">
        <w:t xml:space="preserve"> </w:t>
      </w:r>
      <w:r w:rsidR="00F36294" w:rsidRPr="00F36294">
        <w:t>11 March</w:t>
      </w:r>
      <w:r w:rsidR="00400169" w:rsidRPr="00F36294">
        <w:t xml:space="preserve"> 201</w:t>
      </w:r>
      <w:r w:rsidR="00E138A9" w:rsidRPr="00F36294">
        <w:t>4</w:t>
      </w:r>
      <w:r w:rsidRPr="00F36294">
        <w:t>.</w:t>
      </w:r>
    </w:p>
    <w:p w:rsidR="009B52B3" w:rsidRPr="00272E09" w:rsidRDefault="009B52B3" w:rsidP="009B52B3"/>
    <w:p w:rsidR="009B52B3" w:rsidRPr="00272E09" w:rsidRDefault="009B52B3" w:rsidP="009B52B3">
      <w:r w:rsidRPr="00272E09">
        <w:t>This Report is provided pursuant to paragraph 33(1</w:t>
      </w:r>
      <w:proofErr w:type="gramStart"/>
      <w:r w:rsidRPr="00272E09">
        <w:t>)(</w:t>
      </w:r>
      <w:proofErr w:type="gramEnd"/>
      <w:r w:rsidRPr="00272E09">
        <w:t xml:space="preserve">b) of the </w:t>
      </w:r>
      <w:r w:rsidRPr="00272E09">
        <w:rPr>
          <w:i/>
        </w:rPr>
        <w:t>Food Standards Australia New Zealand Act 1991</w:t>
      </w:r>
      <w:r w:rsidRPr="00272E09">
        <w:t xml:space="preserve"> (the FSANZ Act).</w:t>
      </w:r>
    </w:p>
    <w:p w:rsidR="00F526BD" w:rsidRPr="00272E09" w:rsidRDefault="00F526BD" w:rsidP="00A671E6"/>
    <w:p w:rsidR="00EB6590" w:rsidRPr="00272E09" w:rsidRDefault="00EB6590" w:rsidP="00F526BD"/>
    <w:p w:rsidR="00A671E6" w:rsidRPr="00272E09" w:rsidRDefault="00A671E6" w:rsidP="00CC5468">
      <w:pPr>
        <w:sectPr w:rsidR="00A671E6" w:rsidRPr="00272E09" w:rsidSect="00B90B0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272E09" w:rsidRDefault="00D15A08" w:rsidP="00EC66BB">
      <w:pPr>
        <w:jc w:val="center"/>
        <w:rPr>
          <w:sz w:val="28"/>
          <w:szCs w:val="28"/>
        </w:rPr>
      </w:pPr>
      <w:r w:rsidRPr="00272E09">
        <w:rPr>
          <w:sz w:val="28"/>
          <w:szCs w:val="28"/>
        </w:rPr>
        <w:lastRenderedPageBreak/>
        <w:t xml:space="preserve">Table of </w:t>
      </w:r>
      <w:r w:rsidR="00456B54" w:rsidRPr="00272E09">
        <w:rPr>
          <w:sz w:val="28"/>
          <w:szCs w:val="28"/>
        </w:rPr>
        <w:t>C</w:t>
      </w:r>
      <w:r w:rsidRPr="00272E09">
        <w:rPr>
          <w:sz w:val="28"/>
          <w:szCs w:val="28"/>
        </w:rPr>
        <w:t>ontents</w:t>
      </w:r>
    </w:p>
    <w:p w:rsidR="00381D41" w:rsidRPr="00561158"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1541D6">
        <w:rPr>
          <w:rFonts w:ascii="Arial" w:hAnsi="Arial" w:cs="Arial"/>
          <w:b w:val="0"/>
          <w:bCs w:val="0"/>
          <w:caps w:val="0"/>
          <w:smallCaps/>
        </w:rPr>
        <w:fldChar w:fldCharType="begin"/>
      </w:r>
      <w:r w:rsidRPr="001541D6">
        <w:rPr>
          <w:rFonts w:ascii="Arial" w:hAnsi="Arial" w:cs="Arial"/>
        </w:rPr>
        <w:instrText xml:space="preserve"> TOC \h \z \t "Heading 1,1,Heading 2,2,Heading 3,3" </w:instrText>
      </w:r>
      <w:r w:rsidRPr="001541D6">
        <w:rPr>
          <w:rFonts w:ascii="Arial" w:hAnsi="Arial" w:cs="Arial"/>
          <w:b w:val="0"/>
          <w:bCs w:val="0"/>
          <w:caps w:val="0"/>
          <w:smallCaps/>
        </w:rPr>
        <w:fldChar w:fldCharType="separate"/>
      </w:r>
      <w:hyperlink w:anchor="_Toc372719220" w:history="1">
        <w:r w:rsidR="00381D41" w:rsidRPr="00561158">
          <w:rPr>
            <w:rStyle w:val="Hyperlink"/>
            <w:rFonts w:ascii="Arial" w:hAnsi="Arial" w:cs="Arial"/>
            <w:noProof/>
          </w:rPr>
          <w:t>Executive summary</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_Toc372719220 \h </w:instrText>
        </w:r>
        <w:r w:rsidR="00381D41" w:rsidRPr="00561158">
          <w:rPr>
            <w:rFonts w:ascii="Arial" w:hAnsi="Arial" w:cs="Arial"/>
            <w:noProof/>
            <w:webHidden/>
          </w:rPr>
        </w:r>
        <w:r w:rsidR="00381D41" w:rsidRPr="00561158">
          <w:rPr>
            <w:rFonts w:ascii="Arial" w:hAnsi="Arial" w:cs="Arial"/>
            <w:noProof/>
            <w:webHidden/>
          </w:rPr>
          <w:fldChar w:fldCharType="separate"/>
        </w:r>
        <w:r w:rsidR="00DC17D0">
          <w:rPr>
            <w:rFonts w:ascii="Arial" w:hAnsi="Arial" w:cs="Arial"/>
            <w:noProof/>
            <w:webHidden/>
          </w:rPr>
          <w:t>2</w:t>
        </w:r>
        <w:r w:rsidR="00381D41" w:rsidRPr="00561158">
          <w:rPr>
            <w:rFonts w:ascii="Arial" w:hAnsi="Arial" w:cs="Arial"/>
            <w:noProof/>
            <w:webHidden/>
          </w:rPr>
          <w:fldChar w:fldCharType="end"/>
        </w:r>
      </w:hyperlink>
    </w:p>
    <w:p w:rsidR="00381D41" w:rsidRPr="00561158" w:rsidRDefault="00DC17D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2719221" w:history="1">
        <w:r w:rsidR="00381D41" w:rsidRPr="00561158">
          <w:rPr>
            <w:rStyle w:val="Hyperlink"/>
            <w:rFonts w:ascii="Arial" w:hAnsi="Arial" w:cs="Arial"/>
            <w:noProof/>
          </w:rPr>
          <w:t>1.</w:t>
        </w:r>
        <w:r w:rsidR="00381D41" w:rsidRPr="00561158">
          <w:rPr>
            <w:rFonts w:ascii="Arial" w:eastAsiaTheme="minorEastAsia" w:hAnsi="Arial" w:cs="Arial"/>
            <w:b w:val="0"/>
            <w:bCs w:val="0"/>
            <w:caps w:val="0"/>
            <w:noProof/>
            <w:sz w:val="22"/>
            <w:szCs w:val="22"/>
            <w:lang w:eastAsia="en-GB" w:bidi="ar-SA"/>
          </w:rPr>
          <w:tab/>
        </w:r>
        <w:r w:rsidR="00381D41" w:rsidRPr="00561158">
          <w:rPr>
            <w:rStyle w:val="Hyperlink"/>
            <w:rFonts w:ascii="Arial" w:hAnsi="Arial" w:cs="Arial"/>
            <w:noProof/>
          </w:rPr>
          <w:t>Introduction</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_Toc372719221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3</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22" w:history="1">
        <w:r w:rsidR="00381D41" w:rsidRPr="00561158">
          <w:rPr>
            <w:rStyle w:val="Hyperlink"/>
            <w:rFonts w:ascii="Arial" w:hAnsi="Arial" w:cs="Arial"/>
            <w:noProof/>
          </w:rPr>
          <w:t>1.1</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The Applicant</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_Toc372719222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3</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23" w:history="1">
        <w:r w:rsidR="00381D41" w:rsidRPr="00561158">
          <w:rPr>
            <w:rStyle w:val="Hyperlink"/>
            <w:rFonts w:ascii="Arial" w:hAnsi="Arial" w:cs="Arial"/>
            <w:noProof/>
          </w:rPr>
          <w:t>1.2</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The Application</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_Toc372719223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3</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24" w:history="1">
        <w:r w:rsidR="00381D41" w:rsidRPr="00561158">
          <w:rPr>
            <w:rStyle w:val="Hyperlink"/>
            <w:rFonts w:ascii="Arial" w:hAnsi="Arial" w:cs="Arial"/>
            <w:noProof/>
          </w:rPr>
          <w:t>1.3</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The current Standard</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_Toc372719224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3</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25" w:history="1">
        <w:r w:rsidR="00381D41" w:rsidRPr="00561158">
          <w:rPr>
            <w:rStyle w:val="Hyperlink"/>
            <w:rFonts w:ascii="Arial" w:hAnsi="Arial" w:cs="Arial"/>
            <w:noProof/>
          </w:rPr>
          <w:t>1.4</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 xml:space="preserve">Reasons for accepting the </w:t>
        </w:r>
        <w:r w:rsidR="00381D41" w:rsidRPr="00561158">
          <w:rPr>
            <w:rStyle w:val="Hyperlink"/>
            <w:rFonts w:ascii="Arial" w:hAnsi="Arial" w:cs="Arial"/>
            <w:noProof/>
            <w:u w:color="FFFF00"/>
          </w:rPr>
          <w:t>Application</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_Toc372719225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3</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26" w:history="1">
        <w:r w:rsidR="00381D41" w:rsidRPr="00561158">
          <w:rPr>
            <w:rStyle w:val="Hyperlink"/>
            <w:rFonts w:ascii="Arial" w:hAnsi="Arial" w:cs="Arial"/>
            <w:noProof/>
          </w:rPr>
          <w:t>1.5</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Procedure for assessment</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_Toc372719226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4</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27" w:history="1">
        <w:r w:rsidR="00381D41" w:rsidRPr="00561158">
          <w:rPr>
            <w:rStyle w:val="Hyperlink"/>
            <w:rFonts w:ascii="Arial" w:hAnsi="Arial" w:cs="Arial"/>
            <w:noProof/>
          </w:rPr>
          <w:t>1.6</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Decision</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_Toc372719227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4</w:t>
        </w:r>
        <w:r w:rsidR="00381D41" w:rsidRPr="00561158">
          <w:rPr>
            <w:rFonts w:ascii="Arial" w:hAnsi="Arial" w:cs="Arial"/>
            <w:noProof/>
            <w:webHidden/>
          </w:rPr>
          <w:fldChar w:fldCharType="end"/>
        </w:r>
      </w:hyperlink>
    </w:p>
    <w:p w:rsidR="00381D41" w:rsidRPr="00561158" w:rsidRDefault="00DC17D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2719228" w:history="1">
        <w:r w:rsidR="00381D41" w:rsidRPr="00561158">
          <w:rPr>
            <w:rStyle w:val="Hyperlink"/>
            <w:rFonts w:ascii="Arial" w:hAnsi="Arial" w:cs="Arial"/>
            <w:noProof/>
          </w:rPr>
          <w:t>2.</w:t>
        </w:r>
        <w:r w:rsidR="00381D41" w:rsidRPr="00561158">
          <w:rPr>
            <w:rFonts w:ascii="Arial" w:eastAsiaTheme="minorEastAsia" w:hAnsi="Arial" w:cs="Arial"/>
            <w:b w:val="0"/>
            <w:bCs w:val="0"/>
            <w:caps w:val="0"/>
            <w:noProof/>
            <w:sz w:val="22"/>
            <w:szCs w:val="22"/>
            <w:lang w:eastAsia="en-GB" w:bidi="ar-SA"/>
          </w:rPr>
          <w:tab/>
        </w:r>
        <w:r w:rsidR="00381D41" w:rsidRPr="00561158">
          <w:rPr>
            <w:rStyle w:val="Hyperlink"/>
            <w:rFonts w:ascii="Arial" w:hAnsi="Arial" w:cs="Arial"/>
            <w:noProof/>
          </w:rPr>
          <w:t xml:space="preserve">Summary </w:t>
        </w:r>
        <w:r w:rsidR="00381D41" w:rsidRPr="00561158">
          <w:rPr>
            <w:rStyle w:val="Hyperlink"/>
            <w:rFonts w:ascii="Arial" w:hAnsi="Arial" w:cs="Arial"/>
            <w:noProof/>
            <w:u w:color="FFFF00"/>
          </w:rPr>
          <w:t>of</w:t>
        </w:r>
        <w:r w:rsidR="00381D41" w:rsidRPr="00561158">
          <w:rPr>
            <w:rStyle w:val="Hyperlink"/>
            <w:rFonts w:ascii="Arial" w:hAnsi="Arial" w:cs="Arial"/>
            <w:noProof/>
          </w:rPr>
          <w:t xml:space="preserve"> the findings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_Toc372719228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4</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29" w:history="1">
        <w:r w:rsidR="00381D41" w:rsidRPr="00561158">
          <w:rPr>
            <w:rStyle w:val="Hyperlink"/>
            <w:rFonts w:ascii="Arial" w:hAnsi="Arial" w:cs="Arial"/>
            <w:noProof/>
          </w:rPr>
          <w:t>2.1</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Summary of issues raised in submissions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_Toc372719229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4</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30" w:history="1">
        <w:r w:rsidR="00381D41" w:rsidRPr="00561158">
          <w:rPr>
            <w:rStyle w:val="Hyperlink"/>
            <w:rFonts w:ascii="Arial" w:hAnsi="Arial" w:cs="Arial"/>
            <w:noProof/>
          </w:rPr>
          <w:t>2.2</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Safety assessment</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_Toc372719230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7</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31" w:history="1">
        <w:r w:rsidR="00381D41" w:rsidRPr="00561158">
          <w:rPr>
            <w:rStyle w:val="Hyperlink"/>
            <w:rFonts w:ascii="Arial" w:hAnsi="Arial" w:cs="Arial"/>
            <w:noProof/>
          </w:rPr>
          <w:t>2.3</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Risk management</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_Toc372719231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8</w:t>
        </w:r>
        <w:r w:rsidR="00381D41" w:rsidRPr="00561158">
          <w:rPr>
            <w:rFonts w:ascii="Arial" w:hAnsi="Arial" w:cs="Arial"/>
            <w:noProof/>
            <w:webHidden/>
          </w:rPr>
          <w:fldChar w:fldCharType="end"/>
        </w:r>
      </w:hyperlink>
    </w:p>
    <w:p w:rsidR="00381D41" w:rsidRPr="00561158" w:rsidRDefault="00DC17D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2719232" w:history="1">
        <w:r w:rsidR="00381D41" w:rsidRPr="00561158">
          <w:rPr>
            <w:rStyle w:val="Hyperlink"/>
            <w:rFonts w:ascii="Arial" w:hAnsi="Arial" w:cs="Arial"/>
            <w:noProof/>
          </w:rPr>
          <w:t>2.3.1</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Labelling</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_Toc372719232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8</w:t>
        </w:r>
        <w:r w:rsidR="00381D41" w:rsidRPr="00561158">
          <w:rPr>
            <w:rFonts w:ascii="Arial" w:hAnsi="Arial" w:cs="Arial"/>
            <w:noProof/>
            <w:webHidden/>
          </w:rPr>
          <w:fldChar w:fldCharType="end"/>
        </w:r>
      </w:hyperlink>
    </w:p>
    <w:p w:rsidR="00381D41" w:rsidRPr="00561158" w:rsidRDefault="00DC17D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2719233" w:history="1">
        <w:r w:rsidR="00381D41" w:rsidRPr="00561158">
          <w:rPr>
            <w:rStyle w:val="Hyperlink"/>
            <w:rFonts w:ascii="Arial" w:hAnsi="Arial" w:cs="Arial"/>
            <w:noProof/>
          </w:rPr>
          <w:t>2.3.2</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Detection methodology</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_Toc372719233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8</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34" w:history="1">
        <w:r w:rsidR="00381D41" w:rsidRPr="00561158">
          <w:rPr>
            <w:rStyle w:val="Hyperlink"/>
            <w:rFonts w:ascii="Arial" w:hAnsi="Arial" w:cs="Arial"/>
            <w:noProof/>
          </w:rPr>
          <w:t>2.4</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Risk communication</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_Toc372719234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8</w:t>
        </w:r>
        <w:r w:rsidR="00381D41" w:rsidRPr="00561158">
          <w:rPr>
            <w:rFonts w:ascii="Arial" w:hAnsi="Arial" w:cs="Arial"/>
            <w:noProof/>
            <w:webHidden/>
          </w:rPr>
          <w:fldChar w:fldCharType="end"/>
        </w:r>
      </w:hyperlink>
    </w:p>
    <w:p w:rsidR="00381D41" w:rsidRPr="00561158" w:rsidRDefault="00DC17D0">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2719235" w:history="1">
        <w:r w:rsidR="00381D41" w:rsidRPr="00561158">
          <w:rPr>
            <w:rStyle w:val="Hyperlink"/>
            <w:rFonts w:ascii="Arial" w:hAnsi="Arial" w:cs="Arial"/>
            <w:noProof/>
          </w:rPr>
          <w:t>2.5</w:t>
        </w:r>
        <w:r w:rsidR="00381D41" w:rsidRPr="00561158">
          <w:rPr>
            <w:rFonts w:ascii="Arial" w:eastAsiaTheme="minorEastAsia" w:hAnsi="Arial" w:cs="Arial"/>
            <w:smallCaps w:val="0"/>
            <w:noProof/>
            <w:sz w:val="22"/>
            <w:szCs w:val="22"/>
            <w:lang w:eastAsia="en-GB" w:bidi="ar-SA"/>
          </w:rPr>
          <w:tab/>
        </w:r>
        <w:r w:rsidR="00381D41" w:rsidRPr="00561158">
          <w:rPr>
            <w:rStyle w:val="Hyperlink"/>
            <w:rFonts w:ascii="Arial" w:hAnsi="Arial" w:cs="Arial"/>
            <w:noProof/>
          </w:rPr>
          <w:t>FSANZ Act assessment requirements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_Toc372719235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9</w:t>
        </w:r>
        <w:r w:rsidR="00381D41" w:rsidRPr="00561158">
          <w:rPr>
            <w:rFonts w:ascii="Arial" w:hAnsi="Arial" w:cs="Arial"/>
            <w:noProof/>
            <w:webHidden/>
          </w:rPr>
          <w:fldChar w:fldCharType="end"/>
        </w:r>
      </w:hyperlink>
    </w:p>
    <w:p w:rsidR="00381D41" w:rsidRPr="00561158" w:rsidRDefault="00DC17D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2719236" w:history="1">
        <w:r w:rsidR="00381D41" w:rsidRPr="00561158">
          <w:rPr>
            <w:rStyle w:val="Hyperlink"/>
            <w:rFonts w:ascii="Arial" w:hAnsi="Arial" w:cs="Arial"/>
            <w:noProof/>
          </w:rPr>
          <w:t>2.5.1</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Section 29</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_Toc372719236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9</w:t>
        </w:r>
        <w:r w:rsidR="00381D41" w:rsidRPr="00561158">
          <w:rPr>
            <w:rFonts w:ascii="Arial" w:hAnsi="Arial" w:cs="Arial"/>
            <w:noProof/>
            <w:webHidden/>
          </w:rPr>
          <w:fldChar w:fldCharType="end"/>
        </w:r>
      </w:hyperlink>
    </w:p>
    <w:p w:rsidR="00381D41" w:rsidRPr="00561158" w:rsidRDefault="00DC17D0">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372719237" w:history="1">
        <w:r w:rsidR="00381D41" w:rsidRPr="00561158">
          <w:rPr>
            <w:rStyle w:val="Hyperlink"/>
            <w:rFonts w:ascii="Arial" w:hAnsi="Arial" w:cs="Arial"/>
            <w:noProof/>
          </w:rPr>
          <w:t>2.5.1.1</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Cost/benefit analysis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_Toc372719237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9</w:t>
        </w:r>
        <w:r w:rsidR="00381D41" w:rsidRPr="00561158">
          <w:rPr>
            <w:rFonts w:ascii="Arial" w:hAnsi="Arial" w:cs="Arial"/>
            <w:noProof/>
            <w:webHidden/>
          </w:rPr>
          <w:fldChar w:fldCharType="end"/>
        </w:r>
      </w:hyperlink>
    </w:p>
    <w:p w:rsidR="00381D41" w:rsidRPr="00561158" w:rsidRDefault="00DC17D0">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372719238" w:history="1">
        <w:r w:rsidR="00381D41" w:rsidRPr="00561158">
          <w:rPr>
            <w:rStyle w:val="Hyperlink"/>
            <w:rFonts w:ascii="Arial" w:hAnsi="Arial" w:cs="Arial"/>
            <w:noProof/>
          </w:rPr>
          <w:t>2.5.1.2</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Other measures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_Toc372719238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9</w:t>
        </w:r>
        <w:r w:rsidR="00381D41" w:rsidRPr="00561158">
          <w:rPr>
            <w:rFonts w:ascii="Arial" w:hAnsi="Arial" w:cs="Arial"/>
            <w:noProof/>
            <w:webHidden/>
          </w:rPr>
          <w:fldChar w:fldCharType="end"/>
        </w:r>
      </w:hyperlink>
    </w:p>
    <w:p w:rsidR="00381D41" w:rsidRPr="00561158" w:rsidRDefault="00DC17D0">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372719239" w:history="1">
        <w:r w:rsidR="00381D41" w:rsidRPr="00561158">
          <w:rPr>
            <w:rStyle w:val="Hyperlink"/>
            <w:rFonts w:ascii="Arial" w:hAnsi="Arial" w:cs="Arial"/>
            <w:noProof/>
          </w:rPr>
          <w:t>2.5.1.3</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Any relevant New Zealand standards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_Toc372719239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11</w:t>
        </w:r>
        <w:r w:rsidR="00381D41" w:rsidRPr="00561158">
          <w:rPr>
            <w:rFonts w:ascii="Arial" w:hAnsi="Arial" w:cs="Arial"/>
            <w:noProof/>
            <w:webHidden/>
          </w:rPr>
          <w:fldChar w:fldCharType="end"/>
        </w:r>
      </w:hyperlink>
    </w:p>
    <w:p w:rsidR="00381D41" w:rsidRPr="00561158" w:rsidRDefault="00DC17D0">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372719240" w:history="1">
        <w:r w:rsidR="00381D41" w:rsidRPr="00561158">
          <w:rPr>
            <w:rStyle w:val="Hyperlink"/>
            <w:rFonts w:ascii="Arial" w:hAnsi="Arial" w:cs="Arial"/>
            <w:noProof/>
          </w:rPr>
          <w:t>2.5.1.4</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Any other relevant matters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_Toc372719240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11</w:t>
        </w:r>
        <w:r w:rsidR="00381D41" w:rsidRPr="00561158">
          <w:rPr>
            <w:rFonts w:ascii="Arial" w:hAnsi="Arial" w:cs="Arial"/>
            <w:noProof/>
            <w:webHidden/>
          </w:rPr>
          <w:fldChar w:fldCharType="end"/>
        </w:r>
      </w:hyperlink>
    </w:p>
    <w:p w:rsidR="00381D41" w:rsidRPr="00561158" w:rsidRDefault="00DC17D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2719241" w:history="1">
        <w:r w:rsidR="00381D41" w:rsidRPr="00561158">
          <w:rPr>
            <w:rStyle w:val="Hyperlink"/>
            <w:rFonts w:ascii="Arial" w:hAnsi="Arial" w:cs="Arial"/>
            <w:noProof/>
          </w:rPr>
          <w:t>2.5.2</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Subsection 18(1)</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_Toc372719241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11</w:t>
        </w:r>
        <w:r w:rsidR="00381D41" w:rsidRPr="00561158">
          <w:rPr>
            <w:rFonts w:ascii="Arial" w:hAnsi="Arial" w:cs="Arial"/>
            <w:noProof/>
            <w:webHidden/>
          </w:rPr>
          <w:fldChar w:fldCharType="end"/>
        </w:r>
      </w:hyperlink>
    </w:p>
    <w:p w:rsidR="00381D41" w:rsidRPr="00561158" w:rsidRDefault="00DC17D0">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372719242" w:history="1">
        <w:r w:rsidR="00381D41" w:rsidRPr="00561158">
          <w:rPr>
            <w:rStyle w:val="Hyperlink"/>
            <w:rFonts w:ascii="Arial" w:hAnsi="Arial" w:cs="Arial"/>
            <w:noProof/>
          </w:rPr>
          <w:t>2.5.2.1</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Protection of public health and safety</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_Toc372719242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11</w:t>
        </w:r>
        <w:r w:rsidR="00381D41" w:rsidRPr="00561158">
          <w:rPr>
            <w:rFonts w:ascii="Arial" w:hAnsi="Arial" w:cs="Arial"/>
            <w:noProof/>
            <w:webHidden/>
          </w:rPr>
          <w:fldChar w:fldCharType="end"/>
        </w:r>
      </w:hyperlink>
    </w:p>
    <w:p w:rsidR="00381D41" w:rsidRPr="00561158" w:rsidRDefault="00DC17D0">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372719243" w:history="1">
        <w:r w:rsidR="00381D41" w:rsidRPr="00561158">
          <w:rPr>
            <w:rStyle w:val="Hyperlink"/>
            <w:rFonts w:ascii="Arial" w:hAnsi="Arial" w:cs="Arial"/>
            <w:noProof/>
          </w:rPr>
          <w:t>2.5.2.2</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The provision of adequate information relating to food to enable consumers to make informed choices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_Toc372719243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12</w:t>
        </w:r>
        <w:r w:rsidR="00381D41" w:rsidRPr="00561158">
          <w:rPr>
            <w:rFonts w:ascii="Arial" w:hAnsi="Arial" w:cs="Arial"/>
            <w:noProof/>
            <w:webHidden/>
          </w:rPr>
          <w:fldChar w:fldCharType="end"/>
        </w:r>
      </w:hyperlink>
    </w:p>
    <w:p w:rsidR="00381D41" w:rsidRPr="00561158" w:rsidRDefault="00DC17D0">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372719244" w:history="1">
        <w:r w:rsidR="00381D41" w:rsidRPr="00561158">
          <w:rPr>
            <w:rStyle w:val="Hyperlink"/>
            <w:rFonts w:ascii="Arial" w:hAnsi="Arial" w:cs="Arial"/>
            <w:noProof/>
          </w:rPr>
          <w:t>2.5.2.3</w:t>
        </w:r>
        <w:r w:rsidR="00381D41" w:rsidRPr="00561158">
          <w:rPr>
            <w:rFonts w:ascii="Arial" w:eastAsiaTheme="minorEastAsia" w:hAnsi="Arial" w:cs="Arial"/>
            <w:i w:val="0"/>
            <w:iCs w:val="0"/>
            <w:noProof/>
            <w:sz w:val="22"/>
            <w:szCs w:val="22"/>
            <w:lang w:eastAsia="en-GB" w:bidi="ar-SA"/>
          </w:rPr>
          <w:tab/>
        </w:r>
        <w:r w:rsidR="00381D41" w:rsidRPr="00561158">
          <w:rPr>
            <w:rStyle w:val="Hyperlink"/>
            <w:rFonts w:ascii="Arial" w:hAnsi="Arial" w:cs="Arial"/>
            <w:noProof/>
          </w:rPr>
          <w:t>The prevention of misleading or deceptive conduct</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_Toc372719244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12</w:t>
        </w:r>
        <w:r w:rsidR="00381D41" w:rsidRPr="00561158">
          <w:rPr>
            <w:rFonts w:ascii="Arial" w:hAnsi="Arial" w:cs="Arial"/>
            <w:noProof/>
            <w:webHidden/>
          </w:rPr>
          <w:fldChar w:fldCharType="end"/>
        </w:r>
      </w:hyperlink>
    </w:p>
    <w:p w:rsidR="00381D41" w:rsidRPr="00561158" w:rsidRDefault="00DC17D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2719245" w:history="1">
        <w:r w:rsidR="00381D41" w:rsidRPr="00561158">
          <w:rPr>
            <w:rStyle w:val="Hyperlink"/>
            <w:rFonts w:ascii="Arial" w:hAnsi="Arial" w:cs="Arial"/>
            <w:noProof/>
          </w:rPr>
          <w:t>3.</w:t>
        </w:r>
        <w:r w:rsidR="00381D41" w:rsidRPr="00561158">
          <w:rPr>
            <w:rFonts w:ascii="Arial" w:eastAsiaTheme="minorEastAsia" w:hAnsi="Arial" w:cs="Arial"/>
            <w:b w:val="0"/>
            <w:bCs w:val="0"/>
            <w:caps w:val="0"/>
            <w:noProof/>
            <w:sz w:val="22"/>
            <w:szCs w:val="22"/>
            <w:lang w:eastAsia="en-GB" w:bidi="ar-SA"/>
          </w:rPr>
          <w:tab/>
        </w:r>
        <w:r w:rsidR="00381D41" w:rsidRPr="00561158">
          <w:rPr>
            <w:rStyle w:val="Hyperlink"/>
            <w:rFonts w:ascii="Arial" w:hAnsi="Arial" w:cs="Arial"/>
            <w:noProof/>
          </w:rPr>
          <w:t>Implementation</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_Toc372719245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12</w:t>
        </w:r>
        <w:r w:rsidR="00381D41" w:rsidRPr="00561158">
          <w:rPr>
            <w:rFonts w:ascii="Arial" w:hAnsi="Arial" w:cs="Arial"/>
            <w:noProof/>
            <w:webHidden/>
          </w:rPr>
          <w:fldChar w:fldCharType="end"/>
        </w:r>
      </w:hyperlink>
    </w:p>
    <w:p w:rsidR="00381D41" w:rsidRPr="00561158" w:rsidRDefault="00DC17D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2719246" w:history="1">
        <w:r w:rsidR="00381D41" w:rsidRPr="00561158">
          <w:rPr>
            <w:rStyle w:val="Hyperlink"/>
            <w:rFonts w:ascii="Arial" w:hAnsi="Arial" w:cs="Arial"/>
            <w:noProof/>
          </w:rPr>
          <w:t>4.</w:t>
        </w:r>
        <w:r w:rsidR="00381D41" w:rsidRPr="00561158">
          <w:rPr>
            <w:rFonts w:ascii="Arial" w:eastAsiaTheme="minorEastAsia" w:hAnsi="Arial" w:cs="Arial"/>
            <w:b w:val="0"/>
            <w:bCs w:val="0"/>
            <w:caps w:val="0"/>
            <w:noProof/>
            <w:sz w:val="22"/>
            <w:szCs w:val="22"/>
            <w:lang w:eastAsia="en-GB" w:bidi="ar-SA"/>
          </w:rPr>
          <w:tab/>
        </w:r>
        <w:r w:rsidR="00381D41" w:rsidRPr="00561158">
          <w:rPr>
            <w:rStyle w:val="Hyperlink"/>
            <w:rFonts w:ascii="Arial" w:hAnsi="Arial" w:cs="Arial"/>
            <w:noProof/>
          </w:rPr>
          <w:t>References</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_Toc372719246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12</w:t>
        </w:r>
        <w:r w:rsidR="00381D41" w:rsidRPr="00561158">
          <w:rPr>
            <w:rFonts w:ascii="Arial" w:hAnsi="Arial" w:cs="Arial"/>
            <w:noProof/>
            <w:webHidden/>
          </w:rPr>
          <w:fldChar w:fldCharType="end"/>
        </w:r>
      </w:hyperlink>
    </w:p>
    <w:p w:rsidR="00381D41" w:rsidRPr="00561158" w:rsidRDefault="00DC17D0">
      <w:pPr>
        <w:pStyle w:val="TOC2"/>
        <w:tabs>
          <w:tab w:val="right" w:leader="dot" w:pos="9060"/>
        </w:tabs>
        <w:rPr>
          <w:rFonts w:ascii="Arial" w:eastAsiaTheme="minorEastAsia" w:hAnsi="Arial" w:cs="Arial"/>
          <w:smallCaps w:val="0"/>
          <w:noProof/>
          <w:sz w:val="22"/>
          <w:szCs w:val="22"/>
          <w:lang w:eastAsia="en-GB" w:bidi="ar-SA"/>
        </w:rPr>
      </w:pPr>
      <w:hyperlink w:anchor="_Toc372719247" w:history="1">
        <w:r w:rsidR="00381D41" w:rsidRPr="00561158">
          <w:rPr>
            <w:rStyle w:val="Hyperlink"/>
            <w:rFonts w:ascii="Arial" w:hAnsi="Arial" w:cs="Arial"/>
            <w:noProof/>
          </w:rPr>
          <w:t xml:space="preserve">Attachment A – Approved variation to the </w:t>
        </w:r>
        <w:r w:rsidR="00381D41" w:rsidRPr="00561158">
          <w:rPr>
            <w:rStyle w:val="Hyperlink"/>
            <w:rFonts w:ascii="Arial" w:hAnsi="Arial" w:cs="Arial"/>
            <w:i/>
            <w:noProof/>
          </w:rPr>
          <w:t>Australia New Zealand Food Standards Code</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_Toc372719247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14</w:t>
        </w:r>
        <w:r w:rsidR="00381D41" w:rsidRPr="00561158">
          <w:rPr>
            <w:rFonts w:ascii="Arial" w:hAnsi="Arial" w:cs="Arial"/>
            <w:noProof/>
            <w:webHidden/>
          </w:rPr>
          <w:fldChar w:fldCharType="end"/>
        </w:r>
      </w:hyperlink>
    </w:p>
    <w:p w:rsidR="00381D41" w:rsidRPr="00561158" w:rsidRDefault="00DC17D0">
      <w:pPr>
        <w:pStyle w:val="TOC2"/>
        <w:tabs>
          <w:tab w:val="right" w:leader="dot" w:pos="9060"/>
        </w:tabs>
        <w:rPr>
          <w:rFonts w:ascii="Arial" w:eastAsiaTheme="minorEastAsia" w:hAnsi="Arial" w:cs="Arial"/>
          <w:smallCaps w:val="0"/>
          <w:noProof/>
          <w:sz w:val="22"/>
          <w:szCs w:val="22"/>
          <w:lang w:eastAsia="en-GB" w:bidi="ar-SA"/>
        </w:rPr>
      </w:pPr>
      <w:hyperlink w:anchor="_Toc372719248" w:history="1">
        <w:r w:rsidR="00381D41" w:rsidRPr="00561158">
          <w:rPr>
            <w:rStyle w:val="Hyperlink"/>
            <w:rFonts w:ascii="Arial" w:hAnsi="Arial" w:cs="Arial"/>
            <w:noProof/>
          </w:rPr>
          <w:t>Attachment B – Explanatory Statement</w:t>
        </w:r>
        <w:r w:rsidR="00381D41" w:rsidRPr="00561158">
          <w:rPr>
            <w:rFonts w:ascii="Arial" w:hAnsi="Arial" w:cs="Arial"/>
            <w:noProof/>
            <w:webHidden/>
          </w:rPr>
          <w:tab/>
        </w:r>
        <w:r w:rsidR="00381D41" w:rsidRPr="00561158">
          <w:rPr>
            <w:rFonts w:ascii="Arial" w:hAnsi="Arial" w:cs="Arial"/>
            <w:noProof/>
            <w:webHidden/>
          </w:rPr>
          <w:fldChar w:fldCharType="begin"/>
        </w:r>
        <w:r w:rsidR="00381D41" w:rsidRPr="00561158">
          <w:rPr>
            <w:rFonts w:ascii="Arial" w:hAnsi="Arial" w:cs="Arial"/>
            <w:noProof/>
            <w:webHidden/>
          </w:rPr>
          <w:instrText xml:space="preserve"> PAGEREF _Toc372719248 \h </w:instrText>
        </w:r>
        <w:r w:rsidR="00381D41" w:rsidRPr="00561158">
          <w:rPr>
            <w:rFonts w:ascii="Arial" w:hAnsi="Arial" w:cs="Arial"/>
            <w:noProof/>
            <w:webHidden/>
          </w:rPr>
        </w:r>
        <w:r w:rsidR="00381D41" w:rsidRPr="00561158">
          <w:rPr>
            <w:rFonts w:ascii="Arial" w:hAnsi="Arial" w:cs="Arial"/>
            <w:noProof/>
            <w:webHidden/>
          </w:rPr>
          <w:fldChar w:fldCharType="separate"/>
        </w:r>
        <w:r>
          <w:rPr>
            <w:rFonts w:ascii="Arial" w:hAnsi="Arial" w:cs="Arial"/>
            <w:noProof/>
            <w:webHidden/>
          </w:rPr>
          <w:t>16</w:t>
        </w:r>
        <w:r w:rsidR="00381D41" w:rsidRPr="00561158">
          <w:rPr>
            <w:rFonts w:ascii="Arial" w:hAnsi="Arial" w:cs="Arial"/>
            <w:noProof/>
            <w:webHidden/>
          </w:rPr>
          <w:fldChar w:fldCharType="end"/>
        </w:r>
      </w:hyperlink>
    </w:p>
    <w:p w:rsidR="0012388D" w:rsidRPr="00272E09" w:rsidRDefault="00B55714" w:rsidP="00C91C02">
      <w:r w:rsidRPr="001541D6">
        <w:rPr>
          <w:rFonts w:cs="Arial"/>
          <w:sz w:val="20"/>
          <w:szCs w:val="20"/>
        </w:rPr>
        <w:fldChar w:fldCharType="end"/>
      </w:r>
    </w:p>
    <w:p w:rsidR="007F7BF7" w:rsidRPr="00272E09" w:rsidRDefault="007F7BF7" w:rsidP="00CA5734"/>
    <w:p w:rsidR="00A671E6" w:rsidRPr="00272E09" w:rsidRDefault="00A671E6" w:rsidP="00A671E6">
      <w:pPr>
        <w:rPr>
          <w:b/>
          <w:bCs/>
        </w:rPr>
      </w:pPr>
      <w:r w:rsidRPr="00272E09">
        <w:rPr>
          <w:b/>
          <w:bCs/>
        </w:rPr>
        <w:t>S</w:t>
      </w:r>
      <w:r w:rsidR="007C22CB" w:rsidRPr="00272E09">
        <w:rPr>
          <w:b/>
          <w:bCs/>
        </w:rPr>
        <w:t>upporting</w:t>
      </w:r>
      <w:r w:rsidR="003E6806" w:rsidRPr="00272E09">
        <w:rPr>
          <w:b/>
          <w:bCs/>
        </w:rPr>
        <w:t xml:space="preserve"> document</w:t>
      </w:r>
      <w:r w:rsidRPr="00272E09">
        <w:rPr>
          <w:b/>
          <w:bCs/>
        </w:rPr>
        <w:t xml:space="preserve"> </w:t>
      </w:r>
    </w:p>
    <w:p w:rsidR="00A671E6" w:rsidRPr="00272E09" w:rsidRDefault="00A671E6" w:rsidP="00A671E6">
      <w:pPr>
        <w:rPr>
          <w:szCs w:val="22"/>
        </w:rPr>
      </w:pPr>
    </w:p>
    <w:p w:rsidR="00453DEF" w:rsidRPr="00272E09" w:rsidRDefault="009B52B3" w:rsidP="00453DEF">
      <w:r w:rsidRPr="00272E09">
        <w:t xml:space="preserve">The following document used to prepare this Report is available on the FSANZ website at </w:t>
      </w:r>
      <w:hyperlink r:id="rId16" w:history="1">
        <w:r w:rsidR="003E6806" w:rsidRPr="00272E09">
          <w:rPr>
            <w:rStyle w:val="Hyperlink"/>
          </w:rPr>
          <w:t>http://www.foodstandards.gov.au/code/applications/Pages/a1081foodderivedfrom5825.aspx</w:t>
        </w:r>
      </w:hyperlink>
    </w:p>
    <w:p w:rsidR="00453DEF" w:rsidRPr="00272E09" w:rsidRDefault="00453DEF" w:rsidP="00453DEF">
      <w:pPr>
        <w:rPr>
          <w:rStyle w:val="Hyperlink"/>
          <w:color w:val="000000" w:themeColor="text1"/>
        </w:rPr>
      </w:pPr>
    </w:p>
    <w:p w:rsidR="009B52B3" w:rsidRPr="00272E09" w:rsidRDefault="009B52B3" w:rsidP="00561158">
      <w:pPr>
        <w:ind w:left="1134" w:hanging="1134"/>
        <w:rPr>
          <w:color w:val="000000" w:themeColor="text1"/>
          <w:szCs w:val="22"/>
        </w:rPr>
      </w:pPr>
      <w:r w:rsidRPr="00272E09">
        <w:rPr>
          <w:color w:val="000000" w:themeColor="text1"/>
          <w:szCs w:val="22"/>
        </w:rPr>
        <w:t>SD1</w:t>
      </w:r>
      <w:r w:rsidRPr="00272E09">
        <w:rPr>
          <w:color w:val="000000" w:themeColor="text1"/>
          <w:szCs w:val="22"/>
        </w:rPr>
        <w:tab/>
        <w:t>Saf</w:t>
      </w:r>
      <w:r w:rsidR="009632EA" w:rsidRPr="00272E09">
        <w:rPr>
          <w:color w:val="000000" w:themeColor="text1"/>
          <w:szCs w:val="22"/>
        </w:rPr>
        <w:t>ety Assessment</w:t>
      </w:r>
      <w:r w:rsidR="002B541E">
        <w:rPr>
          <w:color w:val="000000" w:themeColor="text1"/>
          <w:szCs w:val="22"/>
        </w:rPr>
        <w:t xml:space="preserve"> (at A</w:t>
      </w:r>
      <w:r w:rsidR="001541D6">
        <w:rPr>
          <w:color w:val="000000" w:themeColor="text1"/>
          <w:szCs w:val="22"/>
        </w:rPr>
        <w:t>pproval)</w:t>
      </w:r>
    </w:p>
    <w:p w:rsidR="003C4969" w:rsidRPr="00272E09" w:rsidRDefault="00D15A08" w:rsidP="009B52B3">
      <w:pPr>
        <w:spacing w:line="280" w:lineRule="exact"/>
        <w:ind w:left="851" w:hanging="851"/>
        <w:outlineLvl w:val="3"/>
        <w:rPr>
          <w:vanish/>
          <w:color w:val="000000" w:themeColor="text1"/>
        </w:rPr>
      </w:pPr>
      <w:r w:rsidRPr="00272E09">
        <w:rPr>
          <w:color w:val="000000" w:themeColor="text1"/>
        </w:rPr>
        <w:br w:type="page"/>
      </w:r>
    </w:p>
    <w:p w:rsidR="0012388D" w:rsidRPr="00272E09" w:rsidRDefault="00D15A08" w:rsidP="00DD265C">
      <w:pPr>
        <w:pStyle w:val="Heading1"/>
        <w:rPr>
          <w:rFonts w:cs="Tahoma"/>
          <w:sz w:val="28"/>
        </w:rPr>
      </w:pPr>
      <w:bookmarkStart w:id="1" w:name="_Toc372719220"/>
      <w:bookmarkStart w:id="2" w:name="_Toc11735627"/>
      <w:bookmarkStart w:id="3" w:name="_Toc29883110"/>
      <w:bookmarkStart w:id="4" w:name="_Toc41906797"/>
      <w:bookmarkStart w:id="5" w:name="_Toc41907544"/>
      <w:bookmarkStart w:id="6" w:name="_Toc120358575"/>
      <w:r w:rsidRPr="00272E09">
        <w:t xml:space="preserve">Executive </w:t>
      </w:r>
      <w:r w:rsidR="007C22CB" w:rsidRPr="00272E09">
        <w:t>s</w:t>
      </w:r>
      <w:r w:rsidRPr="00272E09">
        <w:t>ummary</w:t>
      </w:r>
      <w:bookmarkEnd w:id="1"/>
    </w:p>
    <w:p w:rsidR="009C5D87" w:rsidRPr="00B5032F" w:rsidRDefault="009C5D87" w:rsidP="009C5D87">
      <w:pPr>
        <w:rPr>
          <w:szCs w:val="22"/>
        </w:rPr>
      </w:pPr>
      <w:r w:rsidRPr="00B5032F">
        <w:rPr>
          <w:szCs w:val="22"/>
        </w:rPr>
        <w:t>Food Standards Australia New Zealand (FSANZ) received an Applica</w:t>
      </w:r>
      <w:r w:rsidRPr="00CF35E6">
        <w:rPr>
          <w:szCs w:val="22"/>
        </w:rPr>
        <w:t xml:space="preserve">tion </w:t>
      </w:r>
      <w:r w:rsidRPr="00CF35E6">
        <w:rPr>
          <w:rFonts w:cs="Arial"/>
          <w:szCs w:val="22"/>
        </w:rPr>
        <w:t>from</w:t>
      </w:r>
      <w:r w:rsidRPr="00CF35E6">
        <w:rPr>
          <w:color w:val="000000" w:themeColor="text1"/>
          <w:szCs w:val="22"/>
        </w:rPr>
        <w:t xml:space="preserve"> </w:t>
      </w:r>
      <w:r>
        <w:rPr>
          <w:color w:val="000000" w:themeColor="text1"/>
          <w:szCs w:val="22"/>
        </w:rPr>
        <w:t xml:space="preserve">Dow AgroSciences Australia Ltd </w:t>
      </w:r>
      <w:r>
        <w:rPr>
          <w:rFonts w:cs="Arial"/>
          <w:szCs w:val="22"/>
        </w:rPr>
        <w:t>on 5 June 2013. The Applicant</w:t>
      </w:r>
      <w:r w:rsidRPr="00B5032F">
        <w:rPr>
          <w:rFonts w:cs="Arial"/>
          <w:szCs w:val="22"/>
        </w:rPr>
        <w:t xml:space="preserve"> requested a variation to Standard 1.5.2 – Food produced using Gene Technology, </w:t>
      </w:r>
      <w:r w:rsidRPr="00B5032F">
        <w:rPr>
          <w:szCs w:val="22"/>
        </w:rPr>
        <w:t xml:space="preserve">in the </w:t>
      </w:r>
      <w:r w:rsidRPr="00B5032F">
        <w:rPr>
          <w:i/>
          <w:szCs w:val="22"/>
        </w:rPr>
        <w:t>Australia New Zealand Food Standards Code</w:t>
      </w:r>
      <w:r w:rsidRPr="00B5032F">
        <w:rPr>
          <w:szCs w:val="22"/>
        </w:rPr>
        <w:t xml:space="preserve"> (the Code), to permit the sale and use of food derived from genetically m</w:t>
      </w:r>
      <w:r>
        <w:rPr>
          <w:szCs w:val="22"/>
        </w:rPr>
        <w:t>odified (GM) soybean line DAS-81419-2, that is protected against several lepidopteran pests.</w:t>
      </w:r>
    </w:p>
    <w:p w:rsidR="009B52B3" w:rsidRPr="00272E09" w:rsidRDefault="009B52B3" w:rsidP="009B52B3"/>
    <w:p w:rsidR="009B52B3" w:rsidRPr="00272E09" w:rsidRDefault="009B52B3" w:rsidP="009B52B3">
      <w:r w:rsidRPr="00272E09">
        <w:t xml:space="preserve">The primary objective of FSANZ in developing or varying a food regulatory measure, as stated in s 18 of the </w:t>
      </w:r>
      <w:r w:rsidRPr="00272E09">
        <w:rPr>
          <w:i/>
        </w:rPr>
        <w:t>Food Standards Australia New Zealand Act 1991</w:t>
      </w:r>
      <w:r w:rsidRPr="00272E09">
        <w:t xml:space="preserve"> (FSANZ Act), is the protection of public health and safety. Accordingly, the safety assessment is central to considering an application.</w:t>
      </w:r>
    </w:p>
    <w:p w:rsidR="009B52B3" w:rsidRPr="00272E09" w:rsidRDefault="009B52B3" w:rsidP="009B52B3"/>
    <w:p w:rsidR="009C5D87" w:rsidRPr="008F4BDF" w:rsidRDefault="009C5D87" w:rsidP="009C5D87">
      <w:r w:rsidRPr="008F4BDF">
        <w:t>The safety assess</w:t>
      </w:r>
      <w:r>
        <w:t>ment of soybean line DAS-81419-2</w:t>
      </w:r>
      <w:r w:rsidRPr="008F4BDF">
        <w:t xml:space="preserve"> is provided in Supporting Document 1. </w:t>
      </w:r>
      <w:r w:rsidRPr="005C18EC">
        <w:rPr>
          <w:rFonts w:cs="Arial"/>
          <w:szCs w:val="22"/>
        </w:rPr>
        <w:t xml:space="preserve">No potential public health and safety concerns have been identified. Based on the data provided in the present Application, and other available information, food derived from </w:t>
      </w:r>
      <w:r>
        <w:rPr>
          <w:szCs w:val="22"/>
        </w:rPr>
        <w:t>soybean line DAS-81419-2</w:t>
      </w:r>
      <w:r w:rsidRPr="005C18EC">
        <w:rPr>
          <w:rFonts w:cs="Arial"/>
          <w:szCs w:val="22"/>
        </w:rPr>
        <w:t xml:space="preserve"> is considered to be as safe for </w:t>
      </w:r>
      <w:r w:rsidRPr="008F4BDF">
        <w:t>human consumption as food derived from conventional soybean cultivars.</w:t>
      </w:r>
    </w:p>
    <w:p w:rsidR="009B52B3" w:rsidRPr="00272E09" w:rsidRDefault="009B52B3" w:rsidP="009B52B3"/>
    <w:p w:rsidR="009B52B3" w:rsidRPr="00272E09" w:rsidRDefault="009B52B3" w:rsidP="009B52B3">
      <w:r w:rsidRPr="00272E09">
        <w:t>A decision has been made to approve the draft variation to Standard 1.5.2 to include food deri</w:t>
      </w:r>
      <w:r w:rsidR="00593441" w:rsidRPr="00272E09">
        <w:t>ve</w:t>
      </w:r>
      <w:r w:rsidR="00CF15C9" w:rsidRPr="00272E09">
        <w:t xml:space="preserve">d from </w:t>
      </w:r>
      <w:r w:rsidR="009C5D87">
        <w:t>insect-pro</w:t>
      </w:r>
      <w:r w:rsidR="007B629E">
        <w:t>tected soybean line DAS-81419-2 in the Schedule.</w:t>
      </w:r>
    </w:p>
    <w:p w:rsidR="00C836FF" w:rsidRPr="00272E09" w:rsidRDefault="00C836FF" w:rsidP="009B52B3">
      <w:r w:rsidRPr="00272E09">
        <w:br w:type="page"/>
      </w:r>
    </w:p>
    <w:p w:rsidR="00AF397D" w:rsidRPr="00272E09" w:rsidRDefault="00E138A9" w:rsidP="00AF397D">
      <w:pPr>
        <w:pStyle w:val="Heading1"/>
      </w:pPr>
      <w:bookmarkStart w:id="7" w:name="_Toc372719221"/>
      <w:r w:rsidRPr="00272E09">
        <w:lastRenderedPageBreak/>
        <w:t>1</w:t>
      </w:r>
      <w:r w:rsidR="00AC428E" w:rsidRPr="00272E09">
        <w:t>.</w:t>
      </w:r>
      <w:r w:rsidR="00AC428E" w:rsidRPr="00272E09">
        <w:tab/>
      </w:r>
      <w:r w:rsidR="00AF397D" w:rsidRPr="00272E09">
        <w:t>Introduction</w:t>
      </w:r>
      <w:bookmarkEnd w:id="7"/>
    </w:p>
    <w:p w:rsidR="00AF397D" w:rsidRPr="00272E09" w:rsidRDefault="00E138A9" w:rsidP="00AF397D">
      <w:pPr>
        <w:pStyle w:val="Heading2"/>
      </w:pPr>
      <w:bookmarkStart w:id="8" w:name="_Toc372719222"/>
      <w:r w:rsidRPr="00272E09">
        <w:t>1</w:t>
      </w:r>
      <w:r w:rsidR="00AF397D" w:rsidRPr="00272E09">
        <w:t>.1</w:t>
      </w:r>
      <w:r w:rsidR="00AF397D" w:rsidRPr="00272E09">
        <w:tab/>
        <w:t>The Applicant</w:t>
      </w:r>
      <w:bookmarkEnd w:id="8"/>
      <w:r w:rsidR="00AF397D" w:rsidRPr="00272E09">
        <w:t xml:space="preserve"> </w:t>
      </w:r>
    </w:p>
    <w:p w:rsidR="009C5D87" w:rsidRPr="001D71D0" w:rsidRDefault="009C5D87" w:rsidP="009C5D87">
      <w:pPr>
        <w:rPr>
          <w:color w:val="000000" w:themeColor="text1"/>
          <w:lang w:bidi="ar-SA"/>
        </w:rPr>
      </w:pPr>
      <w:r w:rsidRPr="001D71D0">
        <w:rPr>
          <w:color w:val="000000" w:themeColor="text1"/>
          <w:lang w:bidi="ar-SA"/>
        </w:rPr>
        <w:t>Dow AgroSciences Australia Pty Ltd is a wholly owned subsidiary of the Dow Chemical Company and is a technology provider to the agricultural and food industries.</w:t>
      </w:r>
    </w:p>
    <w:p w:rsidR="00AF397D" w:rsidRPr="001D71D0" w:rsidRDefault="00E138A9" w:rsidP="006D0C46">
      <w:pPr>
        <w:pStyle w:val="Heading2"/>
        <w:rPr>
          <w:color w:val="000000" w:themeColor="text1"/>
        </w:rPr>
      </w:pPr>
      <w:bookmarkStart w:id="9" w:name="_Toc372719223"/>
      <w:r w:rsidRPr="001D71D0">
        <w:rPr>
          <w:color w:val="000000" w:themeColor="text1"/>
        </w:rPr>
        <w:t>1</w:t>
      </w:r>
      <w:r w:rsidR="00AF397D" w:rsidRPr="001D71D0">
        <w:rPr>
          <w:color w:val="000000" w:themeColor="text1"/>
        </w:rPr>
        <w:t>.2</w:t>
      </w:r>
      <w:r w:rsidR="00AF397D" w:rsidRPr="001D71D0">
        <w:rPr>
          <w:color w:val="000000" w:themeColor="text1"/>
        </w:rPr>
        <w:tab/>
        <w:t>The Application</w:t>
      </w:r>
      <w:bookmarkEnd w:id="9"/>
      <w:r w:rsidR="00CF15C9" w:rsidRPr="001D71D0">
        <w:rPr>
          <w:color w:val="000000" w:themeColor="text1"/>
        </w:rPr>
        <w:tab/>
      </w:r>
    </w:p>
    <w:p w:rsidR="001D71D0" w:rsidRPr="001D71D0" w:rsidRDefault="001D71D0" w:rsidP="001D71D0">
      <w:pPr>
        <w:rPr>
          <w:color w:val="000000" w:themeColor="text1"/>
        </w:rPr>
      </w:pPr>
      <w:r w:rsidRPr="001D71D0">
        <w:rPr>
          <w:color w:val="000000" w:themeColor="text1"/>
        </w:rPr>
        <w:t xml:space="preserve">Application A1087 was submitted by Dow AgroSciences Australia Ltd </w:t>
      </w:r>
      <w:r w:rsidRPr="001D71D0">
        <w:rPr>
          <w:rFonts w:cs="Arial"/>
          <w:color w:val="000000" w:themeColor="text1"/>
          <w:szCs w:val="22"/>
        </w:rPr>
        <w:t xml:space="preserve">on 5 June 2013. </w:t>
      </w:r>
      <w:r w:rsidRPr="001D71D0">
        <w:rPr>
          <w:color w:val="000000" w:themeColor="text1"/>
        </w:rPr>
        <w:t>It sought approval for food derived from line DAS-81419-2 under Standard 1.5.2 – Food produced using Gene Technology.</w:t>
      </w:r>
    </w:p>
    <w:p w:rsidR="001D71D0" w:rsidRDefault="001D71D0" w:rsidP="001D71D0">
      <w:pPr>
        <w:rPr>
          <w:color w:val="000000" w:themeColor="text1"/>
        </w:rPr>
      </w:pPr>
    </w:p>
    <w:p w:rsidR="001D71D0" w:rsidRPr="00035115" w:rsidRDefault="001D71D0" w:rsidP="001D71D0">
      <w:pPr>
        <w:pStyle w:val="Header"/>
        <w:rPr>
          <w:color w:val="000000" w:themeColor="text1"/>
        </w:rPr>
      </w:pPr>
      <w:r>
        <w:rPr>
          <w:rFonts w:cs="Arial"/>
          <w:color w:val="000000" w:themeColor="text1"/>
        </w:rPr>
        <w:t>Soybean line DAS-81419-2</w:t>
      </w:r>
      <w:r w:rsidRPr="000B4425">
        <w:rPr>
          <w:rFonts w:cs="Arial"/>
          <w:color w:val="000000" w:themeColor="text1"/>
        </w:rPr>
        <w:t xml:space="preserve"> is</w:t>
      </w:r>
      <w:r>
        <w:rPr>
          <w:rFonts w:cs="Arial"/>
          <w:color w:val="000000" w:themeColor="text1"/>
        </w:rPr>
        <w:t xml:space="preserve"> protected against</w:t>
      </w:r>
      <w:r w:rsidRPr="00AA0E88">
        <w:rPr>
          <w:rFonts w:cs="Arial"/>
          <w:color w:val="000000" w:themeColor="text1"/>
          <w:szCs w:val="22"/>
        </w:rPr>
        <w:t xml:space="preserve"> </w:t>
      </w:r>
      <w:r>
        <w:rPr>
          <w:rFonts w:cs="Arial"/>
          <w:color w:val="000000" w:themeColor="text1"/>
          <w:szCs w:val="22"/>
        </w:rPr>
        <w:t xml:space="preserve">several lepidopteran pests including </w:t>
      </w:r>
      <w:r w:rsidRPr="00FB2AD8">
        <w:rPr>
          <w:rFonts w:cs="Arial"/>
          <w:color w:val="000000" w:themeColor="text1"/>
          <w:szCs w:val="22"/>
        </w:rPr>
        <w:t xml:space="preserve">soybean looper, </w:t>
      </w:r>
      <w:proofErr w:type="spellStart"/>
      <w:r w:rsidRPr="00FB2AD8">
        <w:rPr>
          <w:rFonts w:cs="Arial"/>
          <w:color w:val="000000" w:themeColor="text1"/>
          <w:szCs w:val="22"/>
        </w:rPr>
        <w:t>velvetbean</w:t>
      </w:r>
      <w:proofErr w:type="spellEnd"/>
      <w:r w:rsidRPr="00FB2AD8">
        <w:rPr>
          <w:rFonts w:cs="Arial"/>
          <w:color w:val="000000" w:themeColor="text1"/>
          <w:szCs w:val="22"/>
        </w:rPr>
        <w:t xml:space="preserve"> caterpillar</w:t>
      </w:r>
      <w:r w:rsidRPr="00FB2AD8">
        <w:rPr>
          <w:rFonts w:cs="Arial"/>
          <w:i/>
          <w:iCs/>
          <w:color w:val="000000" w:themeColor="text1"/>
          <w:szCs w:val="22"/>
        </w:rPr>
        <w:t xml:space="preserve">, </w:t>
      </w:r>
      <w:r w:rsidRPr="00FB2AD8">
        <w:rPr>
          <w:rFonts w:cs="Arial"/>
          <w:color w:val="000000" w:themeColor="text1"/>
          <w:szCs w:val="22"/>
        </w:rPr>
        <w:t xml:space="preserve">fall armyworm and tobacco budworm. </w:t>
      </w:r>
      <w:r>
        <w:rPr>
          <w:rFonts w:eastAsia="Batang" w:cs="Arial"/>
          <w:color w:val="000000" w:themeColor="text1"/>
          <w:szCs w:val="22"/>
        </w:rPr>
        <w:t>This protection is conferred through the introduction of two insecticidal genes termed</w:t>
      </w:r>
      <w:r w:rsidRPr="00FB2AD8">
        <w:rPr>
          <w:rFonts w:eastAsia="Batang" w:cs="Arial"/>
          <w:color w:val="000000" w:themeColor="text1"/>
          <w:szCs w:val="22"/>
        </w:rPr>
        <w:t xml:space="preserve"> </w:t>
      </w:r>
      <w:proofErr w:type="gramStart"/>
      <w:r>
        <w:rPr>
          <w:rFonts w:cs="Arial"/>
          <w:i/>
          <w:iCs/>
          <w:color w:val="000000" w:themeColor="text1"/>
          <w:szCs w:val="22"/>
        </w:rPr>
        <w:t>cry</w:t>
      </w:r>
      <w:r w:rsidRPr="00FB2AD8">
        <w:rPr>
          <w:rFonts w:cs="Arial"/>
          <w:i/>
          <w:color w:val="000000" w:themeColor="text1"/>
          <w:szCs w:val="22"/>
        </w:rPr>
        <w:t>1Ac(</w:t>
      </w:r>
      <w:proofErr w:type="spellStart"/>
      <w:proofErr w:type="gramEnd"/>
      <w:r w:rsidRPr="00FB2AD8">
        <w:rPr>
          <w:rFonts w:cs="Arial"/>
          <w:i/>
          <w:color w:val="000000" w:themeColor="text1"/>
          <w:szCs w:val="22"/>
        </w:rPr>
        <w:t>synpro</w:t>
      </w:r>
      <w:proofErr w:type="spellEnd"/>
      <w:r w:rsidRPr="00FB2AD8">
        <w:rPr>
          <w:rFonts w:cs="Arial"/>
          <w:i/>
          <w:color w:val="000000" w:themeColor="text1"/>
          <w:szCs w:val="22"/>
        </w:rPr>
        <w:t>)</w:t>
      </w:r>
      <w:r w:rsidRPr="00FB2AD8">
        <w:rPr>
          <w:rFonts w:cs="Arial"/>
          <w:color w:val="000000" w:themeColor="text1"/>
          <w:szCs w:val="22"/>
        </w:rPr>
        <w:t xml:space="preserve"> and </w:t>
      </w:r>
      <w:r w:rsidRPr="00FB2AD8">
        <w:rPr>
          <w:rFonts w:cs="Arial"/>
          <w:i/>
          <w:iCs/>
          <w:color w:val="000000" w:themeColor="text1"/>
          <w:szCs w:val="22"/>
        </w:rPr>
        <w:t>cry</w:t>
      </w:r>
      <w:r w:rsidRPr="00FB2AD8">
        <w:rPr>
          <w:rFonts w:cs="Arial"/>
          <w:i/>
          <w:color w:val="000000" w:themeColor="text1"/>
          <w:szCs w:val="22"/>
        </w:rPr>
        <w:t>1Fv</w:t>
      </w:r>
      <w:r>
        <w:rPr>
          <w:rFonts w:cs="Arial"/>
          <w:i/>
          <w:color w:val="000000" w:themeColor="text1"/>
          <w:szCs w:val="22"/>
        </w:rPr>
        <w:t xml:space="preserve">, </w:t>
      </w:r>
      <w:r w:rsidRPr="00FB2AD8">
        <w:rPr>
          <w:rFonts w:cs="Arial"/>
          <w:color w:val="000000" w:themeColor="text1"/>
          <w:szCs w:val="22"/>
        </w:rPr>
        <w:t>both derived from</w:t>
      </w:r>
      <w:r>
        <w:rPr>
          <w:rFonts w:cs="Arial"/>
          <w:color w:val="000000" w:themeColor="text1"/>
          <w:szCs w:val="22"/>
        </w:rPr>
        <w:t xml:space="preserve"> the common soil bacterium</w:t>
      </w:r>
      <w:r>
        <w:rPr>
          <w:rFonts w:cs="Arial"/>
          <w:i/>
          <w:color w:val="000000" w:themeColor="text1"/>
          <w:szCs w:val="22"/>
        </w:rPr>
        <w:t xml:space="preserve"> Bacillus thuringiensis</w:t>
      </w:r>
      <w:r w:rsidRPr="00035115">
        <w:rPr>
          <w:rFonts w:cs="Arial"/>
          <w:color w:val="000000" w:themeColor="text1"/>
          <w:szCs w:val="22"/>
        </w:rPr>
        <w:t>. The proteins expressed by the genes</w:t>
      </w:r>
      <w:r>
        <w:rPr>
          <w:rFonts w:cs="Arial"/>
          <w:color w:val="000000" w:themeColor="text1"/>
          <w:szCs w:val="22"/>
        </w:rPr>
        <w:t xml:space="preserve"> </w:t>
      </w:r>
      <w:r w:rsidRPr="00152387">
        <w:rPr>
          <w:color w:val="000000" w:themeColor="text1"/>
        </w:rPr>
        <w:t>are identical in amino acid sequence to the same proteins expressed in</w:t>
      </w:r>
      <w:r>
        <w:rPr>
          <w:color w:val="000000" w:themeColor="text1"/>
        </w:rPr>
        <w:t xml:space="preserve"> </w:t>
      </w:r>
      <w:proofErr w:type="spellStart"/>
      <w:r>
        <w:rPr>
          <w:color w:val="000000" w:themeColor="text1"/>
        </w:rPr>
        <w:t>WideStrike</w:t>
      </w:r>
      <w:proofErr w:type="spellEnd"/>
      <w:r>
        <w:rPr>
          <w:color w:val="000000" w:themeColor="text1"/>
        </w:rPr>
        <w:t xml:space="preserve"> cotton considered </w:t>
      </w:r>
      <w:r w:rsidRPr="00035115">
        <w:rPr>
          <w:color w:val="000000" w:themeColor="text1"/>
        </w:rPr>
        <w:t xml:space="preserve">by FSANZ in Application A518 </w:t>
      </w:r>
      <w:r>
        <w:rPr>
          <w:color w:val="000000" w:themeColor="text1"/>
        </w:rPr>
        <w:fldChar w:fldCharType="begin"/>
      </w:r>
      <w:r w:rsidR="00B41F4E">
        <w:rPr>
          <w:color w:val="000000" w:themeColor="text1"/>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Pr>
          <w:color w:val="000000" w:themeColor="text1"/>
        </w:rPr>
        <w:fldChar w:fldCharType="separate"/>
      </w:r>
      <w:r>
        <w:rPr>
          <w:noProof/>
          <w:color w:val="000000" w:themeColor="text1"/>
        </w:rPr>
        <w:t>(FSANZ, 2005)</w:t>
      </w:r>
      <w:r>
        <w:rPr>
          <w:color w:val="000000" w:themeColor="text1"/>
        </w:rPr>
        <w:fldChar w:fldCharType="end"/>
      </w:r>
      <w:r w:rsidRPr="00035115">
        <w:rPr>
          <w:color w:val="000000" w:themeColor="text1"/>
        </w:rPr>
        <w:t>.</w:t>
      </w:r>
    </w:p>
    <w:p w:rsidR="001D71D0" w:rsidRPr="00035115" w:rsidRDefault="001D71D0" w:rsidP="001D71D0">
      <w:pPr>
        <w:autoSpaceDE w:val="0"/>
        <w:autoSpaceDN w:val="0"/>
        <w:adjustRightInd w:val="0"/>
        <w:rPr>
          <w:rFonts w:eastAsia="Batang" w:cs="Arial"/>
          <w:color w:val="000000" w:themeColor="text1"/>
          <w:szCs w:val="22"/>
        </w:rPr>
      </w:pPr>
    </w:p>
    <w:p w:rsidR="001D71D0" w:rsidRPr="00965193" w:rsidRDefault="001D71D0" w:rsidP="001D71D0">
      <w:pPr>
        <w:rPr>
          <w:color w:val="000000" w:themeColor="text1"/>
        </w:rPr>
      </w:pPr>
      <w:r w:rsidRPr="00035115">
        <w:rPr>
          <w:color w:val="000000" w:themeColor="text1"/>
        </w:rPr>
        <w:t xml:space="preserve">In addition to the two </w:t>
      </w:r>
      <w:r w:rsidRPr="00035115">
        <w:rPr>
          <w:i/>
          <w:iCs/>
          <w:color w:val="000000" w:themeColor="text1"/>
        </w:rPr>
        <w:t>cry</w:t>
      </w:r>
      <w:r w:rsidRPr="00035115">
        <w:rPr>
          <w:color w:val="000000" w:themeColor="text1"/>
        </w:rPr>
        <w:t xml:space="preserve"> genes, soybean 81419 contains a selectable marker gene (</w:t>
      </w:r>
      <w:r w:rsidRPr="00035115">
        <w:rPr>
          <w:i/>
          <w:iCs/>
          <w:color w:val="000000" w:themeColor="text1"/>
        </w:rPr>
        <w:t>pat</w:t>
      </w:r>
      <w:r w:rsidRPr="00035115">
        <w:rPr>
          <w:color w:val="000000" w:themeColor="text1"/>
        </w:rPr>
        <w:t xml:space="preserve">) from the bacterium </w:t>
      </w:r>
      <w:r w:rsidRPr="00035115">
        <w:rPr>
          <w:i/>
          <w:iCs/>
          <w:color w:val="000000" w:themeColor="text1"/>
        </w:rPr>
        <w:t>Streptomyces viridochromogenes</w:t>
      </w:r>
      <w:r w:rsidRPr="00035115">
        <w:rPr>
          <w:color w:val="000000" w:themeColor="text1"/>
        </w:rPr>
        <w:t xml:space="preserve">, which produces an enzyme (phosphinothricin </w:t>
      </w:r>
      <w:proofErr w:type="spellStart"/>
      <w:r w:rsidRPr="00035115">
        <w:rPr>
          <w:color w:val="000000" w:themeColor="text1"/>
        </w:rPr>
        <w:t>acetyltransferase</w:t>
      </w:r>
      <w:proofErr w:type="spellEnd"/>
      <w:r w:rsidRPr="00035115">
        <w:rPr>
          <w:color w:val="000000" w:themeColor="text1"/>
        </w:rPr>
        <w:t>, PAT) that detoxifies the herbicide glufosinate ammonium. PAT functions as a selectable marker</w:t>
      </w:r>
      <w:r w:rsidRPr="00965193">
        <w:rPr>
          <w:color w:val="000000" w:themeColor="text1"/>
        </w:rPr>
        <w:t xml:space="preserve"> in the initial laboratory stages of plant cell selection and thus soybean 81419 is also tolerant to the herbicide glufosinate ammonium. However, </w:t>
      </w:r>
      <w:r w:rsidR="002B541E">
        <w:rPr>
          <w:color w:val="000000" w:themeColor="text1"/>
        </w:rPr>
        <w:t xml:space="preserve">the Applicant states </w:t>
      </w:r>
      <w:r w:rsidRPr="00965193">
        <w:rPr>
          <w:color w:val="000000" w:themeColor="text1"/>
        </w:rPr>
        <w:t xml:space="preserve">it is not intended that this trait be used in commercial production of soybean 81419. </w:t>
      </w:r>
      <w:r w:rsidRPr="00965193">
        <w:rPr>
          <w:rFonts w:eastAsia="Batang" w:cs="Arial"/>
          <w:color w:val="000000" w:themeColor="text1"/>
          <w:szCs w:val="22"/>
        </w:rPr>
        <w:t xml:space="preserve">The </w:t>
      </w:r>
      <w:r w:rsidRPr="00965193">
        <w:rPr>
          <w:rFonts w:eastAsia="Batang" w:cs="Arial"/>
          <w:i/>
          <w:color w:val="000000" w:themeColor="text1"/>
          <w:szCs w:val="22"/>
        </w:rPr>
        <w:t>pat</w:t>
      </w:r>
      <w:r w:rsidRPr="00965193">
        <w:rPr>
          <w:rFonts w:eastAsia="Batang" w:cs="Arial"/>
          <w:color w:val="000000" w:themeColor="text1"/>
          <w:szCs w:val="22"/>
        </w:rPr>
        <w:t xml:space="preserve"> gene has been widely used for genetic modification of a number of crop species, including soybean.</w:t>
      </w:r>
    </w:p>
    <w:p w:rsidR="00AF397D" w:rsidRPr="001D71D0" w:rsidRDefault="00E138A9" w:rsidP="00AF397D">
      <w:pPr>
        <w:pStyle w:val="Heading2"/>
        <w:rPr>
          <w:color w:val="000000" w:themeColor="text1"/>
        </w:rPr>
      </w:pPr>
      <w:bookmarkStart w:id="10" w:name="_Toc372719224"/>
      <w:r w:rsidRPr="001D71D0">
        <w:rPr>
          <w:color w:val="000000" w:themeColor="text1"/>
        </w:rPr>
        <w:t>1</w:t>
      </w:r>
      <w:r w:rsidR="00AF397D" w:rsidRPr="001D71D0">
        <w:rPr>
          <w:color w:val="000000" w:themeColor="text1"/>
        </w:rPr>
        <w:t>.3</w:t>
      </w:r>
      <w:r w:rsidR="00AF397D" w:rsidRPr="001D71D0">
        <w:rPr>
          <w:color w:val="000000" w:themeColor="text1"/>
        </w:rPr>
        <w:tab/>
        <w:t>The current Standard</w:t>
      </w:r>
      <w:bookmarkEnd w:id="10"/>
    </w:p>
    <w:p w:rsidR="009B52B3" w:rsidRPr="001D71D0" w:rsidRDefault="009B52B3" w:rsidP="009B52B3">
      <w:pPr>
        <w:rPr>
          <w:color w:val="000000" w:themeColor="text1"/>
        </w:rPr>
      </w:pPr>
      <w:r w:rsidRPr="001D71D0">
        <w:rPr>
          <w:color w:val="000000" w:themeColor="text1"/>
        </w:rPr>
        <w:t>Pre-market approval is necessary before food derived from any genetically modified (GM) line may enter the Australian and New Zealand food supply. Approval of GM foods under Standard 1.5.2 is contingent on completion of a comprehensive pre-market safety assessment. Foods that have been assessed under the Standard, if approved, are listed in the Schedule to the Standard.</w:t>
      </w:r>
    </w:p>
    <w:p w:rsidR="009B52B3" w:rsidRPr="001D71D0" w:rsidRDefault="009B52B3" w:rsidP="009B52B3">
      <w:pPr>
        <w:rPr>
          <w:color w:val="000000" w:themeColor="text1"/>
        </w:rPr>
      </w:pPr>
    </w:p>
    <w:p w:rsidR="009B52B3" w:rsidRPr="001D71D0" w:rsidRDefault="009B52B3" w:rsidP="009B52B3">
      <w:pPr>
        <w:ind w:right="-330"/>
        <w:rPr>
          <w:color w:val="000000" w:themeColor="text1"/>
        </w:rPr>
      </w:pPr>
      <w:r w:rsidRPr="001D71D0">
        <w:rPr>
          <w:color w:val="000000" w:themeColor="text1"/>
        </w:rPr>
        <w:t>Standard 1.5.2 contains specific labelling provisions for approved GM foods. GM foods and ingredients (including food additives and processing aids from GM sources) must be identified on labels with the words ‘genetical</w:t>
      </w:r>
      <w:r w:rsidR="00593441" w:rsidRPr="001D71D0">
        <w:rPr>
          <w:color w:val="000000" w:themeColor="text1"/>
        </w:rPr>
        <w:t xml:space="preserve">ly modified’, if novel DNA </w:t>
      </w:r>
      <w:r w:rsidRPr="001D71D0">
        <w:rPr>
          <w:color w:val="000000" w:themeColor="text1"/>
        </w:rPr>
        <w:t>or novel protein from an approved GM variety is present in the final food, or the food has altered characteristics. In the latter case, the Standard also allows for additional labelling about the nature of the altered characteristics.</w:t>
      </w:r>
    </w:p>
    <w:p w:rsidR="00AF397D" w:rsidRPr="001D71D0" w:rsidRDefault="00E138A9" w:rsidP="00AF397D">
      <w:pPr>
        <w:pStyle w:val="Heading2"/>
        <w:rPr>
          <w:color w:val="000000" w:themeColor="text1"/>
        </w:rPr>
      </w:pPr>
      <w:bookmarkStart w:id="11" w:name="_Toc372719225"/>
      <w:r w:rsidRPr="001D71D0">
        <w:rPr>
          <w:color w:val="000000" w:themeColor="text1"/>
        </w:rPr>
        <w:t>1</w:t>
      </w:r>
      <w:r w:rsidR="003428FC" w:rsidRPr="001D71D0">
        <w:rPr>
          <w:color w:val="000000" w:themeColor="text1"/>
        </w:rPr>
        <w:t>.</w:t>
      </w:r>
      <w:r w:rsidR="00AF397D" w:rsidRPr="001D71D0">
        <w:rPr>
          <w:color w:val="000000" w:themeColor="text1"/>
        </w:rPr>
        <w:t>4</w:t>
      </w:r>
      <w:r w:rsidR="00AF397D" w:rsidRPr="001D71D0">
        <w:rPr>
          <w:color w:val="000000" w:themeColor="text1"/>
        </w:rPr>
        <w:tab/>
      </w:r>
      <w:bookmarkStart w:id="12" w:name="_Toc175381432"/>
      <w:r w:rsidR="00AF397D" w:rsidRPr="001D71D0">
        <w:rPr>
          <w:color w:val="000000" w:themeColor="text1"/>
        </w:rPr>
        <w:t xml:space="preserve">Reasons for accepting the </w:t>
      </w:r>
      <w:r w:rsidR="00AF397D" w:rsidRPr="001D71D0">
        <w:rPr>
          <w:color w:val="000000" w:themeColor="text1"/>
          <w:u w:color="FFFF00"/>
        </w:rPr>
        <w:t>Application</w:t>
      </w:r>
      <w:bookmarkEnd w:id="11"/>
      <w:r w:rsidR="00AF397D" w:rsidRPr="001D71D0">
        <w:rPr>
          <w:color w:val="000000" w:themeColor="text1"/>
        </w:rPr>
        <w:t xml:space="preserve"> </w:t>
      </w:r>
    </w:p>
    <w:p w:rsidR="00AF397D" w:rsidRPr="001D71D0" w:rsidRDefault="00AF397D" w:rsidP="00AF397D">
      <w:pPr>
        <w:rPr>
          <w:color w:val="000000" w:themeColor="text1"/>
        </w:rPr>
      </w:pPr>
      <w:r w:rsidRPr="001D71D0">
        <w:rPr>
          <w:color w:val="000000" w:themeColor="text1"/>
        </w:rPr>
        <w:t>The Application was accepted for assessment on the basis that:</w:t>
      </w:r>
    </w:p>
    <w:p w:rsidR="00AF397D" w:rsidRPr="001D71D0" w:rsidRDefault="00AF397D" w:rsidP="00AF397D">
      <w:pPr>
        <w:rPr>
          <w:color w:val="000000" w:themeColor="text1"/>
        </w:rPr>
      </w:pPr>
    </w:p>
    <w:bookmarkEnd w:id="12"/>
    <w:p w:rsidR="009B52B3" w:rsidRPr="001D71D0" w:rsidRDefault="009B52B3" w:rsidP="009B52B3">
      <w:pPr>
        <w:pStyle w:val="FSBullet"/>
        <w:rPr>
          <w:color w:val="000000" w:themeColor="text1"/>
        </w:rPr>
      </w:pPr>
      <w:r w:rsidRPr="001D71D0">
        <w:rPr>
          <w:color w:val="000000" w:themeColor="text1"/>
        </w:rPr>
        <w:t>it complied with the procedural requirements under subsection 22(2)</w:t>
      </w:r>
      <w:r w:rsidR="00C31B9D">
        <w:rPr>
          <w:color w:val="000000" w:themeColor="text1"/>
        </w:rPr>
        <w:t xml:space="preserve"> of the FSANZ Act</w:t>
      </w:r>
    </w:p>
    <w:p w:rsidR="00593441" w:rsidRPr="001D71D0" w:rsidRDefault="00593441" w:rsidP="00593441">
      <w:pPr>
        <w:rPr>
          <w:color w:val="000000" w:themeColor="text1"/>
        </w:rPr>
      </w:pPr>
    </w:p>
    <w:p w:rsidR="009B52B3" w:rsidRPr="001D71D0" w:rsidRDefault="009B52B3" w:rsidP="009B52B3">
      <w:pPr>
        <w:pStyle w:val="FSBullet"/>
        <w:rPr>
          <w:color w:val="000000" w:themeColor="text1"/>
        </w:rPr>
      </w:pPr>
      <w:r w:rsidRPr="001D71D0">
        <w:rPr>
          <w:color w:val="000000" w:themeColor="text1"/>
        </w:rPr>
        <w:t>it related to a matter that warranted the variati</w:t>
      </w:r>
      <w:r w:rsidR="004673BE" w:rsidRPr="001D71D0">
        <w:rPr>
          <w:color w:val="000000" w:themeColor="text1"/>
        </w:rPr>
        <w:t>on of a food regulatory measure</w:t>
      </w:r>
    </w:p>
    <w:p w:rsidR="004673BE" w:rsidRPr="001D71D0" w:rsidRDefault="004673BE" w:rsidP="004673BE">
      <w:pPr>
        <w:rPr>
          <w:color w:val="000000" w:themeColor="text1"/>
        </w:rPr>
      </w:pPr>
    </w:p>
    <w:p w:rsidR="004673BE" w:rsidRPr="001D71D0" w:rsidRDefault="004673BE" w:rsidP="00AD2E76">
      <w:pPr>
        <w:pStyle w:val="FSBullet1"/>
        <w:numPr>
          <w:ilvl w:val="0"/>
          <w:numId w:val="6"/>
        </w:numPr>
        <w:ind w:left="567" w:hanging="567"/>
        <w:rPr>
          <w:color w:val="000000" w:themeColor="text1"/>
        </w:rPr>
      </w:pPr>
      <w:r w:rsidRPr="001D71D0">
        <w:rPr>
          <w:color w:val="000000" w:themeColor="text1"/>
        </w:rPr>
        <w:t xml:space="preserve">it was not so similar to a previous application for the variation of a food regulatory </w:t>
      </w:r>
    </w:p>
    <w:p w:rsidR="00F36294" w:rsidRDefault="004673BE" w:rsidP="001D71D0">
      <w:pPr>
        <w:pStyle w:val="FSBullet1"/>
        <w:numPr>
          <w:ilvl w:val="0"/>
          <w:numId w:val="0"/>
        </w:numPr>
        <w:ind w:left="567"/>
        <w:rPr>
          <w:color w:val="000000" w:themeColor="text1"/>
        </w:rPr>
      </w:pPr>
      <w:proofErr w:type="gramStart"/>
      <w:r w:rsidRPr="001D71D0">
        <w:rPr>
          <w:color w:val="000000" w:themeColor="text1"/>
        </w:rPr>
        <w:t>measure</w:t>
      </w:r>
      <w:proofErr w:type="gramEnd"/>
      <w:r w:rsidRPr="001D71D0">
        <w:rPr>
          <w:color w:val="000000" w:themeColor="text1"/>
        </w:rPr>
        <w:t xml:space="preserve"> that it ought to be rejected</w:t>
      </w:r>
      <w:r w:rsidR="00451E6D" w:rsidRPr="001D71D0">
        <w:rPr>
          <w:color w:val="000000" w:themeColor="text1"/>
        </w:rPr>
        <w:t>.</w:t>
      </w:r>
      <w:r w:rsidR="00F36294">
        <w:rPr>
          <w:color w:val="000000" w:themeColor="text1"/>
        </w:rPr>
        <w:br w:type="page"/>
      </w:r>
    </w:p>
    <w:p w:rsidR="00AF397D" w:rsidRPr="00BD0B3A" w:rsidRDefault="00E138A9" w:rsidP="00F36294">
      <w:pPr>
        <w:pStyle w:val="Heading2"/>
      </w:pPr>
      <w:bookmarkStart w:id="13" w:name="_Toc372719226"/>
      <w:r w:rsidRPr="00BD0B3A">
        <w:lastRenderedPageBreak/>
        <w:t>1</w:t>
      </w:r>
      <w:r w:rsidR="00AF397D" w:rsidRPr="00BD0B3A">
        <w:t>.</w:t>
      </w:r>
      <w:r w:rsidR="003814F0" w:rsidRPr="00BD0B3A">
        <w:t>5</w:t>
      </w:r>
      <w:r w:rsidR="00AF397D" w:rsidRPr="00BD0B3A">
        <w:tab/>
        <w:t>Procedure for assessment</w:t>
      </w:r>
      <w:bookmarkEnd w:id="13"/>
    </w:p>
    <w:p w:rsidR="00AF397D" w:rsidRPr="00BD0B3A" w:rsidRDefault="00AF397D" w:rsidP="00AF397D">
      <w:pPr>
        <w:rPr>
          <w:color w:val="000000" w:themeColor="text1"/>
        </w:rPr>
      </w:pPr>
      <w:r w:rsidRPr="00BD0B3A">
        <w:rPr>
          <w:color w:val="000000" w:themeColor="text1"/>
        </w:rPr>
        <w:t>The Application was assessed under the General</w:t>
      </w:r>
      <w:r w:rsidR="000000FE" w:rsidRPr="00BD0B3A">
        <w:rPr>
          <w:color w:val="000000" w:themeColor="text1"/>
        </w:rPr>
        <w:t xml:space="preserve"> </w:t>
      </w:r>
      <w:r w:rsidRPr="00BD0B3A">
        <w:rPr>
          <w:color w:val="000000" w:themeColor="text1"/>
        </w:rPr>
        <w:t>Procedure.</w:t>
      </w:r>
    </w:p>
    <w:p w:rsidR="00422EC9" w:rsidRPr="00BD0B3A" w:rsidRDefault="00E138A9" w:rsidP="00422EC9">
      <w:pPr>
        <w:pStyle w:val="Heading2"/>
        <w:rPr>
          <w:color w:val="000000" w:themeColor="text1"/>
        </w:rPr>
      </w:pPr>
      <w:bookmarkStart w:id="14" w:name="_Toc372719227"/>
      <w:r w:rsidRPr="00BD0B3A">
        <w:rPr>
          <w:color w:val="000000" w:themeColor="text1"/>
        </w:rPr>
        <w:t>1</w:t>
      </w:r>
      <w:r w:rsidR="00422EC9" w:rsidRPr="00BD0B3A">
        <w:rPr>
          <w:color w:val="000000" w:themeColor="text1"/>
        </w:rPr>
        <w:t>.6</w:t>
      </w:r>
      <w:r w:rsidR="00422EC9" w:rsidRPr="00BD0B3A">
        <w:rPr>
          <w:color w:val="000000" w:themeColor="text1"/>
        </w:rPr>
        <w:tab/>
        <w:t>Decision</w:t>
      </w:r>
      <w:bookmarkEnd w:id="14"/>
    </w:p>
    <w:p w:rsidR="000000FE" w:rsidRPr="00BD0B3A" w:rsidRDefault="000000FE" w:rsidP="000000FE">
      <w:pPr>
        <w:rPr>
          <w:color w:val="000000" w:themeColor="text1"/>
        </w:rPr>
      </w:pPr>
      <w:bookmarkStart w:id="15" w:name="_Toc11735630"/>
      <w:bookmarkStart w:id="16" w:name="_Toc29883114"/>
      <w:bookmarkStart w:id="17" w:name="_Toc41906801"/>
      <w:bookmarkStart w:id="18" w:name="_Toc41907548"/>
      <w:bookmarkStart w:id="19" w:name="_Toc120358578"/>
      <w:bookmarkStart w:id="20" w:name="_Toc175381435"/>
      <w:bookmarkEnd w:id="2"/>
      <w:bookmarkEnd w:id="3"/>
      <w:bookmarkEnd w:id="4"/>
      <w:bookmarkEnd w:id="5"/>
      <w:bookmarkEnd w:id="6"/>
      <w:r w:rsidRPr="00BD0B3A">
        <w:rPr>
          <w:color w:val="000000" w:themeColor="text1"/>
        </w:rPr>
        <w:t>The draft variation to Standard 1.5.2, as proposed following assessment, was approved without change.</w:t>
      </w:r>
      <w:r w:rsidR="00272E09" w:rsidRPr="00BD0B3A">
        <w:rPr>
          <w:color w:val="000000" w:themeColor="text1"/>
        </w:rPr>
        <w:t xml:space="preserve"> </w:t>
      </w:r>
      <w:r w:rsidR="00272E09" w:rsidRPr="00BD0B3A">
        <w:rPr>
          <w:rFonts w:cs="Arial"/>
          <w:color w:val="000000" w:themeColor="text1"/>
        </w:rPr>
        <w:t>The variation takes effect on gazettal.</w:t>
      </w:r>
    </w:p>
    <w:p w:rsidR="004673BE" w:rsidRPr="00BD0B3A" w:rsidRDefault="004673BE" w:rsidP="000000FE">
      <w:pPr>
        <w:rPr>
          <w:color w:val="000000" w:themeColor="text1"/>
        </w:rPr>
      </w:pPr>
    </w:p>
    <w:p w:rsidR="000000FE" w:rsidRPr="00BD0B3A" w:rsidRDefault="000000FE" w:rsidP="000000FE">
      <w:pPr>
        <w:rPr>
          <w:color w:val="000000" w:themeColor="text1"/>
        </w:rPr>
      </w:pPr>
      <w:r w:rsidRPr="00BD0B3A">
        <w:rPr>
          <w:color w:val="000000" w:themeColor="text1"/>
        </w:rPr>
        <w:t xml:space="preserve">The approved </w:t>
      </w:r>
      <w:r w:rsidR="00E2362E" w:rsidRPr="00BD0B3A">
        <w:rPr>
          <w:color w:val="000000" w:themeColor="text1"/>
        </w:rPr>
        <w:t xml:space="preserve">draft </w:t>
      </w:r>
      <w:r w:rsidRPr="00BD0B3A">
        <w:rPr>
          <w:color w:val="000000" w:themeColor="text1"/>
        </w:rPr>
        <w:t xml:space="preserve">variation to the Standard is at Attachment A. </w:t>
      </w:r>
      <w:r w:rsidR="00E2362E" w:rsidRPr="00BD0B3A">
        <w:rPr>
          <w:color w:val="000000" w:themeColor="text1"/>
        </w:rPr>
        <w:t xml:space="preserve">The explanatory statement is at Attachment B. An explanatory statement is required to accompany an instrument if it is lodged on the Federal Register of Legislative Instruments. </w:t>
      </w:r>
    </w:p>
    <w:p w:rsidR="0012388D" w:rsidRPr="00BD0B3A" w:rsidRDefault="00E138A9" w:rsidP="000000FE">
      <w:pPr>
        <w:pStyle w:val="Heading1"/>
        <w:rPr>
          <w:color w:val="000000" w:themeColor="text1"/>
        </w:rPr>
      </w:pPr>
      <w:bookmarkStart w:id="21" w:name="_Toc372719228"/>
      <w:r w:rsidRPr="00BD0B3A">
        <w:rPr>
          <w:color w:val="000000" w:themeColor="text1"/>
        </w:rPr>
        <w:t>2</w:t>
      </w:r>
      <w:r w:rsidR="00AC428E" w:rsidRPr="00BD0B3A">
        <w:rPr>
          <w:color w:val="000000" w:themeColor="text1"/>
        </w:rPr>
        <w:t>.</w:t>
      </w:r>
      <w:r w:rsidR="00AC428E" w:rsidRPr="00BD0B3A">
        <w:rPr>
          <w:color w:val="000000" w:themeColor="text1"/>
        </w:rPr>
        <w:tab/>
      </w:r>
      <w:r w:rsidR="00AF387F" w:rsidRPr="00BD0B3A">
        <w:rPr>
          <w:color w:val="000000" w:themeColor="text1"/>
        </w:rPr>
        <w:t xml:space="preserve">Summary </w:t>
      </w:r>
      <w:r w:rsidR="00AF387F" w:rsidRPr="00BD0B3A">
        <w:rPr>
          <w:color w:val="000000" w:themeColor="text1"/>
          <w:u w:color="FFFF00"/>
        </w:rPr>
        <w:t>of</w:t>
      </w:r>
      <w:r w:rsidR="00AF387F" w:rsidRPr="00BD0B3A">
        <w:rPr>
          <w:color w:val="000000" w:themeColor="text1"/>
        </w:rPr>
        <w:t xml:space="preserve"> the findings</w:t>
      </w:r>
      <w:bookmarkEnd w:id="21"/>
    </w:p>
    <w:p w:rsidR="00DB5F1D" w:rsidRPr="00BD0B3A" w:rsidRDefault="00E138A9" w:rsidP="00381E07">
      <w:pPr>
        <w:pStyle w:val="Heading2"/>
        <w:rPr>
          <w:color w:val="000000" w:themeColor="text1"/>
        </w:rPr>
      </w:pPr>
      <w:bookmarkStart w:id="22" w:name="_Toc372719229"/>
      <w:bookmarkStart w:id="23" w:name="_Toc120358583"/>
      <w:bookmarkStart w:id="24" w:name="_Toc175381440"/>
      <w:r w:rsidRPr="00BD0B3A">
        <w:rPr>
          <w:color w:val="000000" w:themeColor="text1"/>
        </w:rPr>
        <w:t>2</w:t>
      </w:r>
      <w:r w:rsidR="00AC428E" w:rsidRPr="00BD0B3A">
        <w:rPr>
          <w:color w:val="000000" w:themeColor="text1"/>
        </w:rPr>
        <w:t>.1</w:t>
      </w:r>
      <w:r w:rsidR="00AC428E" w:rsidRPr="00BD0B3A">
        <w:rPr>
          <w:color w:val="000000" w:themeColor="text1"/>
        </w:rPr>
        <w:tab/>
      </w:r>
      <w:r w:rsidR="00DB5F1D" w:rsidRPr="00BD0B3A">
        <w:rPr>
          <w:color w:val="000000" w:themeColor="text1"/>
        </w:rPr>
        <w:t>Summary of issues raised in submissions</w:t>
      </w:r>
      <w:bookmarkEnd w:id="22"/>
    </w:p>
    <w:p w:rsidR="00DB5F1D" w:rsidRPr="00954B4F" w:rsidRDefault="00F071E5" w:rsidP="00DB5F1D">
      <w:pPr>
        <w:pStyle w:val="Heading4"/>
        <w:rPr>
          <w:color w:val="000000" w:themeColor="text1"/>
        </w:rPr>
      </w:pPr>
      <w:r w:rsidRPr="00954B4F">
        <w:rPr>
          <w:color w:val="000000" w:themeColor="text1"/>
        </w:rPr>
        <w:t>2.1.1</w:t>
      </w:r>
      <w:r w:rsidR="00193D1A" w:rsidRPr="00954B4F">
        <w:rPr>
          <w:color w:val="000000" w:themeColor="text1"/>
        </w:rPr>
        <w:t>.</w:t>
      </w:r>
      <w:r w:rsidR="00DB5F1D" w:rsidRPr="00954B4F">
        <w:rPr>
          <w:color w:val="000000" w:themeColor="text1"/>
        </w:rPr>
        <w:tab/>
        <w:t>General issues</w:t>
      </w:r>
    </w:p>
    <w:p w:rsidR="00272E09" w:rsidRPr="007140EF" w:rsidRDefault="00272E09" w:rsidP="00272E09">
      <w:pPr>
        <w:rPr>
          <w:color w:val="000000" w:themeColor="text1"/>
        </w:rPr>
      </w:pPr>
      <w:r w:rsidRPr="00ED663C">
        <w:rPr>
          <w:color w:val="000000" w:themeColor="text1"/>
        </w:rPr>
        <w:t xml:space="preserve">The FSANZ safety assessment considers only the safety of GM </w:t>
      </w:r>
      <w:r w:rsidR="00ED663C" w:rsidRPr="00ED663C">
        <w:rPr>
          <w:color w:val="000000" w:themeColor="text1"/>
        </w:rPr>
        <w:t xml:space="preserve">food for human </w:t>
      </w:r>
      <w:r w:rsidR="00ED663C" w:rsidRPr="007140EF">
        <w:rPr>
          <w:color w:val="000000" w:themeColor="text1"/>
        </w:rPr>
        <w:t>consumption. Two</w:t>
      </w:r>
      <w:r w:rsidRPr="007140EF">
        <w:rPr>
          <w:color w:val="000000" w:themeColor="text1"/>
        </w:rPr>
        <w:t xml:space="preserve"> submissions r</w:t>
      </w:r>
      <w:r w:rsidR="00C31B9D">
        <w:rPr>
          <w:color w:val="000000" w:themeColor="text1"/>
        </w:rPr>
        <w:t>aised general issues to do with</w:t>
      </w:r>
      <w:r w:rsidRPr="007140EF">
        <w:rPr>
          <w:color w:val="000000" w:themeColor="text1"/>
        </w:rPr>
        <w:t xml:space="preserve"> public perception of GM food</w:t>
      </w:r>
      <w:r w:rsidR="00DE673F" w:rsidRPr="007140EF">
        <w:rPr>
          <w:color w:val="000000" w:themeColor="text1"/>
        </w:rPr>
        <w:t>,</w:t>
      </w:r>
      <w:r w:rsidRPr="007140EF">
        <w:rPr>
          <w:color w:val="000000" w:themeColor="text1"/>
        </w:rPr>
        <w:t xml:space="preserve"> and environmental issues</w:t>
      </w:r>
      <w:r w:rsidR="002B541E">
        <w:rPr>
          <w:color w:val="000000" w:themeColor="text1"/>
        </w:rPr>
        <w:t>,</w:t>
      </w:r>
      <w:r w:rsidR="00C31B9D">
        <w:rPr>
          <w:color w:val="000000" w:themeColor="text1"/>
        </w:rPr>
        <w:t xml:space="preserve"> both of which are outside the scope of FSANZ’s regulatory area</w:t>
      </w:r>
      <w:r w:rsidRPr="007140EF">
        <w:rPr>
          <w:color w:val="000000" w:themeColor="text1"/>
        </w:rPr>
        <w:t xml:space="preserve">. Issues to do with the growing of GM </w:t>
      </w:r>
      <w:proofErr w:type="gramStart"/>
      <w:r w:rsidRPr="007140EF">
        <w:rPr>
          <w:color w:val="000000" w:themeColor="text1"/>
        </w:rPr>
        <w:t>crops</w:t>
      </w:r>
      <w:proofErr w:type="gramEnd"/>
      <w:r w:rsidRPr="007140EF">
        <w:rPr>
          <w:color w:val="000000" w:themeColor="text1"/>
        </w:rPr>
        <w:t xml:space="preserve"> and any possible effects on the environment are considered in Australia by the Office of the Gene Technology Regulator, and in New Zealand by the Environmental Protection Authority.</w:t>
      </w:r>
    </w:p>
    <w:p w:rsidR="00272E09" w:rsidRPr="007140EF" w:rsidRDefault="00272E09" w:rsidP="00272E09">
      <w:pPr>
        <w:rPr>
          <w:color w:val="000000" w:themeColor="text1"/>
        </w:rPr>
      </w:pPr>
    </w:p>
    <w:p w:rsidR="00DB5F1D" w:rsidRPr="007140EF" w:rsidRDefault="007A4D1B" w:rsidP="00DB5F1D">
      <w:pPr>
        <w:rPr>
          <w:color w:val="000000" w:themeColor="text1"/>
          <w:szCs w:val="22"/>
        </w:rPr>
      </w:pPr>
      <w:r w:rsidRPr="007140EF">
        <w:rPr>
          <w:color w:val="000000" w:themeColor="text1"/>
          <w:szCs w:val="22"/>
        </w:rPr>
        <w:t>Responses to</w:t>
      </w:r>
      <w:r w:rsidR="002B541E">
        <w:rPr>
          <w:color w:val="000000" w:themeColor="text1"/>
          <w:szCs w:val="22"/>
        </w:rPr>
        <w:t xml:space="preserve"> seven</w:t>
      </w:r>
      <w:r w:rsidR="00DB5F1D" w:rsidRPr="007140EF">
        <w:rPr>
          <w:color w:val="000000" w:themeColor="text1"/>
          <w:szCs w:val="22"/>
        </w:rPr>
        <w:t xml:space="preserve"> general issues raised or implied, are provided in Table 1. </w:t>
      </w:r>
      <w:r w:rsidR="003E3770" w:rsidRPr="007140EF">
        <w:rPr>
          <w:color w:val="000000" w:themeColor="text1"/>
          <w:szCs w:val="22"/>
        </w:rPr>
        <w:t>Minor changes have been made to the SD1 to address typographical errors and clarity.</w:t>
      </w:r>
    </w:p>
    <w:p w:rsidR="00DB5F1D" w:rsidRPr="007140EF" w:rsidRDefault="00DB5F1D" w:rsidP="00DB5F1D">
      <w:pPr>
        <w:rPr>
          <w:color w:val="000000" w:themeColor="text1"/>
          <w:lang w:bidi="ar-SA"/>
        </w:rPr>
      </w:pPr>
    </w:p>
    <w:p w:rsidR="00DB5F1D" w:rsidRPr="003B0D85" w:rsidRDefault="00DB5F1D" w:rsidP="00DB5F1D">
      <w:pPr>
        <w:keepNext/>
        <w:rPr>
          <w:rFonts w:cs="Arial"/>
          <w:b/>
          <w:color w:val="000000" w:themeColor="text1"/>
        </w:rPr>
      </w:pPr>
      <w:r w:rsidRPr="003B0D85">
        <w:rPr>
          <w:rFonts w:cs="Arial"/>
          <w:b/>
          <w:color w:val="000000" w:themeColor="text1"/>
        </w:rPr>
        <w:t xml:space="preserve">Table 1: Summary of general issues </w:t>
      </w:r>
      <w:proofErr w:type="gramStart"/>
      <w:r w:rsidRPr="003B0D85">
        <w:rPr>
          <w:rFonts w:cs="Arial"/>
          <w:b/>
          <w:color w:val="000000" w:themeColor="text1"/>
        </w:rPr>
        <w:t>raised</w:t>
      </w:r>
      <w:proofErr w:type="gramEnd"/>
      <w:r w:rsidRPr="003B0D85">
        <w:rPr>
          <w:rFonts w:cs="Arial"/>
          <w:b/>
          <w:color w:val="000000" w:themeColor="text1"/>
        </w:rPr>
        <w:t xml:space="preserve"> in submissions</w:t>
      </w:r>
    </w:p>
    <w:p w:rsidR="00DB5F1D" w:rsidRPr="003B0D85" w:rsidRDefault="00DB5F1D" w:rsidP="00DB5F1D">
      <w:pPr>
        <w:keepNext/>
        <w:rPr>
          <w:rFonts w:cs="Arial"/>
          <w:b/>
          <w:color w:val="000000" w:themeColor="text1"/>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165"/>
      </w:tblGrid>
      <w:tr w:rsidR="003B0D85" w:rsidRPr="003B0D85" w:rsidTr="003B0D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rsidR="00DB5F1D" w:rsidRPr="003B0D85" w:rsidRDefault="00DB5F1D" w:rsidP="00810A0B">
            <w:pPr>
              <w:keepNext/>
              <w:spacing w:after="240"/>
              <w:rPr>
                <w:color w:val="000000" w:themeColor="text1"/>
              </w:rPr>
            </w:pPr>
            <w:r w:rsidRPr="003B0D85">
              <w:rPr>
                <w:color w:val="000000" w:themeColor="text1"/>
              </w:rPr>
              <w:t>Issue</w:t>
            </w:r>
          </w:p>
        </w:tc>
        <w:tc>
          <w:tcPr>
            <w:tcW w:w="2268" w:type="dxa"/>
            <w:tcBorders>
              <w:top w:val="single" w:sz="4" w:space="0" w:color="auto"/>
              <w:left w:val="single" w:sz="4" w:space="0" w:color="auto"/>
              <w:bottom w:val="single" w:sz="4" w:space="0" w:color="auto"/>
              <w:right w:val="single" w:sz="4" w:space="0" w:color="auto"/>
            </w:tcBorders>
          </w:tcPr>
          <w:p w:rsidR="00DB5F1D" w:rsidRPr="003B0D85" w:rsidRDefault="00DB5F1D" w:rsidP="00810A0B">
            <w:pPr>
              <w:keepNext/>
              <w:spacing w:after="240"/>
              <w:cnfStyle w:val="100000000000" w:firstRow="1" w:lastRow="0" w:firstColumn="0" w:lastColumn="0" w:oddVBand="0" w:evenVBand="0" w:oddHBand="0" w:evenHBand="0" w:firstRowFirstColumn="0" w:firstRowLastColumn="0" w:lastRowFirstColumn="0" w:lastRowLastColumn="0"/>
              <w:rPr>
                <w:color w:val="000000" w:themeColor="text1"/>
              </w:rPr>
            </w:pPr>
            <w:r w:rsidRPr="003B0D85">
              <w:rPr>
                <w:color w:val="000000" w:themeColor="text1"/>
              </w:rPr>
              <w:t>Raised by</w:t>
            </w:r>
          </w:p>
        </w:tc>
        <w:tc>
          <w:tcPr>
            <w:tcW w:w="5165" w:type="dxa"/>
            <w:tcBorders>
              <w:top w:val="single" w:sz="4" w:space="0" w:color="auto"/>
              <w:left w:val="single" w:sz="4" w:space="0" w:color="auto"/>
              <w:bottom w:val="single" w:sz="4" w:space="0" w:color="auto"/>
              <w:right w:val="single" w:sz="4" w:space="0" w:color="auto"/>
            </w:tcBorders>
          </w:tcPr>
          <w:p w:rsidR="00DB5F1D" w:rsidRPr="003B0D85" w:rsidRDefault="00DB5F1D" w:rsidP="00810A0B">
            <w:pPr>
              <w:keepNext/>
              <w:spacing w:after="240"/>
              <w:cnfStyle w:val="100000000000" w:firstRow="1" w:lastRow="0" w:firstColumn="0" w:lastColumn="0" w:oddVBand="0" w:evenVBand="0" w:oddHBand="0" w:evenHBand="0" w:firstRowFirstColumn="0" w:firstRowLastColumn="0" w:lastRowFirstColumn="0" w:lastRowLastColumn="0"/>
              <w:rPr>
                <w:color w:val="000000" w:themeColor="text1"/>
              </w:rPr>
            </w:pPr>
            <w:r w:rsidRPr="003B0D85">
              <w:rPr>
                <w:color w:val="000000" w:themeColor="text1"/>
              </w:rPr>
              <w:t>FSANZ Response (including any amendments to drafting)</w:t>
            </w:r>
          </w:p>
        </w:tc>
      </w:tr>
      <w:tr w:rsidR="003B0D85" w:rsidRPr="003B0D85" w:rsidTr="003B0D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right w:val="single" w:sz="4" w:space="0" w:color="auto"/>
            </w:tcBorders>
          </w:tcPr>
          <w:p w:rsidR="00DB5F1D" w:rsidRPr="003B0D85" w:rsidRDefault="00F76CB8" w:rsidP="005F6A76">
            <w:pPr>
              <w:pStyle w:val="Table2"/>
              <w:ind w:left="113" w:hanging="113"/>
              <w:rPr>
                <w:b w:val="0"/>
                <w:bCs/>
                <w:color w:val="000000" w:themeColor="text1"/>
              </w:rPr>
            </w:pPr>
            <w:r w:rsidRPr="003B0D85">
              <w:rPr>
                <w:color w:val="000000" w:themeColor="text1"/>
              </w:rPr>
              <w:t xml:space="preserve">Concern with the safety of </w:t>
            </w:r>
            <w:r w:rsidR="00DB5F1D" w:rsidRPr="003B0D85">
              <w:rPr>
                <w:color w:val="000000" w:themeColor="text1"/>
              </w:rPr>
              <w:t>GM food</w:t>
            </w:r>
          </w:p>
          <w:p w:rsidR="00DB5F1D" w:rsidRPr="003B0D85" w:rsidRDefault="00DB5F1D" w:rsidP="00810A0B">
            <w:pPr>
              <w:pStyle w:val="Table2"/>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B96C90" w:rsidRPr="003B0D85" w:rsidRDefault="00B96C90" w:rsidP="00B96C90">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Physicians &amp; Scientists for Global Responsibility</w:t>
            </w:r>
          </w:p>
          <w:p w:rsidR="00DB5F1D" w:rsidRPr="003B0D85" w:rsidRDefault="00DB5F1D" w:rsidP="003B0D85">
            <w:pPr>
              <w:pStyle w:val="Table2"/>
              <w:ind w:left="318"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top w:val="single" w:sz="4" w:space="0" w:color="auto"/>
              <w:left w:val="single" w:sz="4" w:space="0" w:color="auto"/>
              <w:bottom w:val="single" w:sz="4" w:space="0" w:color="auto"/>
            </w:tcBorders>
          </w:tcPr>
          <w:p w:rsidR="00227C2D" w:rsidRPr="003B0D85" w:rsidRDefault="00227C2D"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The approach used by FSANZ to assess the safety of GM food is based on core principles developed almost 20 years ago and published as guidelines by the Codex Alimentarius Commission (Codex, 2003; Codex, 2004). Over time, the assessment protocol has been the</w:t>
            </w:r>
            <w:r w:rsidR="00B43B64" w:rsidRPr="003B0D85">
              <w:rPr>
                <w:color w:val="000000" w:themeColor="text1"/>
              </w:rPr>
              <w:t xml:space="preserve"> subject of scientific scrutiny;</w:t>
            </w:r>
            <w:r w:rsidRPr="003B0D85">
              <w:rPr>
                <w:color w:val="000000" w:themeColor="text1"/>
              </w:rPr>
              <w:t xml:space="preserve"> however it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rsidR="00227C2D" w:rsidRPr="003B0D85" w:rsidRDefault="00227C2D"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227C2D" w:rsidRPr="003B0D85" w:rsidRDefault="00227C2D"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Studies cited as evidence of safety concerns with certain GM foods have been examined by FSANZ and other scientific experts around the world. The studies have been subject to significant scientific criticism and generally are not supported. Responses to several recent publications are available on the FSANZ website (</w:t>
            </w:r>
            <w:hyperlink r:id="rId17" w:history="1">
              <w:r w:rsidRPr="00924690">
                <w:rPr>
                  <w:rStyle w:val="Hyperlink"/>
                  <w:color w:val="0000FF"/>
                </w:rPr>
                <w:t>http://www.foodstandards.gov.au/consumer/gmfood/adverse/Pages/default.aspx</w:t>
              </w:r>
            </w:hyperlink>
            <w:r w:rsidRPr="003B0D85">
              <w:rPr>
                <w:color w:val="000000" w:themeColor="text1"/>
              </w:rPr>
              <w:t xml:space="preserve"> ).</w:t>
            </w:r>
          </w:p>
          <w:p w:rsidR="00DB5F1D" w:rsidRPr="003B0D85" w:rsidRDefault="00DB5F1D" w:rsidP="00227C2D">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C5D87" w:rsidRPr="009C5D87"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DB5F1D" w:rsidRPr="003B0D85" w:rsidRDefault="00DB5F1D" w:rsidP="00561158">
            <w:pPr>
              <w:pStyle w:val="Table2"/>
              <w:ind w:left="113" w:hanging="113"/>
              <w:rPr>
                <w:b w:val="0"/>
                <w:bCs/>
                <w:color w:val="000000" w:themeColor="text1"/>
              </w:rPr>
            </w:pPr>
            <w:r w:rsidRPr="003B0D85">
              <w:rPr>
                <w:color w:val="000000" w:themeColor="text1"/>
              </w:rPr>
              <w:lastRenderedPageBreak/>
              <w:t>The conduct of the FSANZ safety assessment</w:t>
            </w:r>
            <w:r w:rsidR="00F76CB8" w:rsidRPr="003B0D85">
              <w:rPr>
                <w:color w:val="000000" w:themeColor="text1"/>
              </w:rPr>
              <w:t xml:space="preserve"> </w:t>
            </w:r>
          </w:p>
        </w:tc>
        <w:tc>
          <w:tcPr>
            <w:tcW w:w="2268" w:type="dxa"/>
            <w:tcBorders>
              <w:left w:val="single" w:sz="4" w:space="0" w:color="auto"/>
              <w:right w:val="single" w:sz="4" w:space="0" w:color="auto"/>
            </w:tcBorders>
          </w:tcPr>
          <w:p w:rsidR="00B96C90" w:rsidRPr="003B0D85" w:rsidRDefault="00B96C90" w:rsidP="00B96C90">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3B0D85">
              <w:rPr>
                <w:color w:val="000000" w:themeColor="text1"/>
              </w:rPr>
              <w:t>Physicians &amp; Scientists for Global Responsibility</w:t>
            </w:r>
          </w:p>
          <w:p w:rsidR="00B96C90" w:rsidRPr="003B0D85" w:rsidRDefault="00B96C90" w:rsidP="007140EF">
            <w:pPr>
              <w:pStyle w:val="Table2"/>
              <w:ind w:left="318" w:firstLine="0"/>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165" w:type="dxa"/>
            <w:tcBorders>
              <w:left w:val="single" w:sz="4" w:space="0" w:color="auto"/>
            </w:tcBorders>
          </w:tcPr>
          <w:p w:rsidR="00C31B9D" w:rsidRPr="0054752F"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t>FSANZ’s safety assessment protocol is based on internationally recognised guidelines and technical advice (eg from the OECD), has been periodically review</w:t>
            </w:r>
            <w:r w:rsidR="00192CB3">
              <w:t>ed by external experts either</w:t>
            </w:r>
            <w:r>
              <w:t xml:space="preserve"> fully or in part, and has been refined in response to emerging scientific information.  FSANZ monitors the publication of relevant studies a</w:t>
            </w:r>
            <w:r w:rsidR="004C0DB9">
              <w:t>nd evaluates their</w:t>
            </w:r>
            <w:r>
              <w:t xml:space="preserve"> importance to the safety assessment protocol</w:t>
            </w:r>
            <w:r w:rsidRPr="0054752F">
              <w:rPr>
                <w:color w:val="000000" w:themeColor="text1"/>
              </w:rPr>
              <w:t xml:space="preserve">.  </w:t>
            </w:r>
            <w:r w:rsidRPr="0054752F">
              <w:rPr>
                <w:rStyle w:val="Hyperlink"/>
                <w:color w:val="000000" w:themeColor="text1"/>
                <w:szCs w:val="18"/>
                <w:u w:val="none"/>
              </w:rPr>
              <w:t>Reviews of key studies have been published</w:t>
            </w:r>
            <w:r>
              <w:rPr>
                <w:rStyle w:val="Hyperlink"/>
                <w:color w:val="000000" w:themeColor="text1"/>
                <w:szCs w:val="18"/>
                <w:u w:val="none"/>
              </w:rPr>
              <w:t xml:space="preserve"> on the FSANZ website (</w:t>
            </w:r>
            <w:r w:rsidRPr="003B0D85">
              <w:rPr>
                <w:color w:val="000000" w:themeColor="text1"/>
              </w:rPr>
              <w:t>(</w:t>
            </w:r>
            <w:hyperlink r:id="rId18" w:history="1">
              <w:r w:rsidRPr="00924690">
                <w:rPr>
                  <w:rStyle w:val="Hyperlink"/>
                  <w:color w:val="0000FF"/>
                </w:rPr>
                <w:t>http://www.foodstandards.gov.au/consumer/gmfood/adverse/Pages/default.aspx</w:t>
              </w:r>
            </w:hyperlink>
            <w:r w:rsidRPr="003B0D85">
              <w:rPr>
                <w:color w:val="000000" w:themeColor="text1"/>
              </w:rPr>
              <w:t xml:space="preserve"> </w:t>
            </w:r>
            <w:r>
              <w:rPr>
                <w:color w:val="000000" w:themeColor="text1"/>
              </w:rPr>
              <w:t>)</w:t>
            </w:r>
            <w:r w:rsidRPr="0054752F">
              <w:rPr>
                <w:rStyle w:val="Hyperlink"/>
                <w:color w:val="000000" w:themeColor="text1"/>
                <w:szCs w:val="18"/>
                <w:u w:val="none"/>
              </w:rPr>
              <w:t>, including those published since the developed of the int</w:t>
            </w:r>
            <w:r w:rsidR="007B629E">
              <w:rPr>
                <w:rStyle w:val="Hyperlink"/>
                <w:color w:val="000000" w:themeColor="text1"/>
                <w:szCs w:val="18"/>
                <w:u w:val="none"/>
              </w:rPr>
              <w:t xml:space="preserve">ernationally agreed assessment </w:t>
            </w:r>
            <w:r w:rsidRPr="0054752F">
              <w:rPr>
                <w:rStyle w:val="Hyperlink"/>
                <w:color w:val="000000" w:themeColor="text1"/>
                <w:szCs w:val="18"/>
                <w:u w:val="none"/>
              </w:rPr>
              <w:t>protocol.</w:t>
            </w:r>
          </w:p>
          <w:p w:rsidR="00C31B9D"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pPr>
          </w:p>
          <w:p w:rsidR="00C31B9D" w:rsidRPr="00272E09"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pPr>
            <w:r>
              <w:t xml:space="preserve">FSANZ has outlined its approach to </w:t>
            </w:r>
            <w:r w:rsidRPr="00272E09">
              <w:t xml:space="preserve">GM safety </w:t>
            </w:r>
            <w:r>
              <w:t xml:space="preserve">assessment </w:t>
            </w:r>
            <w:r w:rsidRPr="00272E09">
              <w:t xml:space="preserve">in a Guidance Document </w:t>
            </w:r>
            <w:r w:rsidRPr="00272E09">
              <w:fldChar w:fldCharType="begin"/>
            </w:r>
            <w:r w:rsidR="00B41F4E">
              <w:instrText xml:space="preserve"> ADDIN REFMGR.CITE &lt;Refman&gt;&lt;Cite&gt;&lt;Author&gt;FSANZ&lt;/Author&gt;&lt;Year&gt;2007&lt;/Year&gt;&lt;RecNum&gt;541&lt;/RecNum&gt;&lt;IDText&gt;Safety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Pr="00272E09">
              <w:fldChar w:fldCharType="separate"/>
            </w:r>
            <w:r w:rsidR="00B1365E">
              <w:rPr>
                <w:noProof/>
              </w:rPr>
              <w:t>(FSANZ, 2007)</w:t>
            </w:r>
            <w:r w:rsidRPr="00272E09">
              <w:fldChar w:fldCharType="end"/>
            </w:r>
            <w:r>
              <w:t xml:space="preserve"> and specified t</w:t>
            </w:r>
            <w:r w:rsidRPr="00272E09">
              <w:t>he data requirements to su</w:t>
            </w:r>
            <w:r>
              <w:t>pport this approach</w:t>
            </w:r>
            <w:r w:rsidRPr="00272E09">
              <w:t xml:space="preserve"> in the FSANZ Application Handbook </w:t>
            </w:r>
            <w:r w:rsidRPr="00272E09">
              <w:fldChar w:fldCharType="begin"/>
            </w:r>
            <w:r w:rsidR="00B41F4E">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272E09">
              <w:fldChar w:fldCharType="separate"/>
            </w:r>
            <w:r w:rsidRPr="00272E09">
              <w:rPr>
                <w:noProof/>
              </w:rPr>
              <w:t>(FSANZ, 2011)</w:t>
            </w:r>
            <w:r w:rsidRPr="00272E09">
              <w:fldChar w:fldCharType="end"/>
            </w:r>
            <w:r w:rsidRPr="00272E09">
              <w:t xml:space="preserve">. </w:t>
            </w:r>
          </w:p>
          <w:p w:rsidR="00C31B9D" w:rsidRPr="00272E09"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pPr>
          </w:p>
          <w:p w:rsidR="00C31B9D" w:rsidRPr="00272E09"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pPr>
            <w:r w:rsidRPr="00272E09">
              <w:t xml:space="preserve">A detailed description of the process used by FSANZ for the safety assessment of GM foods is available on the FSANZ website at </w:t>
            </w:r>
            <w:hyperlink r:id="rId19" w:history="1">
              <w:r w:rsidRPr="0054752F">
                <w:rPr>
                  <w:color w:val="0000FF"/>
                  <w:u w:val="single"/>
                </w:rPr>
                <w:t>http://www.foodstandards.gov.au/consumer/gmfood/safety/Pages/default.aspx</w:t>
              </w:r>
            </w:hyperlink>
          </w:p>
          <w:p w:rsidR="00227C2D" w:rsidRPr="003B0D85" w:rsidRDefault="00227C2D" w:rsidP="001541D6">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p w:rsidR="00227C2D" w:rsidRPr="003B0D85" w:rsidRDefault="00227C2D" w:rsidP="00561158">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3B0D85">
              <w:rPr>
                <w:color w:val="000000" w:themeColor="text1"/>
              </w:rPr>
              <w:t xml:space="preserve">In 2008, an external review of the FSANZ GM food safety assessment procedure was undertaken and identified a number of strengths (see FSANZ website at  </w:t>
            </w:r>
            <w:hyperlink r:id="rId20" w:history="1">
              <w:r w:rsidRPr="00924690">
                <w:rPr>
                  <w:color w:val="0000FF"/>
                  <w:u w:val="single"/>
                </w:rPr>
                <w:t>http://www.foodstandards.gov.au/consumer/gmfood/Pages/reviewofgeneticallym4394.aspx</w:t>
              </w:r>
            </w:hyperlink>
          </w:p>
          <w:p w:rsidR="00DB5F1D" w:rsidRPr="003B0D85" w:rsidRDefault="00DB5F1D" w:rsidP="009C31AD">
            <w:pPr>
              <w:pStyle w:val="Table2"/>
              <w:ind w:left="34" w:hanging="34"/>
              <w:cnfStyle w:val="000000010000" w:firstRow="0" w:lastRow="0" w:firstColumn="0" w:lastColumn="0" w:oddVBand="0" w:evenVBand="0" w:oddHBand="0" w:evenHBand="1" w:firstRowFirstColumn="0" w:firstRowLastColumn="0" w:lastRowFirstColumn="0" w:lastRowLastColumn="0"/>
              <w:rPr>
                <w:color w:val="000000" w:themeColor="text1"/>
              </w:rPr>
            </w:pPr>
          </w:p>
        </w:tc>
      </w:tr>
      <w:tr w:rsidR="009C5D87" w:rsidRPr="009C5D87" w:rsidTr="00810A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C721A9" w:rsidRPr="007140EF" w:rsidRDefault="00C721A9" w:rsidP="00561158">
            <w:pPr>
              <w:pStyle w:val="Table2"/>
              <w:ind w:left="113" w:hanging="113"/>
              <w:rPr>
                <w:b w:val="0"/>
                <w:bCs/>
                <w:color w:val="000000" w:themeColor="text1"/>
              </w:rPr>
            </w:pPr>
            <w:r w:rsidRPr="007140EF">
              <w:rPr>
                <w:color w:val="000000" w:themeColor="text1"/>
              </w:rPr>
              <w:t>Potential allergenicity of GM foods</w:t>
            </w:r>
          </w:p>
        </w:tc>
        <w:tc>
          <w:tcPr>
            <w:tcW w:w="2268" w:type="dxa"/>
            <w:tcBorders>
              <w:left w:val="single" w:sz="4" w:space="0" w:color="auto"/>
              <w:right w:val="single" w:sz="4" w:space="0" w:color="auto"/>
            </w:tcBorders>
          </w:tcPr>
          <w:p w:rsidR="00C721A9" w:rsidRPr="003B0D85" w:rsidRDefault="00C721A9" w:rsidP="00B341B7">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 xml:space="preserve">Physicians &amp; Scientists for Global Responsibility </w:t>
            </w:r>
          </w:p>
          <w:p w:rsidR="00C721A9" w:rsidRPr="003B0D85" w:rsidRDefault="00C721A9" w:rsidP="00B341B7">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C721A9" w:rsidRPr="003B0D85" w:rsidRDefault="00C721A9"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The occurrence of allergies in people eating Western diets is attributed to major allergens already in the food supply – milk, eggs and nuts, particularly peanuts. These commonly allergenic foods are not associated with GM commodities. There is no credible scientific basis to support the notion that food allergies are linked to the introduction of any GM crops</w:t>
            </w:r>
            <w:r w:rsidR="00B43B64" w:rsidRPr="003B0D85">
              <w:rPr>
                <w:color w:val="000000" w:themeColor="text1"/>
              </w:rPr>
              <w:t xml:space="preserve"> or that allergens can arise spontaneously as a </w:t>
            </w:r>
            <w:r w:rsidR="001315E8" w:rsidRPr="003B0D85">
              <w:rPr>
                <w:color w:val="000000" w:themeColor="text1"/>
              </w:rPr>
              <w:t xml:space="preserve">result of the genetic modification process </w:t>
            </w:r>
            <w:r w:rsidR="001315E8" w:rsidRPr="003B0D85">
              <w:rPr>
                <w:color w:val="000000" w:themeColor="text1"/>
              </w:rPr>
              <w:fldChar w:fldCharType="begin"/>
            </w:r>
            <w:r w:rsidR="00B41F4E">
              <w:rPr>
                <w:color w:val="000000" w:themeColor="text1"/>
              </w:rPr>
              <w:instrText xml:space="preserve"> ADDIN REFMGR.CITE &lt;Refman&gt;&lt;Cite&gt;&lt;Author&gt;Goodman&lt;/Author&gt;&lt;Year&gt;2011&lt;/Year&gt;&lt;RecNum&gt;1007&lt;/RecNum&gt;&lt;IDText&gt;Suggested improvements for the allergenicity assessment of genetically modified plants used in foods&lt;/IDText&gt;&lt;MDL Ref_Type="Journal"&gt;&lt;Ref_Type&gt;Journal&lt;/Ref_Type&gt;&lt;Ref_ID&gt;1007&lt;/Ref_ID&gt;&lt;Title_Primary&gt;Suggested improvements for the allergenicity assessment of genetically modified plants used in foods&lt;/Title_Primary&gt;&lt;Authors_Primary&gt;Goodman,R.E.&lt;/Authors_Primary&gt;&lt;Authors_Primary&gt;Tetteh,A.O.&lt;/Authors_Primary&gt;&lt;Date_Primary&gt;2011&lt;/Date_Primary&gt;&lt;Keywords&gt;Plants&lt;/Keywords&gt;&lt;Keywords&gt;Breeding&lt;/Keywords&gt;&lt;Keywords&gt;Mutagenesis&lt;/Keywords&gt;&lt;Keywords&gt;Safety&lt;/Keywords&gt;&lt;Keywords&gt;Genes&lt;/Keywords&gt;&lt;Keywords&gt;allergenicity&lt;/Keywords&gt;&lt;Keywords&gt;toxicity&lt;/Keywords&gt;&lt;Reprint&gt;Not in File&lt;/Reprint&gt;&lt;Start_Page&gt;317&lt;/Start_Page&gt;&lt;End_Page&gt;324&lt;/End_Page&gt;&lt;Periodical&gt;Current Allergy and Asthma Reports&lt;/Periodical&gt;&lt;Volume&gt;11&lt;/Volume&gt;&lt;Web_URL_Link2&gt;&lt;u&gt;file://F:\Risk Assessment - Chemical Safety\GMO - shared\References\GM References\Goodman &amp;amp;Tetteh_2011_allergenicity assessment of GM.pdf&lt;/u&gt;&lt;/Web_URL_Link2&gt;&lt;ZZ_JournalFull&gt;&lt;f name="System"&gt;Current Allergy and Asthma Reports&lt;/f&gt;&lt;/ZZ_JournalFull&gt;&lt;ZZ_WorkformID&gt;1&lt;/ZZ_WorkformID&gt;&lt;/MDL&gt;&lt;/Cite&gt;&lt;/Refman&gt;</w:instrText>
            </w:r>
            <w:r w:rsidR="001315E8" w:rsidRPr="003B0D85">
              <w:rPr>
                <w:color w:val="000000" w:themeColor="text1"/>
              </w:rPr>
              <w:fldChar w:fldCharType="separate"/>
            </w:r>
            <w:r w:rsidR="001315E8" w:rsidRPr="003B0D85">
              <w:rPr>
                <w:noProof/>
                <w:color w:val="000000" w:themeColor="text1"/>
              </w:rPr>
              <w:t>(Goodman and Tetteh, 2011)</w:t>
            </w:r>
            <w:r w:rsidR="001315E8" w:rsidRPr="003B0D85">
              <w:rPr>
                <w:color w:val="000000" w:themeColor="text1"/>
              </w:rPr>
              <w:fldChar w:fldCharType="end"/>
            </w:r>
            <w:r w:rsidR="001315E8" w:rsidRPr="003B0D85">
              <w:rPr>
                <w:color w:val="000000" w:themeColor="text1"/>
              </w:rPr>
              <w:t>.</w:t>
            </w:r>
            <w:r w:rsidRPr="003B0D85">
              <w:rPr>
                <w:color w:val="000000" w:themeColor="text1"/>
              </w:rPr>
              <w:t xml:space="preserve"> </w:t>
            </w:r>
          </w:p>
          <w:p w:rsidR="00C721A9" w:rsidRPr="003B0D85" w:rsidRDefault="00C721A9" w:rsidP="001541D6">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C721A9" w:rsidRDefault="00C721A9"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3B0D85">
              <w:rPr>
                <w:color w:val="000000" w:themeColor="text1"/>
              </w:rPr>
              <w:t>Any novel proteins likely to be present in a GM food undergo individual assessment for both allergenicity and toxicity.</w:t>
            </w:r>
          </w:p>
          <w:p w:rsidR="005C3FB7" w:rsidRDefault="005C3FB7"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5C3FB7" w:rsidRPr="003B0D85" w:rsidRDefault="005C3FB7"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The presence of soybean, whether from a GM or non-GM source</w:t>
            </w:r>
            <w:r w:rsidR="00417A5C">
              <w:rPr>
                <w:color w:val="000000" w:themeColor="text1"/>
              </w:rPr>
              <w:t>,</w:t>
            </w:r>
            <w:r>
              <w:rPr>
                <w:color w:val="000000" w:themeColor="text1"/>
              </w:rPr>
              <w:t xml:space="preserve"> must be declared on a label so that soy-allergic individuals can avoid the food.</w:t>
            </w:r>
          </w:p>
          <w:p w:rsidR="00C721A9" w:rsidRPr="003B0D85" w:rsidRDefault="00C721A9"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C5D87" w:rsidRPr="009C5D87"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B43B64" w:rsidRDefault="00B43B64" w:rsidP="00561158">
            <w:pPr>
              <w:pStyle w:val="Table2"/>
              <w:ind w:left="113" w:hanging="113"/>
              <w:rPr>
                <w:color w:val="000000" w:themeColor="text1"/>
              </w:rPr>
            </w:pPr>
            <w:r w:rsidRPr="003B0D85">
              <w:rPr>
                <w:color w:val="000000" w:themeColor="text1"/>
              </w:rPr>
              <w:t>Horizontal gene transfer to gut bacteria and safety of ingesting recombinant DNA</w:t>
            </w:r>
          </w:p>
          <w:p w:rsidR="00C31B9D" w:rsidRPr="003B0D85" w:rsidRDefault="00C31B9D" w:rsidP="00561158">
            <w:pPr>
              <w:pStyle w:val="Table2"/>
              <w:ind w:left="113" w:hanging="113"/>
              <w:rPr>
                <w:rFonts w:cs="Arial"/>
                <w:b w:val="0"/>
                <w:bCs/>
                <w:color w:val="000000" w:themeColor="text1"/>
                <w:szCs w:val="22"/>
                <w:lang w:eastAsia="en-GB" w:bidi="ar-SA"/>
              </w:rPr>
            </w:pPr>
          </w:p>
        </w:tc>
        <w:tc>
          <w:tcPr>
            <w:tcW w:w="2268" w:type="dxa"/>
            <w:tcBorders>
              <w:left w:val="single" w:sz="4" w:space="0" w:color="auto"/>
              <w:right w:val="single" w:sz="4" w:space="0" w:color="auto"/>
            </w:tcBorders>
          </w:tcPr>
          <w:p w:rsidR="00B43B64" w:rsidRPr="003B0D85" w:rsidRDefault="00B43B64" w:rsidP="00B341B7">
            <w:pPr>
              <w:pStyle w:val="Table2"/>
              <w:numPr>
                <w:ilvl w:val="0"/>
                <w:numId w:val="19"/>
              </w:numPr>
              <w:ind w:left="318" w:hanging="318"/>
              <w:cnfStyle w:val="000000010000" w:firstRow="0" w:lastRow="0" w:firstColumn="0" w:lastColumn="0" w:oddVBand="0" w:evenVBand="0" w:oddHBand="0" w:evenHBand="1" w:firstRowFirstColumn="0" w:firstRowLastColumn="0" w:lastRowFirstColumn="0" w:lastRowLastColumn="0"/>
              <w:rPr>
                <w:color w:val="000000" w:themeColor="text1"/>
              </w:rPr>
            </w:pPr>
            <w:r w:rsidRPr="003B0D85">
              <w:rPr>
                <w:color w:val="000000" w:themeColor="text1"/>
              </w:rPr>
              <w:t>Physicians &amp; Scientists for Global Responsibility</w:t>
            </w:r>
          </w:p>
        </w:tc>
        <w:tc>
          <w:tcPr>
            <w:tcW w:w="5165" w:type="dxa"/>
            <w:tcBorders>
              <w:left w:val="single" w:sz="4" w:space="0" w:color="auto"/>
            </w:tcBorders>
          </w:tcPr>
          <w:p w:rsidR="00B43B64" w:rsidRPr="00924690" w:rsidRDefault="00B43B64" w:rsidP="00561158">
            <w:pPr>
              <w:pStyle w:val="Table2"/>
              <w:ind w:left="113" w:hanging="113"/>
              <w:cnfStyle w:val="000000010000" w:firstRow="0" w:lastRow="0" w:firstColumn="0" w:lastColumn="0" w:oddVBand="0" w:evenVBand="0" w:oddHBand="0" w:evenHBand="1" w:firstRowFirstColumn="0" w:firstRowLastColumn="0" w:lastRowFirstColumn="0" w:lastRowLastColumn="0"/>
              <w:rPr>
                <w:color w:val="0000FF"/>
              </w:rPr>
            </w:pPr>
            <w:r w:rsidRPr="003B0D85">
              <w:rPr>
                <w:color w:val="000000" w:themeColor="text1"/>
              </w:rPr>
              <w:t>There is no indication that novel genetic material in food will have an impact on human health. This issue has been considered in detail by FSANZ and a summary is available on the FSANZ website -</w:t>
            </w:r>
            <w:hyperlink r:id="rId21" w:history="1">
              <w:r w:rsidRPr="00924690">
                <w:rPr>
                  <w:rStyle w:val="Hyperlink"/>
                  <w:color w:val="0000FF"/>
                </w:rPr>
                <w:t>http://www.foodstandards.gov.au/consumer/gmfood/recombinantdna/Pages/default.aspx</w:t>
              </w:r>
            </w:hyperlink>
          </w:p>
          <w:p w:rsidR="00B43B64" w:rsidRPr="003B0D85" w:rsidRDefault="00B43B64" w:rsidP="001541D6">
            <w:pPr>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tc>
      </w:tr>
      <w:tr w:rsidR="00954B4F" w:rsidRPr="009C5D87" w:rsidTr="00810A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954B4F" w:rsidRPr="00954B4F" w:rsidRDefault="00954B4F" w:rsidP="00561158">
            <w:pPr>
              <w:pStyle w:val="Table2"/>
              <w:ind w:left="113" w:hanging="113"/>
              <w:rPr>
                <w:rFonts w:cs="Arial"/>
                <w:b w:val="0"/>
                <w:bCs/>
                <w:color w:val="000000" w:themeColor="text1"/>
                <w:szCs w:val="22"/>
                <w:lang w:eastAsia="en-GB" w:bidi="ar-SA"/>
              </w:rPr>
            </w:pPr>
            <w:r w:rsidRPr="00954B4F">
              <w:rPr>
                <w:rFonts w:cs="Arial"/>
                <w:color w:val="000000" w:themeColor="text1"/>
                <w:szCs w:val="22"/>
                <w:lang w:eastAsia="en-GB" w:bidi="ar-SA"/>
              </w:rPr>
              <w:t>The safety of ingesting transgenes</w:t>
            </w:r>
          </w:p>
        </w:tc>
        <w:tc>
          <w:tcPr>
            <w:tcW w:w="2268" w:type="dxa"/>
            <w:tcBorders>
              <w:left w:val="single" w:sz="4" w:space="0" w:color="auto"/>
              <w:right w:val="single" w:sz="4" w:space="0" w:color="auto"/>
            </w:tcBorders>
          </w:tcPr>
          <w:p w:rsidR="00954B4F" w:rsidRPr="00954B4F" w:rsidRDefault="00954B4F" w:rsidP="00D03929">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954B4F">
              <w:rPr>
                <w:color w:val="000000" w:themeColor="text1"/>
              </w:rPr>
              <w:t>Physicians &amp; Scientists for Global Responsibility</w:t>
            </w:r>
          </w:p>
          <w:p w:rsidR="00954B4F" w:rsidRPr="00954B4F" w:rsidRDefault="00954B4F" w:rsidP="00D03929">
            <w:pPr>
              <w:pStyle w:val="Table2"/>
              <w:ind w:left="318"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954B4F" w:rsidRPr="00954B4F" w:rsidRDefault="00954B4F" w:rsidP="00561158">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eastAsia="en-GB" w:bidi="ar-SA"/>
              </w:rPr>
            </w:pPr>
            <w:r w:rsidRPr="00954B4F">
              <w:rPr>
                <w:rFonts w:cs="Arial"/>
                <w:color w:val="000000" w:themeColor="text1"/>
                <w:szCs w:val="18"/>
                <w:lang w:eastAsia="en-GB" w:bidi="ar-SA"/>
              </w:rPr>
              <w:t>DNA is a natural</w:t>
            </w:r>
            <w:r w:rsidR="008C4EC8">
              <w:rPr>
                <w:rFonts w:cs="Arial"/>
                <w:color w:val="000000" w:themeColor="text1"/>
                <w:szCs w:val="18"/>
                <w:lang w:eastAsia="en-GB" w:bidi="ar-SA"/>
              </w:rPr>
              <w:t xml:space="preserve"> component of the human diet,</w:t>
            </w:r>
            <w:r w:rsidRPr="00954B4F">
              <w:rPr>
                <w:rFonts w:cs="Arial"/>
                <w:color w:val="000000" w:themeColor="text1"/>
                <w:szCs w:val="18"/>
                <w:lang w:eastAsia="en-GB" w:bidi="ar-SA"/>
              </w:rPr>
              <w:t xml:space="preserve"> being </w:t>
            </w:r>
            <w:r w:rsidRPr="00D03929">
              <w:rPr>
                <w:rFonts w:cs="Arial"/>
                <w:color w:val="000000" w:themeColor="text1"/>
                <w:szCs w:val="22"/>
                <w:lang w:eastAsia="en-GB" w:bidi="ar-SA"/>
              </w:rPr>
              <w:t>present</w:t>
            </w:r>
            <w:r w:rsidRPr="00954B4F">
              <w:rPr>
                <w:rFonts w:cs="Arial"/>
                <w:color w:val="000000" w:themeColor="text1"/>
                <w:szCs w:val="18"/>
                <w:lang w:eastAsia="en-GB" w:bidi="ar-SA"/>
              </w:rPr>
              <w:t xml:space="preserve"> to varying degrees in many plant- and animal- derived foods</w:t>
            </w:r>
            <w:r w:rsidR="008C4EC8">
              <w:rPr>
                <w:rFonts w:cs="Arial"/>
                <w:color w:val="000000" w:themeColor="text1"/>
                <w:szCs w:val="18"/>
                <w:lang w:eastAsia="en-GB" w:bidi="ar-SA"/>
              </w:rPr>
              <w:t>, especially those that have undergone minimal processing</w:t>
            </w:r>
            <w:r w:rsidRPr="00954B4F">
              <w:rPr>
                <w:rFonts w:cs="Arial"/>
                <w:color w:val="000000" w:themeColor="text1"/>
                <w:szCs w:val="18"/>
                <w:lang w:eastAsia="en-GB" w:bidi="ar-SA"/>
              </w:rPr>
              <w:t>. There is no difference in terms of risk between small fragments of recombinant DNA and the DNA already present in our diet.</w:t>
            </w:r>
          </w:p>
          <w:p w:rsidR="00954B4F" w:rsidRPr="00954B4F" w:rsidRDefault="00954B4F" w:rsidP="00561158">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eastAsia="en-GB" w:bidi="ar-SA"/>
              </w:rPr>
            </w:pPr>
          </w:p>
        </w:tc>
      </w:tr>
      <w:tr w:rsidR="00954B4F" w:rsidRPr="009C5D87"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954B4F" w:rsidRPr="003B0D85" w:rsidRDefault="00954B4F" w:rsidP="00561158">
            <w:pPr>
              <w:pStyle w:val="Table2"/>
              <w:ind w:left="113" w:hanging="113"/>
              <w:rPr>
                <w:rFonts w:cs="Arial"/>
                <w:b w:val="0"/>
                <w:bCs/>
                <w:color w:val="000000" w:themeColor="text1"/>
                <w:szCs w:val="22"/>
                <w:lang w:eastAsia="en-GB" w:bidi="ar-SA"/>
              </w:rPr>
            </w:pPr>
            <w:r w:rsidRPr="003B0D85">
              <w:rPr>
                <w:rFonts w:cs="Arial"/>
                <w:color w:val="000000" w:themeColor="text1"/>
                <w:szCs w:val="22"/>
                <w:lang w:eastAsia="en-GB" w:bidi="ar-SA"/>
              </w:rPr>
              <w:lastRenderedPageBreak/>
              <w:t>Lac</w:t>
            </w:r>
            <w:r w:rsidR="00FC711B">
              <w:rPr>
                <w:rFonts w:cs="Arial"/>
                <w:color w:val="000000" w:themeColor="text1"/>
                <w:szCs w:val="22"/>
                <w:lang w:eastAsia="en-GB" w:bidi="ar-SA"/>
              </w:rPr>
              <w:t xml:space="preserve">k of consideration of </w:t>
            </w:r>
            <w:r w:rsidRPr="003B0D85">
              <w:rPr>
                <w:rFonts w:cs="Arial"/>
                <w:color w:val="000000" w:themeColor="text1"/>
                <w:szCs w:val="22"/>
                <w:lang w:eastAsia="en-GB" w:bidi="ar-SA"/>
              </w:rPr>
              <w:t>feeding studies in the safety assessment</w:t>
            </w:r>
          </w:p>
        </w:tc>
        <w:tc>
          <w:tcPr>
            <w:tcW w:w="2268" w:type="dxa"/>
            <w:tcBorders>
              <w:left w:val="single" w:sz="4" w:space="0" w:color="auto"/>
              <w:right w:val="single" w:sz="4" w:space="0" w:color="auto"/>
            </w:tcBorders>
          </w:tcPr>
          <w:p w:rsidR="00954B4F" w:rsidRPr="00924690" w:rsidRDefault="00954B4F" w:rsidP="00B341B7">
            <w:pPr>
              <w:pStyle w:val="Table2"/>
              <w:numPr>
                <w:ilvl w:val="0"/>
                <w:numId w:val="19"/>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924690">
              <w:rPr>
                <w:color w:val="000000" w:themeColor="text1"/>
              </w:rPr>
              <w:t>Physicians &amp; Scientists for Global Responsibility</w:t>
            </w:r>
          </w:p>
          <w:p w:rsidR="00954B4F" w:rsidRPr="00924690" w:rsidRDefault="00954B4F" w:rsidP="00B341B7">
            <w:pPr>
              <w:pStyle w:val="Table2"/>
              <w:numPr>
                <w:ilvl w:val="0"/>
                <w:numId w:val="19"/>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Cs w:val="18"/>
              </w:rPr>
            </w:pPr>
            <w:r w:rsidRPr="00924690">
              <w:rPr>
                <w:color w:val="000000" w:themeColor="text1"/>
                <w:szCs w:val="18"/>
              </w:rPr>
              <w:t>Vicki Martin</w:t>
            </w:r>
          </w:p>
          <w:p w:rsidR="00954B4F" w:rsidRPr="003B0D85" w:rsidRDefault="00954B4F" w:rsidP="00B341B7">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szCs w:val="18"/>
              </w:rPr>
            </w:pPr>
          </w:p>
        </w:tc>
        <w:tc>
          <w:tcPr>
            <w:tcW w:w="5165" w:type="dxa"/>
            <w:tcBorders>
              <w:left w:val="single" w:sz="4" w:space="0" w:color="auto"/>
            </w:tcBorders>
          </w:tcPr>
          <w:p w:rsidR="00C31B9D" w:rsidRPr="00FC711B"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sidRPr="00272E09">
              <w:rPr>
                <w:szCs w:val="18"/>
              </w:rPr>
              <w:t xml:space="preserve">In 2007, FSANZ convened a workshop to formally examine </w:t>
            </w:r>
            <w:r w:rsidRPr="00272E09">
              <w:rPr>
                <w:color w:val="000000"/>
              </w:rPr>
              <w:t>the</w:t>
            </w:r>
            <w:r w:rsidRPr="00272E09">
              <w:rPr>
                <w:szCs w:val="18"/>
              </w:rPr>
              <w:t xml:space="preserve"> usefulness of animal feeding studies to support the safety assessment of GM foods (</w:t>
            </w:r>
            <w:hyperlink r:id="rId22" w:history="1">
              <w:r w:rsidRPr="00272E09">
                <w:rPr>
                  <w:rStyle w:val="Hyperlink"/>
                  <w:szCs w:val="18"/>
                </w:rPr>
                <w:t>http://www.foodstandards.gov.au/consumer/gmfood/Pages/roleofanimalfeedings3717.aspx</w:t>
              </w:r>
            </w:hyperlink>
            <w:r w:rsidRPr="00272E09">
              <w:rPr>
                <w:rStyle w:val="Hyperlink"/>
                <w:szCs w:val="18"/>
              </w:rPr>
              <w:t xml:space="preserve">). </w:t>
            </w:r>
            <w:r w:rsidRPr="00272E09">
              <w:rPr>
                <w:szCs w:val="18"/>
              </w:rPr>
              <w:t xml:space="preserve">The conclusion was that such studies do not contribute meaningful information on the long-term safety of a GM food, with the possible exception of a food in which the modification introduced a desired nutritional change. In these limited cases, the altered nutritional profile of the food may lend itself to investigation in animal diets, or in human volunteers. However, the majority of GM crops with agronomic traits have the same </w:t>
            </w:r>
            <w:r w:rsidRPr="00FC711B">
              <w:rPr>
                <w:szCs w:val="18"/>
              </w:rPr>
              <w:t>nutritional profile as conventional foods.</w:t>
            </w:r>
          </w:p>
          <w:p w:rsidR="00C31B9D" w:rsidRPr="00FC711B"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p>
          <w:p w:rsidR="00B41F4E" w:rsidRPr="00535D33" w:rsidRDefault="00B41F4E" w:rsidP="00B41F4E">
            <w:pPr>
              <w:widowControl/>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sz w:val="18"/>
                <w:szCs w:val="18"/>
                <w:lang w:eastAsia="en-GB" w:bidi="ar-SA"/>
              </w:rPr>
            </w:pPr>
            <w:r w:rsidRPr="00535D33">
              <w:rPr>
                <w:rFonts w:cs="Arial"/>
                <w:sz w:val="18"/>
                <w:szCs w:val="18"/>
              </w:rPr>
              <w:t xml:space="preserve">While the European Food Safety Authority (EFSA) did not advocate the inclusion of a 90-day feeding study in those cases where molecular, compositional, phenotypic and agronomic analyses demonstrated equivalence of the GM food to its non-GM counterpart </w:t>
            </w:r>
            <w:r w:rsidRPr="00535D33">
              <w:rPr>
                <w:rFonts w:cs="Arial"/>
                <w:sz w:val="18"/>
                <w:szCs w:val="18"/>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Pr>
                <w:rFonts w:cs="Arial"/>
                <w:sz w:val="18"/>
                <w:szCs w:val="18"/>
              </w:rPr>
              <w:instrText xml:space="preserve"> ADDIN REFMGR.CITE </w:instrText>
            </w:r>
            <w:r>
              <w:rPr>
                <w:rFonts w:cs="Arial"/>
                <w:sz w:val="18"/>
                <w:szCs w:val="18"/>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Pr>
                <w:rFonts w:cs="Arial"/>
                <w:sz w:val="18"/>
                <w:szCs w:val="18"/>
              </w:rPr>
              <w:instrText xml:space="preserve"> ADDIN EN.CITE.DATA </w:instrText>
            </w:r>
            <w:r>
              <w:rPr>
                <w:rFonts w:cs="Arial"/>
                <w:sz w:val="18"/>
                <w:szCs w:val="18"/>
              </w:rPr>
            </w:r>
            <w:r>
              <w:rPr>
                <w:rFonts w:cs="Arial"/>
                <w:sz w:val="18"/>
                <w:szCs w:val="18"/>
              </w:rPr>
              <w:fldChar w:fldCharType="end"/>
            </w:r>
            <w:r w:rsidRPr="00535D33">
              <w:rPr>
                <w:rFonts w:cs="Arial"/>
                <w:sz w:val="18"/>
                <w:szCs w:val="18"/>
              </w:rPr>
            </w:r>
            <w:r w:rsidRPr="00535D33">
              <w:rPr>
                <w:rFonts w:cs="Arial"/>
                <w:sz w:val="18"/>
                <w:szCs w:val="18"/>
              </w:rPr>
              <w:fldChar w:fldCharType="separate"/>
            </w:r>
            <w:r w:rsidRPr="00535D33">
              <w:rPr>
                <w:rFonts w:cs="Arial"/>
                <w:noProof/>
                <w:sz w:val="18"/>
                <w:szCs w:val="18"/>
              </w:rPr>
              <w:t>(EFSA, 2008; EFSA, 2011)</w:t>
            </w:r>
            <w:r w:rsidRPr="00535D33">
              <w:rPr>
                <w:rFonts w:cs="Arial"/>
                <w:sz w:val="18"/>
                <w:szCs w:val="18"/>
              </w:rPr>
              <w:fldChar w:fldCharType="end"/>
            </w:r>
            <w:r w:rsidRPr="00535D33">
              <w:rPr>
                <w:rFonts w:cs="Arial"/>
                <w:sz w:val="18"/>
                <w:szCs w:val="18"/>
              </w:rPr>
              <w:t xml:space="preserve"> the European Commission</w:t>
            </w:r>
            <w:r>
              <w:rPr>
                <w:rFonts w:cs="Arial"/>
                <w:sz w:val="18"/>
                <w:szCs w:val="18"/>
              </w:rPr>
              <w:t xml:space="preserve"> (EC) </w:t>
            </w:r>
            <w:r w:rsidRPr="00535D33">
              <w:rPr>
                <w:rFonts w:cs="Arial"/>
                <w:sz w:val="18"/>
                <w:szCs w:val="18"/>
                <w:lang w:val="en-AU" w:eastAsia="en-GB"/>
              </w:rPr>
              <w:t xml:space="preserve">decided, in December 2013, to require a 90-day study with each GM food application, pending the </w:t>
            </w:r>
            <w:r>
              <w:rPr>
                <w:rFonts w:cs="Arial"/>
                <w:sz w:val="18"/>
                <w:szCs w:val="18"/>
                <w:lang w:val="en-AU" w:eastAsia="en-GB"/>
              </w:rPr>
              <w:t>outcome</w:t>
            </w:r>
            <w:r w:rsidR="004C0DB9">
              <w:rPr>
                <w:rFonts w:cs="Arial"/>
                <w:sz w:val="18"/>
                <w:szCs w:val="18"/>
                <w:lang w:val="en-AU" w:eastAsia="en-GB"/>
              </w:rPr>
              <w:t xml:space="preserve"> of a European Union</w:t>
            </w:r>
            <w:r w:rsidRPr="00535D33">
              <w:rPr>
                <w:rFonts w:cs="Arial"/>
                <w:sz w:val="18"/>
                <w:szCs w:val="18"/>
                <w:lang w:val="en-AU" w:eastAsia="en-GB"/>
              </w:rPr>
              <w:t xml:space="preserve"> research project on that issue by the end of 2015. </w:t>
            </w:r>
            <w:r w:rsidRPr="00535D33">
              <w:rPr>
                <w:rFonts w:cs="Arial"/>
                <w:sz w:val="18"/>
                <w:szCs w:val="18"/>
                <w:lang w:eastAsia="en-GB" w:bidi="ar-SA"/>
              </w:rPr>
              <w:t>Depe</w:t>
            </w:r>
            <w:r>
              <w:rPr>
                <w:rFonts w:cs="Arial"/>
                <w:sz w:val="18"/>
                <w:szCs w:val="18"/>
                <w:lang w:eastAsia="en-GB" w:bidi="ar-SA"/>
              </w:rPr>
              <w:t>nding on results from</w:t>
            </w:r>
            <w:r w:rsidRPr="00535D33">
              <w:rPr>
                <w:rFonts w:cs="Arial"/>
                <w:sz w:val="18"/>
                <w:szCs w:val="18"/>
                <w:lang w:eastAsia="en-GB" w:bidi="ar-SA"/>
              </w:rPr>
              <w:t xml:space="preserve"> the 90-day study</w:t>
            </w:r>
            <w:r>
              <w:rPr>
                <w:rFonts w:cs="Arial"/>
                <w:sz w:val="18"/>
                <w:szCs w:val="18"/>
                <w:lang w:eastAsia="en-GB" w:bidi="ar-SA"/>
              </w:rPr>
              <w:t xml:space="preserve"> or other available nutritional and toxicological studies</w:t>
            </w:r>
            <w:r w:rsidRPr="00535D33">
              <w:rPr>
                <w:rFonts w:cs="Arial"/>
                <w:sz w:val="18"/>
                <w:szCs w:val="18"/>
                <w:lang w:eastAsia="en-GB" w:bidi="ar-SA"/>
              </w:rPr>
              <w:t>, a 2-year study in rats may also be requested</w:t>
            </w:r>
            <w:r>
              <w:rPr>
                <w:rFonts w:cs="Arial"/>
                <w:sz w:val="18"/>
                <w:szCs w:val="18"/>
                <w:lang w:eastAsia="en-GB" w:bidi="ar-SA"/>
              </w:rPr>
              <w:t xml:space="preserve"> by the EC</w:t>
            </w:r>
            <w:r w:rsidRPr="00535D33">
              <w:rPr>
                <w:rFonts w:cs="Arial"/>
                <w:sz w:val="18"/>
                <w:szCs w:val="18"/>
                <w:lang w:eastAsia="en-GB" w:bidi="ar-SA"/>
              </w:rPr>
              <w:t xml:space="preserve"> on a case-by-case basis </w:t>
            </w:r>
            <w:r>
              <w:rPr>
                <w:rFonts w:cs="Arial"/>
                <w:sz w:val="18"/>
                <w:szCs w:val="18"/>
                <w:lang w:eastAsia="en-GB" w:bidi="ar-SA"/>
              </w:rPr>
              <w:fldChar w:fldCharType="begin"/>
            </w:r>
            <w:r>
              <w:rPr>
                <w:rFonts w:cs="Arial"/>
                <w:sz w:val="18"/>
                <w:szCs w:val="18"/>
                <w:lang w:eastAsia="en-GB" w:bidi="ar-SA"/>
              </w:rPr>
              <w:instrText xml:space="preserve"> ADDIN REFMGR.CITE &lt;Refman&gt;&lt;Cite&gt;&lt;Author&gt;EFSA&lt;/Author&gt;&lt;Year&gt;2013&lt;/Year&gt;&lt;RecNum&gt;1571&lt;/RecNum&gt;&lt;IDText&gt;Consideration of the applicability of OECD TG 453 to whole food/feed testing&lt;/IDText&gt;&lt;MDL Ref_Type="Journal (Full)"&gt;&lt;Ref_Type&gt;Journal (Full)&lt;/Ref_Type&gt;&lt;Ref_ID&gt;1571&lt;/Ref_ID&gt;&lt;Title_Primary&gt;Consideration of the applicability of OECD TG 453 to whole food/feed testing&lt;/Title_Primary&gt;&lt;Authors_Primary&gt;EFSA&lt;/Authors_Primary&gt;&lt;Date_Primary&gt;2013&lt;/Date_Primary&gt;&lt;Keywords&gt;Safety&lt;/Keywords&gt;&lt;Keywords&gt;toxicity&lt;/Keywords&gt;&lt;Keywords&gt;GMO&lt;/Keywords&gt;&lt;Keywords&gt;Diet&lt;/Keywords&gt;&lt;Keywords&gt;GLP&lt;/Keywords&gt;&lt;Keywords&gt;standards&lt;/Keywords&gt;&lt;Keywords&gt;Animals&lt;/Keywords&gt;&lt;Keywords&gt;analysis&lt;/Keywords&gt;&lt;Reprint&gt;Not in File&lt;/Reprint&gt;&lt;Start_Page&gt;3347 (18 pp)&lt;/Start_Page&gt;&lt;Periodical&gt;EFSA Journal 2013&lt;/Periodical&gt;&lt;Volume&gt;11&lt;/Volume&gt;&lt;Issue&gt;7&lt;/Issue&gt;&lt;Misc_2&gt;&lt;f name="Times New Roman"&gt;doi:10.2903/j.efsa.2013.3347&lt;/f&gt;&lt;/Misc_2&gt;&lt;Web_URL_Link2&gt;&lt;u&gt;file://F:\Risk Assessment - Chemical Safety\GMO - shared\References\GM References\EFSA_2013_Scientific Report on applyig OECD TG453 to whole food.pdf&lt;/u&gt;&lt;/Web_URL_Link2&gt;&lt;ZZ_JournalFull&gt;&lt;f name="System"&gt;EFSA Journal 2013&lt;/f&gt;&lt;/ZZ_JournalFull&gt;&lt;ZZ_WorkformID&gt;32&lt;/ZZ_WorkformID&gt;&lt;/MDL&gt;&lt;/Cite&gt;&lt;/Refman&gt;</w:instrText>
            </w:r>
            <w:r>
              <w:rPr>
                <w:rFonts w:cs="Arial"/>
                <w:sz w:val="18"/>
                <w:szCs w:val="18"/>
                <w:lang w:eastAsia="en-GB" w:bidi="ar-SA"/>
              </w:rPr>
              <w:fldChar w:fldCharType="separate"/>
            </w:r>
            <w:r>
              <w:rPr>
                <w:rFonts w:cs="Arial"/>
                <w:noProof/>
                <w:sz w:val="18"/>
                <w:szCs w:val="18"/>
                <w:lang w:eastAsia="en-GB" w:bidi="ar-SA"/>
              </w:rPr>
              <w:t>(EFSA, 2013)</w:t>
            </w:r>
            <w:r>
              <w:rPr>
                <w:rFonts w:cs="Arial"/>
                <w:sz w:val="18"/>
                <w:szCs w:val="18"/>
                <w:lang w:eastAsia="en-GB" w:bidi="ar-SA"/>
              </w:rPr>
              <w:fldChar w:fldCharType="end"/>
            </w:r>
            <w:r w:rsidRPr="00535D33">
              <w:rPr>
                <w:rFonts w:cs="Arial"/>
                <w:sz w:val="18"/>
                <w:szCs w:val="18"/>
                <w:lang w:eastAsia="en-GB" w:bidi="ar-SA"/>
              </w:rPr>
              <w:t>.</w:t>
            </w:r>
          </w:p>
          <w:p w:rsidR="00C31B9D" w:rsidRPr="00FC711B"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p>
          <w:p w:rsidR="00FC711B" w:rsidRDefault="00FC711B" w:rsidP="00C31B9D">
            <w:pPr>
              <w:pStyle w:val="Table2"/>
              <w:ind w:left="113" w:hanging="113"/>
              <w:cnfStyle w:val="000000010000" w:firstRow="0" w:lastRow="0" w:firstColumn="0" w:lastColumn="0" w:oddVBand="0" w:evenVBand="0" w:oddHBand="0" w:evenHBand="1" w:firstRowFirstColumn="0" w:firstRowLastColumn="0" w:lastRowFirstColumn="0" w:lastRowLastColumn="0"/>
              <w:rPr>
                <w:szCs w:val="18"/>
                <w:highlight w:val="yellow"/>
              </w:rPr>
            </w:pPr>
            <w:r>
              <w:t>FSANZ, along with most experts in toxicology</w:t>
            </w:r>
            <w:r w:rsidR="0050719A">
              <w:t>,</w:t>
            </w:r>
            <w:r>
              <w:t xml:space="preserve"> consider</w:t>
            </w:r>
            <w:r w:rsidR="0050719A">
              <w:t>s</w:t>
            </w:r>
            <w:r>
              <w:t xml:space="preserve"> that animal feeding studies are unlikely to provide additional useful information in circumstances where the compositional analysis of whole food reveals no significant differences. There are also</w:t>
            </w:r>
            <w:r w:rsidRPr="00272E09">
              <w:rPr>
                <w:szCs w:val="18"/>
              </w:rPr>
              <w:t xml:space="preserve"> concerns abo</w:t>
            </w:r>
            <w:r>
              <w:rPr>
                <w:szCs w:val="18"/>
              </w:rPr>
              <w:t xml:space="preserve">ut the unethical use of animals for </w:t>
            </w:r>
            <w:r>
              <w:t xml:space="preserve">feeding studies in the absence of any clearly identified compositional differences </w:t>
            </w:r>
            <w:r w:rsidRPr="00272E09">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B41F4E">
              <w:rPr>
                <w:szCs w:val="18"/>
              </w:rPr>
              <w:instrText xml:space="preserve"> ADDIN REFMGR.CITE </w:instrText>
            </w:r>
            <w:r w:rsidR="00B41F4E">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B41F4E">
              <w:rPr>
                <w:szCs w:val="18"/>
              </w:rPr>
              <w:instrText xml:space="preserve"> ADDIN EN.CITE.DATA </w:instrText>
            </w:r>
            <w:r w:rsidR="00B41F4E">
              <w:rPr>
                <w:szCs w:val="18"/>
              </w:rPr>
            </w:r>
            <w:r w:rsidR="00B41F4E">
              <w:rPr>
                <w:szCs w:val="18"/>
              </w:rPr>
              <w:fldChar w:fldCharType="end"/>
            </w:r>
            <w:r w:rsidRPr="00272E09">
              <w:rPr>
                <w:szCs w:val="18"/>
              </w:rPr>
            </w:r>
            <w:r w:rsidRPr="00272E09">
              <w:rPr>
                <w:szCs w:val="18"/>
              </w:rPr>
              <w:fldChar w:fldCharType="separate"/>
            </w:r>
            <w:r w:rsidRPr="00272E09">
              <w:rPr>
                <w:noProof/>
                <w:szCs w:val="18"/>
              </w:rPr>
              <w:t xml:space="preserve">(Bartholomaeus </w:t>
            </w:r>
            <w:r w:rsidRPr="00272E09">
              <w:rPr>
                <w:i/>
                <w:noProof/>
                <w:szCs w:val="18"/>
              </w:rPr>
              <w:t>et al</w:t>
            </w:r>
            <w:r w:rsidRPr="00272E09">
              <w:rPr>
                <w:noProof/>
                <w:szCs w:val="18"/>
              </w:rPr>
              <w:t>., 2013; Rigaud, 2008)</w:t>
            </w:r>
            <w:r w:rsidRPr="00272E09">
              <w:rPr>
                <w:szCs w:val="18"/>
              </w:rPr>
              <w:fldChar w:fldCharType="end"/>
            </w:r>
            <w:r w:rsidRPr="00272E09">
              <w:rPr>
                <w:szCs w:val="18"/>
              </w:rPr>
              <w:t>.</w:t>
            </w:r>
          </w:p>
          <w:p w:rsidR="00C31B9D" w:rsidRPr="00192CB3" w:rsidRDefault="00C31B9D" w:rsidP="00FC711B">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szCs w:val="18"/>
              </w:rPr>
            </w:pPr>
          </w:p>
          <w:p w:rsidR="00C31B9D" w:rsidRPr="00272E09"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rPr>
                <w:rStyle w:val="Hyperlink"/>
                <w:sz w:val="16"/>
                <w:szCs w:val="16"/>
              </w:rPr>
            </w:pPr>
            <w:r w:rsidRPr="00192CB3">
              <w:rPr>
                <w:color w:val="000000" w:themeColor="text1"/>
                <w:szCs w:val="18"/>
              </w:rPr>
              <w:t>Recent publications (</w:t>
            </w:r>
            <w:proofErr w:type="spellStart"/>
            <w:r w:rsidRPr="00192CB3">
              <w:rPr>
                <w:color w:val="000000" w:themeColor="text1"/>
                <w:szCs w:val="18"/>
              </w:rPr>
              <w:t>S</w:t>
            </w:r>
            <w:r w:rsidRPr="00192CB3">
              <w:rPr>
                <w:rFonts w:cs="Arial"/>
                <w:color w:val="000000" w:themeColor="text1"/>
                <w:szCs w:val="18"/>
              </w:rPr>
              <w:t>é</w:t>
            </w:r>
            <w:r w:rsidRPr="00192CB3">
              <w:rPr>
                <w:color w:val="000000" w:themeColor="text1"/>
                <w:szCs w:val="18"/>
              </w:rPr>
              <w:t>ralini</w:t>
            </w:r>
            <w:proofErr w:type="spellEnd"/>
            <w:r w:rsidRPr="00192CB3">
              <w:rPr>
                <w:color w:val="000000" w:themeColor="text1"/>
                <w:szCs w:val="18"/>
              </w:rPr>
              <w:t xml:space="preserve"> </w:t>
            </w:r>
            <w:r w:rsidRPr="00192CB3">
              <w:rPr>
                <w:i/>
                <w:color w:val="000000" w:themeColor="text1"/>
                <w:szCs w:val="18"/>
              </w:rPr>
              <w:t>et al</w:t>
            </w:r>
            <w:r w:rsidRPr="00192CB3">
              <w:rPr>
                <w:color w:val="000000" w:themeColor="text1"/>
                <w:szCs w:val="18"/>
              </w:rPr>
              <w:t xml:space="preserve">, Carman </w:t>
            </w:r>
            <w:r w:rsidRPr="00192CB3">
              <w:rPr>
                <w:i/>
                <w:color w:val="000000" w:themeColor="text1"/>
                <w:szCs w:val="18"/>
              </w:rPr>
              <w:t>et al</w:t>
            </w:r>
            <w:r w:rsidRPr="00192CB3">
              <w:rPr>
                <w:color w:val="000000" w:themeColor="text1"/>
                <w:szCs w:val="18"/>
              </w:rPr>
              <w:t>)</w:t>
            </w:r>
            <w:r w:rsidRPr="00192CB3">
              <w:rPr>
                <w:rStyle w:val="FootnoteReference"/>
                <w:color w:val="000000" w:themeColor="text1"/>
                <w:szCs w:val="18"/>
              </w:rPr>
              <w:footnoteReference w:id="2"/>
            </w:r>
            <w:r w:rsidRPr="00192CB3">
              <w:rPr>
                <w:color w:val="000000" w:themeColor="text1"/>
                <w:szCs w:val="18"/>
              </w:rPr>
              <w:t xml:space="preserve"> have claimed to show evidence of harm in animals fed GM food</w:t>
            </w:r>
            <w:r w:rsidRPr="00272E09">
              <w:rPr>
                <w:szCs w:val="18"/>
              </w:rPr>
              <w:t>. However, assessment of these studies by FSANZ and others indicates these claims are not supported by the data presented by the researchers. In late November 2013</w:t>
            </w:r>
            <w:proofErr w:type="gramStart"/>
            <w:r w:rsidRPr="00272E09">
              <w:rPr>
                <w:szCs w:val="18"/>
              </w:rPr>
              <w:t>,the</w:t>
            </w:r>
            <w:proofErr w:type="gramEnd"/>
            <w:r w:rsidRPr="00272E09">
              <w:rPr>
                <w:szCs w:val="18"/>
              </w:rPr>
              <w:t xml:space="preserve"> </w:t>
            </w:r>
            <w:proofErr w:type="spellStart"/>
            <w:r w:rsidRPr="00272E09">
              <w:rPr>
                <w:szCs w:val="18"/>
              </w:rPr>
              <w:t>S</w:t>
            </w:r>
            <w:r w:rsidRPr="00272E09">
              <w:rPr>
                <w:rFonts w:cs="Arial"/>
                <w:szCs w:val="18"/>
              </w:rPr>
              <w:t>é</w:t>
            </w:r>
            <w:r w:rsidRPr="00272E09">
              <w:rPr>
                <w:szCs w:val="18"/>
              </w:rPr>
              <w:t>ralini</w:t>
            </w:r>
            <w:proofErr w:type="spellEnd"/>
            <w:r w:rsidRPr="00272E09">
              <w:rPr>
                <w:szCs w:val="18"/>
              </w:rPr>
              <w:t xml:space="preserve"> </w:t>
            </w:r>
            <w:r w:rsidRPr="00272E09">
              <w:rPr>
                <w:i/>
                <w:szCs w:val="18"/>
              </w:rPr>
              <w:t>et al</w:t>
            </w:r>
            <w:r w:rsidRPr="00272E09">
              <w:rPr>
                <w:szCs w:val="18"/>
              </w:rPr>
              <w:t xml:space="preserve">  paper was retracted by the publishing journal on the grounds of poor study design (</w:t>
            </w:r>
            <w:hyperlink r:id="rId23" w:history="1">
              <w:r w:rsidRPr="00272E09">
                <w:rPr>
                  <w:rStyle w:val="Hyperlink"/>
                  <w:szCs w:val="18"/>
                </w:rPr>
                <w:t>http://www.prnewswire.co.uk/news-releases/elsevier-announces-article-retraction-from-journal-food-and-chemical-toxicology-233754961.html</w:t>
              </w:r>
            </w:hyperlink>
            <w:r w:rsidRPr="00272E09">
              <w:rPr>
                <w:rStyle w:val="Hyperlink"/>
                <w:szCs w:val="18"/>
              </w:rPr>
              <w:t>).</w:t>
            </w:r>
          </w:p>
          <w:p w:rsidR="00C31B9D" w:rsidRPr="00272E09"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rPr>
                <w:rStyle w:val="Hyperlink"/>
                <w:sz w:val="16"/>
                <w:szCs w:val="16"/>
              </w:rPr>
            </w:pPr>
          </w:p>
          <w:p w:rsidR="00C31B9D" w:rsidRPr="00272E09" w:rsidRDefault="00C31B9D" w:rsidP="00C31B9D">
            <w:pPr>
              <w:pStyle w:val="Table2"/>
              <w:ind w:left="113" w:hanging="113"/>
              <w:cnfStyle w:val="000000010000" w:firstRow="0" w:lastRow="0" w:firstColumn="0" w:lastColumn="0" w:oddVBand="0" w:evenVBand="0" w:oddHBand="0" w:evenHBand="1" w:firstRowFirstColumn="0" w:firstRowLastColumn="0" w:lastRowFirstColumn="0" w:lastRowLastColumn="0"/>
              <w:rPr>
                <w:szCs w:val="18"/>
              </w:rPr>
            </w:pPr>
            <w:r w:rsidRPr="00272E09">
              <w:rPr>
                <w:szCs w:val="18"/>
              </w:rPr>
              <w:t xml:space="preserve">FSANZ has published a scientific appraisal of a number of studies claiming to show adverse effects in animals fed GM feed (see </w:t>
            </w:r>
            <w:hyperlink r:id="rId24" w:history="1">
              <w:r w:rsidRPr="00272E09">
                <w:rPr>
                  <w:rStyle w:val="Hyperlink"/>
                  <w:szCs w:val="18"/>
                </w:rPr>
                <w:t>http://www.foodstandards.gov.au/consumer/gmfood/Pages/Response-to-Dr-Carman's-study.aspx</w:t>
              </w:r>
            </w:hyperlink>
            <w:r w:rsidRPr="00272E09">
              <w:rPr>
                <w:szCs w:val="18"/>
              </w:rPr>
              <w:t xml:space="preserve"> ;  </w:t>
            </w:r>
            <w:hyperlink r:id="rId25" w:history="1">
              <w:r w:rsidRPr="00272E09">
                <w:rPr>
                  <w:rStyle w:val="Hyperlink"/>
                  <w:szCs w:val="18"/>
                </w:rPr>
                <w:t>http://www.foodstandards.gov.au/consumer/gmfood/seralini/Pages/default.aspx</w:t>
              </w:r>
            </w:hyperlink>
            <w:r w:rsidRPr="00272E09">
              <w:rPr>
                <w:szCs w:val="18"/>
              </w:rPr>
              <w:t xml:space="preserve"> )</w:t>
            </w:r>
          </w:p>
          <w:p w:rsidR="00954B4F" w:rsidRPr="003B0D85" w:rsidRDefault="00954B4F" w:rsidP="00E57C83">
            <w:pPr>
              <w:pStyle w:val="Table2"/>
              <w:cnfStyle w:val="000000010000" w:firstRow="0" w:lastRow="0" w:firstColumn="0" w:lastColumn="0" w:oddVBand="0" w:evenVBand="0" w:oddHBand="0" w:evenHBand="1" w:firstRowFirstColumn="0" w:firstRowLastColumn="0" w:lastRowFirstColumn="0" w:lastRowLastColumn="0"/>
              <w:rPr>
                <w:color w:val="000000" w:themeColor="text1"/>
                <w:szCs w:val="18"/>
              </w:rPr>
            </w:pPr>
          </w:p>
        </w:tc>
      </w:tr>
      <w:tr w:rsidR="00A66E5E" w:rsidRPr="009C5D87" w:rsidTr="00A66E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A66E5E" w:rsidRPr="00272E09" w:rsidRDefault="00A66E5E" w:rsidP="002B541E">
            <w:pPr>
              <w:pStyle w:val="Table2"/>
              <w:ind w:left="0" w:firstLine="0"/>
              <w:rPr>
                <w:b w:val="0"/>
                <w:bCs/>
                <w:color w:val="000000" w:themeColor="text1"/>
              </w:rPr>
            </w:pPr>
            <w:r w:rsidRPr="00272E09">
              <w:rPr>
                <w:color w:val="000000" w:themeColor="text1"/>
              </w:rPr>
              <w:lastRenderedPageBreak/>
              <w:t>Lack of independent research</w:t>
            </w:r>
          </w:p>
        </w:tc>
        <w:tc>
          <w:tcPr>
            <w:tcW w:w="2268" w:type="dxa"/>
            <w:tcBorders>
              <w:left w:val="single" w:sz="4" w:space="0" w:color="auto"/>
              <w:right w:val="single" w:sz="4" w:space="0" w:color="auto"/>
            </w:tcBorders>
          </w:tcPr>
          <w:p w:rsidR="00A66E5E" w:rsidRPr="00B1365E" w:rsidRDefault="00A66E5E" w:rsidP="002B541E">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B1365E">
              <w:rPr>
                <w:color w:val="000000" w:themeColor="text1"/>
              </w:rPr>
              <w:t>Physicians &amp; Scientists for Global Responsibility</w:t>
            </w:r>
          </w:p>
          <w:p w:rsidR="00A66E5E" w:rsidRPr="00B1365E" w:rsidRDefault="00A66E5E" w:rsidP="002B541E">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shd w:val="clear" w:color="auto" w:fill="EAF1DD" w:themeFill="accent3" w:themeFillTint="33"/>
          </w:tcPr>
          <w:p w:rsidR="00A66E5E" w:rsidRPr="00B17779" w:rsidRDefault="00A66E5E" w:rsidP="00A66E5E">
            <w:pPr>
              <w:widowControl/>
              <w:shd w:val="clear" w:color="auto" w:fill="EAF1DD" w:themeFill="accent3" w:themeFillTint="33"/>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lang w:val="en-US" w:eastAsia="en-GB" w:bidi="ar-SA"/>
              </w:rPr>
            </w:pPr>
            <w:r w:rsidRPr="00B17779">
              <w:rPr>
                <w:rFonts w:cs="Arial"/>
                <w:color w:val="000000" w:themeColor="text1"/>
                <w:sz w:val="18"/>
                <w:szCs w:val="18"/>
                <w:lang w:val="en-US" w:eastAsia="en-GB" w:bidi="ar-SA"/>
              </w:rPr>
              <w:t>FSANZ requires the developer of any new GM food to demonstrate its safety. The data required are specified and must be generated according to quality assurance guidelines that are based on internationally accepted protocols and be able to withstand external scrutiny. FSANZ independently assesses the data provided by the developer to reach a conclusion about the safety of the food.</w:t>
            </w:r>
          </w:p>
          <w:p w:rsidR="00A66E5E" w:rsidRPr="00184403" w:rsidRDefault="00A66E5E" w:rsidP="00A66E5E">
            <w:pPr>
              <w:shd w:val="clear" w:color="auto" w:fill="EAF1DD" w:themeFill="accent3" w:themeFillTint="33"/>
              <w:cnfStyle w:val="000000100000" w:firstRow="0" w:lastRow="0" w:firstColumn="0" w:lastColumn="0" w:oddVBand="0" w:evenVBand="0" w:oddHBand="1" w:evenHBand="0" w:firstRowFirstColumn="0" w:firstRowLastColumn="0" w:lastRowFirstColumn="0" w:lastRowLastColumn="0"/>
            </w:pPr>
            <w:r w:rsidRPr="00B17779">
              <w:rPr>
                <w:rFonts w:cs="Arial"/>
                <w:color w:val="000000" w:themeColor="text1"/>
                <w:sz w:val="18"/>
                <w:szCs w:val="18"/>
                <w:lang w:val="en-US" w:eastAsia="en-GB" w:bidi="ar-SA"/>
              </w:rPr>
              <w:t>FSANZ complements data generated by the developer with information from the scientific literature, other applications, other government agencies and the public.</w:t>
            </w:r>
          </w:p>
          <w:p w:rsidR="00A66E5E" w:rsidRDefault="00A66E5E" w:rsidP="00A66E5E">
            <w:pPr>
              <w:pStyle w:val="Table2"/>
              <w:ind w:left="176" w:hanging="176"/>
              <w:cnfStyle w:val="000000100000" w:firstRow="0" w:lastRow="0" w:firstColumn="0" w:lastColumn="0" w:oddVBand="0" w:evenVBand="0" w:oddHBand="1" w:evenHBand="0" w:firstRowFirstColumn="0" w:firstRowLastColumn="0" w:lastRowFirstColumn="0" w:lastRowLastColumn="0"/>
            </w:pPr>
          </w:p>
          <w:p w:rsidR="00A66E5E" w:rsidRPr="00272E09" w:rsidRDefault="00A66E5E" w:rsidP="00A66E5E">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272E09">
              <w:rPr>
                <w:color w:val="000000" w:themeColor="text1"/>
              </w:rPr>
              <w:t xml:space="preserve">FSANZ has addressed this issue in a Q &amp; A fact sheet on the website at </w:t>
            </w:r>
            <w:hyperlink r:id="rId26" w:history="1">
              <w:r w:rsidRPr="00272E09">
                <w:rPr>
                  <w:rStyle w:val="Hyperlink"/>
                </w:rPr>
                <w:t>http://www.foodstandards.gov.au/consumer/gmfood/safety/Pages/default.aspx</w:t>
              </w:r>
            </w:hyperlink>
          </w:p>
          <w:p w:rsidR="00A66E5E" w:rsidRDefault="00A66E5E" w:rsidP="00A66E5E">
            <w:pPr>
              <w:pStyle w:val="Table2"/>
              <w:ind w:left="176" w:hanging="176"/>
              <w:cnfStyle w:val="000000100000" w:firstRow="0" w:lastRow="0" w:firstColumn="0" w:lastColumn="0" w:oddVBand="0" w:evenVBand="0" w:oddHBand="1" w:evenHBand="0" w:firstRowFirstColumn="0" w:firstRowLastColumn="0" w:lastRowFirstColumn="0" w:lastRowLastColumn="0"/>
            </w:pPr>
          </w:p>
        </w:tc>
      </w:tr>
    </w:tbl>
    <w:p w:rsidR="00DB5F1D" w:rsidRPr="00924690" w:rsidRDefault="00193D1A" w:rsidP="00DB5F1D">
      <w:pPr>
        <w:pStyle w:val="Heading4"/>
        <w:rPr>
          <w:color w:val="000000" w:themeColor="text1"/>
        </w:rPr>
      </w:pPr>
      <w:r w:rsidRPr="00924690">
        <w:rPr>
          <w:color w:val="000000" w:themeColor="text1"/>
        </w:rPr>
        <w:t>2.1.</w:t>
      </w:r>
      <w:r w:rsidR="00DB5F1D" w:rsidRPr="00924690">
        <w:rPr>
          <w:color w:val="000000" w:themeColor="text1"/>
        </w:rPr>
        <w:t>2</w:t>
      </w:r>
      <w:r w:rsidR="00DB5F1D" w:rsidRPr="00924690">
        <w:rPr>
          <w:color w:val="000000" w:themeColor="text1"/>
        </w:rPr>
        <w:tab/>
        <w:t>Specific issues raised</w:t>
      </w:r>
    </w:p>
    <w:p w:rsidR="00DB5F1D" w:rsidRPr="00924690" w:rsidRDefault="00E2362E" w:rsidP="00F36294">
      <w:pPr>
        <w:pStyle w:val="Heading4"/>
      </w:pPr>
      <w:r w:rsidRPr="00924690">
        <w:t>2.1.2.1</w:t>
      </w:r>
      <w:r w:rsidRPr="00924690">
        <w:tab/>
      </w:r>
      <w:r w:rsidR="000517F4" w:rsidRPr="00924690">
        <w:t>P</w:t>
      </w:r>
      <w:r w:rsidR="00DE673F">
        <w:t>resence of Cry protein</w:t>
      </w:r>
      <w:r w:rsidR="000517F4" w:rsidRPr="00924690">
        <w:t xml:space="preserve"> in blood</w:t>
      </w:r>
    </w:p>
    <w:p w:rsidR="00DB5F1D" w:rsidRPr="00924690" w:rsidRDefault="000517F4" w:rsidP="00B96C90">
      <w:pPr>
        <w:pStyle w:val="Table2"/>
        <w:ind w:left="0" w:firstLine="0"/>
        <w:rPr>
          <w:color w:val="000000" w:themeColor="text1"/>
          <w:sz w:val="22"/>
          <w:szCs w:val="22"/>
        </w:rPr>
      </w:pPr>
      <w:r w:rsidRPr="00924690">
        <w:rPr>
          <w:color w:val="000000" w:themeColor="text1"/>
          <w:sz w:val="22"/>
          <w:szCs w:val="22"/>
        </w:rPr>
        <w:t xml:space="preserve">The Physicians &amp; Scientists for Global Responsibility cite a paper by </w:t>
      </w:r>
      <w:proofErr w:type="spellStart"/>
      <w:r w:rsidRPr="00924690">
        <w:rPr>
          <w:color w:val="000000" w:themeColor="text1"/>
          <w:sz w:val="22"/>
          <w:szCs w:val="22"/>
        </w:rPr>
        <w:t>Aris</w:t>
      </w:r>
      <w:proofErr w:type="spellEnd"/>
      <w:r w:rsidRPr="00924690">
        <w:rPr>
          <w:color w:val="000000" w:themeColor="text1"/>
          <w:sz w:val="22"/>
          <w:szCs w:val="22"/>
        </w:rPr>
        <w:t xml:space="preserve"> &amp; Leblanc </w:t>
      </w:r>
      <w:r w:rsidR="00954B4F">
        <w:rPr>
          <w:color w:val="000000" w:themeColor="text1"/>
          <w:sz w:val="22"/>
          <w:szCs w:val="22"/>
        </w:rPr>
        <w:fldChar w:fldCharType="begin"/>
      </w:r>
      <w:r w:rsidR="00B41F4E">
        <w:rPr>
          <w:color w:val="000000" w:themeColor="text1"/>
          <w:sz w:val="22"/>
          <w:szCs w:val="22"/>
        </w:rPr>
        <w:instrText xml:space="preserve"> ADDIN REFMGR.CITE &lt;Refman&gt;&lt;Cite ExcludeAuth="1"&gt;&lt;Author&gt;Aris&lt;/Author&gt;&lt;Year&gt;2011&lt;/Year&gt;&lt;RecNum&gt;951&lt;/RecNum&gt;&lt;IDText&gt;Maternal and fetal exposure to pesticides associated to genetically modified foods in Eastern Townships of Quebec, Canada&lt;/IDText&gt;&lt;MDL Ref_Type="Journal"&gt;&lt;Ref_Type&gt;Journal&lt;/Ref_Type&gt;&lt;Ref_ID&gt;951&lt;/Ref_ID&gt;&lt;Title_Primary&gt;Maternal and fetal exposure to pesticides associated to genetically modified foods in Eastern Townships of Quebec, Canada&lt;/Title_Primary&gt;&lt;Authors_Primary&gt;Aris,A.&lt;/Authors_Primary&gt;&lt;Authors_Primary&gt;Leblanc,S.&lt;/Authors_Primary&gt;&lt;Date_Primary&gt;2011&lt;/Date_Primary&gt;&lt;Keywords&gt;Pesticides&lt;/Keywords&gt;&lt;Keywords&gt;Herbicides&lt;/Keywords&gt;&lt;Keywords&gt;Insecticides&lt;/Keywords&gt;&lt;Keywords&gt;Bacillus&lt;/Keywords&gt;&lt;Keywords&gt;Bt&lt;/Keywords&gt;&lt;Keywords&gt;blood&lt;/Keywords&gt;&lt;Keywords&gt;toxicity&lt;/Keywords&gt;&lt;Reprint&gt;Not in File&lt;/Reprint&gt;&lt;Start_Page&gt;528&lt;/Start_Page&gt;&lt;End_Page&gt;533&lt;/End_Page&gt;&lt;Periodical&gt;Reproductive Toxicology&lt;/Periodical&gt;&lt;Volume&gt;31&lt;/Volume&gt;&lt;Issue&gt;4&lt;/Issue&gt;&lt;Web_URL_Link2&gt;&lt;u&gt;file://F:\Risk Assessment - Chemical Safety\GMO - shared\References\GM References\Aris &amp;amp; Leblanc_2011_Cry1Ab and pregnancy.pdf&lt;/u&gt;&lt;/Web_URL_Link2&gt;&lt;Web_URL_Link3&gt;&lt;u&gt;file://F:\Risk Assessment - Chemical Safety\GMO - shared\References\GM References\Goldstein (Monsanto)_2011_comments on Aris &amp;amp; Leblanc.pdf&lt;/u&gt;; ;&lt;u&gt;file://F:\Risk Assessment - Chemical Safety\GMO - shared\References\GM References\Mueller_2011_info for senate estimates.docx&lt;/u&gt;; ;&lt;u&gt;file://F:\Risk Assessment - Chemical Safety\GMO - shared\References\GM References\Goldstein_in press_comment on Aris &amp;amp; Leblanc paper.pdf&lt;/u&gt;; ;&lt;u&gt;file://F:\Risk Assessment - Chemical Safety\GMO - shared\References\GM References\Aris_in press_response to Goldstein.pdf&lt;/u&gt;&lt;/Web_URL_Link3&gt;&lt;ZZ_JournalFull&gt;&lt;f name="System"&gt;Reproductive Toxicology&lt;/f&gt;&lt;/ZZ_JournalFull&gt;&lt;ZZ_WorkformID&gt;1&lt;/ZZ_WorkformID&gt;&lt;/MDL&gt;&lt;/Cite&gt;&lt;/Refman&gt;</w:instrText>
      </w:r>
      <w:r w:rsidR="00954B4F">
        <w:rPr>
          <w:color w:val="000000" w:themeColor="text1"/>
          <w:sz w:val="22"/>
          <w:szCs w:val="22"/>
        </w:rPr>
        <w:fldChar w:fldCharType="separate"/>
      </w:r>
      <w:r w:rsidR="00954B4F">
        <w:rPr>
          <w:noProof/>
          <w:color w:val="000000" w:themeColor="text1"/>
          <w:sz w:val="22"/>
          <w:szCs w:val="22"/>
        </w:rPr>
        <w:t>(2011)</w:t>
      </w:r>
      <w:r w:rsidR="00954B4F">
        <w:rPr>
          <w:color w:val="000000" w:themeColor="text1"/>
          <w:sz w:val="22"/>
          <w:szCs w:val="22"/>
        </w:rPr>
        <w:fldChar w:fldCharType="end"/>
      </w:r>
      <w:r w:rsidR="00954B4F">
        <w:rPr>
          <w:rStyle w:val="FootnoteReference"/>
          <w:color w:val="000000" w:themeColor="text1"/>
          <w:sz w:val="22"/>
          <w:szCs w:val="22"/>
        </w:rPr>
        <w:footnoteReference w:id="3"/>
      </w:r>
      <w:r w:rsidRPr="00924690">
        <w:rPr>
          <w:color w:val="000000" w:themeColor="text1"/>
          <w:sz w:val="22"/>
          <w:szCs w:val="22"/>
        </w:rPr>
        <w:t xml:space="preserve"> in which it was claimed that Cry1Ab protein was found in the blood of pregnant and non-pregnant wom</w:t>
      </w:r>
      <w:r w:rsidR="00417A5C">
        <w:rPr>
          <w:color w:val="000000" w:themeColor="text1"/>
          <w:sz w:val="22"/>
          <w:szCs w:val="22"/>
        </w:rPr>
        <w:t>e</w:t>
      </w:r>
      <w:r w:rsidRPr="00924690">
        <w:rPr>
          <w:color w:val="000000" w:themeColor="text1"/>
          <w:sz w:val="22"/>
          <w:szCs w:val="22"/>
        </w:rPr>
        <w:t>n</w:t>
      </w:r>
      <w:r w:rsidR="00A23164" w:rsidRPr="00924690">
        <w:rPr>
          <w:color w:val="000000" w:themeColor="text1"/>
          <w:sz w:val="22"/>
          <w:szCs w:val="22"/>
        </w:rPr>
        <w:t xml:space="preserve"> and in the umbilical cord blood from babies.</w:t>
      </w:r>
    </w:p>
    <w:p w:rsidR="00954B4F" w:rsidRDefault="00954B4F">
      <w:pPr>
        <w:widowControl/>
        <w:rPr>
          <w:color w:val="000000" w:themeColor="text1"/>
          <w:u w:val="single"/>
        </w:rPr>
      </w:pPr>
    </w:p>
    <w:p w:rsidR="00DB5F1D" w:rsidRPr="00F36294" w:rsidRDefault="00DB5F1D" w:rsidP="00DB5F1D">
      <w:pPr>
        <w:rPr>
          <w:i/>
          <w:color w:val="000000" w:themeColor="text1"/>
        </w:rPr>
      </w:pPr>
      <w:r w:rsidRPr="00F36294">
        <w:rPr>
          <w:i/>
          <w:color w:val="000000" w:themeColor="text1"/>
        </w:rPr>
        <w:t>Response</w:t>
      </w:r>
    </w:p>
    <w:p w:rsidR="00DB5F1D" w:rsidRPr="00924690" w:rsidRDefault="00DB5F1D" w:rsidP="00DB5F1D">
      <w:pPr>
        <w:rPr>
          <w:color w:val="000000" w:themeColor="text1"/>
        </w:rPr>
      </w:pPr>
    </w:p>
    <w:p w:rsidR="00924690" w:rsidRPr="00924690" w:rsidRDefault="00A23164" w:rsidP="00924690">
      <w:pPr>
        <w:shd w:val="clear" w:color="auto" w:fill="FFFFFF"/>
        <w:rPr>
          <w:rFonts w:cs="Arial"/>
          <w:color w:val="000000" w:themeColor="text1"/>
          <w:szCs w:val="22"/>
          <w:lang w:val="en-US" w:eastAsia="en-GB" w:bidi="ar-SA"/>
        </w:rPr>
      </w:pPr>
      <w:r w:rsidRPr="00924690">
        <w:rPr>
          <w:rFonts w:cs="Arial"/>
          <w:color w:val="000000" w:themeColor="text1"/>
        </w:rPr>
        <w:t xml:space="preserve">FSANZ </w:t>
      </w:r>
      <w:r w:rsidR="00F463AC">
        <w:rPr>
          <w:rFonts w:cs="Arial"/>
          <w:color w:val="000000" w:themeColor="text1"/>
        </w:rPr>
        <w:t xml:space="preserve">has previously reviewed and </w:t>
      </w:r>
      <w:r w:rsidR="00924690" w:rsidRPr="00924690">
        <w:rPr>
          <w:rFonts w:cs="Arial"/>
          <w:color w:val="000000" w:themeColor="text1"/>
        </w:rPr>
        <w:t xml:space="preserve">prepared a public response to this paper (available at </w:t>
      </w:r>
      <w:hyperlink r:id="rId27" w:history="1">
        <w:r w:rsidR="00924690" w:rsidRPr="00924690">
          <w:rPr>
            <w:rStyle w:val="Hyperlink"/>
            <w:color w:val="0000FF"/>
          </w:rPr>
          <w:t>http://www.foodstandards.gov.au/consumer/gmfood/adverse/Pages/default.aspx</w:t>
        </w:r>
      </w:hyperlink>
      <w:r w:rsidR="00924690" w:rsidRPr="003B0D85">
        <w:rPr>
          <w:color w:val="000000" w:themeColor="text1"/>
        </w:rPr>
        <w:t xml:space="preserve"> )</w:t>
      </w:r>
      <w:r w:rsidR="00DE673F">
        <w:rPr>
          <w:color w:val="000000" w:themeColor="text1"/>
        </w:rPr>
        <w:t>. A</w:t>
      </w:r>
      <w:r w:rsidR="00924690">
        <w:rPr>
          <w:color w:val="000000" w:themeColor="text1"/>
        </w:rPr>
        <w:t xml:space="preserve">part from identifying flaws in the experimental approach used by the researchers, </w:t>
      </w:r>
      <w:r w:rsidR="00DE673F">
        <w:rPr>
          <w:color w:val="000000" w:themeColor="text1"/>
        </w:rPr>
        <w:t xml:space="preserve">the response </w:t>
      </w:r>
      <w:r w:rsidR="00924690">
        <w:rPr>
          <w:color w:val="000000" w:themeColor="text1"/>
        </w:rPr>
        <w:t xml:space="preserve">noted that there </w:t>
      </w:r>
      <w:r w:rsidR="00924690" w:rsidRPr="00924690">
        <w:rPr>
          <w:rFonts w:cs="Arial"/>
          <w:color w:val="000000" w:themeColor="text1"/>
          <w:szCs w:val="22"/>
        </w:rPr>
        <w:t xml:space="preserve">were </w:t>
      </w:r>
      <w:r w:rsidR="00924690" w:rsidRPr="00924690">
        <w:rPr>
          <w:rFonts w:cs="Arial"/>
          <w:color w:val="000000" w:themeColor="text1"/>
          <w:szCs w:val="22"/>
          <w:lang w:val="en-US" w:eastAsia="en-GB" w:bidi="ar-SA"/>
        </w:rPr>
        <w:t>no safety implications linked to the presence of Cry1Ab in the human body, and that there were no abnormalities in either the subjects or, in the case of those who were pregnant at the time of the study, the subsequent process of birth or the health of the mothers and babies postpartum.</w:t>
      </w:r>
    </w:p>
    <w:p w:rsidR="00EB6590" w:rsidRPr="00BD0B3A" w:rsidRDefault="00193D1A" w:rsidP="00381E07">
      <w:pPr>
        <w:pStyle w:val="Heading2"/>
        <w:rPr>
          <w:color w:val="000000" w:themeColor="text1"/>
        </w:rPr>
      </w:pPr>
      <w:bookmarkStart w:id="25" w:name="_Toc372719230"/>
      <w:r w:rsidRPr="00BD0B3A">
        <w:rPr>
          <w:color w:val="000000" w:themeColor="text1"/>
        </w:rPr>
        <w:t>2.2</w:t>
      </w:r>
      <w:r w:rsidR="00DB5F1D" w:rsidRPr="00BD0B3A">
        <w:rPr>
          <w:color w:val="000000" w:themeColor="text1"/>
        </w:rPr>
        <w:tab/>
      </w:r>
      <w:r w:rsidR="00E138A9" w:rsidRPr="00BD0B3A">
        <w:rPr>
          <w:color w:val="000000" w:themeColor="text1"/>
        </w:rPr>
        <w:t>Safety</w:t>
      </w:r>
      <w:r w:rsidR="004F69F6" w:rsidRPr="00BD0B3A">
        <w:rPr>
          <w:color w:val="000000" w:themeColor="text1"/>
        </w:rPr>
        <w:t xml:space="preserve"> </w:t>
      </w:r>
      <w:r w:rsidR="007C22CB" w:rsidRPr="00BD0B3A">
        <w:rPr>
          <w:color w:val="000000" w:themeColor="text1"/>
        </w:rPr>
        <w:t>a</w:t>
      </w:r>
      <w:r w:rsidR="004F69F6" w:rsidRPr="00BD0B3A">
        <w:rPr>
          <w:color w:val="000000" w:themeColor="text1"/>
        </w:rPr>
        <w:t>ssessment</w:t>
      </w:r>
      <w:bookmarkEnd w:id="25"/>
      <w:r w:rsidR="004F69F6" w:rsidRPr="00BD0B3A">
        <w:rPr>
          <w:color w:val="000000" w:themeColor="text1"/>
        </w:rPr>
        <w:t xml:space="preserve"> </w:t>
      </w:r>
      <w:bookmarkEnd w:id="23"/>
      <w:bookmarkEnd w:id="24"/>
    </w:p>
    <w:p w:rsidR="00093E01" w:rsidRPr="00BD0B3A" w:rsidRDefault="00093E01" w:rsidP="00093E01">
      <w:pPr>
        <w:rPr>
          <w:color w:val="000000" w:themeColor="text1"/>
        </w:rPr>
      </w:pPr>
      <w:bookmarkStart w:id="26" w:name="_Toc175381442"/>
      <w:r w:rsidRPr="00BD0B3A">
        <w:rPr>
          <w:color w:val="000000" w:themeColor="text1"/>
        </w:rPr>
        <w:t>The safety assess</w:t>
      </w:r>
      <w:r w:rsidR="00E138A9" w:rsidRPr="00BD0B3A">
        <w:rPr>
          <w:color w:val="000000" w:themeColor="text1"/>
        </w:rPr>
        <w:t xml:space="preserve">ment of </w:t>
      </w:r>
      <w:r w:rsidR="00BD0B3A" w:rsidRPr="00BD0B3A">
        <w:rPr>
          <w:color w:val="000000" w:themeColor="text1"/>
        </w:rPr>
        <w:t>soybean line DAS-81419-2</w:t>
      </w:r>
      <w:r w:rsidRPr="00BD0B3A">
        <w:rPr>
          <w:color w:val="000000" w:themeColor="text1"/>
        </w:rPr>
        <w:t xml:space="preserve"> is provided in the supporting document (SD1) and included the following key elements: </w:t>
      </w:r>
    </w:p>
    <w:p w:rsidR="00093E01" w:rsidRPr="00BD0B3A" w:rsidRDefault="00093E01" w:rsidP="00093E01">
      <w:pPr>
        <w:widowControl/>
        <w:rPr>
          <w:color w:val="000000" w:themeColor="text1"/>
        </w:rPr>
      </w:pPr>
    </w:p>
    <w:p w:rsidR="00093E01" w:rsidRPr="00BD0B3A" w:rsidRDefault="00093E01" w:rsidP="002B541E">
      <w:pPr>
        <w:pStyle w:val="FSBullet1"/>
        <w:rPr>
          <w:color w:val="000000" w:themeColor="text1"/>
        </w:rPr>
      </w:pPr>
      <w:r w:rsidRPr="00BD0B3A">
        <w:rPr>
          <w:color w:val="000000" w:themeColor="text1"/>
        </w:rPr>
        <w:t>a character</w:t>
      </w:r>
      <w:r w:rsidR="00910FA0" w:rsidRPr="00BD0B3A">
        <w:rPr>
          <w:color w:val="000000" w:themeColor="text1"/>
        </w:rPr>
        <w:t>isation of the transferred genetic elements</w:t>
      </w:r>
      <w:r w:rsidRPr="00BD0B3A">
        <w:rPr>
          <w:color w:val="000000" w:themeColor="text1"/>
        </w:rPr>
        <w:t>, their origin, funct</w:t>
      </w:r>
      <w:r w:rsidR="002B541E">
        <w:rPr>
          <w:color w:val="000000" w:themeColor="text1"/>
        </w:rPr>
        <w:t>ion and stability in the soybean</w:t>
      </w:r>
      <w:r w:rsidRPr="00BD0B3A">
        <w:rPr>
          <w:color w:val="000000" w:themeColor="text1"/>
        </w:rPr>
        <w:t xml:space="preserve"> genome</w:t>
      </w:r>
    </w:p>
    <w:p w:rsidR="00093E01" w:rsidRDefault="00093E01" w:rsidP="002B541E">
      <w:pPr>
        <w:pStyle w:val="FSBullet1"/>
        <w:rPr>
          <w:color w:val="000000" w:themeColor="text1"/>
        </w:rPr>
      </w:pPr>
      <w:r w:rsidRPr="00BD0B3A">
        <w:rPr>
          <w:color w:val="000000" w:themeColor="text1"/>
        </w:rPr>
        <w:t>the changes</w:t>
      </w:r>
      <w:r w:rsidR="002B541E">
        <w:rPr>
          <w:color w:val="000000" w:themeColor="text1"/>
        </w:rPr>
        <w:t xml:space="preserve"> at the level of DNA and protein</w:t>
      </w:r>
      <w:r w:rsidRPr="00BD0B3A">
        <w:rPr>
          <w:color w:val="000000" w:themeColor="text1"/>
        </w:rPr>
        <w:t xml:space="preserve"> in the whole food</w:t>
      </w:r>
    </w:p>
    <w:p w:rsidR="002B541E" w:rsidRPr="002B541E" w:rsidRDefault="002B541E" w:rsidP="002B541E">
      <w:pPr>
        <w:pStyle w:val="FSBullet1"/>
      </w:pPr>
      <w:r>
        <w:t>the potential for newly-expressed proteins to be either allergenic or toxic in humans</w:t>
      </w:r>
    </w:p>
    <w:p w:rsidR="00093E01" w:rsidRPr="00BD0B3A" w:rsidRDefault="00093E01" w:rsidP="002B541E">
      <w:pPr>
        <w:pStyle w:val="FSBullet1"/>
        <w:rPr>
          <w:color w:val="000000" w:themeColor="text1"/>
        </w:rPr>
      </w:pPr>
      <w:r w:rsidRPr="00BD0B3A">
        <w:rPr>
          <w:color w:val="000000" w:themeColor="text1"/>
        </w:rPr>
        <w:t>detailed compositional analyses</w:t>
      </w:r>
    </w:p>
    <w:p w:rsidR="00093E01" w:rsidRDefault="00093E01" w:rsidP="002B541E">
      <w:pPr>
        <w:pStyle w:val="FSBullet1"/>
        <w:rPr>
          <w:color w:val="000000" w:themeColor="text1"/>
        </w:rPr>
      </w:pPr>
      <w:r w:rsidRPr="00BD0B3A">
        <w:rPr>
          <w:color w:val="000000" w:themeColor="text1"/>
        </w:rPr>
        <w:t>evaluation of intended and unintended changes</w:t>
      </w:r>
    </w:p>
    <w:p w:rsidR="00093E01" w:rsidRPr="00BD0B3A" w:rsidRDefault="00093E01" w:rsidP="00093E01">
      <w:pPr>
        <w:widowControl/>
        <w:rPr>
          <w:color w:val="000000" w:themeColor="text1"/>
        </w:rPr>
      </w:pPr>
    </w:p>
    <w:p w:rsidR="002B541E" w:rsidRDefault="00E138A9" w:rsidP="00E138A9">
      <w:pPr>
        <w:rPr>
          <w:color w:val="000000" w:themeColor="text1"/>
        </w:rPr>
      </w:pPr>
      <w:r w:rsidRPr="00BD0B3A">
        <w:rPr>
          <w:color w:val="000000" w:themeColor="text1"/>
        </w:rPr>
        <w:t xml:space="preserve">The assessment of </w:t>
      </w:r>
      <w:r w:rsidR="00BD0B3A" w:rsidRPr="00BD0B3A">
        <w:rPr>
          <w:color w:val="000000" w:themeColor="text1"/>
        </w:rPr>
        <w:t>soybean line DAS-81419-2</w:t>
      </w:r>
      <w:r w:rsidRPr="00BD0B3A">
        <w:rPr>
          <w:color w:val="000000" w:themeColor="text1"/>
        </w:rPr>
        <w:t xml:space="preserve"> was restricted to food safety and nutritional issues. </w:t>
      </w:r>
    </w:p>
    <w:p w:rsidR="002B541E" w:rsidRDefault="002B541E">
      <w:pPr>
        <w:widowControl/>
        <w:rPr>
          <w:color w:val="000000" w:themeColor="text1"/>
        </w:rPr>
      </w:pPr>
      <w:r>
        <w:rPr>
          <w:color w:val="000000" w:themeColor="text1"/>
        </w:rPr>
        <w:br w:type="page"/>
      </w:r>
    </w:p>
    <w:p w:rsidR="00E138A9" w:rsidRPr="00BD0B3A" w:rsidRDefault="00E138A9" w:rsidP="00E138A9">
      <w:pPr>
        <w:rPr>
          <w:color w:val="000000" w:themeColor="text1"/>
        </w:rPr>
      </w:pPr>
      <w:r w:rsidRPr="00BD0B3A">
        <w:rPr>
          <w:color w:val="000000" w:themeColor="text1"/>
        </w:rPr>
        <w:lastRenderedPageBreak/>
        <w:t xml:space="preserve">Any risks related to the release into the environment of GM plants used in food production, or </w:t>
      </w:r>
      <w:r w:rsidR="009F38D1" w:rsidRPr="00BD0B3A">
        <w:rPr>
          <w:color w:val="000000" w:themeColor="text1"/>
        </w:rPr>
        <w:t>risks to</w:t>
      </w:r>
      <w:r w:rsidRPr="00BD0B3A">
        <w:rPr>
          <w:color w:val="000000" w:themeColor="text1"/>
        </w:rPr>
        <w:t xml:space="preserve"> animals consuming feed derived from GM plants have not been addressed in this assessment.</w:t>
      </w:r>
    </w:p>
    <w:p w:rsidR="00093E01" w:rsidRPr="00BD0B3A" w:rsidRDefault="00093E01" w:rsidP="00093E01">
      <w:pPr>
        <w:rPr>
          <w:color w:val="000000" w:themeColor="text1"/>
        </w:rPr>
      </w:pPr>
    </w:p>
    <w:p w:rsidR="009F38D1" w:rsidRDefault="00BD0B3A" w:rsidP="00093E01">
      <w:pPr>
        <w:rPr>
          <w:color w:val="000000" w:themeColor="text1"/>
        </w:rPr>
      </w:pPr>
      <w:r w:rsidRPr="00BD0B3A">
        <w:rPr>
          <w:color w:val="000000" w:themeColor="text1"/>
        </w:rPr>
        <w:t>The Applicant for A1087</w:t>
      </w:r>
      <w:r w:rsidR="009F38D1" w:rsidRPr="00BD0B3A">
        <w:rPr>
          <w:color w:val="000000" w:themeColor="text1"/>
        </w:rPr>
        <w:t xml:space="preserve"> met all of the data requirements stipulated in the </w:t>
      </w:r>
      <w:r w:rsidR="009F38D1" w:rsidRPr="00BD0B3A">
        <w:rPr>
          <w:i/>
          <w:color w:val="000000" w:themeColor="text1"/>
        </w:rPr>
        <w:t>Application Handbook</w:t>
      </w:r>
      <w:r w:rsidR="009F38D1" w:rsidRPr="00BD0B3A">
        <w:rPr>
          <w:color w:val="000000" w:themeColor="text1"/>
        </w:rPr>
        <w:t xml:space="preserve"> </w:t>
      </w:r>
      <w:r w:rsidR="009F38D1" w:rsidRPr="00BD0B3A">
        <w:rPr>
          <w:color w:val="000000" w:themeColor="text1"/>
        </w:rPr>
        <w:fldChar w:fldCharType="begin"/>
      </w:r>
      <w:r w:rsidR="00B41F4E">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9F38D1" w:rsidRPr="00BD0B3A">
        <w:rPr>
          <w:color w:val="000000" w:themeColor="text1"/>
        </w:rPr>
        <w:fldChar w:fldCharType="separate"/>
      </w:r>
      <w:r w:rsidR="009F38D1" w:rsidRPr="00BD0B3A">
        <w:rPr>
          <w:noProof/>
          <w:color w:val="000000" w:themeColor="text1"/>
        </w:rPr>
        <w:t>(FSANZ, 2011)</w:t>
      </w:r>
      <w:r w:rsidR="009F38D1" w:rsidRPr="00BD0B3A">
        <w:rPr>
          <w:color w:val="000000" w:themeColor="text1"/>
        </w:rPr>
        <w:fldChar w:fldCharType="end"/>
      </w:r>
      <w:r w:rsidR="009F38D1" w:rsidRPr="00BD0B3A">
        <w:rPr>
          <w:color w:val="000000" w:themeColor="text1"/>
        </w:rPr>
        <w:t xml:space="preserve"> for the safety assessment of GM food and, </w:t>
      </w:r>
      <w:r w:rsidR="00D03929">
        <w:rPr>
          <w:color w:val="000000" w:themeColor="text1"/>
        </w:rPr>
        <w:t xml:space="preserve">after assessing </w:t>
      </w:r>
      <w:r w:rsidR="009F38D1" w:rsidRPr="00BD0B3A">
        <w:rPr>
          <w:color w:val="000000" w:themeColor="text1"/>
        </w:rPr>
        <w:t xml:space="preserve">these data, FSANZ is satisfied that sufficient evidence has been provided to demonstrate the safety of the food. </w:t>
      </w:r>
    </w:p>
    <w:p w:rsidR="002B541E" w:rsidRDefault="002B541E" w:rsidP="00093E01">
      <w:pPr>
        <w:rPr>
          <w:color w:val="000000" w:themeColor="text1"/>
        </w:rPr>
      </w:pPr>
    </w:p>
    <w:p w:rsidR="002B541E" w:rsidRPr="002B541E" w:rsidRDefault="002B541E" w:rsidP="00093E01">
      <w:r w:rsidRPr="00272E09">
        <w:t xml:space="preserve">Based on the scientific data provided in the present Application, and other available information, food derived from </w:t>
      </w:r>
      <w:r>
        <w:t>soybean line DAS-81419-2</w:t>
      </w:r>
      <w:r w:rsidRPr="00272E09">
        <w:t xml:space="preserve"> is considered to be as safe for human consumption as food derived from conventional </w:t>
      </w:r>
      <w:r>
        <w:t>lucerne</w:t>
      </w:r>
      <w:r w:rsidRPr="00272E09">
        <w:t xml:space="preserve"> cultivars</w:t>
      </w:r>
      <w:r>
        <w:t>.</w:t>
      </w:r>
    </w:p>
    <w:p w:rsidR="0012388D" w:rsidRPr="00BD0B3A" w:rsidRDefault="008A7D76" w:rsidP="000000FE">
      <w:pPr>
        <w:pStyle w:val="Heading2"/>
        <w:rPr>
          <w:color w:val="000000" w:themeColor="text1"/>
        </w:rPr>
      </w:pPr>
      <w:bookmarkStart w:id="27" w:name="_Toc372719231"/>
      <w:r w:rsidRPr="00BD0B3A">
        <w:rPr>
          <w:color w:val="000000" w:themeColor="text1"/>
        </w:rPr>
        <w:t>2</w:t>
      </w:r>
      <w:r w:rsidR="00DB5F1D" w:rsidRPr="00BD0B3A">
        <w:rPr>
          <w:color w:val="000000" w:themeColor="text1"/>
        </w:rPr>
        <w:t>.3</w:t>
      </w:r>
      <w:r w:rsidR="00AC428E" w:rsidRPr="00BD0B3A">
        <w:rPr>
          <w:color w:val="000000" w:themeColor="text1"/>
        </w:rPr>
        <w:tab/>
      </w:r>
      <w:r w:rsidR="004F69F6" w:rsidRPr="00BD0B3A">
        <w:rPr>
          <w:color w:val="000000" w:themeColor="text1"/>
        </w:rPr>
        <w:t xml:space="preserve">Risk </w:t>
      </w:r>
      <w:r w:rsidR="007C22CB" w:rsidRPr="00BD0B3A">
        <w:rPr>
          <w:color w:val="000000" w:themeColor="text1"/>
        </w:rPr>
        <w:t>m</w:t>
      </w:r>
      <w:r w:rsidR="004F69F6" w:rsidRPr="00BD0B3A">
        <w:rPr>
          <w:color w:val="000000" w:themeColor="text1"/>
        </w:rPr>
        <w:t>anagement</w:t>
      </w:r>
      <w:bookmarkEnd w:id="26"/>
      <w:bookmarkEnd w:id="27"/>
    </w:p>
    <w:p w:rsidR="000000FE" w:rsidRPr="00BD0B3A" w:rsidRDefault="008A7D76" w:rsidP="00307958">
      <w:pPr>
        <w:pStyle w:val="Heading3"/>
        <w:rPr>
          <w:color w:val="000000" w:themeColor="text1"/>
        </w:rPr>
      </w:pPr>
      <w:bookmarkStart w:id="28" w:name="_Toc309742824"/>
      <w:bookmarkStart w:id="29" w:name="_Toc318448799"/>
      <w:bookmarkStart w:id="30" w:name="_Toc372719232"/>
      <w:bookmarkStart w:id="31" w:name="_Toc175381450"/>
      <w:r w:rsidRPr="00BD0B3A">
        <w:rPr>
          <w:color w:val="000000" w:themeColor="text1"/>
        </w:rPr>
        <w:t>2</w:t>
      </w:r>
      <w:r w:rsidR="00DB5F1D" w:rsidRPr="00BD0B3A">
        <w:rPr>
          <w:color w:val="000000" w:themeColor="text1"/>
        </w:rPr>
        <w:t>.3</w:t>
      </w:r>
      <w:r w:rsidR="000000FE" w:rsidRPr="00BD0B3A">
        <w:rPr>
          <w:color w:val="000000" w:themeColor="text1"/>
        </w:rPr>
        <w:t>.1</w:t>
      </w:r>
      <w:r w:rsidR="000000FE" w:rsidRPr="00BD0B3A">
        <w:rPr>
          <w:color w:val="000000" w:themeColor="text1"/>
        </w:rPr>
        <w:tab/>
        <w:t>Labelling</w:t>
      </w:r>
      <w:bookmarkEnd w:id="28"/>
      <w:bookmarkEnd w:id="29"/>
      <w:bookmarkEnd w:id="30"/>
    </w:p>
    <w:p w:rsidR="00BD0B3A" w:rsidRPr="00BD0B3A" w:rsidRDefault="00BD0B3A" w:rsidP="00BD0B3A">
      <w:pPr>
        <w:rPr>
          <w:color w:val="000000" w:themeColor="text1"/>
        </w:rPr>
      </w:pPr>
      <w:bookmarkStart w:id="32" w:name="_Toc372719233"/>
      <w:r w:rsidRPr="00BD0B3A">
        <w:rPr>
          <w:color w:val="000000" w:themeColor="text1"/>
        </w:rPr>
        <w:t>In accordance with the labelling provisions in Standard 1.5.2, food derived from soybean line DAS-81419-2 would have to be labelled as ‘genetically modified’ if it contains novel DNA or novel protein, or has altered characteristics. Food from line DAS-81419-2 does not have altered characteristics.</w:t>
      </w:r>
    </w:p>
    <w:p w:rsidR="00BD0B3A" w:rsidRPr="00BD0B3A" w:rsidRDefault="00BD0B3A" w:rsidP="00BD0B3A">
      <w:pPr>
        <w:rPr>
          <w:color w:val="000000" w:themeColor="text1"/>
        </w:rPr>
      </w:pPr>
    </w:p>
    <w:p w:rsidR="00954B4F" w:rsidRPr="009673E8" w:rsidRDefault="00BD0B3A" w:rsidP="009673E8">
      <w:pPr>
        <w:rPr>
          <w:b/>
          <w:i/>
          <w:color w:val="000000" w:themeColor="text1"/>
        </w:rPr>
      </w:pPr>
      <w:r w:rsidRPr="00BD0B3A">
        <w:rPr>
          <w:color w:val="000000" w:themeColor="text1"/>
        </w:rPr>
        <w:t xml:space="preserve">Soybean line DAS-81419-2 is intended primarily for use as a broad-acre commodity (field soybean) to produce products derived from cracked soybeans, and is not intended for vegetable or garden purposes where </w:t>
      </w:r>
      <w:r w:rsidRPr="00400169">
        <w:t xml:space="preserve">food-grade products may include tofu, soybean sprouts, soy milk, and green soybean (e.g. </w:t>
      </w:r>
      <w:proofErr w:type="spellStart"/>
      <w:r w:rsidRPr="00400169">
        <w:t>edamame</w:t>
      </w:r>
      <w:proofErr w:type="spellEnd"/>
      <w:r w:rsidRPr="00400169">
        <w:t>). This latter type of soybean generally has a different size, flavour and texture to field soybean. The main food product from field soybean is refined oil. Processing during production means novel protein and novel DNA are not likely to be present in the oil</w:t>
      </w:r>
      <w:r>
        <w:t xml:space="preserve">; in the absence of novel protein and novel DNA, refined oil from soybean line DAS-81419-2 would be exempt from labelling under paragraph 4(1)(c) of Standard 1.5.2. </w:t>
      </w:r>
      <w:r w:rsidRPr="00400169">
        <w:t xml:space="preserve">Other products such as protein </w:t>
      </w:r>
      <w:proofErr w:type="gramStart"/>
      <w:r w:rsidRPr="00400169">
        <w:t>concentrate,</w:t>
      </w:r>
      <w:proofErr w:type="gramEnd"/>
      <w:r w:rsidRPr="00400169">
        <w:t xml:space="preserve"> protein isolate and textured flour </w:t>
      </w:r>
      <w:r w:rsidRPr="00BD0B3A">
        <w:rPr>
          <w:color w:val="000000" w:themeColor="text1"/>
        </w:rPr>
        <w:t>are likely to contain novel protein and/or novel DNA and if so, would require labelling.</w:t>
      </w:r>
    </w:p>
    <w:p w:rsidR="000000FE" w:rsidRPr="00BD0B3A" w:rsidRDefault="008A7D76" w:rsidP="000000FE">
      <w:pPr>
        <w:pStyle w:val="Heading3"/>
        <w:rPr>
          <w:color w:val="000000" w:themeColor="text1"/>
        </w:rPr>
      </w:pPr>
      <w:r w:rsidRPr="00BD0B3A">
        <w:rPr>
          <w:color w:val="000000" w:themeColor="text1"/>
        </w:rPr>
        <w:t>2</w:t>
      </w:r>
      <w:r w:rsidR="00DB5F1D" w:rsidRPr="00BD0B3A">
        <w:rPr>
          <w:color w:val="000000" w:themeColor="text1"/>
        </w:rPr>
        <w:t>.3</w:t>
      </w:r>
      <w:r w:rsidR="000000FE" w:rsidRPr="00BD0B3A">
        <w:rPr>
          <w:color w:val="000000" w:themeColor="text1"/>
        </w:rPr>
        <w:t>.2</w:t>
      </w:r>
      <w:r w:rsidR="000000FE" w:rsidRPr="00BD0B3A">
        <w:rPr>
          <w:color w:val="000000" w:themeColor="text1"/>
        </w:rPr>
        <w:tab/>
        <w:t>Detection methodology</w:t>
      </w:r>
      <w:bookmarkEnd w:id="32"/>
    </w:p>
    <w:p w:rsidR="00173BB9" w:rsidRPr="00BD0B3A" w:rsidRDefault="00173BB9" w:rsidP="00173BB9">
      <w:pPr>
        <w:rPr>
          <w:color w:val="000000" w:themeColor="text1"/>
        </w:rPr>
      </w:pPr>
      <w:r w:rsidRPr="00BD0B3A">
        <w:rPr>
          <w:color w:val="000000" w:themeColor="text1"/>
        </w:rPr>
        <w:t>An Expert Advisory Group (EAG), involving laboratory personnel and representatives of the Australian and Ne</w:t>
      </w:r>
      <w:r w:rsidR="00093E01" w:rsidRPr="00BD0B3A">
        <w:rPr>
          <w:color w:val="000000" w:themeColor="text1"/>
        </w:rPr>
        <w:t>w Zealand jurisdictions was</w:t>
      </w:r>
      <w:r w:rsidRPr="00BD0B3A">
        <w:rPr>
          <w:color w:val="000000" w:themeColor="text1"/>
        </w:rPr>
        <w:t xml:space="preserve"> formed by the Food Regulation Standing Committee</w:t>
      </w:r>
      <w:r w:rsidR="00272E09" w:rsidRPr="00BD0B3A">
        <w:rPr>
          <w:color w:val="000000" w:themeColor="text1"/>
        </w:rPr>
        <w:t>’s</w:t>
      </w:r>
      <w:r w:rsidRPr="00BD0B3A">
        <w:rPr>
          <w:color w:val="000000" w:themeColor="text1"/>
        </w:rPr>
        <w:t xml:space="preserve"> Implementation Sub-Committee</w:t>
      </w:r>
      <w:r w:rsidR="00093E01" w:rsidRPr="00BD0B3A">
        <w:rPr>
          <w:rStyle w:val="FootnoteReference"/>
          <w:color w:val="000000" w:themeColor="text1"/>
        </w:rPr>
        <w:footnoteReference w:id="4"/>
      </w:r>
      <w:r w:rsidRPr="00BD0B3A">
        <w:rPr>
          <w:color w:val="000000" w:themeColor="text1"/>
        </w:rPr>
        <w:t xml:space="preserve"> to identify and evaluate appropriate methods of analysis associated with all applications to FSANZ, including GM applications. </w:t>
      </w:r>
    </w:p>
    <w:p w:rsidR="00272E09" w:rsidRPr="00BD0B3A" w:rsidRDefault="00272E09" w:rsidP="00173BB9">
      <w:pPr>
        <w:rPr>
          <w:color w:val="000000" w:themeColor="text1"/>
        </w:rPr>
      </w:pPr>
    </w:p>
    <w:p w:rsidR="00173BB9" w:rsidRPr="00BD0B3A" w:rsidRDefault="00173BB9" w:rsidP="00173BB9">
      <w:pPr>
        <w:rPr>
          <w:color w:val="000000" w:themeColor="text1"/>
        </w:rPr>
      </w:pPr>
      <w:r w:rsidRPr="00BD0B3A">
        <w:rPr>
          <w:color w:val="000000" w:themeColor="text1"/>
        </w:rPr>
        <w:t>The EAG has indicated that for GM applications, the full DNA sequence of the insert and adjacent genomic DNA is sufficient data to be provided</w:t>
      </w:r>
      <w:r w:rsidR="00E01715" w:rsidRPr="00BD0B3A">
        <w:rPr>
          <w:color w:val="000000" w:themeColor="text1"/>
        </w:rPr>
        <w:t xml:space="preserve"> for analytica</w:t>
      </w:r>
      <w:r w:rsidR="005F64F3" w:rsidRPr="00BD0B3A">
        <w:rPr>
          <w:color w:val="000000" w:themeColor="text1"/>
        </w:rPr>
        <w:t>l purpo</w:t>
      </w:r>
      <w:r w:rsidR="00E01715" w:rsidRPr="00BD0B3A">
        <w:rPr>
          <w:color w:val="000000" w:themeColor="text1"/>
        </w:rPr>
        <w:t>ses</w:t>
      </w:r>
      <w:r w:rsidRPr="00BD0B3A">
        <w:rPr>
          <w:color w:val="000000" w:themeColor="text1"/>
        </w:rPr>
        <w:t>. Using this information, any</w:t>
      </w:r>
      <w:r w:rsidR="00E01715" w:rsidRPr="00BD0B3A">
        <w:rPr>
          <w:color w:val="000000" w:themeColor="text1"/>
        </w:rPr>
        <w:t xml:space="preserve"> DNA</w:t>
      </w:r>
      <w:r w:rsidRPr="00BD0B3A">
        <w:rPr>
          <w:color w:val="000000" w:themeColor="text1"/>
        </w:rPr>
        <w:t xml:space="preserve"> analytical laboratory would have the capability to develop a </w:t>
      </w:r>
      <w:r w:rsidR="00D03929">
        <w:rPr>
          <w:color w:val="000000" w:themeColor="text1"/>
        </w:rPr>
        <w:br/>
      </w:r>
      <w:r w:rsidRPr="00BD0B3A">
        <w:rPr>
          <w:color w:val="000000" w:themeColor="text1"/>
        </w:rPr>
        <w:t>PCR-based detection method. This sequence information was suppli</w:t>
      </w:r>
      <w:r w:rsidR="00CF15C9" w:rsidRPr="00BD0B3A">
        <w:rPr>
          <w:color w:val="000000" w:themeColor="text1"/>
        </w:rPr>
        <w:t>ed b</w:t>
      </w:r>
      <w:r w:rsidR="00BD0B3A" w:rsidRPr="00BD0B3A">
        <w:rPr>
          <w:color w:val="000000" w:themeColor="text1"/>
        </w:rPr>
        <w:t>y the Applicant for DAS-81419-2</w:t>
      </w:r>
      <w:r w:rsidRPr="00BD0B3A">
        <w:rPr>
          <w:color w:val="000000" w:themeColor="text1"/>
        </w:rPr>
        <w:t xml:space="preserve"> to satisfy the requirement for detection methodology in the FSANZ </w:t>
      </w:r>
      <w:r w:rsidRPr="00BD0B3A">
        <w:rPr>
          <w:i/>
          <w:color w:val="000000" w:themeColor="text1"/>
        </w:rPr>
        <w:t>Application Handbook</w:t>
      </w:r>
      <w:r w:rsidRPr="00BD0B3A">
        <w:rPr>
          <w:color w:val="000000" w:themeColor="text1"/>
        </w:rPr>
        <w:t xml:space="preserve"> </w:t>
      </w:r>
      <w:r w:rsidRPr="00BD0B3A">
        <w:rPr>
          <w:color w:val="000000" w:themeColor="text1"/>
        </w:rPr>
        <w:fldChar w:fldCharType="begin"/>
      </w:r>
      <w:r w:rsidR="00B41F4E">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BD0B3A">
        <w:rPr>
          <w:color w:val="000000" w:themeColor="text1"/>
        </w:rPr>
        <w:fldChar w:fldCharType="separate"/>
      </w:r>
      <w:r w:rsidR="00036E4B" w:rsidRPr="00BD0B3A">
        <w:rPr>
          <w:noProof/>
          <w:color w:val="000000" w:themeColor="text1"/>
        </w:rPr>
        <w:t>(FSANZ, 2011)</w:t>
      </w:r>
      <w:r w:rsidRPr="00BD0B3A">
        <w:rPr>
          <w:color w:val="000000" w:themeColor="text1"/>
        </w:rPr>
        <w:fldChar w:fldCharType="end"/>
      </w:r>
      <w:r w:rsidRPr="00BD0B3A">
        <w:rPr>
          <w:color w:val="000000" w:themeColor="text1"/>
        </w:rPr>
        <w:t>.</w:t>
      </w:r>
    </w:p>
    <w:p w:rsidR="00674FE5" w:rsidRPr="00BD0B3A" w:rsidRDefault="008A7D76" w:rsidP="00674FE5">
      <w:pPr>
        <w:pStyle w:val="Heading2"/>
        <w:rPr>
          <w:color w:val="000000" w:themeColor="text1"/>
        </w:rPr>
      </w:pPr>
      <w:bookmarkStart w:id="33" w:name="_Toc372719234"/>
      <w:bookmarkStart w:id="34" w:name="_Toc175381455"/>
      <w:bookmarkEnd w:id="15"/>
      <w:bookmarkEnd w:id="16"/>
      <w:bookmarkEnd w:id="17"/>
      <w:bookmarkEnd w:id="18"/>
      <w:bookmarkEnd w:id="19"/>
      <w:bookmarkEnd w:id="20"/>
      <w:bookmarkEnd w:id="31"/>
      <w:r w:rsidRPr="00BD0B3A">
        <w:rPr>
          <w:color w:val="000000" w:themeColor="text1"/>
        </w:rPr>
        <w:t>2</w:t>
      </w:r>
      <w:r w:rsidR="00DB5F1D" w:rsidRPr="00BD0B3A">
        <w:rPr>
          <w:color w:val="000000" w:themeColor="text1"/>
        </w:rPr>
        <w:t>.4</w:t>
      </w:r>
      <w:r w:rsidR="00674FE5" w:rsidRPr="00BD0B3A">
        <w:rPr>
          <w:color w:val="000000" w:themeColor="text1"/>
        </w:rPr>
        <w:tab/>
        <w:t>Risk communication</w:t>
      </w:r>
      <w:bookmarkEnd w:id="33"/>
      <w:r w:rsidR="00674FE5" w:rsidRPr="00BD0B3A">
        <w:rPr>
          <w:color w:val="000000" w:themeColor="text1"/>
        </w:rPr>
        <w:t xml:space="preserve"> </w:t>
      </w:r>
    </w:p>
    <w:p w:rsidR="00FD52BA" w:rsidRPr="00BD0B3A" w:rsidRDefault="00E2362E" w:rsidP="00E2362E">
      <w:pPr>
        <w:rPr>
          <w:color w:val="000000" w:themeColor="text1"/>
          <w:szCs w:val="22"/>
        </w:rPr>
      </w:pPr>
      <w:r w:rsidRPr="00BD0B3A">
        <w:rPr>
          <w:color w:val="000000" w:themeColor="text1"/>
          <w:szCs w:val="22"/>
        </w:rPr>
        <w:t>Consult</w:t>
      </w:r>
      <w:r w:rsidR="00666466">
        <w:rPr>
          <w:color w:val="000000" w:themeColor="text1"/>
          <w:szCs w:val="22"/>
        </w:rPr>
        <w:t>ation is a key part of FSANZ’s S</w:t>
      </w:r>
      <w:r w:rsidRPr="00BD0B3A">
        <w:rPr>
          <w:color w:val="000000" w:themeColor="text1"/>
          <w:szCs w:val="22"/>
        </w:rPr>
        <w:t xml:space="preserve">tandards development process. </w:t>
      </w:r>
    </w:p>
    <w:p w:rsidR="00FD52BA" w:rsidRPr="00BD0B3A" w:rsidRDefault="00FD52BA" w:rsidP="00E2362E">
      <w:pPr>
        <w:rPr>
          <w:color w:val="000000" w:themeColor="text1"/>
          <w:szCs w:val="22"/>
        </w:rPr>
      </w:pPr>
    </w:p>
    <w:p w:rsidR="00F36294" w:rsidRDefault="00DE46EA" w:rsidP="00DE46EA">
      <w:pPr>
        <w:rPr>
          <w:color w:val="000000" w:themeColor="text1"/>
          <w:lang w:bidi="ar-SA"/>
        </w:rPr>
      </w:pPr>
      <w:r w:rsidRPr="00BD0B3A">
        <w:rPr>
          <w:color w:val="000000" w:themeColor="text1"/>
          <w:lang w:bidi="ar-SA"/>
        </w:rPr>
        <w:t xml:space="preserve">The process by which FSANZ </w:t>
      </w:r>
      <w:r w:rsidR="00666466">
        <w:rPr>
          <w:color w:val="000000" w:themeColor="text1"/>
          <w:lang w:bidi="ar-SA"/>
        </w:rPr>
        <w:t>considers S</w:t>
      </w:r>
      <w:r w:rsidRPr="00BD0B3A">
        <w:rPr>
          <w:color w:val="000000" w:themeColor="text1"/>
          <w:lang w:bidi="ar-SA"/>
        </w:rPr>
        <w:t>tandard</w:t>
      </w:r>
      <w:r w:rsidR="00666466">
        <w:rPr>
          <w:color w:val="000000" w:themeColor="text1"/>
          <w:lang w:bidi="ar-SA"/>
        </w:rPr>
        <w:t>s</w:t>
      </w:r>
      <w:r w:rsidRPr="00BD0B3A">
        <w:rPr>
          <w:color w:val="000000" w:themeColor="text1"/>
          <w:lang w:bidi="ar-SA"/>
        </w:rPr>
        <w:t xml:space="preserve"> matters is open, accountable, consultative and transparent. </w:t>
      </w:r>
      <w:r w:rsidR="00F36294">
        <w:rPr>
          <w:color w:val="000000" w:themeColor="text1"/>
          <w:lang w:bidi="ar-SA"/>
        </w:rPr>
        <w:br w:type="page"/>
      </w:r>
    </w:p>
    <w:p w:rsidR="00DE46EA" w:rsidRPr="00BD0B3A" w:rsidRDefault="00DE46EA" w:rsidP="00DE46EA">
      <w:pPr>
        <w:rPr>
          <w:color w:val="000000" w:themeColor="text1"/>
          <w:lang w:bidi="ar-SA"/>
        </w:rPr>
      </w:pPr>
      <w:r w:rsidRPr="00BD0B3A">
        <w:rPr>
          <w:color w:val="000000" w:themeColor="text1"/>
          <w:lang w:bidi="ar-SA"/>
        </w:rPr>
        <w:lastRenderedPageBreak/>
        <w:t>Public submissions are called to obtain the views of interested parties on issues raised by the application and the impacts of regulatory options.</w:t>
      </w:r>
    </w:p>
    <w:p w:rsidR="00DE46EA" w:rsidRPr="00BD0B3A" w:rsidRDefault="00DE46EA" w:rsidP="00DE46EA">
      <w:pPr>
        <w:rPr>
          <w:color w:val="000000" w:themeColor="text1"/>
          <w:szCs w:val="22"/>
        </w:rPr>
      </w:pPr>
    </w:p>
    <w:p w:rsidR="00AF765C" w:rsidRDefault="00FD52BA" w:rsidP="00954B4F">
      <w:pPr>
        <w:rPr>
          <w:color w:val="000000" w:themeColor="text1"/>
          <w:lang w:bidi="ar-SA"/>
        </w:rPr>
      </w:pPr>
      <w:r w:rsidRPr="00BD0B3A">
        <w:rPr>
          <w:color w:val="000000" w:themeColor="text1"/>
          <w:szCs w:val="22"/>
        </w:rPr>
        <w:t xml:space="preserve">Public submissions were invited on a draft variation which was released for public comment between </w:t>
      </w:r>
      <w:r w:rsidR="00BD0B3A" w:rsidRPr="00BD0B3A">
        <w:rPr>
          <w:color w:val="000000" w:themeColor="text1"/>
          <w:szCs w:val="22"/>
        </w:rPr>
        <w:t xml:space="preserve">5 November and 17 December </w:t>
      </w:r>
      <w:r w:rsidRPr="00BD0B3A">
        <w:rPr>
          <w:color w:val="000000" w:themeColor="text1"/>
          <w:szCs w:val="22"/>
        </w:rPr>
        <w:t xml:space="preserve">2013. </w:t>
      </w:r>
      <w:r w:rsidR="00DE46EA" w:rsidRPr="00BD0B3A">
        <w:rPr>
          <w:color w:val="000000" w:themeColor="text1"/>
          <w:lang w:bidi="ar-SA"/>
        </w:rPr>
        <w:t xml:space="preserve">The call for submissions was notified via the Notification Circular, media release and through FSANZ’s social media tools and the </w:t>
      </w:r>
      <w:r w:rsidR="00DE46EA" w:rsidRPr="007140EF">
        <w:rPr>
          <w:color w:val="000000" w:themeColor="text1"/>
          <w:lang w:bidi="ar-SA"/>
        </w:rPr>
        <w:t xml:space="preserve">publication, </w:t>
      </w:r>
      <w:r w:rsidR="00DE46EA" w:rsidRPr="00561158">
        <w:rPr>
          <w:color w:val="000000" w:themeColor="text1"/>
          <w:lang w:bidi="ar-SA"/>
        </w:rPr>
        <w:t>Food Standards News</w:t>
      </w:r>
      <w:r w:rsidR="00DE46EA" w:rsidRPr="001541D6">
        <w:rPr>
          <w:color w:val="000000" w:themeColor="text1"/>
          <w:lang w:bidi="ar-SA"/>
        </w:rPr>
        <w:t>.</w:t>
      </w:r>
      <w:r w:rsidR="00DE46EA" w:rsidRPr="007140EF">
        <w:rPr>
          <w:color w:val="000000" w:themeColor="text1"/>
          <w:lang w:bidi="ar-SA"/>
        </w:rPr>
        <w:t xml:space="preserve"> Subscribers and interested parties were also notified.</w:t>
      </w:r>
      <w:r w:rsidR="00954B4F" w:rsidRPr="007140EF">
        <w:rPr>
          <w:color w:val="000000" w:themeColor="text1"/>
          <w:lang w:bidi="ar-SA"/>
        </w:rPr>
        <w:t xml:space="preserve"> </w:t>
      </w:r>
    </w:p>
    <w:p w:rsidR="00AF765C" w:rsidRDefault="00AF765C" w:rsidP="00954B4F">
      <w:pPr>
        <w:rPr>
          <w:color w:val="000000" w:themeColor="text1"/>
          <w:lang w:bidi="ar-SA"/>
        </w:rPr>
      </w:pPr>
    </w:p>
    <w:p w:rsidR="00FD52BA" w:rsidRDefault="00954B4F" w:rsidP="00954B4F">
      <w:pPr>
        <w:rPr>
          <w:color w:val="000000" w:themeColor="text1"/>
          <w:szCs w:val="22"/>
        </w:rPr>
      </w:pPr>
      <w:r w:rsidRPr="007140EF">
        <w:rPr>
          <w:color w:val="000000" w:themeColor="text1"/>
          <w:szCs w:val="22"/>
        </w:rPr>
        <w:t>Four</w:t>
      </w:r>
      <w:r w:rsidR="00FD52BA" w:rsidRPr="007140EF">
        <w:rPr>
          <w:color w:val="000000" w:themeColor="text1"/>
          <w:szCs w:val="22"/>
        </w:rPr>
        <w:t xml:space="preserve"> submissions were received, of which </w:t>
      </w:r>
      <w:r w:rsidRPr="007140EF">
        <w:rPr>
          <w:color w:val="000000" w:themeColor="text1"/>
          <w:szCs w:val="22"/>
        </w:rPr>
        <w:t>two objected to</w:t>
      </w:r>
      <w:r w:rsidR="00FD52BA" w:rsidRPr="007140EF">
        <w:rPr>
          <w:color w:val="000000" w:themeColor="text1"/>
          <w:szCs w:val="22"/>
        </w:rPr>
        <w:t xml:space="preserve"> the proposed variation. </w:t>
      </w:r>
    </w:p>
    <w:p w:rsidR="00F36294" w:rsidRPr="00AF765C" w:rsidRDefault="00F36294" w:rsidP="00954B4F">
      <w:pPr>
        <w:rPr>
          <w:color w:val="000000" w:themeColor="text1"/>
          <w:szCs w:val="22"/>
        </w:rPr>
      </w:pPr>
    </w:p>
    <w:p w:rsidR="00F36294" w:rsidRDefault="00E2362E" w:rsidP="00F36294">
      <w:pPr>
        <w:rPr>
          <w:szCs w:val="22"/>
        </w:rPr>
      </w:pPr>
      <w:r w:rsidRPr="007140EF">
        <w:rPr>
          <w:color w:val="000000" w:themeColor="text1"/>
          <w:szCs w:val="22"/>
        </w:rPr>
        <w:t>FSANZ acknowledges the time taken by individuals and organisations to make submissions</w:t>
      </w:r>
      <w:r w:rsidR="00DE46EA" w:rsidRPr="007140EF">
        <w:rPr>
          <w:color w:val="000000" w:themeColor="text1"/>
          <w:szCs w:val="22"/>
        </w:rPr>
        <w:t xml:space="preserve"> on this </w:t>
      </w:r>
      <w:r w:rsidR="00DE46EA" w:rsidRPr="00BD0B3A">
        <w:rPr>
          <w:color w:val="000000" w:themeColor="text1"/>
          <w:szCs w:val="22"/>
        </w:rPr>
        <w:t>Application.</w:t>
      </w:r>
      <w:r w:rsidR="00F36294">
        <w:rPr>
          <w:color w:val="000000" w:themeColor="text1"/>
          <w:szCs w:val="22"/>
        </w:rPr>
        <w:t xml:space="preserve"> </w:t>
      </w:r>
      <w:r w:rsidR="00F36294">
        <w:rPr>
          <w:szCs w:val="22"/>
        </w:rPr>
        <w:t xml:space="preserve">Every submission on an application or proposal is considered by the FSANZ Board. All comments are valued and contribute to the rigour of our assessment. </w:t>
      </w:r>
    </w:p>
    <w:p w:rsidR="00F808D1" w:rsidRPr="00BD0B3A" w:rsidRDefault="00F808D1" w:rsidP="00F808D1">
      <w:pPr>
        <w:rPr>
          <w:color w:val="000000" w:themeColor="text1"/>
          <w:lang w:bidi="ar-SA"/>
        </w:rPr>
      </w:pPr>
    </w:p>
    <w:p w:rsidR="00220151" w:rsidRPr="00BD0B3A" w:rsidRDefault="00AF765C" w:rsidP="0049385C">
      <w:pPr>
        <w:rPr>
          <w:color w:val="000000" w:themeColor="text1"/>
          <w:lang w:bidi="ar-SA"/>
        </w:rPr>
      </w:pPr>
      <w:r>
        <w:rPr>
          <w:color w:val="000000" w:themeColor="text1"/>
          <w:lang w:bidi="ar-SA"/>
        </w:rPr>
        <w:t>D</w:t>
      </w:r>
      <w:r w:rsidR="001541D6">
        <w:rPr>
          <w:color w:val="000000" w:themeColor="text1"/>
          <w:lang w:bidi="ar-SA"/>
        </w:rPr>
        <w:t xml:space="preserve">ocuments relating to </w:t>
      </w:r>
      <w:r>
        <w:rPr>
          <w:color w:val="000000" w:themeColor="text1"/>
          <w:lang w:bidi="ar-SA"/>
        </w:rPr>
        <w:t xml:space="preserve">Application </w:t>
      </w:r>
      <w:r w:rsidR="00F808D1" w:rsidRPr="00BD0B3A">
        <w:rPr>
          <w:color w:val="000000" w:themeColor="text1"/>
          <w:lang w:bidi="ar-SA"/>
        </w:rPr>
        <w:t>A</w:t>
      </w:r>
      <w:r w:rsidR="00BD0B3A" w:rsidRPr="00BD0B3A">
        <w:rPr>
          <w:color w:val="000000" w:themeColor="text1"/>
          <w:lang w:bidi="ar-SA"/>
        </w:rPr>
        <w:t>1087</w:t>
      </w:r>
      <w:r w:rsidR="004673BE" w:rsidRPr="00BD0B3A">
        <w:rPr>
          <w:color w:val="000000" w:themeColor="text1"/>
          <w:lang w:bidi="ar-SA"/>
        </w:rPr>
        <w:t>,</w:t>
      </w:r>
      <w:r w:rsidR="00F808D1" w:rsidRPr="00BD0B3A">
        <w:rPr>
          <w:color w:val="000000" w:themeColor="text1"/>
          <w:lang w:bidi="ar-SA"/>
        </w:rPr>
        <w:t xml:space="preserve"> </w:t>
      </w:r>
      <w:r w:rsidR="004673BE" w:rsidRPr="00BD0B3A">
        <w:rPr>
          <w:color w:val="000000" w:themeColor="text1"/>
          <w:lang w:bidi="ar-SA"/>
        </w:rPr>
        <w:t xml:space="preserve">including submissions received, </w:t>
      </w:r>
      <w:r w:rsidR="001541D6">
        <w:rPr>
          <w:color w:val="000000" w:themeColor="text1"/>
          <w:lang w:bidi="ar-SA"/>
        </w:rPr>
        <w:t>are</w:t>
      </w:r>
      <w:r w:rsidR="001541D6" w:rsidRPr="00BD0B3A">
        <w:rPr>
          <w:color w:val="000000" w:themeColor="text1"/>
          <w:lang w:bidi="ar-SA"/>
        </w:rPr>
        <w:t xml:space="preserve"> </w:t>
      </w:r>
      <w:r w:rsidR="00F808D1" w:rsidRPr="00BD0B3A">
        <w:rPr>
          <w:color w:val="000000" w:themeColor="text1"/>
          <w:lang w:bidi="ar-SA"/>
        </w:rPr>
        <w:t xml:space="preserve">available on the </w:t>
      </w:r>
      <w:r w:rsidR="004673BE" w:rsidRPr="00BD0B3A">
        <w:rPr>
          <w:color w:val="000000" w:themeColor="text1"/>
          <w:lang w:bidi="ar-SA"/>
        </w:rPr>
        <w:t xml:space="preserve">FSANZ </w:t>
      </w:r>
      <w:r w:rsidR="00F808D1" w:rsidRPr="00BD0B3A">
        <w:rPr>
          <w:color w:val="000000" w:themeColor="text1"/>
          <w:lang w:bidi="ar-SA"/>
        </w:rPr>
        <w:t>website</w:t>
      </w:r>
      <w:r w:rsidR="004673BE" w:rsidRPr="00BD0B3A">
        <w:rPr>
          <w:color w:val="000000" w:themeColor="text1"/>
          <w:lang w:bidi="ar-SA"/>
        </w:rPr>
        <w:t>.</w:t>
      </w:r>
    </w:p>
    <w:p w:rsidR="00DB5F1D" w:rsidRPr="00BD0B3A" w:rsidRDefault="00DB5F1D" w:rsidP="00DB5F1D">
      <w:pPr>
        <w:pStyle w:val="Heading2"/>
        <w:rPr>
          <w:color w:val="000000" w:themeColor="text1"/>
        </w:rPr>
      </w:pPr>
      <w:bookmarkStart w:id="35" w:name="_Toc372719235"/>
      <w:r w:rsidRPr="00BD0B3A">
        <w:rPr>
          <w:color w:val="000000" w:themeColor="text1"/>
        </w:rPr>
        <w:t>2.5</w:t>
      </w:r>
      <w:r w:rsidRPr="00BD0B3A">
        <w:rPr>
          <w:color w:val="000000" w:themeColor="text1"/>
        </w:rPr>
        <w:tab/>
        <w:t>FSANZ Act assessment requirements</w:t>
      </w:r>
      <w:bookmarkEnd w:id="35"/>
      <w:r w:rsidRPr="00BD0B3A">
        <w:rPr>
          <w:color w:val="000000" w:themeColor="text1"/>
        </w:rPr>
        <w:t xml:space="preserve"> </w:t>
      </w:r>
    </w:p>
    <w:p w:rsidR="00DB5F1D" w:rsidRPr="00BD0B3A" w:rsidRDefault="00DB5F1D" w:rsidP="00DA392F">
      <w:pPr>
        <w:pStyle w:val="Heading3"/>
        <w:rPr>
          <w:color w:val="000000" w:themeColor="text1"/>
        </w:rPr>
      </w:pPr>
      <w:bookmarkStart w:id="36" w:name="_Toc372719236"/>
      <w:r w:rsidRPr="00BD0B3A">
        <w:rPr>
          <w:color w:val="000000" w:themeColor="text1"/>
        </w:rPr>
        <w:t>2.5.1</w:t>
      </w:r>
      <w:r w:rsidRPr="00BD0B3A">
        <w:rPr>
          <w:color w:val="000000" w:themeColor="text1"/>
        </w:rPr>
        <w:tab/>
        <w:t>Section 29</w:t>
      </w:r>
      <w:bookmarkEnd w:id="36"/>
    </w:p>
    <w:p w:rsidR="00DB5F1D" w:rsidRPr="00BD0B3A" w:rsidRDefault="00DA392F" w:rsidP="00DB5F1D">
      <w:pPr>
        <w:pStyle w:val="Heading3"/>
        <w:rPr>
          <w:i/>
          <w:color w:val="000000" w:themeColor="text1"/>
        </w:rPr>
      </w:pPr>
      <w:bookmarkStart w:id="37" w:name="_Toc372719237"/>
      <w:r w:rsidRPr="00BD0B3A">
        <w:rPr>
          <w:i/>
          <w:color w:val="000000" w:themeColor="text1"/>
        </w:rPr>
        <w:t>2.5.1.1</w:t>
      </w:r>
      <w:r w:rsidR="00DB5F1D" w:rsidRPr="00BD0B3A">
        <w:rPr>
          <w:i/>
          <w:color w:val="000000" w:themeColor="text1"/>
        </w:rPr>
        <w:tab/>
        <w:t>Cost</w:t>
      </w:r>
      <w:r w:rsidR="001541D6">
        <w:rPr>
          <w:i/>
          <w:color w:val="000000" w:themeColor="text1"/>
        </w:rPr>
        <w:t xml:space="preserve"> </w:t>
      </w:r>
      <w:r w:rsidR="00DB5F1D" w:rsidRPr="00BD0B3A">
        <w:rPr>
          <w:i/>
          <w:color w:val="000000" w:themeColor="text1"/>
        </w:rPr>
        <w:t>benefit analysis</w:t>
      </w:r>
      <w:bookmarkEnd w:id="37"/>
    </w:p>
    <w:p w:rsidR="002627C1" w:rsidRDefault="002627C1" w:rsidP="002627C1">
      <w:pPr>
        <w:rPr>
          <w:rFonts w:cs="Arial"/>
          <w:szCs w:val="22"/>
        </w:rPr>
      </w:pPr>
      <w:r>
        <w:rPr>
          <w:rFonts w:cs="Arial"/>
          <w:szCs w:val="22"/>
        </w:rPr>
        <w:t xml:space="preserve">The Office of Best Practice Regulation (OBPR), in a letter to FSANZ dated 24 November 2010, granted a standing exemption from the need of the OBPR to assess if a Regulatory Impact Statement is required for the approval of additional genetically modified foods (reference 12065). This standing exemption was provided as such changes are considered as minor, machinery and deregulatory in nature.  This standing exemption relates to the introduction of a food to the food supply that has been determined to be safe. </w:t>
      </w:r>
    </w:p>
    <w:p w:rsidR="00DA392F" w:rsidRPr="00BD0B3A" w:rsidRDefault="00DA392F" w:rsidP="00DA392F">
      <w:pPr>
        <w:rPr>
          <w:color w:val="000000" w:themeColor="text1"/>
          <w:lang w:eastAsia="en-AU" w:bidi="ar-SA"/>
        </w:rPr>
      </w:pPr>
    </w:p>
    <w:p w:rsidR="000F3C04" w:rsidRDefault="000F3C04" w:rsidP="00DA392F">
      <w:pPr>
        <w:rPr>
          <w:color w:val="000000" w:themeColor="text1"/>
        </w:rPr>
      </w:pPr>
      <w:r>
        <w:rPr>
          <w:color w:val="000000" w:themeColor="text1"/>
        </w:rPr>
        <w:t xml:space="preserve">FSANZ undertook a cost benefit analysis (see below). </w:t>
      </w:r>
      <w:r w:rsidR="00B132FE">
        <w:rPr>
          <w:color w:val="000000" w:themeColor="text1"/>
        </w:rPr>
        <w:t>The analysis concluded</w:t>
      </w:r>
      <w:r>
        <w:rPr>
          <w:color w:val="000000" w:themeColor="text1"/>
        </w:rPr>
        <w:t xml:space="preserve"> that the</w:t>
      </w:r>
      <w:r w:rsidRPr="00BD0B3A">
        <w:rPr>
          <w:color w:val="000000" w:themeColor="text1"/>
        </w:rPr>
        <w:t xml:space="preserve"> </w:t>
      </w:r>
      <w:r w:rsidR="00DA392F" w:rsidRPr="00BD0B3A">
        <w:rPr>
          <w:color w:val="000000" w:themeColor="text1"/>
        </w:rPr>
        <w:t xml:space="preserve">costs </w:t>
      </w:r>
      <w:r w:rsidR="00B132FE">
        <w:rPr>
          <w:color w:val="000000" w:themeColor="text1"/>
        </w:rPr>
        <w:t>arising</w:t>
      </w:r>
      <w:r w:rsidR="00DA392F" w:rsidRPr="00BD0B3A">
        <w:rPr>
          <w:color w:val="000000" w:themeColor="text1"/>
        </w:rPr>
        <w:t xml:space="preserve"> from a food regulatory measure developed or varied as a result of the application </w:t>
      </w:r>
      <w:r>
        <w:rPr>
          <w:color w:val="000000" w:themeColor="text1"/>
        </w:rPr>
        <w:t xml:space="preserve">would not </w:t>
      </w:r>
      <w:r w:rsidR="00DA392F" w:rsidRPr="00BD0B3A">
        <w:rPr>
          <w:color w:val="000000" w:themeColor="text1"/>
        </w:rPr>
        <w:t>outweigh the direct and indirect benefits to the community, Government or industry that would arise from the development or variation of the food regulatory</w:t>
      </w:r>
      <w:r w:rsidR="00B132FE">
        <w:rPr>
          <w:color w:val="000000" w:themeColor="text1"/>
        </w:rPr>
        <w:t xml:space="preserve"> </w:t>
      </w:r>
      <w:r w:rsidR="00DA392F" w:rsidRPr="00BD0B3A">
        <w:rPr>
          <w:color w:val="000000" w:themeColor="text1"/>
        </w:rPr>
        <w:t>measure.</w:t>
      </w:r>
    </w:p>
    <w:p w:rsidR="00DB5F1D" w:rsidRPr="00BD0B3A" w:rsidRDefault="00DB5F1D" w:rsidP="00B132FE">
      <w:pPr>
        <w:widowControl/>
        <w:rPr>
          <w:color w:val="000000" w:themeColor="text1"/>
        </w:rPr>
      </w:pPr>
      <w:r w:rsidRPr="00BD0B3A">
        <w:rPr>
          <w:color w:val="000000" w:themeColor="text1"/>
        </w:rPr>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rsidR="00DB5F1D" w:rsidRPr="00BD0B3A" w:rsidRDefault="00DB5F1D" w:rsidP="00DB5F1D">
      <w:pPr>
        <w:rPr>
          <w:color w:val="000000" w:themeColor="text1"/>
        </w:rPr>
      </w:pPr>
    </w:p>
    <w:p w:rsidR="00BD0B3A" w:rsidRPr="00400169" w:rsidRDefault="00BD0B3A" w:rsidP="00BD0B3A">
      <w:bookmarkStart w:id="38" w:name="_Toc372719238"/>
      <w:r w:rsidRPr="00400169">
        <w:t>The points below list the effect that approving the draft would be expected to have on various sectors.</w:t>
      </w:r>
      <w:r w:rsidR="00FC43C6">
        <w:t xml:space="preserve"> It is noted that the cost/benefit analysis is speculative and is based on the assumption that soybean line DAS-81419-2 will be approved for growing in other countries</w:t>
      </w:r>
      <w:r w:rsidR="005C0B0B">
        <w:t xml:space="preserve"> (see section 2.5.1.4 below)</w:t>
      </w:r>
      <w:r w:rsidR="00FC43C6">
        <w:t>.</w:t>
      </w:r>
    </w:p>
    <w:p w:rsidR="00BD0B3A" w:rsidRPr="00400169" w:rsidRDefault="00BD0B3A" w:rsidP="00BD0B3A"/>
    <w:p w:rsidR="00BD0B3A" w:rsidRDefault="00BD0B3A" w:rsidP="00BD0B3A">
      <w:pPr>
        <w:ind w:left="1418" w:hanging="1418"/>
      </w:pPr>
      <w:r w:rsidRPr="00400169">
        <w:rPr>
          <w:i/>
        </w:rPr>
        <w:t>Consumers:</w:t>
      </w:r>
      <w:r w:rsidRPr="00400169">
        <w:tab/>
        <w:t>Broader availability of imported soybean products as</w:t>
      </w:r>
      <w:r w:rsidR="00954B4F">
        <w:t>, if DAS-81419-2 is approved for commercial growing,</w:t>
      </w:r>
      <w:r w:rsidRPr="00400169">
        <w:t xml:space="preserve"> there would be no restriction on imported foods con</w:t>
      </w:r>
      <w:r>
        <w:t xml:space="preserve">taining </w:t>
      </w:r>
      <w:r w:rsidR="00954B4F">
        <w:t>this line.</w:t>
      </w:r>
    </w:p>
    <w:p w:rsidR="00BD0B3A" w:rsidRPr="00400169" w:rsidRDefault="00BD0B3A" w:rsidP="00BD0B3A">
      <w:pPr>
        <w:ind w:left="1418" w:hanging="1418"/>
      </w:pPr>
    </w:p>
    <w:p w:rsidR="00BD0B3A" w:rsidRDefault="00BD0B3A" w:rsidP="00BD0B3A">
      <w:pPr>
        <w:ind w:left="1418"/>
      </w:pPr>
      <w:r>
        <w:t>For those soybean line DAS-81419-2</w:t>
      </w:r>
      <w:r w:rsidRPr="00A57AC9">
        <w:t xml:space="preserve"> products containing novel DNA or novel protein, appropriate labelling would allow</w:t>
      </w:r>
      <w:r w:rsidR="00954B4F">
        <w:t xml:space="preserve"> consumers wishing to avoid these products</w:t>
      </w:r>
      <w:r w:rsidRPr="00A57AC9">
        <w:t xml:space="preserve"> to do so.</w:t>
      </w:r>
    </w:p>
    <w:p w:rsidR="00BD0B3A" w:rsidRPr="005C18EC" w:rsidRDefault="00FC43C6" w:rsidP="00BD0B3A">
      <w:pPr>
        <w:ind w:left="1418"/>
      </w:pPr>
      <w:r>
        <w:t>If soybean DAS-81419-2</w:t>
      </w:r>
      <w:r w:rsidR="00BD0B3A" w:rsidRPr="00BD7235">
        <w:t xml:space="preserve"> is approved for commercial growing in overseas countries</w:t>
      </w:r>
      <w:r w:rsidR="005C0B0B">
        <w:t>,</w:t>
      </w:r>
      <w:r w:rsidR="00BD0B3A" w:rsidRPr="00BD7235">
        <w:t xml:space="preserve"> it can be used in the manufacture of products using co-mingled soybean. This means that there would be no cost invol</w:t>
      </w:r>
      <w:r>
        <w:t xml:space="preserve">ved in having to </w:t>
      </w:r>
      <w:r>
        <w:lastRenderedPageBreak/>
        <w:t>exclude line DAS-81419-2</w:t>
      </w:r>
      <w:r w:rsidR="00BD0B3A" w:rsidRPr="00BD7235">
        <w:t xml:space="preserve"> from co-mingling and hence that there would be no consequential need to increase the prices of imported foods that are manufactured using comingled soybean products.</w:t>
      </w:r>
    </w:p>
    <w:p w:rsidR="002627C1" w:rsidRDefault="002627C1">
      <w:pPr>
        <w:widowControl/>
        <w:rPr>
          <w:i/>
        </w:rPr>
      </w:pPr>
    </w:p>
    <w:p w:rsidR="00BD0B3A" w:rsidRDefault="00BD0B3A" w:rsidP="00BD0B3A">
      <w:pPr>
        <w:ind w:left="1418" w:hanging="1418"/>
      </w:pPr>
      <w:r w:rsidRPr="00400169">
        <w:rPr>
          <w:i/>
        </w:rPr>
        <w:t>Government:</w:t>
      </w:r>
      <w:r w:rsidRPr="00400169">
        <w:tab/>
        <w:t>Benefit that i</w:t>
      </w:r>
      <w:r w:rsidR="00FC43C6">
        <w:t>f soybean line DAS-81419-2</w:t>
      </w:r>
      <w:r w:rsidR="002B2844">
        <w:t xml:space="preserve"> was detected in food</w:t>
      </w:r>
      <w:r w:rsidRPr="00400169">
        <w:t xml:space="preserve"> imports, approval would ensure compliance of those products with the Code. This would ensure no potential for trade disruption on regulatory grounds. </w:t>
      </w:r>
    </w:p>
    <w:p w:rsidR="00BD0B3A" w:rsidRPr="00400169" w:rsidRDefault="00BD0B3A" w:rsidP="00BD0B3A"/>
    <w:p w:rsidR="00BD0B3A" w:rsidRPr="00400169" w:rsidRDefault="00BD0B3A" w:rsidP="00BD0B3A">
      <w:pPr>
        <w:ind w:left="1418"/>
      </w:pPr>
      <w:r w:rsidRPr="00400169">
        <w:t>Appr</w:t>
      </w:r>
      <w:r w:rsidR="00FC43C6">
        <w:t>oval of soybean line 81419-2</w:t>
      </w:r>
      <w:r w:rsidRPr="00400169">
        <w:t xml:space="preserve"> would ensure no con</w:t>
      </w:r>
      <w:r w:rsidR="00FC43C6">
        <w:t>flict with WTO responsibilities if the line is approved for commercial growing in overseas countries.</w:t>
      </w:r>
    </w:p>
    <w:p w:rsidR="00BD0B3A" w:rsidRPr="00400169" w:rsidRDefault="00BD0B3A" w:rsidP="00BD0B3A">
      <w:pPr>
        <w:ind w:left="1418"/>
      </w:pPr>
    </w:p>
    <w:p w:rsidR="00BD0B3A" w:rsidRPr="00400169" w:rsidRDefault="00BD0B3A" w:rsidP="00BD0B3A">
      <w:pPr>
        <w:ind w:left="1418"/>
      </w:pPr>
      <w:r w:rsidRPr="00400169">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rsidR="00BD0B3A" w:rsidRPr="00400169" w:rsidRDefault="00BD0B3A" w:rsidP="00BD0B3A"/>
    <w:p w:rsidR="00BD0B3A" w:rsidRPr="00400169" w:rsidRDefault="00BD0B3A" w:rsidP="00BD0B3A">
      <w:pPr>
        <w:ind w:left="1418" w:hanging="1418"/>
      </w:pPr>
      <w:r w:rsidRPr="00400169">
        <w:rPr>
          <w:i/>
        </w:rPr>
        <w:t>Industry:</w:t>
      </w:r>
      <w:r w:rsidRPr="00400169">
        <w:tab/>
        <w:t xml:space="preserve">Importers of processed foods containing soybean derivatives would benefit as foods </w:t>
      </w:r>
      <w:r>
        <w:t>d</w:t>
      </w:r>
      <w:r w:rsidR="00FC43C6">
        <w:t>erived from soybean line DAS-81419-2</w:t>
      </w:r>
      <w:r w:rsidRPr="00400169">
        <w:t xml:space="preserve"> would be compliant with the Code, allowing broader market access and increased choice in raw materials. </w:t>
      </w:r>
    </w:p>
    <w:p w:rsidR="00BD0B3A" w:rsidRPr="00400169" w:rsidRDefault="00BD0B3A" w:rsidP="00BD0B3A">
      <w:pPr>
        <w:ind w:left="1418"/>
      </w:pPr>
    </w:p>
    <w:p w:rsidR="00BD0B3A" w:rsidRPr="00400169" w:rsidRDefault="00BD0B3A" w:rsidP="00BD0B3A">
      <w:pPr>
        <w:ind w:left="1418"/>
      </w:pPr>
      <w:r w:rsidRPr="00400169">
        <w:t>Retailers may be able to offer a broader range of soybean products or imported foods manufactured using soybean derivatives.</w:t>
      </w:r>
    </w:p>
    <w:p w:rsidR="00BD0B3A" w:rsidRPr="00400169" w:rsidRDefault="00BD0B3A" w:rsidP="00BD0B3A">
      <w:pPr>
        <w:ind w:left="1418"/>
      </w:pPr>
    </w:p>
    <w:p w:rsidR="00BD0B3A" w:rsidRDefault="00BD0B3A" w:rsidP="00BD0B3A">
      <w:pPr>
        <w:ind w:left="1418"/>
      </w:pPr>
      <w:r w:rsidRPr="00400169">
        <w:t>Possib</w:t>
      </w:r>
      <w:r w:rsidR="00FC43C6">
        <w:t>le cost to food industry as</w:t>
      </w:r>
      <w:r w:rsidRPr="00400169">
        <w:t xml:space="preserve"> food ingredients deriv</w:t>
      </w:r>
      <w:r w:rsidR="00FC43C6">
        <w:t>ed from soybean line DAS-81419-2 would be required to be labelled if they contain novel DNA or novel protein.</w:t>
      </w:r>
    </w:p>
    <w:p w:rsidR="009673E8" w:rsidRDefault="009673E8" w:rsidP="00BD0B3A">
      <w:pPr>
        <w:ind w:left="1418"/>
      </w:pPr>
    </w:p>
    <w:p w:rsidR="009673E8" w:rsidRPr="00272E09" w:rsidRDefault="009673E8" w:rsidP="009673E8">
      <w:pPr>
        <w:ind w:left="1418"/>
      </w:pPr>
      <w:r w:rsidRPr="00C75EF3">
        <w:t>The segregation of raw agricultural commodit</w:t>
      </w:r>
      <w:r w:rsidR="00FE6F60">
        <w:t>ies</w:t>
      </w:r>
      <w:r w:rsidRPr="00C75EF3">
        <w:t xml:space="preserve"> of DAS-81419-2, as for any GM crop, will be driven by industry, based on market preferences. Implicit in this will be a due regard to the costs of maintaining various levels of purity.</w:t>
      </w:r>
    </w:p>
    <w:p w:rsidR="00BD0B3A" w:rsidRPr="00400169" w:rsidRDefault="00BD0B3A" w:rsidP="00BD0B3A">
      <w:pPr>
        <w:rPr>
          <w:szCs w:val="22"/>
        </w:rPr>
      </w:pPr>
    </w:p>
    <w:p w:rsidR="00BD0B3A" w:rsidRPr="00400169" w:rsidRDefault="00BD0B3A" w:rsidP="00BD0B3A">
      <w:pPr>
        <w:rPr>
          <w:rFonts w:cs="Arial"/>
          <w:szCs w:val="22"/>
        </w:rPr>
      </w:pPr>
      <w:r w:rsidRPr="00400169">
        <w:rPr>
          <w:rFonts w:cs="Arial"/>
          <w:szCs w:val="22"/>
        </w:rPr>
        <w:t xml:space="preserve">As food from </w:t>
      </w:r>
      <w:r w:rsidR="00FC43C6">
        <w:rPr>
          <w:szCs w:val="22"/>
        </w:rPr>
        <w:t>soybean line DAS-81419-2</w:t>
      </w:r>
      <w:r w:rsidRPr="00400169">
        <w:rPr>
          <w:szCs w:val="22"/>
        </w:rPr>
        <w:t xml:space="preserve"> </w:t>
      </w:r>
      <w:r w:rsidRPr="00400169">
        <w:rPr>
          <w:rFonts w:cs="Arial"/>
          <w:szCs w:val="22"/>
        </w:rPr>
        <w:t xml:space="preserve">has been found to be as safe as food from conventional cultivars of soybean, not preparing a draft variation would offer little benefit to consumers, as approval of </w:t>
      </w:r>
      <w:r w:rsidR="00FC43C6">
        <w:rPr>
          <w:szCs w:val="22"/>
        </w:rPr>
        <w:t>soybean line DAS-81419-2</w:t>
      </w:r>
      <w:r w:rsidRPr="00400169">
        <w:rPr>
          <w:szCs w:val="22"/>
        </w:rPr>
        <w:t xml:space="preserve"> </w:t>
      </w:r>
      <w:r w:rsidRPr="00400169">
        <w:rPr>
          <w:rFonts w:cs="Arial"/>
          <w:szCs w:val="22"/>
        </w:rPr>
        <w:t>by other countries could limit the availability of imported soybean products in the Australian and New Zealand markets.</w:t>
      </w:r>
    </w:p>
    <w:p w:rsidR="00BD0B3A" w:rsidRPr="00400169" w:rsidRDefault="00BD0B3A" w:rsidP="00BD0B3A">
      <w:pPr>
        <w:widowControl/>
        <w:rPr>
          <w:rFonts w:cs="Arial"/>
          <w:szCs w:val="22"/>
        </w:rPr>
      </w:pPr>
    </w:p>
    <w:p w:rsidR="00BD0B3A" w:rsidRPr="00400169" w:rsidRDefault="00BD0B3A" w:rsidP="00BD0B3A">
      <w:pPr>
        <w:rPr>
          <w:rFonts w:cs="Arial"/>
          <w:szCs w:val="22"/>
        </w:rPr>
      </w:pPr>
      <w:r w:rsidRPr="00400169">
        <w:rPr>
          <w:rFonts w:cs="Arial"/>
          <w:szCs w:val="22"/>
        </w:rPr>
        <w:t xml:space="preserve">In addition, this option would result in the requirement for segregation of any products containing </w:t>
      </w:r>
      <w:r>
        <w:rPr>
          <w:szCs w:val="22"/>
        </w:rPr>
        <w:t>soybea</w:t>
      </w:r>
      <w:r w:rsidR="00FC43C6">
        <w:rPr>
          <w:szCs w:val="22"/>
        </w:rPr>
        <w:t>n line DAS-81419-2</w:t>
      </w:r>
      <w:r w:rsidRPr="00400169">
        <w:rPr>
          <w:szCs w:val="22"/>
        </w:rPr>
        <w:t xml:space="preserve"> </w:t>
      </w:r>
      <w:r w:rsidRPr="00400169">
        <w:rPr>
          <w:rFonts w:cs="Arial"/>
          <w:szCs w:val="22"/>
        </w:rPr>
        <w:t xml:space="preserve">from those containing approved soybean lines which would be likely to increase the costs of imported soybean-derived foods. </w:t>
      </w:r>
    </w:p>
    <w:p w:rsidR="00BD0B3A" w:rsidRPr="00400169" w:rsidRDefault="00BD0B3A" w:rsidP="00BD0B3A">
      <w:pPr>
        <w:widowControl/>
        <w:rPr>
          <w:rFonts w:cs="Arial"/>
          <w:szCs w:val="22"/>
        </w:rPr>
      </w:pPr>
    </w:p>
    <w:p w:rsidR="00BD0B3A" w:rsidRPr="00400169" w:rsidRDefault="00BD0B3A" w:rsidP="00BD0B3A">
      <w:pPr>
        <w:rPr>
          <w:rFonts w:cs="Arial"/>
          <w:szCs w:val="22"/>
        </w:rPr>
      </w:pPr>
      <w:r w:rsidRPr="00400169">
        <w:rPr>
          <w:rFonts w:cs="Arial"/>
          <w:szCs w:val="22"/>
        </w:rPr>
        <w:t>Also, not</w:t>
      </w:r>
      <w:r>
        <w:rPr>
          <w:rFonts w:cs="Arial"/>
          <w:szCs w:val="22"/>
        </w:rPr>
        <w:t xml:space="preserve"> preparing a draft variation is</w:t>
      </w:r>
      <w:r w:rsidRPr="00400169">
        <w:rPr>
          <w:rFonts w:cs="Arial"/>
          <w:szCs w:val="22"/>
        </w:rPr>
        <w:t xml:space="preserve"> likely to be inconsistent with Australia’s and</w:t>
      </w:r>
      <w:r>
        <w:rPr>
          <w:rFonts w:cs="Arial"/>
          <w:szCs w:val="22"/>
        </w:rPr>
        <w:t xml:space="preserve"> New Zealand’s WTO </w:t>
      </w:r>
      <w:r w:rsidR="00FC43C6">
        <w:rPr>
          <w:rFonts w:cs="Arial"/>
          <w:szCs w:val="22"/>
        </w:rPr>
        <w:t>obligations if soybean DAS-81419-2</w:t>
      </w:r>
      <w:r w:rsidRPr="00BD7235">
        <w:rPr>
          <w:rFonts w:cs="Arial"/>
          <w:szCs w:val="22"/>
        </w:rPr>
        <w:t xml:space="preserve"> is approved for commercial growing in other countries</w:t>
      </w:r>
      <w:r w:rsidR="005C0B0B">
        <w:rPr>
          <w:rFonts w:cs="Arial"/>
          <w:szCs w:val="22"/>
        </w:rPr>
        <w:t xml:space="preserve"> (see below)</w:t>
      </w:r>
      <w:r w:rsidRPr="00BD7235">
        <w:rPr>
          <w:rFonts w:cs="Arial"/>
          <w:szCs w:val="22"/>
        </w:rPr>
        <w:t>.</w:t>
      </w:r>
    </w:p>
    <w:p w:rsidR="00BD0B3A" w:rsidRPr="00400169" w:rsidRDefault="00BD0B3A" w:rsidP="00BD0B3A">
      <w:pPr>
        <w:rPr>
          <w:rFonts w:cs="Arial"/>
          <w:szCs w:val="22"/>
        </w:rPr>
      </w:pPr>
    </w:p>
    <w:p w:rsidR="00BD0B3A" w:rsidRPr="006F53A8" w:rsidRDefault="00BD0B3A" w:rsidP="00BD0B3A">
      <w:pPr>
        <w:rPr>
          <w:rFonts w:cs="Arial"/>
          <w:color w:val="000000" w:themeColor="text1"/>
          <w:szCs w:val="22"/>
        </w:rPr>
      </w:pPr>
      <w:r w:rsidRPr="00400169">
        <w:rPr>
          <w:rFonts w:cs="Arial"/>
          <w:szCs w:val="22"/>
        </w:rPr>
        <w:t xml:space="preserve">Based on the conclusions of the safety assessments, the potential benefits of approving the </w:t>
      </w:r>
      <w:r w:rsidRPr="006F53A8">
        <w:rPr>
          <w:rFonts w:cs="Arial"/>
          <w:color w:val="000000" w:themeColor="text1"/>
          <w:szCs w:val="22"/>
        </w:rPr>
        <w:t>variation outweighed the potential costs.</w:t>
      </w:r>
    </w:p>
    <w:p w:rsidR="00AE4EA8" w:rsidRPr="006F53A8" w:rsidRDefault="00AE4EA8" w:rsidP="00AE4EA8">
      <w:pPr>
        <w:pStyle w:val="Heading3"/>
        <w:rPr>
          <w:i/>
          <w:color w:val="000000" w:themeColor="text1"/>
        </w:rPr>
      </w:pPr>
      <w:r w:rsidRPr="006F53A8">
        <w:rPr>
          <w:i/>
          <w:color w:val="000000" w:themeColor="text1"/>
        </w:rPr>
        <w:t>2.5.1.2</w:t>
      </w:r>
      <w:r w:rsidRPr="006F53A8">
        <w:rPr>
          <w:i/>
          <w:color w:val="000000" w:themeColor="text1"/>
        </w:rPr>
        <w:tab/>
        <w:t>Other measures</w:t>
      </w:r>
      <w:bookmarkEnd w:id="38"/>
    </w:p>
    <w:p w:rsidR="00F36294" w:rsidRDefault="00AE4EA8" w:rsidP="00AE4EA8">
      <w:pPr>
        <w:rPr>
          <w:color w:val="000000" w:themeColor="text1"/>
        </w:rPr>
      </w:pPr>
      <w:r w:rsidRPr="006F53A8">
        <w:rPr>
          <w:color w:val="000000" w:themeColor="text1"/>
        </w:rPr>
        <w:t>There were no measures that could achieve the same result other than an amendment to Standard 1.5.2.</w:t>
      </w:r>
      <w:r w:rsidR="00F36294">
        <w:rPr>
          <w:color w:val="000000" w:themeColor="text1"/>
        </w:rPr>
        <w:br w:type="page"/>
      </w:r>
    </w:p>
    <w:p w:rsidR="00AE4EA8" w:rsidRPr="006F53A8" w:rsidRDefault="00AE4EA8" w:rsidP="00AE4EA8">
      <w:pPr>
        <w:pStyle w:val="Heading3"/>
        <w:rPr>
          <w:i/>
          <w:color w:val="000000" w:themeColor="text1"/>
        </w:rPr>
      </w:pPr>
      <w:bookmarkStart w:id="39" w:name="_Toc372719239"/>
      <w:r w:rsidRPr="006F53A8">
        <w:rPr>
          <w:i/>
          <w:color w:val="000000" w:themeColor="text1"/>
        </w:rPr>
        <w:lastRenderedPageBreak/>
        <w:t>2.5.1.3</w:t>
      </w:r>
      <w:r w:rsidRPr="006F53A8">
        <w:rPr>
          <w:i/>
          <w:color w:val="000000" w:themeColor="text1"/>
        </w:rPr>
        <w:tab/>
        <w:t>Any relevant New Zealand standards</w:t>
      </w:r>
      <w:bookmarkEnd w:id="39"/>
    </w:p>
    <w:p w:rsidR="00AE4EA8" w:rsidRPr="006F53A8" w:rsidRDefault="00AE4EA8" w:rsidP="00AE4EA8">
      <w:pPr>
        <w:rPr>
          <w:color w:val="000000" w:themeColor="text1"/>
        </w:rPr>
      </w:pPr>
      <w:r w:rsidRPr="006F53A8">
        <w:rPr>
          <w:color w:val="000000" w:themeColor="text1"/>
        </w:rPr>
        <w:t>Standard 1.5.2 applies in New Zealand.</w:t>
      </w:r>
    </w:p>
    <w:p w:rsidR="00AE4EA8" w:rsidRPr="006F53A8" w:rsidRDefault="00AE4EA8" w:rsidP="00AE4EA8">
      <w:pPr>
        <w:pStyle w:val="Heading3"/>
        <w:rPr>
          <w:i/>
          <w:color w:val="000000" w:themeColor="text1"/>
        </w:rPr>
      </w:pPr>
      <w:bookmarkStart w:id="40" w:name="_Toc372719240"/>
      <w:r w:rsidRPr="006F53A8">
        <w:rPr>
          <w:i/>
          <w:color w:val="000000" w:themeColor="text1"/>
        </w:rPr>
        <w:t>2.5.1.4</w:t>
      </w:r>
      <w:r w:rsidRPr="006F53A8">
        <w:rPr>
          <w:i/>
          <w:color w:val="000000" w:themeColor="text1"/>
        </w:rPr>
        <w:tab/>
        <w:t>Any other relevant matters</w:t>
      </w:r>
      <w:bookmarkEnd w:id="40"/>
    </w:p>
    <w:p w:rsidR="006F53A8" w:rsidRPr="007140EF" w:rsidRDefault="006F53A8" w:rsidP="006F53A8">
      <w:pPr>
        <w:rPr>
          <w:color w:val="000000" w:themeColor="text1"/>
          <w:lang w:val="en-AU"/>
        </w:rPr>
      </w:pPr>
      <w:bookmarkStart w:id="41" w:name="_Toc372719241"/>
      <w:r w:rsidRPr="007140EF">
        <w:rPr>
          <w:color w:val="000000" w:themeColor="text1"/>
          <w:lang w:val="en-AU"/>
        </w:rPr>
        <w:t xml:space="preserve">The Applicant has submitted applications for regulatory approval of DAS-81419-2 to a number of other countries, as listed in Table </w:t>
      </w:r>
      <w:r w:rsidR="001541D6">
        <w:rPr>
          <w:color w:val="000000" w:themeColor="text1"/>
          <w:lang w:val="en-AU"/>
        </w:rPr>
        <w:t>2</w:t>
      </w:r>
      <w:r w:rsidRPr="007140EF">
        <w:rPr>
          <w:color w:val="000000" w:themeColor="text1"/>
          <w:lang w:val="en-AU"/>
        </w:rPr>
        <w:t>. To date, none has been finalised.</w:t>
      </w:r>
    </w:p>
    <w:p w:rsidR="006F53A8" w:rsidRPr="007140EF" w:rsidRDefault="006F53A8" w:rsidP="006F53A8">
      <w:pPr>
        <w:rPr>
          <w:color w:val="000000" w:themeColor="text1"/>
          <w:lang w:val="en-AU"/>
        </w:rPr>
      </w:pPr>
    </w:p>
    <w:p w:rsidR="006F53A8" w:rsidRPr="00561158" w:rsidRDefault="006F53A8" w:rsidP="007140EF">
      <w:pPr>
        <w:ind w:left="851" w:hanging="851"/>
        <w:rPr>
          <w:b/>
          <w:bCs/>
          <w:iCs/>
          <w:color w:val="000000" w:themeColor="text1"/>
          <w:lang w:val="en-AU"/>
        </w:rPr>
      </w:pPr>
      <w:r w:rsidRPr="00561158">
        <w:rPr>
          <w:b/>
          <w:bCs/>
          <w:iCs/>
          <w:color w:val="000000" w:themeColor="text1"/>
          <w:lang w:val="en-AU"/>
        </w:rPr>
        <w:t xml:space="preserve">Table </w:t>
      </w:r>
      <w:r w:rsidR="001541D6">
        <w:rPr>
          <w:b/>
          <w:bCs/>
          <w:iCs/>
          <w:color w:val="000000" w:themeColor="text1"/>
          <w:lang w:val="en-AU"/>
        </w:rPr>
        <w:t>2</w:t>
      </w:r>
      <w:r w:rsidRPr="00561158">
        <w:rPr>
          <w:b/>
          <w:bCs/>
          <w:iCs/>
          <w:color w:val="000000" w:themeColor="text1"/>
          <w:lang w:val="en-AU"/>
        </w:rPr>
        <w:t>: List of countries to whom applications for food/feed regulatory approval of soybean line DAS-81419-2 have been submitted</w:t>
      </w:r>
    </w:p>
    <w:tbl>
      <w:tblPr>
        <w:tblW w:w="9012" w:type="dxa"/>
        <w:tblInd w:w="-15" w:type="dxa"/>
        <w:tblCellMar>
          <w:left w:w="0" w:type="dxa"/>
          <w:right w:w="0" w:type="dxa"/>
        </w:tblCellMar>
        <w:tblLook w:val="04A0" w:firstRow="1" w:lastRow="0" w:firstColumn="1" w:lastColumn="0" w:noHBand="0" w:noVBand="1"/>
      </w:tblPr>
      <w:tblGrid>
        <w:gridCol w:w="1407"/>
        <w:gridCol w:w="4998"/>
        <w:gridCol w:w="2607"/>
      </w:tblGrid>
      <w:tr w:rsidR="006F53A8" w:rsidRPr="007140EF" w:rsidTr="007140EF">
        <w:trPr>
          <w:trHeight w:val="327"/>
          <w:tblHeader/>
        </w:trPr>
        <w:tc>
          <w:tcPr>
            <w:tcW w:w="1407" w:type="dxa"/>
            <w:tcBorders>
              <w:top w:val="nil"/>
              <w:left w:val="nil"/>
              <w:bottom w:val="single" w:sz="8" w:space="0" w:color="auto"/>
              <w:right w:val="nil"/>
            </w:tcBorders>
            <w:noWrap/>
            <w:tcMar>
              <w:top w:w="0" w:type="dxa"/>
              <w:left w:w="108" w:type="dxa"/>
              <w:bottom w:w="0" w:type="dxa"/>
              <w:right w:w="108" w:type="dxa"/>
            </w:tcMar>
            <w:vAlign w:val="center"/>
          </w:tcPr>
          <w:p w:rsidR="006F53A8" w:rsidRPr="007140EF" w:rsidRDefault="006F53A8" w:rsidP="00ED663C">
            <w:pPr>
              <w:rPr>
                <w:rFonts w:eastAsiaTheme="minorHAnsi" w:cs="Arial"/>
                <w:color w:val="000000" w:themeColor="text1"/>
              </w:rPr>
            </w:pPr>
          </w:p>
        </w:tc>
        <w:tc>
          <w:tcPr>
            <w:tcW w:w="4998" w:type="dxa"/>
            <w:tcBorders>
              <w:top w:val="nil"/>
              <w:left w:val="nil"/>
              <w:bottom w:val="single" w:sz="8" w:space="0" w:color="auto"/>
              <w:right w:val="nil"/>
            </w:tcBorders>
            <w:noWrap/>
            <w:tcMar>
              <w:top w:w="0" w:type="dxa"/>
              <w:left w:w="108" w:type="dxa"/>
              <w:bottom w:w="0" w:type="dxa"/>
              <w:right w:w="108" w:type="dxa"/>
            </w:tcMar>
            <w:vAlign w:val="center"/>
          </w:tcPr>
          <w:p w:rsidR="006F53A8" w:rsidRPr="007140EF" w:rsidRDefault="006F53A8" w:rsidP="00ED663C">
            <w:pPr>
              <w:jc w:val="center"/>
              <w:rPr>
                <w:rFonts w:eastAsiaTheme="minorHAnsi" w:cs="Arial"/>
                <w:color w:val="000000" w:themeColor="text1"/>
              </w:rPr>
            </w:pPr>
          </w:p>
        </w:tc>
        <w:tc>
          <w:tcPr>
            <w:tcW w:w="2607" w:type="dxa"/>
            <w:tcBorders>
              <w:top w:val="nil"/>
              <w:left w:val="nil"/>
              <w:bottom w:val="single" w:sz="8" w:space="0" w:color="auto"/>
              <w:right w:val="nil"/>
            </w:tcBorders>
          </w:tcPr>
          <w:p w:rsidR="006F53A8" w:rsidRPr="007140EF" w:rsidRDefault="006F53A8" w:rsidP="00ED663C">
            <w:pPr>
              <w:jc w:val="center"/>
              <w:rPr>
                <w:rFonts w:eastAsiaTheme="minorHAnsi" w:cs="Arial"/>
                <w:b/>
                <w:bCs/>
                <w:color w:val="000000" w:themeColor="text1"/>
              </w:rPr>
            </w:pPr>
          </w:p>
        </w:tc>
      </w:tr>
      <w:tr w:rsidR="007140EF" w:rsidTr="007140EF">
        <w:trPr>
          <w:trHeight w:val="327"/>
          <w:tblHeader/>
        </w:trPr>
        <w:tc>
          <w:tcPr>
            <w:tcW w:w="1407" w:type="dxa"/>
            <w:tcBorders>
              <w:top w:val="nil"/>
              <w:left w:val="nil"/>
              <w:bottom w:val="single" w:sz="8" w:space="0" w:color="auto"/>
              <w:right w:val="nil"/>
            </w:tcBorders>
            <w:noWrap/>
            <w:tcMar>
              <w:top w:w="0" w:type="dxa"/>
              <w:left w:w="108" w:type="dxa"/>
              <w:bottom w:w="0" w:type="dxa"/>
              <w:right w:w="108" w:type="dxa"/>
            </w:tcMar>
            <w:vAlign w:val="center"/>
            <w:hideMark/>
          </w:tcPr>
          <w:p w:rsidR="007140EF" w:rsidRDefault="007140EF">
            <w:pPr>
              <w:rPr>
                <w:rFonts w:eastAsiaTheme="minorHAnsi" w:cs="Arial"/>
                <w:color w:val="000000"/>
                <w:szCs w:val="22"/>
              </w:rPr>
            </w:pPr>
            <w:r>
              <w:rPr>
                <w:b/>
                <w:bCs/>
                <w:color w:val="000000"/>
              </w:rPr>
              <w:t>Country</w:t>
            </w:r>
          </w:p>
        </w:tc>
        <w:tc>
          <w:tcPr>
            <w:tcW w:w="4998" w:type="dxa"/>
            <w:tcBorders>
              <w:top w:val="nil"/>
              <w:left w:val="nil"/>
              <w:bottom w:val="single" w:sz="8" w:space="0" w:color="auto"/>
              <w:right w:val="nil"/>
            </w:tcBorders>
            <w:noWrap/>
            <w:tcMar>
              <w:top w:w="0" w:type="dxa"/>
              <w:left w:w="108" w:type="dxa"/>
              <w:bottom w:w="0" w:type="dxa"/>
              <w:right w:w="108" w:type="dxa"/>
            </w:tcMar>
            <w:vAlign w:val="center"/>
            <w:hideMark/>
          </w:tcPr>
          <w:p w:rsidR="007140EF" w:rsidRDefault="007140EF">
            <w:pPr>
              <w:jc w:val="center"/>
              <w:rPr>
                <w:rFonts w:eastAsiaTheme="minorHAnsi" w:cs="Arial"/>
                <w:color w:val="000000"/>
                <w:szCs w:val="22"/>
              </w:rPr>
            </w:pPr>
            <w:r>
              <w:rPr>
                <w:b/>
                <w:bCs/>
                <w:color w:val="000000"/>
              </w:rPr>
              <w:t>Agency</w:t>
            </w:r>
          </w:p>
        </w:tc>
        <w:tc>
          <w:tcPr>
            <w:tcW w:w="2607" w:type="dxa"/>
            <w:tcBorders>
              <w:top w:val="nil"/>
              <w:left w:val="nil"/>
              <w:bottom w:val="single" w:sz="8" w:space="0" w:color="auto"/>
              <w:right w:val="nil"/>
            </w:tcBorders>
            <w:hideMark/>
          </w:tcPr>
          <w:p w:rsidR="007140EF" w:rsidRDefault="007140EF">
            <w:pPr>
              <w:jc w:val="center"/>
              <w:rPr>
                <w:rFonts w:eastAsiaTheme="minorHAnsi" w:cs="Arial"/>
                <w:b/>
                <w:bCs/>
                <w:color w:val="000000"/>
                <w:szCs w:val="22"/>
              </w:rPr>
            </w:pPr>
            <w:r>
              <w:rPr>
                <w:b/>
                <w:bCs/>
                <w:color w:val="000000"/>
              </w:rPr>
              <w:t>Type of approval sought</w:t>
            </w:r>
          </w:p>
        </w:tc>
      </w:tr>
      <w:tr w:rsidR="007140EF" w:rsidRPr="007140EF" w:rsidTr="007140EF">
        <w:trPr>
          <w:trHeight w:val="312"/>
        </w:trPr>
        <w:tc>
          <w:tcPr>
            <w:tcW w:w="0" w:type="auto"/>
            <w:vMerge w:val="restart"/>
            <w:tcBorders>
              <w:top w:val="nil"/>
              <w:left w:val="nil"/>
              <w:bottom w:val="single" w:sz="8" w:space="0" w:color="626469"/>
              <w:right w:val="nil"/>
            </w:tcBorders>
            <w:shd w:val="clear" w:color="auto" w:fill="D9D9D9"/>
            <w:vAlign w:val="center"/>
            <w:hideMark/>
          </w:tcPr>
          <w:p w:rsidR="007140EF" w:rsidRPr="007140EF" w:rsidRDefault="007140EF">
            <w:pPr>
              <w:rPr>
                <w:rFonts w:eastAsiaTheme="minorHAnsi" w:cs="Arial"/>
                <w:color w:val="000000"/>
                <w:sz w:val="20"/>
                <w:szCs w:val="20"/>
              </w:rPr>
            </w:pPr>
            <w:r w:rsidRPr="007140EF">
              <w:rPr>
                <w:color w:val="000000"/>
                <w:sz w:val="20"/>
                <w:szCs w:val="20"/>
              </w:rPr>
              <w:t>USA</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Department of Agriculture</w:t>
            </w:r>
          </w:p>
        </w:tc>
        <w:tc>
          <w:tcPr>
            <w:tcW w:w="2607" w:type="dxa"/>
            <w:tcBorders>
              <w:top w:val="nil"/>
              <w:left w:val="nil"/>
              <w:bottom w:val="single" w:sz="8" w:space="0" w:color="626469"/>
              <w:right w:val="nil"/>
            </w:tcBorders>
            <w:shd w:val="clear" w:color="auto" w:fill="D9D9D9"/>
            <w:hideMark/>
          </w:tcPr>
          <w:p w:rsidR="007140EF" w:rsidRPr="007140EF" w:rsidRDefault="007140EF">
            <w:pPr>
              <w:jc w:val="center"/>
              <w:rPr>
                <w:rFonts w:eastAsiaTheme="minorHAnsi" w:cs="Arial"/>
                <w:color w:val="000000"/>
                <w:sz w:val="20"/>
                <w:szCs w:val="20"/>
              </w:rPr>
            </w:pPr>
            <w:r w:rsidRPr="007140EF">
              <w:rPr>
                <w:color w:val="000000"/>
                <w:sz w:val="20"/>
                <w:szCs w:val="20"/>
              </w:rPr>
              <w:t>environment</w:t>
            </w:r>
          </w:p>
        </w:tc>
      </w:tr>
      <w:tr w:rsidR="007140EF" w:rsidRPr="007140EF" w:rsidTr="007140EF">
        <w:trPr>
          <w:trHeight w:val="312"/>
        </w:trPr>
        <w:tc>
          <w:tcPr>
            <w:tcW w:w="0" w:type="auto"/>
            <w:vMerge/>
            <w:tcBorders>
              <w:top w:val="nil"/>
              <w:left w:val="nil"/>
              <w:bottom w:val="single" w:sz="8" w:space="0" w:color="626469"/>
              <w:right w:val="nil"/>
            </w:tcBorders>
            <w:vAlign w:val="center"/>
            <w:hideMark/>
          </w:tcPr>
          <w:p w:rsidR="007140EF" w:rsidRPr="007140EF" w:rsidRDefault="007140EF">
            <w:pPr>
              <w:rPr>
                <w:rFonts w:eastAsiaTheme="minorHAnsi" w:cs="Arial"/>
                <w:color w:val="000000"/>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Environmental Protection Agency</w:t>
            </w:r>
          </w:p>
        </w:tc>
        <w:tc>
          <w:tcPr>
            <w:tcW w:w="2607" w:type="dxa"/>
            <w:tcBorders>
              <w:top w:val="nil"/>
              <w:left w:val="nil"/>
              <w:bottom w:val="single" w:sz="8" w:space="0" w:color="626469"/>
              <w:right w:val="nil"/>
            </w:tcBorders>
            <w:shd w:val="clear" w:color="auto" w:fill="D9D9D9"/>
            <w:hideMark/>
          </w:tcPr>
          <w:p w:rsidR="007140EF" w:rsidRPr="007140EF" w:rsidRDefault="007140EF">
            <w:pPr>
              <w:jc w:val="center"/>
              <w:rPr>
                <w:rFonts w:eastAsiaTheme="minorHAnsi" w:cs="Arial"/>
                <w:color w:val="000000"/>
                <w:sz w:val="20"/>
                <w:szCs w:val="20"/>
              </w:rPr>
            </w:pPr>
            <w:r w:rsidRPr="007140EF">
              <w:rPr>
                <w:color w:val="000000"/>
                <w:sz w:val="20"/>
                <w:szCs w:val="20"/>
              </w:rPr>
              <w:t>food/feed/environment</w:t>
            </w:r>
          </w:p>
        </w:tc>
      </w:tr>
      <w:tr w:rsidR="007140EF" w:rsidRPr="007140EF" w:rsidTr="007140EF">
        <w:trPr>
          <w:trHeight w:val="312"/>
        </w:trPr>
        <w:tc>
          <w:tcPr>
            <w:tcW w:w="0" w:type="auto"/>
            <w:vMerge/>
            <w:tcBorders>
              <w:top w:val="nil"/>
              <w:left w:val="nil"/>
              <w:bottom w:val="single" w:sz="8" w:space="0" w:color="626469"/>
              <w:right w:val="nil"/>
            </w:tcBorders>
            <w:vAlign w:val="center"/>
            <w:hideMark/>
          </w:tcPr>
          <w:p w:rsidR="007140EF" w:rsidRPr="007140EF" w:rsidRDefault="007140EF">
            <w:pPr>
              <w:rPr>
                <w:rFonts w:eastAsiaTheme="minorHAnsi" w:cs="Arial"/>
                <w:color w:val="000000"/>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Food &amp; Drug Administration</w:t>
            </w:r>
          </w:p>
        </w:tc>
        <w:tc>
          <w:tcPr>
            <w:tcW w:w="2607" w:type="dxa"/>
            <w:tcBorders>
              <w:top w:val="nil"/>
              <w:left w:val="nil"/>
              <w:bottom w:val="single" w:sz="8" w:space="0" w:color="626469"/>
              <w:right w:val="nil"/>
            </w:tcBorders>
            <w:shd w:val="clear" w:color="auto" w:fill="D9D9D9"/>
            <w:hideMark/>
          </w:tcPr>
          <w:p w:rsidR="007140EF" w:rsidRPr="007140EF" w:rsidRDefault="007140EF">
            <w:pPr>
              <w:jc w:val="center"/>
              <w:rPr>
                <w:rFonts w:eastAsiaTheme="minorHAnsi" w:cs="Arial"/>
                <w:color w:val="000000"/>
                <w:sz w:val="20"/>
                <w:szCs w:val="20"/>
              </w:rPr>
            </w:pPr>
            <w:r w:rsidRPr="007140EF">
              <w:rPr>
                <w:color w:val="000000"/>
                <w:sz w:val="20"/>
                <w:szCs w:val="20"/>
              </w:rPr>
              <w:t>food/feed</w:t>
            </w:r>
          </w:p>
        </w:tc>
      </w:tr>
      <w:tr w:rsidR="007140EF" w:rsidRPr="007140EF" w:rsidTr="007140EF">
        <w:trPr>
          <w:trHeight w:val="312"/>
        </w:trPr>
        <w:tc>
          <w:tcPr>
            <w:tcW w:w="0" w:type="auto"/>
            <w:vMerge w:val="restart"/>
            <w:tcBorders>
              <w:top w:val="nil"/>
              <w:left w:val="nil"/>
              <w:bottom w:val="single" w:sz="8" w:space="0" w:color="626469"/>
              <w:right w:val="nil"/>
            </w:tcBorders>
            <w:vAlign w:val="center"/>
            <w:hideMark/>
          </w:tcPr>
          <w:p w:rsidR="007140EF" w:rsidRPr="007140EF" w:rsidRDefault="007140EF">
            <w:pPr>
              <w:rPr>
                <w:rFonts w:eastAsiaTheme="minorHAnsi" w:cs="Arial"/>
                <w:color w:val="000000"/>
                <w:sz w:val="20"/>
                <w:szCs w:val="20"/>
              </w:rPr>
            </w:pPr>
            <w:r w:rsidRPr="007140EF">
              <w:rPr>
                <w:color w:val="000000"/>
                <w:sz w:val="20"/>
                <w:szCs w:val="20"/>
              </w:rPr>
              <w:t>Canada</w:t>
            </w: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 xml:space="preserve">Food Inspection Agency </w:t>
            </w:r>
          </w:p>
        </w:tc>
        <w:tc>
          <w:tcPr>
            <w:tcW w:w="2607" w:type="dxa"/>
            <w:tcBorders>
              <w:top w:val="nil"/>
              <w:left w:val="nil"/>
              <w:bottom w:val="single" w:sz="8" w:space="0" w:color="626469"/>
              <w:right w:val="nil"/>
            </w:tcBorders>
            <w:hideMark/>
          </w:tcPr>
          <w:p w:rsidR="007140EF" w:rsidRPr="007140EF" w:rsidRDefault="007140EF">
            <w:pPr>
              <w:jc w:val="center"/>
              <w:rPr>
                <w:rFonts w:eastAsiaTheme="minorHAnsi" w:cs="Arial"/>
                <w:color w:val="000000"/>
                <w:sz w:val="20"/>
                <w:szCs w:val="20"/>
              </w:rPr>
            </w:pPr>
            <w:r w:rsidRPr="007140EF">
              <w:rPr>
                <w:color w:val="000000"/>
                <w:sz w:val="20"/>
                <w:szCs w:val="20"/>
              </w:rPr>
              <w:t>feed</w:t>
            </w:r>
          </w:p>
        </w:tc>
      </w:tr>
      <w:tr w:rsidR="007140EF" w:rsidRPr="007140EF" w:rsidTr="007140EF">
        <w:trPr>
          <w:trHeight w:val="312"/>
        </w:trPr>
        <w:tc>
          <w:tcPr>
            <w:tcW w:w="0" w:type="auto"/>
            <w:vMerge/>
            <w:tcBorders>
              <w:top w:val="nil"/>
              <w:left w:val="nil"/>
              <w:bottom w:val="single" w:sz="8" w:space="0" w:color="626469"/>
              <w:right w:val="nil"/>
            </w:tcBorders>
            <w:vAlign w:val="center"/>
            <w:hideMark/>
          </w:tcPr>
          <w:p w:rsidR="007140EF" w:rsidRPr="007140EF" w:rsidRDefault="007140EF">
            <w:pPr>
              <w:rPr>
                <w:rFonts w:eastAsiaTheme="minorHAnsi" w:cs="Arial"/>
                <w:color w:val="000000"/>
                <w:sz w:val="20"/>
                <w:szCs w:val="20"/>
              </w:rPr>
            </w:pP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 xml:space="preserve">Health Canada </w:t>
            </w:r>
          </w:p>
        </w:tc>
        <w:tc>
          <w:tcPr>
            <w:tcW w:w="2607" w:type="dxa"/>
            <w:tcBorders>
              <w:top w:val="nil"/>
              <w:left w:val="nil"/>
              <w:bottom w:val="single" w:sz="8" w:space="0" w:color="626469"/>
              <w:right w:val="nil"/>
            </w:tcBorders>
            <w:hideMark/>
          </w:tcPr>
          <w:p w:rsidR="007140EF" w:rsidRPr="007140EF" w:rsidRDefault="007140EF">
            <w:pPr>
              <w:jc w:val="center"/>
              <w:rPr>
                <w:rFonts w:eastAsiaTheme="minorHAnsi" w:cs="Arial"/>
                <w:color w:val="000000"/>
                <w:sz w:val="20"/>
                <w:szCs w:val="20"/>
              </w:rPr>
            </w:pPr>
            <w:r w:rsidRPr="007140EF">
              <w:rPr>
                <w:color w:val="000000"/>
                <w:sz w:val="20"/>
                <w:szCs w:val="20"/>
              </w:rPr>
              <w:t>food</w:t>
            </w:r>
          </w:p>
        </w:tc>
      </w:tr>
      <w:tr w:rsidR="007140EF" w:rsidRPr="007140EF" w:rsidTr="007140EF">
        <w:trPr>
          <w:trHeight w:val="312"/>
        </w:trPr>
        <w:tc>
          <w:tcPr>
            <w:tcW w:w="1407"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Argentina</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CONABIA</w:t>
            </w:r>
          </w:p>
        </w:tc>
        <w:tc>
          <w:tcPr>
            <w:tcW w:w="2607" w:type="dxa"/>
            <w:tcBorders>
              <w:top w:val="nil"/>
              <w:left w:val="nil"/>
              <w:bottom w:val="single" w:sz="8" w:space="0" w:color="626469"/>
              <w:right w:val="nil"/>
            </w:tcBorders>
            <w:shd w:val="clear" w:color="auto" w:fill="D9D9D9"/>
            <w:hideMark/>
          </w:tcPr>
          <w:p w:rsidR="007140EF" w:rsidRPr="007140EF" w:rsidRDefault="007140EF">
            <w:pPr>
              <w:jc w:val="center"/>
              <w:rPr>
                <w:rFonts w:eastAsiaTheme="minorHAnsi" w:cs="Arial"/>
                <w:color w:val="000000"/>
                <w:sz w:val="20"/>
                <w:szCs w:val="20"/>
              </w:rPr>
            </w:pPr>
            <w:r w:rsidRPr="007140EF">
              <w:rPr>
                <w:color w:val="000000"/>
                <w:sz w:val="20"/>
                <w:szCs w:val="20"/>
              </w:rPr>
              <w:t>environment</w:t>
            </w:r>
          </w:p>
        </w:tc>
      </w:tr>
      <w:tr w:rsidR="007140EF" w:rsidRPr="007140EF" w:rsidTr="007140EF">
        <w:trPr>
          <w:trHeight w:val="312"/>
        </w:trPr>
        <w:tc>
          <w:tcPr>
            <w:tcW w:w="0" w:type="auto"/>
            <w:vMerge/>
            <w:tcBorders>
              <w:top w:val="nil"/>
              <w:left w:val="nil"/>
              <w:bottom w:val="single" w:sz="8" w:space="0" w:color="626469"/>
              <w:right w:val="nil"/>
            </w:tcBorders>
            <w:vAlign w:val="center"/>
            <w:hideMark/>
          </w:tcPr>
          <w:p w:rsidR="007140EF" w:rsidRPr="007140EF" w:rsidRDefault="007140EF">
            <w:pPr>
              <w:rPr>
                <w:rFonts w:eastAsiaTheme="minorHAnsi" w:cs="Arial"/>
                <w:color w:val="000000"/>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SENASA</w:t>
            </w:r>
          </w:p>
        </w:tc>
        <w:tc>
          <w:tcPr>
            <w:tcW w:w="2607" w:type="dxa"/>
            <w:tcBorders>
              <w:top w:val="nil"/>
              <w:left w:val="nil"/>
              <w:bottom w:val="single" w:sz="8" w:space="0" w:color="626469"/>
              <w:right w:val="nil"/>
            </w:tcBorders>
            <w:shd w:val="clear" w:color="auto" w:fill="D9D9D9"/>
            <w:hideMark/>
          </w:tcPr>
          <w:p w:rsidR="007140EF" w:rsidRPr="007140EF" w:rsidRDefault="007140EF">
            <w:pPr>
              <w:jc w:val="center"/>
              <w:rPr>
                <w:rFonts w:eastAsiaTheme="minorHAnsi" w:cs="Arial"/>
                <w:color w:val="000000"/>
                <w:sz w:val="20"/>
                <w:szCs w:val="20"/>
              </w:rPr>
            </w:pPr>
            <w:r w:rsidRPr="007140EF">
              <w:rPr>
                <w:color w:val="000000"/>
                <w:sz w:val="20"/>
                <w:szCs w:val="20"/>
              </w:rPr>
              <w:t>food/feed</w:t>
            </w:r>
          </w:p>
        </w:tc>
      </w:tr>
      <w:tr w:rsidR="007140EF" w:rsidRPr="007140EF" w:rsidTr="007140EF">
        <w:trPr>
          <w:trHeight w:val="312"/>
        </w:trPr>
        <w:tc>
          <w:tcPr>
            <w:tcW w:w="1407" w:type="dxa"/>
            <w:tcBorders>
              <w:top w:val="single" w:sz="8" w:space="0" w:color="626469"/>
              <w:bottom w:val="single" w:sz="4" w:space="0" w:color="auto"/>
            </w:tcBorders>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EU</w:t>
            </w:r>
          </w:p>
        </w:tc>
        <w:tc>
          <w:tcPr>
            <w:tcW w:w="4998" w:type="dxa"/>
            <w:tcBorders>
              <w:top w:val="single" w:sz="8" w:space="0" w:color="626469"/>
              <w:bottom w:val="single" w:sz="4" w:space="0" w:color="auto"/>
            </w:tcBorders>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European Food Safety Authority</w:t>
            </w:r>
          </w:p>
        </w:tc>
        <w:tc>
          <w:tcPr>
            <w:tcW w:w="2607" w:type="dxa"/>
            <w:tcBorders>
              <w:top w:val="single" w:sz="8" w:space="0" w:color="626469"/>
              <w:bottom w:val="single" w:sz="4" w:space="0" w:color="auto"/>
            </w:tcBorders>
            <w:hideMark/>
          </w:tcPr>
          <w:p w:rsidR="007140EF" w:rsidRPr="007140EF" w:rsidRDefault="007140EF">
            <w:pPr>
              <w:jc w:val="center"/>
              <w:rPr>
                <w:rFonts w:eastAsiaTheme="minorHAnsi" w:cs="Arial"/>
                <w:color w:val="000000"/>
                <w:sz w:val="20"/>
                <w:szCs w:val="20"/>
              </w:rPr>
            </w:pPr>
            <w:r w:rsidRPr="007140EF">
              <w:rPr>
                <w:color w:val="000000"/>
                <w:sz w:val="20"/>
                <w:szCs w:val="20"/>
              </w:rPr>
              <w:t>food/feed</w:t>
            </w:r>
          </w:p>
        </w:tc>
      </w:tr>
      <w:tr w:rsidR="007140EF" w:rsidRPr="007140EF" w:rsidTr="007140EF">
        <w:trPr>
          <w:trHeight w:val="312"/>
        </w:trPr>
        <w:tc>
          <w:tcPr>
            <w:tcW w:w="1407" w:type="dxa"/>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Switzerland</w:t>
            </w:r>
          </w:p>
        </w:tc>
        <w:tc>
          <w:tcPr>
            <w:tcW w:w="4998" w:type="dxa"/>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Federal Office of Public Health</w:t>
            </w:r>
          </w:p>
        </w:tc>
        <w:tc>
          <w:tcPr>
            <w:tcW w:w="2607" w:type="dxa"/>
            <w:tcBorders>
              <w:top w:val="single" w:sz="4" w:space="0" w:color="auto"/>
              <w:bottom w:val="single" w:sz="4" w:space="0" w:color="auto"/>
            </w:tcBorders>
            <w:shd w:val="clear" w:color="auto" w:fill="D9D9D9" w:themeFill="background1" w:themeFillShade="D9"/>
            <w:hideMark/>
          </w:tcPr>
          <w:p w:rsidR="007140EF" w:rsidRPr="007140EF" w:rsidRDefault="007140EF">
            <w:pPr>
              <w:jc w:val="center"/>
              <w:rPr>
                <w:rFonts w:eastAsiaTheme="minorHAnsi" w:cs="Arial"/>
                <w:color w:val="000000"/>
                <w:sz w:val="20"/>
                <w:szCs w:val="20"/>
              </w:rPr>
            </w:pPr>
            <w:r w:rsidRPr="007140EF">
              <w:rPr>
                <w:color w:val="000000"/>
                <w:sz w:val="20"/>
                <w:szCs w:val="20"/>
              </w:rPr>
              <w:t>food/feed</w:t>
            </w:r>
          </w:p>
        </w:tc>
      </w:tr>
      <w:tr w:rsidR="007140EF" w:rsidRPr="007140EF" w:rsidTr="007140EF">
        <w:trPr>
          <w:trHeight w:val="312"/>
        </w:trPr>
        <w:tc>
          <w:tcPr>
            <w:tcW w:w="1407" w:type="dxa"/>
            <w:tcBorders>
              <w:top w:val="single" w:sz="4" w:space="0" w:color="auto"/>
              <w:bottom w:val="single" w:sz="4" w:space="0" w:color="auto"/>
            </w:tcBorders>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South Africa</w:t>
            </w:r>
          </w:p>
        </w:tc>
        <w:tc>
          <w:tcPr>
            <w:tcW w:w="4998" w:type="dxa"/>
            <w:tcBorders>
              <w:top w:val="single" w:sz="4" w:space="0" w:color="auto"/>
              <w:bottom w:val="single" w:sz="4" w:space="0" w:color="auto"/>
            </w:tcBorders>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Department of Agriculture, Forestry and Fisheries</w:t>
            </w:r>
          </w:p>
        </w:tc>
        <w:tc>
          <w:tcPr>
            <w:tcW w:w="2607" w:type="dxa"/>
            <w:tcBorders>
              <w:top w:val="single" w:sz="4" w:space="0" w:color="auto"/>
              <w:bottom w:val="single" w:sz="4" w:space="0" w:color="auto"/>
            </w:tcBorders>
            <w:hideMark/>
          </w:tcPr>
          <w:p w:rsidR="007140EF" w:rsidRPr="007140EF" w:rsidRDefault="007140EF">
            <w:pPr>
              <w:jc w:val="center"/>
              <w:rPr>
                <w:rFonts w:eastAsiaTheme="minorHAnsi" w:cs="Arial"/>
                <w:color w:val="000000"/>
                <w:sz w:val="20"/>
                <w:szCs w:val="20"/>
              </w:rPr>
            </w:pPr>
            <w:r w:rsidRPr="007140EF">
              <w:rPr>
                <w:color w:val="000000"/>
                <w:sz w:val="20"/>
                <w:szCs w:val="20"/>
              </w:rPr>
              <w:t>food/feed</w:t>
            </w:r>
          </w:p>
        </w:tc>
      </w:tr>
      <w:tr w:rsidR="007140EF" w:rsidRPr="007140EF" w:rsidTr="007140EF">
        <w:trPr>
          <w:trHeight w:val="312"/>
        </w:trPr>
        <w:tc>
          <w:tcPr>
            <w:tcW w:w="1407" w:type="dxa"/>
            <w:tcBorders>
              <w:top w:val="single" w:sz="4" w:space="0" w:color="auto"/>
              <w:left w:val="nil"/>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Brazil</w:t>
            </w:r>
          </w:p>
        </w:tc>
        <w:tc>
          <w:tcPr>
            <w:tcW w:w="4998" w:type="dxa"/>
            <w:tcBorders>
              <w:top w:val="single" w:sz="4" w:space="0" w:color="auto"/>
              <w:left w:val="nil"/>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rsidR="007140EF" w:rsidRPr="007140EF" w:rsidRDefault="007140EF">
            <w:pPr>
              <w:rPr>
                <w:rFonts w:eastAsiaTheme="minorHAnsi" w:cs="Arial"/>
                <w:color w:val="000000"/>
                <w:sz w:val="20"/>
                <w:szCs w:val="20"/>
              </w:rPr>
            </w:pPr>
            <w:r w:rsidRPr="007140EF">
              <w:rPr>
                <w:color w:val="000000"/>
                <w:sz w:val="20"/>
                <w:szCs w:val="20"/>
              </w:rPr>
              <w:t>National Technical Commission on Biosafety (</w:t>
            </w:r>
            <w:proofErr w:type="spellStart"/>
            <w:r w:rsidRPr="007140EF">
              <w:rPr>
                <w:color w:val="000000"/>
                <w:sz w:val="20"/>
                <w:szCs w:val="20"/>
              </w:rPr>
              <w:t>CTNBio</w:t>
            </w:r>
            <w:proofErr w:type="spellEnd"/>
            <w:r w:rsidRPr="007140EF">
              <w:rPr>
                <w:color w:val="000000"/>
                <w:sz w:val="20"/>
                <w:szCs w:val="20"/>
              </w:rPr>
              <w:t>)</w:t>
            </w:r>
          </w:p>
        </w:tc>
        <w:tc>
          <w:tcPr>
            <w:tcW w:w="2607" w:type="dxa"/>
            <w:tcBorders>
              <w:top w:val="single" w:sz="4" w:space="0" w:color="auto"/>
              <w:left w:val="nil"/>
              <w:bottom w:val="single" w:sz="8" w:space="0" w:color="auto"/>
              <w:right w:val="nil"/>
            </w:tcBorders>
            <w:shd w:val="clear" w:color="auto" w:fill="D9D9D9" w:themeFill="background1" w:themeFillShade="D9"/>
            <w:hideMark/>
          </w:tcPr>
          <w:p w:rsidR="007140EF" w:rsidRPr="007140EF" w:rsidRDefault="007140EF">
            <w:pPr>
              <w:jc w:val="center"/>
              <w:rPr>
                <w:rFonts w:eastAsiaTheme="minorHAnsi" w:cs="Arial"/>
                <w:color w:val="000000"/>
                <w:sz w:val="20"/>
                <w:szCs w:val="20"/>
              </w:rPr>
            </w:pPr>
            <w:r w:rsidRPr="007140EF">
              <w:rPr>
                <w:color w:val="000000"/>
                <w:sz w:val="20"/>
                <w:szCs w:val="20"/>
              </w:rPr>
              <w:t>food/feed/environment</w:t>
            </w:r>
          </w:p>
        </w:tc>
      </w:tr>
    </w:tbl>
    <w:p w:rsidR="006F53A8" w:rsidRPr="006F53A8" w:rsidRDefault="006F53A8" w:rsidP="006F53A8">
      <w:pPr>
        <w:widowControl/>
        <w:rPr>
          <w:color w:val="000000" w:themeColor="text1"/>
          <w:highlight w:val="yellow"/>
          <w:lang w:val="en-AU"/>
        </w:rPr>
      </w:pPr>
    </w:p>
    <w:p w:rsidR="006F53A8" w:rsidRPr="007140EF" w:rsidRDefault="001541D6" w:rsidP="006F53A8">
      <w:pPr>
        <w:rPr>
          <w:color w:val="000000" w:themeColor="text1"/>
          <w:sz w:val="20"/>
          <w:szCs w:val="20"/>
          <w:lang w:val="en-AU"/>
        </w:rPr>
      </w:pPr>
      <w:r>
        <w:rPr>
          <w:color w:val="000000" w:themeColor="text1"/>
          <w:lang w:val="en-AU"/>
        </w:rPr>
        <w:t>The Applicant</w:t>
      </w:r>
      <w:r w:rsidR="006F53A8" w:rsidRPr="007140EF">
        <w:rPr>
          <w:color w:val="000000" w:themeColor="text1"/>
          <w:lang w:val="en-AU"/>
        </w:rPr>
        <w:t xml:space="preserve"> </w:t>
      </w:r>
      <w:r w:rsidRPr="007140EF">
        <w:rPr>
          <w:color w:val="000000" w:themeColor="text1"/>
          <w:lang w:val="en-AU"/>
        </w:rPr>
        <w:t>intend</w:t>
      </w:r>
      <w:r>
        <w:rPr>
          <w:color w:val="000000" w:themeColor="text1"/>
          <w:lang w:val="en-AU"/>
        </w:rPr>
        <w:t>s</w:t>
      </w:r>
      <w:r w:rsidRPr="007140EF">
        <w:rPr>
          <w:color w:val="000000" w:themeColor="text1"/>
          <w:lang w:val="en-AU"/>
        </w:rPr>
        <w:t xml:space="preserve"> </w:t>
      </w:r>
      <w:r w:rsidR="006F53A8" w:rsidRPr="007140EF">
        <w:rPr>
          <w:color w:val="000000" w:themeColor="text1"/>
          <w:lang w:val="en-AU"/>
        </w:rPr>
        <w:t>to submit applications to a number of other countries such as Mexico, Colombia, Korea</w:t>
      </w:r>
      <w:r w:rsidR="007140EF" w:rsidRPr="007140EF">
        <w:rPr>
          <w:color w:val="000000" w:themeColor="text1"/>
          <w:lang w:val="en-AU"/>
        </w:rPr>
        <w:t xml:space="preserve"> (early 2014)</w:t>
      </w:r>
      <w:r w:rsidR="006F53A8" w:rsidRPr="007140EF">
        <w:rPr>
          <w:color w:val="000000" w:themeColor="text1"/>
          <w:lang w:val="en-AU"/>
        </w:rPr>
        <w:t>, Japan</w:t>
      </w:r>
      <w:r w:rsidR="007140EF" w:rsidRPr="007140EF">
        <w:rPr>
          <w:color w:val="000000" w:themeColor="text1"/>
          <w:lang w:val="en-AU"/>
        </w:rPr>
        <w:t xml:space="preserve"> (early 2014)</w:t>
      </w:r>
      <w:r w:rsidR="006F53A8" w:rsidRPr="007140EF">
        <w:rPr>
          <w:color w:val="000000" w:themeColor="text1"/>
          <w:lang w:val="en-AU"/>
        </w:rPr>
        <w:t>, Taiwan, China, South Africa, and Philippines for food/feed regulatory approvals.</w:t>
      </w:r>
    </w:p>
    <w:p w:rsidR="006F53A8" w:rsidRPr="007140EF" w:rsidRDefault="006F53A8" w:rsidP="006F53A8">
      <w:pPr>
        <w:widowControl/>
        <w:rPr>
          <w:rFonts w:eastAsia="Batang"/>
          <w:color w:val="000000" w:themeColor="text1"/>
        </w:rPr>
      </w:pPr>
    </w:p>
    <w:p w:rsidR="006F53A8" w:rsidRPr="006F53A8" w:rsidRDefault="006F53A8" w:rsidP="006F53A8">
      <w:pPr>
        <w:rPr>
          <w:rFonts w:eastAsia="Batang"/>
          <w:color w:val="000000" w:themeColor="text1"/>
        </w:rPr>
      </w:pPr>
      <w:r w:rsidRPr="007140EF">
        <w:rPr>
          <w:rFonts w:eastAsia="Batang"/>
          <w:color w:val="000000" w:themeColor="text1"/>
        </w:rPr>
        <w:t xml:space="preserve">It is the Applicant’s intention that soybean line DAS-81419-2 be commercially cultivated predominantly in North and South America. There is currently no intention to apply for approval to cultivate this line in either Australia or New Zealand. </w:t>
      </w:r>
      <w:r w:rsidRPr="007140EF">
        <w:rPr>
          <w:color w:val="000000" w:themeColor="text1"/>
        </w:rPr>
        <w:t>Cultivation in Australia or New Zealand would require prior independent assessment and approval by the Office of the Gene Technology Regulator in Australia and by the Environmental Protection Authority (EPA) in New Zealand.</w:t>
      </w:r>
      <w:r w:rsidRPr="006F53A8">
        <w:rPr>
          <w:color w:val="000000" w:themeColor="text1"/>
        </w:rPr>
        <w:t xml:space="preserve"> </w:t>
      </w:r>
    </w:p>
    <w:p w:rsidR="00AE4EA8" w:rsidRPr="006F53A8" w:rsidRDefault="00AE4EA8" w:rsidP="00AE4EA8">
      <w:pPr>
        <w:pStyle w:val="Heading3"/>
        <w:rPr>
          <w:color w:val="000000" w:themeColor="text1"/>
        </w:rPr>
      </w:pPr>
      <w:r w:rsidRPr="006F53A8">
        <w:rPr>
          <w:color w:val="000000" w:themeColor="text1"/>
        </w:rPr>
        <w:t>2.5.2</w:t>
      </w:r>
      <w:r w:rsidRPr="006F53A8">
        <w:rPr>
          <w:color w:val="000000" w:themeColor="text1"/>
        </w:rPr>
        <w:tab/>
        <w:t>Subsection 18(1)</w:t>
      </w:r>
      <w:bookmarkEnd w:id="41"/>
    </w:p>
    <w:p w:rsidR="00AE4EA8" w:rsidRPr="006F53A8" w:rsidRDefault="00AE4EA8" w:rsidP="00AE4EA8">
      <w:pPr>
        <w:rPr>
          <w:color w:val="000000" w:themeColor="text1"/>
        </w:rPr>
      </w:pPr>
      <w:r w:rsidRPr="006F53A8">
        <w:rPr>
          <w:rFonts w:cs="Arial"/>
          <w:color w:val="000000" w:themeColor="text1"/>
        </w:rPr>
        <w:t xml:space="preserve">FSANZ has also </w:t>
      </w:r>
      <w:r w:rsidRPr="006F53A8">
        <w:rPr>
          <w:color w:val="000000" w:themeColor="text1"/>
        </w:rPr>
        <w:t>considered the three objectives in subsection 18(1) of the FSANZ Act during the assessment.</w:t>
      </w:r>
    </w:p>
    <w:p w:rsidR="007009C6" w:rsidRPr="006F53A8" w:rsidRDefault="007009C6" w:rsidP="007009C6">
      <w:pPr>
        <w:pStyle w:val="Heading3"/>
        <w:rPr>
          <w:i/>
          <w:color w:val="000000" w:themeColor="text1"/>
        </w:rPr>
      </w:pPr>
      <w:bookmarkStart w:id="42" w:name="_Toc297029117"/>
      <w:bookmarkStart w:id="43" w:name="_Toc372719242"/>
      <w:r w:rsidRPr="006F53A8">
        <w:rPr>
          <w:i/>
          <w:color w:val="000000" w:themeColor="text1"/>
        </w:rPr>
        <w:t>2.5.2.1</w:t>
      </w:r>
      <w:r w:rsidRPr="006F53A8">
        <w:rPr>
          <w:i/>
          <w:color w:val="000000" w:themeColor="text1"/>
        </w:rPr>
        <w:tab/>
        <w:t>Protection of public health and safety</w:t>
      </w:r>
      <w:bookmarkEnd w:id="42"/>
      <w:bookmarkEnd w:id="43"/>
    </w:p>
    <w:p w:rsidR="007009C6" w:rsidRPr="006F53A8" w:rsidRDefault="007009C6" w:rsidP="007009C6">
      <w:pPr>
        <w:rPr>
          <w:color w:val="000000" w:themeColor="text1"/>
        </w:rPr>
      </w:pPr>
      <w:r w:rsidRPr="006F53A8">
        <w:rPr>
          <w:color w:val="000000" w:themeColor="text1"/>
        </w:rPr>
        <w:t xml:space="preserve">Food derived from </w:t>
      </w:r>
      <w:r w:rsidR="006F53A8" w:rsidRPr="006F53A8">
        <w:rPr>
          <w:color w:val="000000" w:themeColor="text1"/>
        </w:rPr>
        <w:t>soybean line DAS-81419-2</w:t>
      </w:r>
      <w:r w:rsidRPr="006F53A8">
        <w:rPr>
          <w:rFonts w:cs="Arial"/>
          <w:color w:val="000000" w:themeColor="text1"/>
        </w:rPr>
        <w:t xml:space="preserve"> </w:t>
      </w:r>
      <w:r w:rsidRPr="006F53A8">
        <w:rPr>
          <w:color w:val="000000" w:themeColor="text1"/>
        </w:rPr>
        <w:t xml:space="preserve">has been assessed according to the safety assessment guidelines prepared by FSANZ </w:t>
      </w:r>
      <w:r w:rsidRPr="006F53A8">
        <w:rPr>
          <w:color w:val="000000" w:themeColor="text1"/>
        </w:rPr>
        <w:fldChar w:fldCharType="begin"/>
      </w:r>
      <w:r w:rsidR="00B41F4E">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Pr="006F53A8">
        <w:rPr>
          <w:color w:val="000000" w:themeColor="text1"/>
        </w:rPr>
        <w:fldChar w:fldCharType="separate"/>
      </w:r>
      <w:r w:rsidR="00954B4F">
        <w:rPr>
          <w:noProof/>
          <w:color w:val="000000" w:themeColor="text1"/>
        </w:rPr>
        <w:t>(2007)</w:t>
      </w:r>
      <w:r w:rsidRPr="006F53A8">
        <w:rPr>
          <w:color w:val="000000" w:themeColor="text1"/>
        </w:rPr>
        <w:fldChar w:fldCharType="end"/>
      </w:r>
      <w:r w:rsidRPr="006F53A8">
        <w:rPr>
          <w:color w:val="000000" w:themeColor="text1"/>
        </w:rPr>
        <w:t>.</w:t>
      </w:r>
    </w:p>
    <w:p w:rsidR="007009C6" w:rsidRPr="006F53A8" w:rsidRDefault="007009C6" w:rsidP="007009C6">
      <w:pPr>
        <w:rPr>
          <w:color w:val="000000" w:themeColor="text1"/>
        </w:rPr>
      </w:pPr>
    </w:p>
    <w:p w:rsidR="00F36294" w:rsidRDefault="007009C6" w:rsidP="004D4B8B">
      <w:pPr>
        <w:rPr>
          <w:color w:val="000000" w:themeColor="text1"/>
        </w:rPr>
      </w:pPr>
      <w:r w:rsidRPr="006F53A8">
        <w:rPr>
          <w:color w:val="000000" w:themeColor="text1"/>
        </w:rPr>
        <w:t xml:space="preserve">No public health and safety concerns were identified in this assessment. Based on the available evidence, including detailed studies provided by the Applicant, food derived from </w:t>
      </w:r>
      <w:r w:rsidR="006F53A8" w:rsidRPr="006F53A8">
        <w:rPr>
          <w:color w:val="000000" w:themeColor="text1"/>
        </w:rPr>
        <w:t>soybean line DAS-81419-2</w:t>
      </w:r>
      <w:r w:rsidRPr="006F53A8">
        <w:rPr>
          <w:color w:val="000000" w:themeColor="text1"/>
        </w:rPr>
        <w:t xml:space="preserve"> is considered as safe and wholesome as food deriv</w:t>
      </w:r>
      <w:r w:rsidR="006F53A8" w:rsidRPr="006F53A8">
        <w:rPr>
          <w:color w:val="000000" w:themeColor="text1"/>
        </w:rPr>
        <w:t>ed from other commercial soybean</w:t>
      </w:r>
      <w:r w:rsidRPr="006F53A8">
        <w:rPr>
          <w:color w:val="000000" w:themeColor="text1"/>
        </w:rPr>
        <w:t xml:space="preserve"> cultivars.</w:t>
      </w:r>
      <w:bookmarkStart w:id="44" w:name="_Toc372719243"/>
      <w:r w:rsidR="00F36294">
        <w:rPr>
          <w:color w:val="000000" w:themeColor="text1"/>
        </w:rPr>
        <w:br w:type="page"/>
      </w:r>
    </w:p>
    <w:p w:rsidR="007009C6" w:rsidRPr="006F53A8" w:rsidRDefault="007009C6" w:rsidP="007009C6">
      <w:pPr>
        <w:pStyle w:val="Heading3"/>
        <w:ind w:left="1134" w:hanging="1134"/>
        <w:rPr>
          <w:i/>
          <w:color w:val="000000" w:themeColor="text1"/>
        </w:rPr>
      </w:pPr>
      <w:r w:rsidRPr="006F53A8">
        <w:rPr>
          <w:i/>
          <w:color w:val="000000" w:themeColor="text1"/>
        </w:rPr>
        <w:lastRenderedPageBreak/>
        <w:t>2.5.2.2</w:t>
      </w:r>
      <w:r w:rsidRPr="006F53A8">
        <w:rPr>
          <w:i/>
          <w:color w:val="000000" w:themeColor="text1"/>
        </w:rPr>
        <w:tab/>
        <w:t>The provision of adequate information relating to food to enable consumers to make informed choices</w:t>
      </w:r>
      <w:bookmarkEnd w:id="44"/>
    </w:p>
    <w:p w:rsidR="007009C6" w:rsidRPr="006F53A8" w:rsidRDefault="007009C6" w:rsidP="007009C6">
      <w:pPr>
        <w:rPr>
          <w:b/>
          <w:bCs/>
          <w:color w:val="000000" w:themeColor="text1"/>
        </w:rPr>
      </w:pPr>
      <w:r w:rsidRPr="006F53A8">
        <w:rPr>
          <w:color w:val="000000" w:themeColor="text1"/>
        </w:rPr>
        <w:t>In accordance with existing labelling provisions, food</w:t>
      </w:r>
      <w:r w:rsidR="006F53A8" w:rsidRPr="006F53A8">
        <w:rPr>
          <w:color w:val="000000" w:themeColor="text1"/>
        </w:rPr>
        <w:t xml:space="preserve"> derived from soybean line               DAS-81419-2</w:t>
      </w:r>
      <w:r w:rsidRPr="006F53A8">
        <w:rPr>
          <w:color w:val="000000" w:themeColor="text1"/>
        </w:rPr>
        <w:t xml:space="preserve"> would have to be labelled as ‘genetically modified’ if it contains novel DNA or novel protein (see Section 2.3.1).</w:t>
      </w:r>
    </w:p>
    <w:p w:rsidR="007009C6" w:rsidRPr="006F53A8" w:rsidRDefault="007009C6" w:rsidP="007009C6">
      <w:pPr>
        <w:pStyle w:val="Heading3"/>
        <w:rPr>
          <w:i/>
          <w:color w:val="000000" w:themeColor="text1"/>
        </w:rPr>
      </w:pPr>
      <w:bookmarkStart w:id="45" w:name="_Toc372719244"/>
      <w:r w:rsidRPr="006F53A8">
        <w:rPr>
          <w:i/>
          <w:color w:val="000000" w:themeColor="text1"/>
        </w:rPr>
        <w:t>2.5.2.3</w:t>
      </w:r>
      <w:r w:rsidRPr="006F53A8">
        <w:rPr>
          <w:i/>
          <w:color w:val="000000" w:themeColor="text1"/>
        </w:rPr>
        <w:tab/>
        <w:t>The prevention of misleading or deceptive conduct</w:t>
      </w:r>
      <w:bookmarkEnd w:id="45"/>
    </w:p>
    <w:p w:rsidR="007009C6" w:rsidRPr="006F53A8" w:rsidRDefault="007009C6" w:rsidP="007009C6">
      <w:pPr>
        <w:rPr>
          <w:color w:val="000000" w:themeColor="text1"/>
          <w:lang w:eastAsia="en-AU" w:bidi="ar-SA"/>
        </w:rPr>
      </w:pPr>
      <w:r w:rsidRPr="006F53A8">
        <w:rPr>
          <w:color w:val="000000" w:themeColor="text1"/>
          <w:lang w:eastAsia="en-AU" w:bidi="ar-SA"/>
        </w:rPr>
        <w:t>The requirement for detection methodology (see Section 2.3.2) is designed to address this objective.</w:t>
      </w:r>
    </w:p>
    <w:p w:rsidR="007009C6" w:rsidRPr="006F53A8" w:rsidRDefault="007009C6" w:rsidP="007009C6">
      <w:pPr>
        <w:pStyle w:val="Heading4"/>
        <w:rPr>
          <w:i w:val="0"/>
          <w:color w:val="000000" w:themeColor="text1"/>
        </w:rPr>
      </w:pPr>
      <w:r w:rsidRPr="006F53A8">
        <w:rPr>
          <w:i w:val="0"/>
          <w:color w:val="000000" w:themeColor="text1"/>
        </w:rPr>
        <w:t>2.5.3</w:t>
      </w:r>
      <w:r w:rsidRPr="006F53A8">
        <w:rPr>
          <w:i w:val="0"/>
          <w:color w:val="000000" w:themeColor="text1"/>
        </w:rPr>
        <w:tab/>
        <w:t>Subsection 18(2) considerations</w:t>
      </w:r>
    </w:p>
    <w:p w:rsidR="007009C6" w:rsidRPr="006F53A8" w:rsidRDefault="007009C6" w:rsidP="007009C6">
      <w:pPr>
        <w:rPr>
          <w:rFonts w:cs="Arial"/>
          <w:color w:val="000000" w:themeColor="text1"/>
        </w:rPr>
      </w:pPr>
      <w:r w:rsidRPr="006F53A8">
        <w:rPr>
          <w:rFonts w:cs="Arial"/>
          <w:color w:val="000000" w:themeColor="text1"/>
        </w:rPr>
        <w:t>FSANZ has also had regard to:</w:t>
      </w:r>
    </w:p>
    <w:p w:rsidR="007009C6" w:rsidRPr="006F53A8" w:rsidRDefault="007009C6" w:rsidP="007009C6">
      <w:pPr>
        <w:rPr>
          <w:rFonts w:cs="Arial"/>
          <w:color w:val="000000" w:themeColor="text1"/>
        </w:rPr>
      </w:pPr>
    </w:p>
    <w:p w:rsidR="007009C6" w:rsidRPr="00F36294" w:rsidRDefault="007009C6" w:rsidP="00F36294">
      <w:pPr>
        <w:pStyle w:val="FSBullet1"/>
        <w:rPr>
          <w:b/>
        </w:rPr>
      </w:pPr>
      <w:r w:rsidRPr="00F36294">
        <w:rPr>
          <w:b/>
        </w:rPr>
        <w:t>The need for standards to be based on risk analysis using the best available scientific evidence</w:t>
      </w:r>
    </w:p>
    <w:p w:rsidR="007009C6" w:rsidRPr="006F53A8" w:rsidRDefault="007009C6" w:rsidP="007009C6">
      <w:pPr>
        <w:pStyle w:val="FSBullet1"/>
        <w:numPr>
          <w:ilvl w:val="0"/>
          <w:numId w:val="0"/>
        </w:numPr>
        <w:ind w:left="567"/>
        <w:rPr>
          <w:color w:val="000000" w:themeColor="text1"/>
        </w:rPr>
      </w:pPr>
    </w:p>
    <w:p w:rsidR="007009C6" w:rsidRPr="006F53A8" w:rsidRDefault="007009C6" w:rsidP="005047D6">
      <w:pPr>
        <w:rPr>
          <w:color w:val="000000" w:themeColor="text1"/>
          <w:szCs w:val="22"/>
        </w:rPr>
      </w:pPr>
      <w:r w:rsidRPr="006F53A8">
        <w:rPr>
          <w:color w:val="000000" w:themeColor="text1"/>
        </w:rPr>
        <w:t xml:space="preserve">FSANZ’s approach to the safety assessment of all GM foods applies concepts and principles outlined in the Codex General Principles for the Risk Analysis of Foods derived from Biotechnology </w:t>
      </w:r>
      <w:r w:rsidRPr="006F53A8">
        <w:rPr>
          <w:color w:val="000000" w:themeColor="text1"/>
        </w:rPr>
        <w:fldChar w:fldCharType="begin"/>
      </w:r>
      <w:r w:rsidR="00B41F4E">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Pr="006F53A8">
        <w:rPr>
          <w:color w:val="000000" w:themeColor="text1"/>
        </w:rPr>
        <w:fldChar w:fldCharType="separate"/>
      </w:r>
      <w:r w:rsidRPr="006F53A8">
        <w:rPr>
          <w:noProof/>
          <w:color w:val="000000" w:themeColor="text1"/>
        </w:rPr>
        <w:t>(Codex, 2004)</w:t>
      </w:r>
      <w:r w:rsidRPr="006F53A8">
        <w:rPr>
          <w:color w:val="000000" w:themeColor="text1"/>
        </w:rPr>
        <w:fldChar w:fldCharType="end"/>
      </w:r>
      <w:r w:rsidRPr="006F53A8">
        <w:rPr>
          <w:color w:val="000000" w:themeColor="text1"/>
        </w:rPr>
        <w:t>. Based on these principles, the risk analysis u</w:t>
      </w:r>
      <w:r w:rsidR="006F53A8">
        <w:rPr>
          <w:color w:val="000000" w:themeColor="text1"/>
        </w:rPr>
        <w:t>ndertaken for soybean line DAS-81419-2</w:t>
      </w:r>
      <w:r w:rsidRPr="006F53A8">
        <w:rPr>
          <w:color w:val="000000" w:themeColor="text1"/>
        </w:rPr>
        <w:t xml:space="preserve"> used the best scientific evidence available. The Applicant submitted to FSANZ, a comprehensive dossier of quality-assured raw experimental data. </w:t>
      </w:r>
      <w:r w:rsidRPr="006F53A8">
        <w:rPr>
          <w:color w:val="000000" w:themeColor="text1"/>
          <w:szCs w:val="22"/>
        </w:rPr>
        <w:t>In addition to the information supplied by the Applicant, other available resource material including published scientific literature and general technical information was used in the safety assessment.</w:t>
      </w:r>
    </w:p>
    <w:p w:rsidR="007009C6" w:rsidRPr="006F53A8" w:rsidRDefault="007009C6" w:rsidP="007009C6">
      <w:pPr>
        <w:rPr>
          <w:color w:val="000000" w:themeColor="text1"/>
          <w:lang w:bidi="ar-SA"/>
        </w:rPr>
      </w:pPr>
    </w:p>
    <w:p w:rsidR="007009C6" w:rsidRPr="006F53A8" w:rsidRDefault="007009C6" w:rsidP="007009C6">
      <w:pPr>
        <w:pStyle w:val="FSBullet1"/>
        <w:rPr>
          <w:b/>
          <w:color w:val="000000" w:themeColor="text1"/>
        </w:rPr>
      </w:pPr>
      <w:r w:rsidRPr="006F53A8">
        <w:rPr>
          <w:b/>
          <w:color w:val="000000" w:themeColor="text1"/>
        </w:rPr>
        <w:t>The promotion of consistency between domestic and international food standards</w:t>
      </w:r>
    </w:p>
    <w:p w:rsidR="007009C6" w:rsidRPr="006F53A8" w:rsidRDefault="007009C6" w:rsidP="007009C6">
      <w:pPr>
        <w:rPr>
          <w:color w:val="000000" w:themeColor="text1"/>
          <w:lang w:bidi="ar-SA"/>
        </w:rPr>
      </w:pPr>
    </w:p>
    <w:p w:rsidR="007009C6" w:rsidRPr="006F53A8" w:rsidRDefault="007009C6" w:rsidP="005047D6">
      <w:pPr>
        <w:rPr>
          <w:color w:val="000000" w:themeColor="text1"/>
        </w:rPr>
      </w:pPr>
      <w:r w:rsidRPr="006F53A8">
        <w:rPr>
          <w:color w:val="000000" w:themeColor="text1"/>
        </w:rPr>
        <w:t>This is not a consideration as there are no relevant international standards.</w:t>
      </w:r>
    </w:p>
    <w:p w:rsidR="00D32733" w:rsidRPr="006F53A8" w:rsidRDefault="00D32733">
      <w:pPr>
        <w:widowControl/>
        <w:rPr>
          <w:rFonts w:cs="Arial"/>
          <w:b/>
          <w:color w:val="000000" w:themeColor="text1"/>
          <w:lang w:bidi="ar-SA"/>
        </w:rPr>
      </w:pPr>
    </w:p>
    <w:p w:rsidR="007009C6" w:rsidRPr="006F53A8" w:rsidRDefault="007009C6" w:rsidP="007009C6">
      <w:pPr>
        <w:pStyle w:val="FSBullet1"/>
        <w:rPr>
          <w:b/>
          <w:color w:val="000000" w:themeColor="text1"/>
        </w:rPr>
      </w:pPr>
      <w:r w:rsidRPr="006F53A8">
        <w:rPr>
          <w:b/>
          <w:color w:val="000000" w:themeColor="text1"/>
        </w:rPr>
        <w:t>The desirability of an efficient and internationally competitive food industry</w:t>
      </w:r>
    </w:p>
    <w:p w:rsidR="007009C6" w:rsidRPr="006F53A8" w:rsidRDefault="007009C6" w:rsidP="007009C6">
      <w:pPr>
        <w:ind w:left="567"/>
        <w:rPr>
          <w:color w:val="000000" w:themeColor="text1"/>
          <w:lang w:bidi="ar-SA"/>
        </w:rPr>
      </w:pPr>
    </w:p>
    <w:p w:rsidR="007009C6" w:rsidRDefault="007009C6" w:rsidP="005047D6">
      <w:pPr>
        <w:rPr>
          <w:color w:val="000000" w:themeColor="text1"/>
          <w:lang w:bidi="ar-SA"/>
        </w:rPr>
      </w:pPr>
      <w:r w:rsidRPr="006F53A8">
        <w:rPr>
          <w:color w:val="000000" w:themeColor="text1"/>
          <w:lang w:bidi="ar-SA"/>
        </w:rPr>
        <w:t>The inclusion of genetically modified foods in the food supply, where there are no safety concerns, generally allows for innovation by developers and a widening of the technological base for the production of foods</w:t>
      </w:r>
      <w:r w:rsidR="006F53A8" w:rsidRPr="006F53A8">
        <w:rPr>
          <w:color w:val="000000" w:themeColor="text1"/>
          <w:lang w:bidi="ar-SA"/>
        </w:rPr>
        <w:t>.</w:t>
      </w:r>
      <w:r w:rsidR="00CE3F82" w:rsidRPr="006F53A8">
        <w:rPr>
          <w:color w:val="000000" w:themeColor="text1"/>
          <w:lang w:bidi="ar-SA"/>
        </w:rPr>
        <w:t xml:space="preserve"> </w:t>
      </w:r>
    </w:p>
    <w:p w:rsidR="004D4B8B" w:rsidRPr="006F53A8" w:rsidRDefault="004D4B8B" w:rsidP="005047D6">
      <w:pPr>
        <w:rPr>
          <w:color w:val="000000" w:themeColor="text1"/>
          <w:lang w:bidi="ar-SA"/>
        </w:rPr>
      </w:pPr>
    </w:p>
    <w:p w:rsidR="007009C6" w:rsidRPr="006F53A8" w:rsidRDefault="007009C6" w:rsidP="007009C6">
      <w:pPr>
        <w:pStyle w:val="FSBullet1"/>
        <w:rPr>
          <w:b/>
          <w:color w:val="000000" w:themeColor="text1"/>
        </w:rPr>
      </w:pPr>
      <w:r w:rsidRPr="006F53A8">
        <w:rPr>
          <w:b/>
          <w:color w:val="000000" w:themeColor="text1"/>
        </w:rPr>
        <w:t>The promotion of fair trading in food</w:t>
      </w:r>
    </w:p>
    <w:p w:rsidR="007009C6" w:rsidRPr="006F53A8" w:rsidRDefault="007009C6" w:rsidP="007009C6">
      <w:pPr>
        <w:rPr>
          <w:color w:val="000000" w:themeColor="text1"/>
          <w:lang w:bidi="ar-SA"/>
        </w:rPr>
      </w:pPr>
    </w:p>
    <w:p w:rsidR="007009C6" w:rsidRPr="006F53A8" w:rsidRDefault="007009C6" w:rsidP="005047D6">
      <w:pPr>
        <w:rPr>
          <w:color w:val="000000" w:themeColor="text1"/>
          <w:lang w:bidi="ar-SA"/>
        </w:rPr>
      </w:pPr>
      <w:r w:rsidRPr="006F53A8">
        <w:rPr>
          <w:color w:val="000000" w:themeColor="text1"/>
          <w:lang w:bidi="ar-SA"/>
        </w:rPr>
        <w:t xml:space="preserve">The cost/benefit analysis in Section 2.5.1.1 lists a number of considerations that address fair trading with respect to </w:t>
      </w:r>
      <w:r w:rsidR="00A25D14" w:rsidRPr="006F53A8">
        <w:rPr>
          <w:color w:val="000000" w:themeColor="text1"/>
          <w:lang w:bidi="ar-SA"/>
        </w:rPr>
        <w:t xml:space="preserve">food derived from </w:t>
      </w:r>
      <w:r w:rsidR="006F53A8">
        <w:rPr>
          <w:color w:val="000000" w:themeColor="text1"/>
          <w:lang w:bidi="ar-SA"/>
        </w:rPr>
        <w:t>soybean line DAS-81419-2</w:t>
      </w:r>
      <w:r w:rsidRPr="006F53A8">
        <w:rPr>
          <w:color w:val="000000" w:themeColor="text1"/>
          <w:lang w:bidi="ar-SA"/>
        </w:rPr>
        <w:t>.</w:t>
      </w:r>
    </w:p>
    <w:p w:rsidR="007009C6" w:rsidRPr="006F53A8" w:rsidRDefault="007009C6" w:rsidP="007009C6">
      <w:pPr>
        <w:rPr>
          <w:color w:val="000000" w:themeColor="text1"/>
          <w:lang w:bidi="ar-SA"/>
        </w:rPr>
      </w:pPr>
    </w:p>
    <w:p w:rsidR="007009C6" w:rsidRPr="006F53A8" w:rsidRDefault="007009C6" w:rsidP="007009C6">
      <w:pPr>
        <w:pStyle w:val="FSBullet1"/>
        <w:rPr>
          <w:b/>
          <w:color w:val="000000" w:themeColor="text1"/>
        </w:rPr>
      </w:pPr>
      <w:r w:rsidRPr="006F53A8">
        <w:rPr>
          <w:b/>
          <w:color w:val="000000" w:themeColor="text1"/>
        </w:rPr>
        <w:t>Any written policy guidelines formulated by the Ministerial Council</w:t>
      </w:r>
    </w:p>
    <w:p w:rsidR="007009C6" w:rsidRPr="006F53A8" w:rsidRDefault="007009C6" w:rsidP="007009C6">
      <w:pPr>
        <w:rPr>
          <w:color w:val="000000" w:themeColor="text1"/>
          <w:lang w:bidi="ar-SA"/>
        </w:rPr>
      </w:pPr>
    </w:p>
    <w:p w:rsidR="007009C6" w:rsidRPr="006F53A8" w:rsidRDefault="007009C6" w:rsidP="005047D6">
      <w:pPr>
        <w:rPr>
          <w:color w:val="000000" w:themeColor="text1"/>
          <w:lang w:bidi="ar-SA"/>
        </w:rPr>
      </w:pPr>
      <w:r w:rsidRPr="006F53A8">
        <w:rPr>
          <w:color w:val="000000" w:themeColor="text1"/>
        </w:rPr>
        <w:t>No specific policy guidelines have been developed since Standard 1.5.2 commenced</w:t>
      </w:r>
      <w:r w:rsidRPr="006F53A8">
        <w:rPr>
          <w:i/>
          <w:color w:val="000000" w:themeColor="text1"/>
        </w:rPr>
        <w:t>.</w:t>
      </w:r>
    </w:p>
    <w:p w:rsidR="001122EC" w:rsidRPr="006F53A8" w:rsidRDefault="00200BE6" w:rsidP="00272E09">
      <w:pPr>
        <w:pStyle w:val="Heading1"/>
        <w:rPr>
          <w:color w:val="000000" w:themeColor="text1"/>
        </w:rPr>
      </w:pPr>
      <w:bookmarkStart w:id="46" w:name="_Toc372719245"/>
      <w:bookmarkEnd w:id="34"/>
      <w:r w:rsidRPr="006F53A8">
        <w:rPr>
          <w:color w:val="000000" w:themeColor="text1"/>
        </w:rPr>
        <w:t>3.</w:t>
      </w:r>
      <w:r w:rsidRPr="006F53A8">
        <w:rPr>
          <w:color w:val="000000" w:themeColor="text1"/>
        </w:rPr>
        <w:tab/>
      </w:r>
      <w:bookmarkStart w:id="47" w:name="_Toc372719246"/>
      <w:bookmarkStart w:id="48" w:name="_Toc11735643"/>
      <w:bookmarkStart w:id="49" w:name="_Toc29883130"/>
      <w:bookmarkStart w:id="50" w:name="_Toc41906817"/>
      <w:bookmarkStart w:id="51" w:name="_Toc41907564"/>
      <w:bookmarkStart w:id="52" w:name="_Toc43112360"/>
      <w:bookmarkEnd w:id="46"/>
      <w:r w:rsidR="001122EC" w:rsidRPr="006F53A8">
        <w:rPr>
          <w:color w:val="000000" w:themeColor="text1"/>
        </w:rPr>
        <w:t>R</w:t>
      </w:r>
      <w:r w:rsidR="000B427A" w:rsidRPr="006F53A8">
        <w:rPr>
          <w:color w:val="000000" w:themeColor="text1"/>
        </w:rPr>
        <w:t>eferences</w:t>
      </w:r>
      <w:bookmarkEnd w:id="47"/>
    </w:p>
    <w:bookmarkEnd w:id="48"/>
    <w:bookmarkEnd w:id="49"/>
    <w:bookmarkEnd w:id="50"/>
    <w:bookmarkEnd w:id="51"/>
    <w:bookmarkEnd w:id="52"/>
    <w:p w:rsidR="00B41F4E" w:rsidRPr="00B41F4E" w:rsidRDefault="00643BA9" w:rsidP="00B41F4E">
      <w:pPr>
        <w:tabs>
          <w:tab w:val="left" w:pos="0"/>
        </w:tabs>
        <w:spacing w:after="240"/>
        <w:rPr>
          <w:rFonts w:cs="Arial"/>
          <w:noProof/>
          <w:color w:val="000000" w:themeColor="text1"/>
          <w:sz w:val="20"/>
          <w:szCs w:val="20"/>
        </w:rPr>
      </w:pPr>
      <w:r w:rsidRPr="00B41F4E">
        <w:rPr>
          <w:rFonts w:cs="Arial"/>
          <w:color w:val="000000" w:themeColor="text1"/>
          <w:sz w:val="20"/>
          <w:szCs w:val="20"/>
        </w:rPr>
        <w:fldChar w:fldCharType="begin"/>
      </w:r>
      <w:r w:rsidRPr="00B41F4E">
        <w:rPr>
          <w:rFonts w:cs="Arial"/>
          <w:color w:val="000000" w:themeColor="text1"/>
          <w:sz w:val="20"/>
          <w:szCs w:val="20"/>
        </w:rPr>
        <w:instrText xml:space="preserve"> ADDIN REFMGR.REFLIST </w:instrText>
      </w:r>
      <w:r w:rsidRPr="00B41F4E">
        <w:rPr>
          <w:rFonts w:cs="Arial"/>
          <w:color w:val="000000" w:themeColor="text1"/>
          <w:sz w:val="20"/>
          <w:szCs w:val="20"/>
        </w:rPr>
        <w:fldChar w:fldCharType="separate"/>
      </w:r>
      <w:r w:rsidR="00B41F4E" w:rsidRPr="00B41F4E">
        <w:rPr>
          <w:rFonts w:cs="Arial"/>
          <w:noProof/>
          <w:color w:val="000000" w:themeColor="text1"/>
          <w:sz w:val="20"/>
          <w:szCs w:val="20"/>
        </w:rPr>
        <w:t xml:space="preserve">Bartholomaeus, A., Parrott, W., Bondy, G. and Walker, K. (2013) The use of whole food animal studies in the safety assessment of genetically modified crops: Limitations and recommendations. </w:t>
      </w:r>
      <w:r w:rsidR="00B41F4E" w:rsidRPr="00B41F4E">
        <w:rPr>
          <w:rFonts w:cs="Arial"/>
          <w:i/>
          <w:noProof/>
          <w:color w:val="000000" w:themeColor="text1"/>
          <w:sz w:val="20"/>
          <w:szCs w:val="20"/>
        </w:rPr>
        <w:t xml:space="preserve">Critical Reviews in Toxicology </w:t>
      </w:r>
      <w:r w:rsidR="00B41F4E" w:rsidRPr="00B41F4E">
        <w:rPr>
          <w:rFonts w:cs="Arial"/>
          <w:noProof/>
          <w:color w:val="000000" w:themeColor="text1"/>
          <w:sz w:val="20"/>
          <w:szCs w:val="20"/>
        </w:rPr>
        <w:t>43(S2):1-24.</w:t>
      </w:r>
    </w:p>
    <w:p w:rsidR="00F36294" w:rsidRDefault="00F36294" w:rsidP="00B41F4E">
      <w:pPr>
        <w:tabs>
          <w:tab w:val="left" w:pos="0"/>
        </w:tabs>
        <w:spacing w:after="240"/>
        <w:rPr>
          <w:rFonts w:cs="Arial"/>
          <w:noProof/>
          <w:color w:val="000000" w:themeColor="text1"/>
          <w:sz w:val="20"/>
          <w:szCs w:val="20"/>
        </w:rPr>
      </w:pPr>
      <w:r>
        <w:rPr>
          <w:rFonts w:cs="Arial"/>
          <w:noProof/>
          <w:color w:val="000000" w:themeColor="text1"/>
          <w:sz w:val="20"/>
          <w:szCs w:val="20"/>
        </w:rPr>
        <w:br w:type="page"/>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lastRenderedPageBreak/>
        <w:t xml:space="preserve">Codex (2004) </w:t>
      </w:r>
      <w:r w:rsidRPr="00B41F4E">
        <w:rPr>
          <w:rFonts w:cs="Arial"/>
          <w:i/>
          <w:noProof/>
          <w:color w:val="000000" w:themeColor="text1"/>
          <w:sz w:val="20"/>
          <w:szCs w:val="20"/>
        </w:rPr>
        <w:t>Principles for the risk analysis of foods derived from modern biotechnology</w:t>
      </w:r>
      <w:r w:rsidRPr="00B41F4E">
        <w:rPr>
          <w:rFonts w:cs="Arial"/>
          <w:noProof/>
          <w:color w:val="000000" w:themeColor="text1"/>
          <w:sz w:val="20"/>
          <w:szCs w:val="20"/>
        </w:rPr>
        <w:t xml:space="preserve">. Report No. CAC/GL 44-2003, Codex Alimentarius Commission, Rome. </w:t>
      </w:r>
      <w:hyperlink r:id="rId28" w:history="1">
        <w:r w:rsidRPr="00B41F4E">
          <w:rPr>
            <w:rStyle w:val="Hyperlink"/>
            <w:rFonts w:cs="Arial"/>
            <w:noProof/>
            <w:sz w:val="20"/>
            <w:szCs w:val="20"/>
          </w:rPr>
          <w:t>http://www.codexalimentarius.net/web/standard_list.do?lang=en</w:t>
        </w:r>
      </w:hyperlink>
      <w:r w:rsidRPr="00B41F4E">
        <w:rPr>
          <w:rFonts w:cs="Arial"/>
          <w:noProof/>
          <w:color w:val="000000" w:themeColor="text1"/>
          <w:sz w:val="20"/>
          <w:szCs w:val="20"/>
        </w:rPr>
        <w:t xml:space="preserve">. </w:t>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EFSA. (2008) Safety and nutritional assessment of GM plants and derived food and feed: The role of animal feeding trials. </w:t>
      </w:r>
      <w:r w:rsidRPr="00B41F4E">
        <w:rPr>
          <w:rFonts w:cs="Arial"/>
          <w:i/>
          <w:noProof/>
          <w:color w:val="000000" w:themeColor="text1"/>
          <w:sz w:val="20"/>
          <w:szCs w:val="20"/>
        </w:rPr>
        <w:t xml:space="preserve">Food and Chemical Toxicology </w:t>
      </w:r>
      <w:r w:rsidRPr="00B41F4E">
        <w:rPr>
          <w:rFonts w:cs="Arial"/>
          <w:noProof/>
          <w:color w:val="000000" w:themeColor="text1"/>
          <w:sz w:val="20"/>
          <w:szCs w:val="20"/>
        </w:rPr>
        <w:t>46:S1-S70, doi:10.1016/j.fct.2008.02.008.</w:t>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EFSA. (2011) Guidance for risk assessment of food and feed from genetically modified plants. </w:t>
      </w:r>
      <w:r w:rsidRPr="00B41F4E">
        <w:rPr>
          <w:rFonts w:cs="Arial"/>
          <w:i/>
          <w:noProof/>
          <w:color w:val="000000" w:themeColor="text1"/>
          <w:sz w:val="20"/>
          <w:szCs w:val="20"/>
        </w:rPr>
        <w:t xml:space="preserve">EFSA Journal 2011 </w:t>
      </w:r>
      <w:r w:rsidRPr="00B41F4E">
        <w:rPr>
          <w:rFonts w:cs="Arial"/>
          <w:noProof/>
          <w:color w:val="000000" w:themeColor="text1"/>
          <w:sz w:val="20"/>
          <w:szCs w:val="20"/>
        </w:rPr>
        <w:t>9(5):2150.</w:t>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EFSA. (2013) Consideration of the applicability of OECD TG 453 to whole food/feed testing. </w:t>
      </w:r>
      <w:r w:rsidRPr="00B41F4E">
        <w:rPr>
          <w:rFonts w:cs="Arial"/>
          <w:i/>
          <w:noProof/>
          <w:color w:val="000000" w:themeColor="text1"/>
          <w:sz w:val="20"/>
          <w:szCs w:val="20"/>
        </w:rPr>
        <w:t xml:space="preserve">EFSA Journal 2013 </w:t>
      </w:r>
      <w:r w:rsidRPr="00B41F4E">
        <w:rPr>
          <w:rFonts w:cs="Arial"/>
          <w:noProof/>
          <w:color w:val="000000" w:themeColor="text1"/>
          <w:sz w:val="20"/>
          <w:szCs w:val="20"/>
        </w:rPr>
        <w:t>11(7):3347 (18 pp).</w:t>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FSANZ (2005) </w:t>
      </w:r>
      <w:r w:rsidRPr="00B41F4E">
        <w:rPr>
          <w:rFonts w:cs="Arial"/>
          <w:i/>
          <w:noProof/>
          <w:color w:val="000000" w:themeColor="text1"/>
          <w:sz w:val="20"/>
          <w:szCs w:val="20"/>
        </w:rPr>
        <w:t>Application A518 - Food derived from Insect Protected cotton line MXB-13</w:t>
      </w:r>
      <w:r w:rsidRPr="00B41F4E">
        <w:rPr>
          <w:rFonts w:cs="Arial"/>
          <w:noProof/>
          <w:color w:val="000000" w:themeColor="text1"/>
          <w:sz w:val="20"/>
          <w:szCs w:val="20"/>
        </w:rPr>
        <w:t xml:space="preserve">. Report prepared by Food Standards Australia New Zealand. </w:t>
      </w:r>
      <w:hyperlink r:id="rId29" w:history="1">
        <w:r w:rsidRPr="00B41F4E">
          <w:rPr>
            <w:rStyle w:val="Hyperlink"/>
            <w:rFonts w:cs="Arial"/>
            <w:noProof/>
            <w:sz w:val="20"/>
            <w:szCs w:val="20"/>
          </w:rPr>
          <w:t>http://www.foodstandards.gov.au/code/applications/pages/applicationa518foodd2314.aspx</w:t>
        </w:r>
      </w:hyperlink>
      <w:r w:rsidRPr="00B41F4E">
        <w:rPr>
          <w:rFonts w:cs="Arial"/>
          <w:noProof/>
          <w:color w:val="000000" w:themeColor="text1"/>
          <w:sz w:val="20"/>
          <w:szCs w:val="20"/>
        </w:rPr>
        <w:t xml:space="preserve">. </w:t>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FSANZ (2007) </w:t>
      </w:r>
      <w:r w:rsidRPr="00B41F4E">
        <w:rPr>
          <w:rFonts w:cs="Arial"/>
          <w:i/>
          <w:noProof/>
          <w:color w:val="000000" w:themeColor="text1"/>
          <w:sz w:val="20"/>
          <w:szCs w:val="20"/>
        </w:rPr>
        <w:t>Safety assessment of genetically modified foods – Guidance document</w:t>
      </w:r>
      <w:r w:rsidRPr="00B41F4E">
        <w:rPr>
          <w:rFonts w:cs="Arial"/>
          <w:noProof/>
          <w:color w:val="000000" w:themeColor="text1"/>
          <w:sz w:val="20"/>
          <w:szCs w:val="20"/>
        </w:rPr>
        <w:t xml:space="preserve">. Document prepared by Food Standards Australia New Zealand. </w:t>
      </w:r>
      <w:hyperlink r:id="rId30" w:history="1">
        <w:r w:rsidRPr="00B41F4E">
          <w:rPr>
            <w:rStyle w:val="Hyperlink"/>
            <w:rFonts w:cs="Arial"/>
            <w:noProof/>
            <w:sz w:val="20"/>
            <w:szCs w:val="20"/>
          </w:rPr>
          <w:t>http://www.foodstandards.gov.au/_srcfiles/GM%20FINAL%20Sept%2007L%20_2_.pdf</w:t>
        </w:r>
      </w:hyperlink>
      <w:r w:rsidRPr="00B41F4E">
        <w:rPr>
          <w:rFonts w:cs="Arial"/>
          <w:noProof/>
          <w:color w:val="000000" w:themeColor="text1"/>
          <w:sz w:val="20"/>
          <w:szCs w:val="20"/>
        </w:rPr>
        <w:t xml:space="preserve">. </w:t>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FSANZ (2011) </w:t>
      </w:r>
      <w:r w:rsidRPr="00B41F4E">
        <w:rPr>
          <w:rFonts w:cs="Arial"/>
          <w:i/>
          <w:noProof/>
          <w:color w:val="000000" w:themeColor="text1"/>
          <w:sz w:val="20"/>
          <w:szCs w:val="20"/>
        </w:rPr>
        <w:t>Application handbook</w:t>
      </w:r>
      <w:r w:rsidRPr="00B41F4E">
        <w:rPr>
          <w:rFonts w:cs="Arial"/>
          <w:noProof/>
          <w:color w:val="000000" w:themeColor="text1"/>
          <w:sz w:val="20"/>
          <w:szCs w:val="20"/>
        </w:rPr>
        <w:t xml:space="preserve">. Prepared by Food Standards Australia New Zealand. </w:t>
      </w:r>
      <w:hyperlink r:id="rId31" w:history="1">
        <w:r w:rsidRPr="00B41F4E">
          <w:rPr>
            <w:rStyle w:val="Hyperlink"/>
            <w:rFonts w:cs="Arial"/>
            <w:noProof/>
            <w:sz w:val="20"/>
            <w:szCs w:val="20"/>
          </w:rPr>
          <w:t>http://www.foodstandards.gov.au/foodstandards/changingthecode/applicationshandbook.cfm</w:t>
        </w:r>
      </w:hyperlink>
      <w:r w:rsidRPr="00B41F4E">
        <w:rPr>
          <w:rFonts w:cs="Arial"/>
          <w:noProof/>
          <w:color w:val="000000" w:themeColor="text1"/>
          <w:sz w:val="20"/>
          <w:szCs w:val="20"/>
        </w:rPr>
        <w:t xml:space="preserve">. </w:t>
      </w:r>
    </w:p>
    <w:p w:rsidR="00B41F4E" w:rsidRPr="00B41F4E" w:rsidRDefault="00B41F4E" w:rsidP="00B41F4E">
      <w:pPr>
        <w:tabs>
          <w:tab w:val="left" w:pos="0"/>
        </w:tabs>
        <w:spacing w:after="240"/>
        <w:rPr>
          <w:rFonts w:cs="Arial"/>
          <w:noProof/>
          <w:color w:val="000000" w:themeColor="text1"/>
          <w:sz w:val="20"/>
          <w:szCs w:val="20"/>
        </w:rPr>
      </w:pPr>
      <w:r w:rsidRPr="00B41F4E">
        <w:rPr>
          <w:rFonts w:cs="Arial"/>
          <w:noProof/>
          <w:color w:val="000000" w:themeColor="text1"/>
          <w:sz w:val="20"/>
          <w:szCs w:val="20"/>
        </w:rPr>
        <w:t xml:space="preserve">Goodman, R.E. and Tetteh, A.O. (2011) Suggested improvements for the allergenicity assessment of genetically modified plants used in foods. </w:t>
      </w:r>
      <w:r w:rsidRPr="00B41F4E">
        <w:rPr>
          <w:rFonts w:cs="Arial"/>
          <w:i/>
          <w:noProof/>
          <w:color w:val="000000" w:themeColor="text1"/>
          <w:sz w:val="20"/>
          <w:szCs w:val="20"/>
        </w:rPr>
        <w:t xml:space="preserve">Current Allergy and Asthma Reports </w:t>
      </w:r>
      <w:r w:rsidRPr="00B41F4E">
        <w:rPr>
          <w:rFonts w:cs="Arial"/>
          <w:noProof/>
          <w:color w:val="000000" w:themeColor="text1"/>
          <w:sz w:val="20"/>
          <w:szCs w:val="20"/>
        </w:rPr>
        <w:t>11:317-324.</w:t>
      </w:r>
    </w:p>
    <w:p w:rsidR="00B41F4E" w:rsidRPr="00B41F4E" w:rsidRDefault="00B41F4E" w:rsidP="00B41F4E">
      <w:pPr>
        <w:tabs>
          <w:tab w:val="left" w:pos="0"/>
        </w:tabs>
        <w:rPr>
          <w:rFonts w:cs="Arial"/>
          <w:noProof/>
          <w:color w:val="000000" w:themeColor="text1"/>
          <w:sz w:val="20"/>
          <w:szCs w:val="20"/>
        </w:rPr>
      </w:pPr>
      <w:r w:rsidRPr="00B41F4E">
        <w:rPr>
          <w:rFonts w:cs="Arial"/>
          <w:noProof/>
          <w:color w:val="000000" w:themeColor="text1"/>
          <w:sz w:val="20"/>
          <w:szCs w:val="20"/>
        </w:rPr>
        <w:t xml:space="preserve">Rigaud, N. (2008) </w:t>
      </w:r>
      <w:r w:rsidRPr="00B41F4E">
        <w:rPr>
          <w:rFonts w:cs="Arial"/>
          <w:i/>
          <w:noProof/>
          <w:color w:val="000000" w:themeColor="text1"/>
          <w:sz w:val="20"/>
          <w:szCs w:val="20"/>
        </w:rPr>
        <w:t>Biotechnology: ethical and social debates</w:t>
      </w:r>
      <w:r w:rsidRPr="00B41F4E">
        <w:rPr>
          <w:rFonts w:cs="Arial"/>
          <w:noProof/>
          <w:color w:val="000000" w:themeColor="text1"/>
          <w:sz w:val="20"/>
          <w:szCs w:val="20"/>
        </w:rPr>
        <w:t xml:space="preserve">. OECD International Futures Project on "The Bioeconomy to 2030: Designing a Policy Agenda". </w:t>
      </w:r>
      <w:hyperlink r:id="rId32" w:history="1">
        <w:r w:rsidRPr="00B41F4E">
          <w:rPr>
            <w:rStyle w:val="Hyperlink"/>
            <w:rFonts w:cs="Arial"/>
            <w:noProof/>
            <w:sz w:val="20"/>
            <w:szCs w:val="20"/>
          </w:rPr>
          <w:t>http://www.oecd.org/futures/long-termtechnologicalsocietalchallenges/40926844.pdf</w:t>
        </w:r>
      </w:hyperlink>
      <w:r w:rsidRPr="00B41F4E">
        <w:rPr>
          <w:rFonts w:cs="Arial"/>
          <w:noProof/>
          <w:color w:val="000000" w:themeColor="text1"/>
          <w:sz w:val="20"/>
          <w:szCs w:val="20"/>
        </w:rPr>
        <w:t xml:space="preserve">. </w:t>
      </w:r>
    </w:p>
    <w:p w:rsidR="00F20964" w:rsidRPr="00561158" w:rsidRDefault="00643BA9" w:rsidP="00643BA9">
      <w:pPr>
        <w:spacing w:before="240"/>
        <w:rPr>
          <w:rFonts w:cs="Arial"/>
          <w:color w:val="000000" w:themeColor="text1"/>
          <w:sz w:val="28"/>
          <w:szCs w:val="20"/>
        </w:rPr>
      </w:pPr>
      <w:r w:rsidRPr="00B41F4E">
        <w:rPr>
          <w:rFonts w:cs="Arial"/>
          <w:color w:val="000000" w:themeColor="text1"/>
          <w:sz w:val="20"/>
          <w:szCs w:val="20"/>
        </w:rPr>
        <w:fldChar w:fldCharType="end"/>
      </w:r>
      <w:r w:rsidR="00F20964" w:rsidRPr="00561158">
        <w:rPr>
          <w:b/>
          <w:color w:val="000000" w:themeColor="text1"/>
          <w:sz w:val="28"/>
          <w:szCs w:val="20"/>
        </w:rPr>
        <w:t>Attachments</w:t>
      </w:r>
    </w:p>
    <w:p w:rsidR="00F20964" w:rsidRPr="006F53A8" w:rsidRDefault="00F20964" w:rsidP="00755F02">
      <w:pPr>
        <w:rPr>
          <w:color w:val="000000" w:themeColor="text1"/>
        </w:rPr>
      </w:pPr>
    </w:p>
    <w:p w:rsidR="0012388D" w:rsidRPr="006F53A8" w:rsidRDefault="00755F02" w:rsidP="009A2699">
      <w:pPr>
        <w:ind w:left="567" w:hanging="567"/>
        <w:rPr>
          <w:color w:val="000000" w:themeColor="text1"/>
        </w:rPr>
      </w:pPr>
      <w:r w:rsidRPr="006F53A8">
        <w:rPr>
          <w:color w:val="000000" w:themeColor="text1"/>
        </w:rPr>
        <w:t>A.</w:t>
      </w:r>
      <w:r w:rsidRPr="006F53A8">
        <w:rPr>
          <w:color w:val="000000" w:themeColor="text1"/>
        </w:rPr>
        <w:tab/>
      </w:r>
      <w:r w:rsidR="009A2699" w:rsidRPr="006F53A8">
        <w:rPr>
          <w:color w:val="000000" w:themeColor="text1"/>
        </w:rPr>
        <w:t xml:space="preserve">Approved </w:t>
      </w:r>
      <w:r w:rsidR="00272E09" w:rsidRPr="006F53A8">
        <w:rPr>
          <w:color w:val="000000" w:themeColor="text1"/>
        </w:rPr>
        <w:t xml:space="preserve">draft </w:t>
      </w:r>
      <w:r w:rsidR="000576EB" w:rsidRPr="006F53A8">
        <w:rPr>
          <w:color w:val="000000" w:themeColor="text1"/>
        </w:rPr>
        <w:t xml:space="preserve">variation to the </w:t>
      </w:r>
      <w:r w:rsidR="000576EB" w:rsidRPr="006F53A8">
        <w:rPr>
          <w:i/>
          <w:color w:val="000000" w:themeColor="text1"/>
        </w:rPr>
        <w:t>Australia New Zealand Food Standards Code</w:t>
      </w:r>
      <w:r w:rsidR="00486C66" w:rsidRPr="006F53A8">
        <w:rPr>
          <w:color w:val="000000" w:themeColor="text1"/>
        </w:rPr>
        <w:t xml:space="preserve"> </w:t>
      </w:r>
    </w:p>
    <w:p w:rsidR="00795D86" w:rsidRPr="006F53A8" w:rsidRDefault="00795D86" w:rsidP="00755F02">
      <w:pPr>
        <w:rPr>
          <w:color w:val="000000" w:themeColor="text1"/>
        </w:rPr>
      </w:pPr>
      <w:r w:rsidRPr="006F53A8">
        <w:rPr>
          <w:color w:val="000000" w:themeColor="text1"/>
        </w:rPr>
        <w:t>B.</w:t>
      </w:r>
      <w:r w:rsidRPr="006F53A8">
        <w:rPr>
          <w:color w:val="000000" w:themeColor="text1"/>
        </w:rPr>
        <w:tab/>
        <w:t>Explanatory Statement</w:t>
      </w:r>
    </w:p>
    <w:p w:rsidR="0012388D" w:rsidRPr="00272E09" w:rsidRDefault="003C4969" w:rsidP="007D0189">
      <w:pPr>
        <w:pStyle w:val="Heading2"/>
        <w:ind w:left="0" w:firstLine="0"/>
      </w:pPr>
      <w:r w:rsidRPr="006F53A8">
        <w:rPr>
          <w:color w:val="000000" w:themeColor="text1"/>
        </w:rPr>
        <w:br w:type="page"/>
      </w:r>
      <w:bookmarkStart w:id="53" w:name="_Toc29883131"/>
      <w:bookmarkStart w:id="54" w:name="_Toc41906818"/>
      <w:bookmarkStart w:id="55" w:name="_Toc41907565"/>
      <w:bookmarkStart w:id="56" w:name="_Toc120358596"/>
      <w:bookmarkStart w:id="57" w:name="_Toc175381458"/>
      <w:bookmarkStart w:id="58" w:name="_Toc11735644"/>
      <w:bookmarkStart w:id="59" w:name="_Toc372719247"/>
      <w:r w:rsidRPr="00272E09">
        <w:lastRenderedPageBreak/>
        <w:t xml:space="preserve">Attachment </w:t>
      </w:r>
      <w:bookmarkEnd w:id="53"/>
      <w:bookmarkEnd w:id="54"/>
      <w:bookmarkEnd w:id="55"/>
      <w:bookmarkEnd w:id="56"/>
      <w:bookmarkEnd w:id="57"/>
      <w:r w:rsidR="00456B54" w:rsidRPr="00272E09">
        <w:t>A</w:t>
      </w:r>
      <w:bookmarkStart w:id="60" w:name="_Toc120358597"/>
      <w:bookmarkStart w:id="61" w:name="_Toc175381459"/>
      <w:bookmarkEnd w:id="58"/>
      <w:r w:rsidR="00755F02" w:rsidRPr="00272E09">
        <w:t xml:space="preserve"> – </w:t>
      </w:r>
      <w:r w:rsidR="009A2699" w:rsidRPr="00272E09">
        <w:t>Approved</w:t>
      </w:r>
      <w:r w:rsidRPr="00272E09">
        <w:t xml:space="preserve"> </w:t>
      </w:r>
      <w:r w:rsidR="00272E09" w:rsidRPr="00272E09">
        <w:t xml:space="preserve">draft </w:t>
      </w:r>
      <w:r w:rsidRPr="00272E09">
        <w:t xml:space="preserve">variation to the </w:t>
      </w:r>
      <w:r w:rsidR="00D15A08" w:rsidRPr="00272E09">
        <w:rPr>
          <w:i/>
        </w:rPr>
        <w:t>Australia New Zealand Food Standards Code</w:t>
      </w:r>
      <w:bookmarkEnd w:id="60"/>
      <w:bookmarkEnd w:id="61"/>
      <w:bookmarkEnd w:id="59"/>
    </w:p>
    <w:p w:rsidR="00200BE6" w:rsidRDefault="00200BE6" w:rsidP="00200BE6">
      <w:pPr>
        <w:rPr>
          <w:noProof/>
          <w:sz w:val="20"/>
          <w:lang w:eastAsia="en-AU"/>
        </w:rPr>
      </w:pPr>
      <w:r w:rsidRPr="00272E09">
        <w:rPr>
          <w:noProof/>
          <w:sz w:val="20"/>
          <w:lang w:eastAsia="en-GB" w:bidi="ar-SA"/>
        </w:rPr>
        <w:drawing>
          <wp:inline distT="0" distB="0" distL="0" distR="0" wp14:anchorId="28E92F36" wp14:editId="14C4EAD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9C5D87" w:rsidRPr="00FD52BA" w:rsidRDefault="009C5D87" w:rsidP="00200BE6">
      <w:pPr>
        <w:rPr>
          <w:noProof/>
          <w:sz w:val="20"/>
          <w:lang w:eastAsia="en-AU"/>
        </w:rPr>
      </w:pPr>
    </w:p>
    <w:p w:rsidR="009C5D87" w:rsidRDefault="009C5D87" w:rsidP="009C5D87">
      <w:pPr>
        <w:pBdr>
          <w:bottom w:val="single" w:sz="4" w:space="1" w:color="auto"/>
        </w:pBdr>
        <w:rPr>
          <w:b/>
          <w:sz w:val="20"/>
        </w:rPr>
      </w:pPr>
      <w:r w:rsidRPr="006153A1">
        <w:rPr>
          <w:b/>
          <w:sz w:val="20"/>
        </w:rPr>
        <w:t>Food Standards (</w:t>
      </w:r>
      <w:r w:rsidRPr="00F618DF">
        <w:rPr>
          <w:b/>
          <w:sz w:val="20"/>
        </w:rPr>
        <w:t xml:space="preserve">Application </w:t>
      </w:r>
      <w:r>
        <w:rPr>
          <w:b/>
          <w:sz w:val="20"/>
        </w:rPr>
        <w:t>A1087</w:t>
      </w:r>
      <w:r w:rsidRPr="007852C7">
        <w:rPr>
          <w:b/>
          <w:sz w:val="20"/>
        </w:rPr>
        <w:t xml:space="preserve"> – </w:t>
      </w:r>
      <w:r w:rsidRPr="00D10D6D">
        <w:rPr>
          <w:b/>
          <w:sz w:val="20"/>
        </w:rPr>
        <w:t>Food derived from Insect-protected Soybean Line DAS</w:t>
      </w:r>
      <w:r w:rsidRPr="00D10D6D">
        <w:rPr>
          <w:b/>
          <w:sz w:val="20"/>
        </w:rPr>
        <w:noBreakHyphen/>
        <w:t>81419-2</w:t>
      </w:r>
      <w:r w:rsidRPr="007D235C">
        <w:rPr>
          <w:b/>
          <w:iCs/>
          <w:sz w:val="20"/>
        </w:rPr>
        <w:t>)</w:t>
      </w:r>
      <w:r>
        <w:rPr>
          <w:b/>
          <w:i/>
          <w:sz w:val="20"/>
        </w:rPr>
        <w:t xml:space="preserve"> </w:t>
      </w:r>
      <w:r w:rsidRPr="00D3581B">
        <w:rPr>
          <w:b/>
          <w:sz w:val="20"/>
        </w:rPr>
        <w:t>Variation</w:t>
      </w:r>
    </w:p>
    <w:p w:rsidR="00272E09" w:rsidRPr="00272E09" w:rsidRDefault="00272E09" w:rsidP="00200BE6">
      <w:pPr>
        <w:pBdr>
          <w:bottom w:val="single" w:sz="4" w:space="1" w:color="auto"/>
        </w:pBdr>
        <w:rPr>
          <w:b/>
          <w:sz w:val="20"/>
        </w:rPr>
      </w:pPr>
    </w:p>
    <w:p w:rsidR="00200BE6" w:rsidRPr="00272E09" w:rsidRDefault="00200BE6" w:rsidP="00200BE6">
      <w:pPr>
        <w:rPr>
          <w:sz w:val="20"/>
        </w:rPr>
      </w:pPr>
    </w:p>
    <w:p w:rsidR="00200BE6" w:rsidRPr="00272E09" w:rsidRDefault="00200BE6" w:rsidP="00200BE6">
      <w:pPr>
        <w:rPr>
          <w:sz w:val="20"/>
        </w:rPr>
      </w:pPr>
      <w:r w:rsidRPr="00272E09">
        <w:rPr>
          <w:sz w:val="20"/>
        </w:rPr>
        <w:t xml:space="preserve">The Board of Food Standards Australia New Zealand gives notice of the making of this variation under section 92 of the </w:t>
      </w:r>
      <w:r w:rsidRPr="00272E09">
        <w:rPr>
          <w:i/>
          <w:sz w:val="20"/>
        </w:rPr>
        <w:t>Food Standards Australia New Zealand Act 1991</w:t>
      </w:r>
      <w:r w:rsidRPr="00272E09">
        <w:rPr>
          <w:sz w:val="20"/>
        </w:rPr>
        <w:t>.  The Standard commences on the date specified in clause 3 of this variation.</w:t>
      </w:r>
    </w:p>
    <w:p w:rsidR="00200BE6" w:rsidRPr="00272E09" w:rsidRDefault="00200BE6" w:rsidP="00200BE6">
      <w:pPr>
        <w:rPr>
          <w:sz w:val="20"/>
        </w:rPr>
      </w:pPr>
    </w:p>
    <w:p w:rsidR="00200BE6" w:rsidRPr="00272E09" w:rsidRDefault="00200BE6" w:rsidP="00200BE6">
      <w:pPr>
        <w:rPr>
          <w:sz w:val="20"/>
        </w:rPr>
      </w:pPr>
      <w:r w:rsidRPr="00272E09">
        <w:rPr>
          <w:sz w:val="20"/>
        </w:rPr>
        <w:t>Dated [To be completed by Standards Management Officer]</w:t>
      </w: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r w:rsidRPr="00272E09">
        <w:rPr>
          <w:sz w:val="20"/>
        </w:rPr>
        <w:t>Standards Management Officer</w:t>
      </w:r>
    </w:p>
    <w:p w:rsidR="00200BE6" w:rsidRPr="00272E09" w:rsidRDefault="00200BE6" w:rsidP="00200BE6">
      <w:pPr>
        <w:rPr>
          <w:sz w:val="20"/>
        </w:rPr>
      </w:pPr>
      <w:r w:rsidRPr="00272E09">
        <w:rPr>
          <w:sz w:val="20"/>
        </w:rPr>
        <w:t>Delegate of the Board of Food Standards Australia New Zealand</w:t>
      </w: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272E09" w:rsidRDefault="00200BE6" w:rsidP="00200BE6">
      <w:pPr>
        <w:rPr>
          <w:sz w:val="20"/>
        </w:rPr>
      </w:pPr>
    </w:p>
    <w:p w:rsidR="00200BE6" w:rsidRPr="009F38D1" w:rsidRDefault="00200BE6" w:rsidP="00200BE6">
      <w:pPr>
        <w:pStyle w:val="EditorialNoteLine1"/>
      </w:pPr>
      <w:r w:rsidRPr="009F38D1">
        <w:t xml:space="preserve">Note:  </w:t>
      </w:r>
    </w:p>
    <w:p w:rsidR="00200BE6" w:rsidRPr="009F38D1" w:rsidRDefault="00200BE6" w:rsidP="00200BE6">
      <w:pPr>
        <w:pStyle w:val="EditorialNotetext"/>
      </w:pPr>
    </w:p>
    <w:p w:rsidR="00200BE6" w:rsidRPr="009F38D1" w:rsidRDefault="00200BE6" w:rsidP="00200BE6">
      <w:pPr>
        <w:pStyle w:val="EditorialNotetext"/>
      </w:pPr>
      <w:r w:rsidRPr="009F38D1">
        <w:t xml:space="preserve">This variation will be published in the Commonwealth of Australia Gazette No. </w:t>
      </w:r>
      <w:proofErr w:type="gramStart"/>
      <w:r w:rsidRPr="009F38D1">
        <w:t xml:space="preserve">FSC </w:t>
      </w:r>
      <w:r w:rsidRPr="009F38D1">
        <w:rPr>
          <w:color w:val="FF0000"/>
        </w:rPr>
        <w:t>XX on XX Month 20XX</w:t>
      </w:r>
      <w:r w:rsidRPr="009F38D1">
        <w:t>.</w:t>
      </w:r>
      <w:proofErr w:type="gramEnd"/>
      <w:r w:rsidRPr="009F38D1">
        <w:t xml:space="preserve"> This means that this date is the gazettal date for the purposes of clause 3 of the variation. </w:t>
      </w:r>
    </w:p>
    <w:p w:rsidR="00200BE6" w:rsidRPr="00272E09" w:rsidRDefault="00200BE6" w:rsidP="00200BE6">
      <w:pPr>
        <w:rPr>
          <w:sz w:val="20"/>
        </w:rPr>
      </w:pPr>
    </w:p>
    <w:p w:rsidR="002F241A" w:rsidRPr="00272E09" w:rsidRDefault="00200BE6" w:rsidP="002F241A">
      <w:pPr>
        <w:widowControl/>
        <w:rPr>
          <w:sz w:val="20"/>
        </w:rPr>
      </w:pPr>
      <w:r w:rsidRPr="00272E09">
        <w:rPr>
          <w:sz w:val="20"/>
        </w:rPr>
        <w:br w:type="page"/>
      </w:r>
    </w:p>
    <w:p w:rsidR="001D71D0" w:rsidRDefault="00200BE6" w:rsidP="001D71D0">
      <w:pPr>
        <w:pStyle w:val="Clauseheading"/>
      </w:pPr>
      <w:bookmarkStart w:id="62" w:name="_Toc120358598"/>
      <w:bookmarkStart w:id="63" w:name="_Toc175381460"/>
      <w:r w:rsidRPr="00272E09">
        <w:lastRenderedPageBreak/>
        <w:t>1</w:t>
      </w:r>
      <w:r w:rsidRPr="00272E09">
        <w:tab/>
        <w:t>Name</w:t>
      </w:r>
    </w:p>
    <w:p w:rsidR="001D71D0" w:rsidRDefault="001D71D0" w:rsidP="001D71D0">
      <w:pPr>
        <w:pStyle w:val="Clause"/>
      </w:pPr>
    </w:p>
    <w:p w:rsidR="001D71D0" w:rsidRPr="00F618DF" w:rsidRDefault="001D71D0" w:rsidP="001D71D0">
      <w:pPr>
        <w:pStyle w:val="Clause"/>
      </w:pPr>
      <w:r w:rsidRPr="00DB170D">
        <w:t xml:space="preserve">This instrument is the </w:t>
      </w:r>
      <w:r>
        <w:rPr>
          <w:i/>
        </w:rPr>
        <w:t xml:space="preserve">Food Standards </w:t>
      </w:r>
      <w:r w:rsidRPr="00F618DF">
        <w:rPr>
          <w:i/>
        </w:rPr>
        <w:t>(</w:t>
      </w:r>
      <w:r w:rsidRPr="009B7A5A">
        <w:rPr>
          <w:i/>
        </w:rPr>
        <w:t>Application A1087 – Food derived from Insect-protected Soybean Line DAS-81419-2</w:t>
      </w:r>
      <w:r w:rsidRPr="001F6F1A">
        <w:rPr>
          <w:i/>
        </w:rPr>
        <w:t>)</w:t>
      </w:r>
      <w:r>
        <w:rPr>
          <w:i/>
        </w:rPr>
        <w:t xml:space="preserve"> </w:t>
      </w:r>
      <w:r w:rsidRPr="00F618DF">
        <w:rPr>
          <w:i/>
        </w:rPr>
        <w:t>Variation</w:t>
      </w:r>
      <w:r w:rsidRPr="00F618DF">
        <w:t>.</w:t>
      </w:r>
    </w:p>
    <w:p w:rsidR="001D71D0" w:rsidRDefault="001D71D0" w:rsidP="001D71D0">
      <w:pPr>
        <w:pStyle w:val="Clause"/>
      </w:pPr>
    </w:p>
    <w:p w:rsidR="001D71D0" w:rsidRPr="0036244B" w:rsidRDefault="001D71D0" w:rsidP="001D71D0">
      <w:pPr>
        <w:pStyle w:val="Clauseheading"/>
        <w:tabs>
          <w:tab w:val="clear" w:pos="851"/>
        </w:tabs>
        <w:ind w:left="851" w:hanging="851"/>
      </w:pPr>
      <w:r>
        <w:t>2</w:t>
      </w:r>
      <w:r>
        <w:tab/>
        <w:t>V</w:t>
      </w:r>
      <w:r w:rsidRPr="0036244B">
        <w:t>ariation to</w:t>
      </w:r>
      <w:r w:rsidRPr="005800A7">
        <w:rPr>
          <w:color w:val="000000" w:themeColor="text1"/>
        </w:rPr>
        <w:t xml:space="preserve"> a</w:t>
      </w:r>
      <w:r w:rsidR="000F3C04" w:rsidRPr="005800A7">
        <w:rPr>
          <w:color w:val="000000" w:themeColor="text1"/>
        </w:rPr>
        <w:t xml:space="preserve"> </w:t>
      </w:r>
      <w:r w:rsidRPr="0036244B">
        <w:t xml:space="preserve">Standard in the </w:t>
      </w:r>
      <w:r w:rsidRPr="000B37F8">
        <w:rPr>
          <w:i/>
        </w:rPr>
        <w:t>Australia New Zealand Food Standards Code</w:t>
      </w:r>
    </w:p>
    <w:p w:rsidR="001D71D0" w:rsidRDefault="001D71D0" w:rsidP="001D71D0">
      <w:pPr>
        <w:pStyle w:val="Clause"/>
      </w:pPr>
    </w:p>
    <w:p w:rsidR="001D71D0" w:rsidRDefault="001D71D0" w:rsidP="001D71D0">
      <w:pPr>
        <w:pStyle w:val="Clause"/>
      </w:pPr>
      <w:r>
        <w:t xml:space="preserve">The Schedule varies a Standard in the </w:t>
      </w:r>
      <w:r w:rsidRPr="00FF1C11">
        <w:rPr>
          <w:i/>
        </w:rPr>
        <w:t>Australia New Zealand Food Standards Code</w:t>
      </w:r>
      <w:r>
        <w:t>.</w:t>
      </w:r>
    </w:p>
    <w:p w:rsidR="001D71D0" w:rsidRDefault="001D71D0" w:rsidP="001D71D0">
      <w:pPr>
        <w:rPr>
          <w:sz w:val="20"/>
        </w:rPr>
      </w:pPr>
    </w:p>
    <w:p w:rsidR="001D71D0" w:rsidRDefault="001D71D0" w:rsidP="001D71D0">
      <w:pPr>
        <w:pStyle w:val="Clauseheading"/>
      </w:pPr>
      <w:r>
        <w:t>3</w:t>
      </w:r>
      <w:r>
        <w:tab/>
        <w:t>Commencement</w:t>
      </w:r>
    </w:p>
    <w:p w:rsidR="001D71D0" w:rsidRDefault="001D71D0" w:rsidP="001D71D0">
      <w:pPr>
        <w:pStyle w:val="Clause"/>
      </w:pPr>
    </w:p>
    <w:p w:rsidR="001D71D0" w:rsidRDefault="001D71D0" w:rsidP="001D71D0">
      <w:pPr>
        <w:pStyle w:val="Clause"/>
      </w:pPr>
      <w:r>
        <w:t>The variation commenc</w:t>
      </w:r>
      <w:r w:rsidRPr="000055C4">
        <w:t>e</w:t>
      </w:r>
      <w:r>
        <w:t>s</w:t>
      </w:r>
      <w:r w:rsidRPr="000055C4">
        <w:t xml:space="preserve"> on </w:t>
      </w:r>
      <w:r>
        <w:t>the date of gazettal.</w:t>
      </w:r>
    </w:p>
    <w:p w:rsidR="001D71D0" w:rsidRDefault="001D71D0" w:rsidP="001D71D0">
      <w:pPr>
        <w:pStyle w:val="ScheduleHeading"/>
      </w:pPr>
    </w:p>
    <w:p w:rsidR="001D71D0" w:rsidRDefault="001D71D0" w:rsidP="001D71D0">
      <w:pPr>
        <w:pStyle w:val="ScheduleHeading"/>
      </w:pPr>
      <w:r>
        <w:t>SCHEDULE</w:t>
      </w:r>
    </w:p>
    <w:p w:rsidR="001D71D0" w:rsidRDefault="001D71D0" w:rsidP="001D71D0">
      <w:pPr>
        <w:widowControl/>
        <w:rPr>
          <w:sz w:val="20"/>
        </w:rPr>
      </w:pPr>
    </w:p>
    <w:p w:rsidR="001D71D0" w:rsidRPr="008B3957" w:rsidRDefault="001D71D0" w:rsidP="001D71D0">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1D71D0" w:rsidRDefault="001D71D0" w:rsidP="001D71D0"/>
    <w:p w:rsidR="001D71D0" w:rsidRDefault="001D71D0" w:rsidP="001D71D0">
      <w: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1D71D0" w:rsidRPr="00771CC7" w:rsidTr="00ED663C">
        <w:trPr>
          <w:cantSplit/>
          <w:trHeight w:val="465"/>
        </w:trPr>
        <w:tc>
          <w:tcPr>
            <w:tcW w:w="1364" w:type="dxa"/>
          </w:tcPr>
          <w:p w:rsidR="001D71D0" w:rsidRPr="00771CC7" w:rsidRDefault="001D71D0" w:rsidP="00ED663C">
            <w:pPr>
              <w:pStyle w:val="Table2"/>
              <w:rPr>
                <w:color w:val="000000"/>
              </w:rPr>
            </w:pPr>
          </w:p>
        </w:tc>
        <w:tc>
          <w:tcPr>
            <w:tcW w:w="1443" w:type="dxa"/>
          </w:tcPr>
          <w:p w:rsidR="001D71D0" w:rsidRDefault="001D71D0" w:rsidP="00ED663C">
            <w:pPr>
              <w:pStyle w:val="Table2"/>
            </w:pPr>
            <w:r>
              <w:t>7.15</w:t>
            </w:r>
          </w:p>
        </w:tc>
        <w:tc>
          <w:tcPr>
            <w:tcW w:w="3516" w:type="dxa"/>
          </w:tcPr>
          <w:p w:rsidR="001D71D0" w:rsidRPr="00901636" w:rsidRDefault="001D71D0" w:rsidP="00ED663C">
            <w:pPr>
              <w:pStyle w:val="Table2"/>
            </w:pPr>
            <w:r w:rsidRPr="00BB0F4A">
              <w:t>Food derived from insect-protected soybean line DAS-81419-2</w:t>
            </w:r>
          </w:p>
        </w:tc>
        <w:tc>
          <w:tcPr>
            <w:tcW w:w="2466" w:type="dxa"/>
          </w:tcPr>
          <w:p w:rsidR="001D71D0" w:rsidRPr="00771CC7" w:rsidRDefault="001D71D0" w:rsidP="00ED663C">
            <w:pPr>
              <w:pStyle w:val="Table2"/>
              <w:rPr>
                <w:color w:val="000000"/>
              </w:rPr>
            </w:pPr>
          </w:p>
        </w:tc>
      </w:tr>
    </w:tbl>
    <w:p w:rsidR="00200BE6" w:rsidRPr="00272E09" w:rsidRDefault="00200BE6" w:rsidP="00200BE6">
      <w:pPr>
        <w:jc w:val="right"/>
      </w:pPr>
      <w:r w:rsidRPr="00272E09">
        <w:t>”</w:t>
      </w:r>
    </w:p>
    <w:p w:rsidR="00200BE6" w:rsidRPr="00272E09" w:rsidRDefault="00200BE6">
      <w:pPr>
        <w:widowControl/>
      </w:pPr>
      <w:r w:rsidRPr="00272E09">
        <w:br w:type="page"/>
      </w:r>
    </w:p>
    <w:p w:rsidR="007D0189" w:rsidRPr="00272E09" w:rsidRDefault="007D0189" w:rsidP="007D0189">
      <w:pPr>
        <w:pStyle w:val="Heading2"/>
        <w:ind w:left="0" w:firstLine="0"/>
      </w:pPr>
      <w:bookmarkStart w:id="64" w:name="_Toc372719248"/>
      <w:r w:rsidRPr="00272E09">
        <w:lastRenderedPageBreak/>
        <w:t>Attachment B – Explanatory Statement</w:t>
      </w:r>
      <w:bookmarkEnd w:id="64"/>
    </w:p>
    <w:bookmarkEnd w:id="62"/>
    <w:bookmarkEnd w:id="63"/>
    <w:p w:rsidR="00F20964" w:rsidRPr="00272E09" w:rsidRDefault="00F20964" w:rsidP="00F20964">
      <w:pPr>
        <w:rPr>
          <w:b/>
          <w:lang w:eastAsia="en-GB" w:bidi="ar-SA"/>
        </w:rPr>
      </w:pPr>
      <w:r w:rsidRPr="00272E09">
        <w:rPr>
          <w:b/>
          <w:lang w:eastAsia="en-GB" w:bidi="ar-SA"/>
        </w:rPr>
        <w:t>1.</w:t>
      </w:r>
      <w:r w:rsidRPr="00272E09">
        <w:rPr>
          <w:b/>
          <w:lang w:eastAsia="en-GB" w:bidi="ar-SA"/>
        </w:rPr>
        <w:tab/>
        <w:t>Authority</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Section 13 of the </w:t>
      </w:r>
      <w:r w:rsidRPr="00272E09">
        <w:rPr>
          <w:i/>
          <w:lang w:eastAsia="en-GB" w:bidi="ar-SA"/>
        </w:rPr>
        <w:t>Food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sidRPr="00272E09">
        <w:rPr>
          <w:lang w:eastAsia="en-GB" w:bidi="ar-SA"/>
        </w:rPr>
        <w:t xml:space="preserve"> (the Code).`</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F20964" w:rsidRDefault="00F20964" w:rsidP="00F20964">
      <w:pPr>
        <w:rPr>
          <w:lang w:eastAsia="en-GB" w:bidi="ar-SA"/>
        </w:rPr>
      </w:pPr>
    </w:p>
    <w:p w:rsidR="00F542C9" w:rsidRDefault="00F542C9" w:rsidP="00F542C9">
      <w:pPr>
        <w:rPr>
          <w:lang w:eastAsia="en-GB" w:bidi="ar-SA"/>
        </w:rPr>
      </w:pPr>
      <w:r>
        <w:rPr>
          <w:rFonts w:eastAsiaTheme="minorHAnsi"/>
          <w:lang w:bidi="ar-SA"/>
        </w:rPr>
        <w:t xml:space="preserve">FSANZ accepted Application A1087 which seeks permission for the sale and use of food derived from insect-protected soybean line DAS-81419-2. </w:t>
      </w:r>
      <w:r>
        <w:rPr>
          <w:lang w:eastAsia="en-GB" w:bidi="ar-SA"/>
        </w:rPr>
        <w:t xml:space="preserve">The Authority considered the Application in accordance with Division 1 of Part 3 and has approved the variation to Standard 1.5.2.  </w:t>
      </w:r>
    </w:p>
    <w:p w:rsidR="00F542C9" w:rsidRPr="00272E09" w:rsidRDefault="00F542C9" w:rsidP="00F20964">
      <w:pPr>
        <w:rPr>
          <w:lang w:eastAsia="en-GB" w:bidi="ar-SA"/>
        </w:rPr>
      </w:pPr>
    </w:p>
    <w:p w:rsidR="005B4F76" w:rsidRPr="00FD52BA" w:rsidRDefault="005B4F76" w:rsidP="005B4F76">
      <w:pPr>
        <w:widowControl/>
        <w:autoSpaceDE w:val="0"/>
        <w:autoSpaceDN w:val="0"/>
        <w:adjustRightInd w:val="0"/>
        <w:rPr>
          <w:rFonts w:eastAsia="Calibri" w:cs="Arial"/>
          <w:bCs/>
          <w:szCs w:val="22"/>
          <w:lang w:bidi="ar-SA"/>
        </w:rPr>
      </w:pPr>
      <w:r w:rsidRPr="00FD52BA">
        <w:rPr>
          <w:rFonts w:eastAsia="Calibri" w:cs="Arial"/>
          <w:bCs/>
          <w:szCs w:val="22"/>
          <w:lang w:bidi="ar-SA"/>
        </w:rPr>
        <w:t xml:space="preserve">Following consideration by the </w:t>
      </w:r>
      <w:r w:rsidRPr="00272E09">
        <w:rPr>
          <w:rFonts w:cs="Arial"/>
        </w:rPr>
        <w:t>COAG Legislative and Governance Forum on Food Regulation</w:t>
      </w:r>
      <w:r w:rsidRPr="00272E09">
        <w:rPr>
          <w:rStyle w:val="FootnoteReference"/>
          <w:rFonts w:cs="Arial"/>
        </w:rPr>
        <w:footnoteReference w:id="5"/>
      </w:r>
      <w:r w:rsidRPr="00FD52BA">
        <w:rPr>
          <w:rFonts w:eastAsia="Calibri" w:cs="Arial"/>
          <w:bCs/>
          <w:szCs w:val="22"/>
          <w:lang w:bidi="ar-SA"/>
        </w:rPr>
        <w:t xml:space="preserve">, section 92 of the FSANZ Act stipulates that the Authority must publish a notice about the standard or draft variation of a standard. </w:t>
      </w:r>
    </w:p>
    <w:p w:rsidR="005B4F76" w:rsidRPr="00FD52BA" w:rsidRDefault="005B4F76" w:rsidP="005B4F76">
      <w:pPr>
        <w:widowControl/>
        <w:autoSpaceDE w:val="0"/>
        <w:autoSpaceDN w:val="0"/>
        <w:adjustRightInd w:val="0"/>
        <w:rPr>
          <w:rFonts w:eastAsia="Calibri" w:cs="Arial"/>
          <w:bCs/>
          <w:szCs w:val="22"/>
          <w:lang w:bidi="ar-SA"/>
        </w:rPr>
      </w:pPr>
    </w:p>
    <w:p w:rsidR="005B4F76" w:rsidRPr="00FD52BA" w:rsidRDefault="005B4F76" w:rsidP="005B4F76">
      <w:pPr>
        <w:widowControl/>
        <w:autoSpaceDE w:val="0"/>
        <w:autoSpaceDN w:val="0"/>
        <w:adjustRightInd w:val="0"/>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F20964" w:rsidRPr="00272E09" w:rsidRDefault="00F20964" w:rsidP="00F20964">
      <w:pPr>
        <w:rPr>
          <w:lang w:eastAsia="en-GB" w:bidi="ar-SA"/>
        </w:rPr>
      </w:pPr>
    </w:p>
    <w:p w:rsidR="00F20964" w:rsidRPr="00272E09" w:rsidRDefault="00200BE6" w:rsidP="00F20964">
      <w:pPr>
        <w:rPr>
          <w:b/>
          <w:lang w:eastAsia="en-GB" w:bidi="ar-SA"/>
        </w:rPr>
      </w:pPr>
      <w:r w:rsidRPr="00272E09">
        <w:rPr>
          <w:b/>
          <w:lang w:eastAsia="en-GB" w:bidi="ar-SA"/>
        </w:rPr>
        <w:t>2.</w:t>
      </w:r>
      <w:r w:rsidRPr="00272E09">
        <w:rPr>
          <w:b/>
          <w:lang w:eastAsia="en-GB" w:bidi="ar-SA"/>
        </w:rPr>
        <w:tab/>
        <w:t>Purpose</w:t>
      </w:r>
    </w:p>
    <w:p w:rsidR="00F20964" w:rsidRPr="00272E09" w:rsidRDefault="00F20964" w:rsidP="00F20964">
      <w:pPr>
        <w:rPr>
          <w:lang w:eastAsia="en-GB" w:bidi="ar-SA"/>
        </w:rPr>
      </w:pPr>
    </w:p>
    <w:p w:rsidR="00F20964" w:rsidRPr="00272E09" w:rsidRDefault="00F20964" w:rsidP="00993B7D">
      <w:pPr>
        <w:rPr>
          <w:lang w:eastAsia="en-GB" w:bidi="ar-SA"/>
        </w:rPr>
      </w:pPr>
      <w:r w:rsidRPr="00272E09">
        <w:rPr>
          <w:lang w:eastAsia="en-GB" w:bidi="ar-SA"/>
        </w:rPr>
        <w:t>As it is not listed in the Schedule to Standa</w:t>
      </w:r>
      <w:r w:rsidR="00643BA9" w:rsidRPr="00272E09">
        <w:rPr>
          <w:lang w:eastAsia="en-GB" w:bidi="ar-SA"/>
        </w:rPr>
        <w:t>rd</w:t>
      </w:r>
      <w:r w:rsidR="002F241A" w:rsidRPr="00272E09">
        <w:rPr>
          <w:lang w:eastAsia="en-GB" w:bidi="ar-SA"/>
        </w:rPr>
        <w:t xml:space="preserve"> </w:t>
      </w:r>
      <w:r w:rsidR="00200BE6" w:rsidRPr="00272E09">
        <w:rPr>
          <w:lang w:eastAsia="en-GB" w:bidi="ar-SA"/>
        </w:rPr>
        <w:t xml:space="preserve">1.5.2, food derived from </w:t>
      </w:r>
      <w:r w:rsidR="001D71D0">
        <w:rPr>
          <w:lang w:eastAsia="en-GB" w:bidi="ar-SA"/>
        </w:rPr>
        <w:t>soybean line         DAS-81419-2</w:t>
      </w:r>
      <w:r w:rsidRPr="00272E09">
        <w:rPr>
          <w:lang w:eastAsia="en-GB" w:bidi="ar-SA"/>
        </w:rPr>
        <w:t xml:space="preserve"> is not currently permitted for sale </w:t>
      </w:r>
      <w:r w:rsidR="00643BA9" w:rsidRPr="00272E09">
        <w:rPr>
          <w:lang w:eastAsia="en-GB" w:bidi="ar-SA"/>
        </w:rPr>
        <w:t xml:space="preserve">or use in food. </w:t>
      </w:r>
      <w:r w:rsidR="00993B7D" w:rsidRPr="00272E09">
        <w:rPr>
          <w:lang w:eastAsia="en-GB" w:bidi="ar-SA"/>
        </w:rPr>
        <w:t>This variation</w:t>
      </w:r>
      <w:r w:rsidRPr="00272E09">
        <w:rPr>
          <w:lang w:eastAsia="en-GB" w:bidi="ar-SA"/>
        </w:rPr>
        <w:t xml:space="preserve"> </w:t>
      </w:r>
      <w:r w:rsidR="00205F87" w:rsidRPr="00272E09">
        <w:rPr>
          <w:lang w:eastAsia="en-GB" w:bidi="ar-SA"/>
        </w:rPr>
        <w:t>permit</w:t>
      </w:r>
      <w:r w:rsidR="00993B7D" w:rsidRPr="00272E09">
        <w:rPr>
          <w:lang w:eastAsia="en-GB" w:bidi="ar-SA"/>
        </w:rPr>
        <w:t>s</w:t>
      </w:r>
      <w:r w:rsidR="00205F87" w:rsidRPr="00272E09">
        <w:rPr>
          <w:lang w:eastAsia="en-GB" w:bidi="ar-SA"/>
        </w:rPr>
        <w:t xml:space="preserve"> the sale, or use in food, of</w:t>
      </w:r>
      <w:r w:rsidR="002F241A" w:rsidRPr="00272E09">
        <w:rPr>
          <w:lang w:eastAsia="en-GB" w:bidi="ar-SA"/>
        </w:rPr>
        <w:t xml:space="preserve"> food deriv</w:t>
      </w:r>
      <w:r w:rsidR="00200BE6" w:rsidRPr="00272E09">
        <w:rPr>
          <w:lang w:eastAsia="en-GB" w:bidi="ar-SA"/>
        </w:rPr>
        <w:t xml:space="preserve">ed from </w:t>
      </w:r>
      <w:r w:rsidR="001D71D0">
        <w:rPr>
          <w:lang w:eastAsia="en-GB" w:bidi="ar-SA"/>
        </w:rPr>
        <w:t>soybean line DAS-81419-2</w:t>
      </w:r>
      <w:r w:rsidR="00C05C62" w:rsidRPr="00272E09">
        <w:rPr>
          <w:lang w:eastAsia="en-GB" w:bidi="ar-SA"/>
        </w:rPr>
        <w:t>.</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3.</w:t>
      </w:r>
      <w:r w:rsidRPr="00272E09">
        <w:rPr>
          <w:b/>
          <w:lang w:eastAsia="en-GB" w:bidi="ar-SA"/>
        </w:rPr>
        <w:tab/>
        <w:t>Documents incorporated by reference</w:t>
      </w:r>
    </w:p>
    <w:p w:rsidR="00F20964" w:rsidRPr="00272E09" w:rsidRDefault="00F20964" w:rsidP="00F20964">
      <w:pPr>
        <w:rPr>
          <w:lang w:eastAsia="en-GB" w:bidi="ar-SA"/>
        </w:rPr>
      </w:pPr>
    </w:p>
    <w:p w:rsidR="00F20964" w:rsidRPr="00272E09" w:rsidRDefault="00643BA9" w:rsidP="00F20964">
      <w:pPr>
        <w:rPr>
          <w:lang w:eastAsia="en-GB" w:bidi="ar-SA"/>
        </w:rPr>
      </w:pPr>
      <w:r w:rsidRPr="00272E09">
        <w:rPr>
          <w:rFonts w:eastAsia="Calibri" w:cs="Arial"/>
          <w:bCs/>
          <w:szCs w:val="22"/>
          <w:lang w:bidi="ar-SA"/>
        </w:rPr>
        <w:t>Th</w:t>
      </w:r>
      <w:r w:rsidR="000C08DE" w:rsidRPr="00272E09">
        <w:rPr>
          <w:rFonts w:eastAsia="Calibri" w:cs="Arial"/>
          <w:bCs/>
          <w:szCs w:val="22"/>
          <w:lang w:bidi="ar-SA"/>
        </w:rPr>
        <w:t xml:space="preserve">is </w:t>
      </w:r>
      <w:r w:rsidRPr="00272E09">
        <w:rPr>
          <w:rFonts w:eastAsia="Calibri" w:cs="Arial"/>
          <w:bCs/>
          <w:szCs w:val="22"/>
          <w:lang w:bidi="ar-SA"/>
        </w:rPr>
        <w:t>variation</w:t>
      </w:r>
      <w:r w:rsidR="000C08DE" w:rsidRPr="00272E09">
        <w:rPr>
          <w:rFonts w:eastAsia="Calibri" w:cs="Arial"/>
          <w:bCs/>
          <w:szCs w:val="22"/>
          <w:lang w:bidi="ar-SA"/>
        </w:rPr>
        <w:t xml:space="preserve"> does </w:t>
      </w:r>
      <w:r w:rsidR="00F20964" w:rsidRPr="00272E09">
        <w:rPr>
          <w:lang w:eastAsia="en-GB" w:bidi="ar-SA"/>
        </w:rPr>
        <w:t>not incorporate any documents by reference.</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4.</w:t>
      </w:r>
      <w:r w:rsidRPr="00272E09">
        <w:rPr>
          <w:b/>
          <w:lang w:eastAsia="en-GB" w:bidi="ar-SA"/>
        </w:rPr>
        <w:tab/>
        <w:t>Consultation</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In accordance with the procedure in Division 1 of Part 3 of the FSANZ Act, the Authority’s co</w:t>
      </w:r>
      <w:r w:rsidR="001D71D0">
        <w:rPr>
          <w:lang w:eastAsia="en-GB" w:bidi="ar-SA"/>
        </w:rPr>
        <w:t>nsideration of Application A1087</w:t>
      </w:r>
      <w:r w:rsidRPr="00272E09">
        <w:rPr>
          <w:lang w:eastAsia="en-GB" w:bidi="ar-SA"/>
        </w:rPr>
        <w:t xml:space="preserve"> included one round of public consultation following an assessment and the preparation of a draft variation to the Standard</w:t>
      </w:r>
      <w:r w:rsidR="00643BA9" w:rsidRPr="00272E09">
        <w:rPr>
          <w:lang w:eastAsia="en-GB" w:bidi="ar-SA"/>
        </w:rPr>
        <w:t xml:space="preserve"> and associated report. Submissions were called for on </w:t>
      </w:r>
      <w:r w:rsidR="001D71D0">
        <w:rPr>
          <w:lang w:eastAsia="en-GB" w:bidi="ar-SA"/>
        </w:rPr>
        <w:t>5 November</w:t>
      </w:r>
      <w:r w:rsidR="00C05C62" w:rsidRPr="00272E09">
        <w:rPr>
          <w:lang w:eastAsia="en-GB" w:bidi="ar-SA"/>
        </w:rPr>
        <w:t xml:space="preserve"> 2013</w:t>
      </w:r>
      <w:r w:rsidR="00200BE6" w:rsidRPr="00272E09">
        <w:rPr>
          <w:lang w:eastAsia="en-GB" w:bidi="ar-SA"/>
        </w:rPr>
        <w:t xml:space="preserve"> for a six</w:t>
      </w:r>
      <w:r w:rsidRPr="00272E09">
        <w:rPr>
          <w:lang w:eastAsia="en-GB" w:bidi="ar-SA"/>
        </w:rPr>
        <w:t xml:space="preserve">-week consultation period. </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A Regulation Impact Statement was not required because the </w:t>
      </w:r>
      <w:r w:rsidR="00643BA9" w:rsidRPr="00272E09">
        <w:rPr>
          <w:lang w:eastAsia="en-GB" w:bidi="ar-SA"/>
        </w:rPr>
        <w:t xml:space="preserve">proposed </w:t>
      </w:r>
      <w:r w:rsidRPr="00272E09">
        <w:rPr>
          <w:lang w:eastAsia="en-GB" w:bidi="ar-SA"/>
        </w:rPr>
        <w:t xml:space="preserve">variation to Standard 1.5.2 is likely to have a minor impact on business and individuals. </w:t>
      </w:r>
    </w:p>
    <w:p w:rsidR="00793D48" w:rsidRPr="00272E09" w:rsidRDefault="00793D48">
      <w:pPr>
        <w:widowControl/>
        <w:rPr>
          <w:b/>
          <w:lang w:eastAsia="en-GB" w:bidi="ar-SA"/>
        </w:rPr>
      </w:pPr>
    </w:p>
    <w:p w:rsidR="00F20964" w:rsidRPr="00272E09" w:rsidRDefault="00F20964" w:rsidP="00F20964">
      <w:pPr>
        <w:rPr>
          <w:b/>
          <w:lang w:eastAsia="en-GB" w:bidi="ar-SA"/>
        </w:rPr>
      </w:pPr>
      <w:r w:rsidRPr="00272E09">
        <w:rPr>
          <w:b/>
          <w:lang w:eastAsia="en-GB" w:bidi="ar-SA"/>
        </w:rPr>
        <w:t>5.</w:t>
      </w:r>
      <w:r w:rsidRPr="00272E09">
        <w:rPr>
          <w:b/>
          <w:lang w:eastAsia="en-GB" w:bidi="ar-SA"/>
        </w:rPr>
        <w:tab/>
        <w:t>Statement of compatibility with human rights</w:t>
      </w:r>
    </w:p>
    <w:p w:rsidR="00F20964" w:rsidRPr="00272E09" w:rsidRDefault="00F20964" w:rsidP="00F20964">
      <w:pPr>
        <w:rPr>
          <w:lang w:eastAsia="en-GB" w:bidi="ar-SA"/>
        </w:rPr>
      </w:pPr>
    </w:p>
    <w:p w:rsidR="00F36294" w:rsidRDefault="00F20964" w:rsidP="00205F87">
      <w:pPr>
        <w:rPr>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r w:rsidR="00F36294">
        <w:rPr>
          <w:lang w:eastAsia="en-GB" w:bidi="ar-SA"/>
        </w:rPr>
        <w:br w:type="page"/>
      </w:r>
    </w:p>
    <w:p w:rsidR="00F20964" w:rsidRPr="00272E09" w:rsidRDefault="00F20964" w:rsidP="00205F87">
      <w:pPr>
        <w:rPr>
          <w:b/>
          <w:lang w:eastAsia="en-GB" w:bidi="ar-SA"/>
        </w:rPr>
      </w:pPr>
      <w:r w:rsidRPr="00272E09">
        <w:rPr>
          <w:b/>
          <w:lang w:eastAsia="en-GB" w:bidi="ar-SA"/>
        </w:rPr>
        <w:lastRenderedPageBreak/>
        <w:t>6.</w:t>
      </w:r>
      <w:r w:rsidRPr="00272E09">
        <w:rPr>
          <w:b/>
          <w:lang w:eastAsia="en-GB" w:bidi="ar-SA"/>
        </w:rPr>
        <w:tab/>
        <w:t xml:space="preserve">Variation </w:t>
      </w:r>
    </w:p>
    <w:p w:rsidR="00F20964" w:rsidRPr="00272E09" w:rsidRDefault="00F20964" w:rsidP="00F20964">
      <w:pPr>
        <w:rPr>
          <w:lang w:eastAsia="en-GB" w:bidi="ar-SA"/>
        </w:rPr>
      </w:pPr>
    </w:p>
    <w:p w:rsidR="0012388D" w:rsidRPr="00272E09" w:rsidRDefault="00F20964" w:rsidP="00F20964">
      <w:pPr>
        <w:rPr>
          <w:lang w:eastAsia="en-GB" w:bidi="ar-SA"/>
        </w:rPr>
      </w:pPr>
      <w:r w:rsidRPr="00272E09">
        <w:rPr>
          <w:lang w:eastAsia="en-GB" w:bidi="ar-SA"/>
        </w:rPr>
        <w:t xml:space="preserve">This </w:t>
      </w:r>
      <w:r w:rsidR="00643BA9" w:rsidRPr="00272E09">
        <w:rPr>
          <w:lang w:eastAsia="en-GB" w:bidi="ar-SA"/>
        </w:rPr>
        <w:t>it</w:t>
      </w:r>
      <w:r w:rsidR="002F241A" w:rsidRPr="00272E09">
        <w:rPr>
          <w:lang w:eastAsia="en-GB" w:bidi="ar-SA"/>
        </w:rPr>
        <w:t>e</w:t>
      </w:r>
      <w:r w:rsidR="001D71D0">
        <w:rPr>
          <w:lang w:eastAsia="en-GB" w:bidi="ar-SA"/>
        </w:rPr>
        <w:t>m adds food derived from soybean line DAS-81419-2</w:t>
      </w:r>
      <w:r w:rsidR="00E0047D" w:rsidRPr="00272E09">
        <w:rPr>
          <w:lang w:eastAsia="en-GB" w:bidi="ar-SA"/>
        </w:rPr>
        <w:t xml:space="preserve"> </w:t>
      </w:r>
      <w:r w:rsidRPr="00272E09">
        <w:rPr>
          <w:lang w:eastAsia="en-GB" w:bidi="ar-SA"/>
        </w:rPr>
        <w:t>to the Schedule to Standard 1.5.2.</w:t>
      </w:r>
    </w:p>
    <w:sectPr w:rsidR="0012388D" w:rsidRPr="00272E09" w:rsidSect="00F2096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5C" w:rsidRDefault="00417A5C">
      <w:r>
        <w:separator/>
      </w:r>
    </w:p>
  </w:endnote>
  <w:endnote w:type="continuationSeparator" w:id="0">
    <w:p w:rsidR="00417A5C" w:rsidRDefault="004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C" w:rsidRDefault="00417A5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7A5C" w:rsidRDefault="00417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417A5C" w:rsidRDefault="00417A5C" w:rsidP="00A671E6">
        <w:pPr>
          <w:pStyle w:val="Footer"/>
          <w:jc w:val="center"/>
        </w:pPr>
        <w:r>
          <w:fldChar w:fldCharType="begin"/>
        </w:r>
        <w:r>
          <w:instrText xml:space="preserve"> PAGE   \* MERGEFORMAT </w:instrText>
        </w:r>
        <w:r>
          <w:fldChar w:fldCharType="separate"/>
        </w:r>
        <w:r w:rsidR="00DC17D0">
          <w:rPr>
            <w:noProof/>
          </w:rPr>
          <w:t>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B9" w:rsidRDefault="004F0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5C" w:rsidRDefault="00417A5C">
      <w:r>
        <w:separator/>
      </w:r>
    </w:p>
  </w:footnote>
  <w:footnote w:type="continuationSeparator" w:id="0">
    <w:p w:rsidR="00417A5C" w:rsidRDefault="00417A5C">
      <w:r>
        <w:continuationSeparator/>
      </w:r>
    </w:p>
  </w:footnote>
  <w:footnote w:id="1">
    <w:p w:rsidR="00417A5C" w:rsidRPr="00B90B03" w:rsidRDefault="00417A5C" w:rsidP="009B52B3">
      <w:pPr>
        <w:rPr>
          <w:sz w:val="18"/>
          <w:szCs w:val="18"/>
          <w:lang w:val="en-AU"/>
        </w:rPr>
      </w:pPr>
      <w:r w:rsidRPr="00B90B03">
        <w:rPr>
          <w:sz w:val="18"/>
          <w:szCs w:val="18"/>
          <w:vertAlign w:val="superscript"/>
        </w:rPr>
        <w:footnoteRef/>
      </w:r>
      <w:r w:rsidRPr="00B90B03">
        <w:rPr>
          <w:sz w:val="18"/>
          <w:szCs w:val="18"/>
        </w:rPr>
        <w:t xml:space="preserve"> </w:t>
      </w:r>
      <w:r w:rsidRPr="00B90B03">
        <w:rPr>
          <w:sz w:val="18"/>
          <w:szCs w:val="18"/>
          <w:lang w:val="en-AU"/>
        </w:rPr>
        <w:t>Previously known as the Australia and New Zealand Food Regulation Ministerial Council</w:t>
      </w:r>
    </w:p>
  </w:footnote>
  <w:footnote w:id="2">
    <w:p w:rsidR="00417A5C" w:rsidRPr="00790014" w:rsidRDefault="00417A5C" w:rsidP="00C31B9D">
      <w:pPr>
        <w:pStyle w:val="FootnoteText"/>
        <w:rPr>
          <w:sz w:val="16"/>
          <w:szCs w:val="16"/>
        </w:rPr>
      </w:pPr>
      <w:r>
        <w:rPr>
          <w:rStyle w:val="FootnoteReference"/>
        </w:rPr>
        <w:footnoteRef/>
      </w:r>
      <w:r>
        <w:t xml:space="preserve"> </w:t>
      </w:r>
      <w:proofErr w:type="spellStart"/>
      <w:r w:rsidRPr="00790014">
        <w:rPr>
          <w:sz w:val="16"/>
          <w:szCs w:val="16"/>
        </w:rPr>
        <w:t>S</w:t>
      </w:r>
      <w:r w:rsidRPr="00790014">
        <w:rPr>
          <w:rFonts w:cs="Arial"/>
          <w:sz w:val="16"/>
          <w:szCs w:val="16"/>
        </w:rPr>
        <w:t>é</w:t>
      </w:r>
      <w:r w:rsidRPr="00790014">
        <w:rPr>
          <w:sz w:val="16"/>
          <w:szCs w:val="16"/>
        </w:rPr>
        <w:t>ralini</w:t>
      </w:r>
      <w:proofErr w:type="spellEnd"/>
      <w:r w:rsidRPr="00790014">
        <w:rPr>
          <w:sz w:val="16"/>
          <w:szCs w:val="16"/>
        </w:rPr>
        <w:t xml:space="preserve">, G.-E.; Clair, E.; </w:t>
      </w:r>
      <w:proofErr w:type="spellStart"/>
      <w:r w:rsidRPr="00790014">
        <w:rPr>
          <w:sz w:val="16"/>
          <w:szCs w:val="16"/>
        </w:rPr>
        <w:t>Mesnage</w:t>
      </w:r>
      <w:proofErr w:type="spellEnd"/>
      <w:r w:rsidRPr="00790014">
        <w:rPr>
          <w:sz w:val="16"/>
          <w:szCs w:val="16"/>
        </w:rPr>
        <w:t xml:space="preserve">, R.; </w:t>
      </w:r>
      <w:proofErr w:type="spellStart"/>
      <w:r w:rsidRPr="00790014">
        <w:rPr>
          <w:sz w:val="16"/>
          <w:szCs w:val="16"/>
        </w:rPr>
        <w:t>Gress</w:t>
      </w:r>
      <w:proofErr w:type="spellEnd"/>
      <w:r w:rsidRPr="00790014">
        <w:rPr>
          <w:sz w:val="16"/>
          <w:szCs w:val="16"/>
        </w:rPr>
        <w:t xml:space="preserve">, S.; </w:t>
      </w:r>
      <w:proofErr w:type="spellStart"/>
      <w:r w:rsidRPr="00790014">
        <w:rPr>
          <w:sz w:val="16"/>
          <w:szCs w:val="16"/>
        </w:rPr>
        <w:t>Defarge</w:t>
      </w:r>
      <w:proofErr w:type="spellEnd"/>
      <w:r w:rsidRPr="00790014">
        <w:rPr>
          <w:sz w:val="16"/>
          <w:szCs w:val="16"/>
        </w:rPr>
        <w:t xml:space="preserve">, N.; </w:t>
      </w:r>
      <w:proofErr w:type="spellStart"/>
      <w:r w:rsidRPr="00790014">
        <w:rPr>
          <w:sz w:val="16"/>
          <w:szCs w:val="16"/>
        </w:rPr>
        <w:t>Malatesta</w:t>
      </w:r>
      <w:proofErr w:type="spellEnd"/>
      <w:r w:rsidRPr="00790014">
        <w:rPr>
          <w:sz w:val="16"/>
          <w:szCs w:val="16"/>
        </w:rPr>
        <w:t xml:space="preserve">, M.; </w:t>
      </w:r>
      <w:proofErr w:type="spellStart"/>
      <w:r w:rsidRPr="00790014">
        <w:rPr>
          <w:sz w:val="16"/>
          <w:szCs w:val="16"/>
        </w:rPr>
        <w:t>Hennequin</w:t>
      </w:r>
      <w:proofErr w:type="spellEnd"/>
      <w:r w:rsidRPr="00790014">
        <w:rPr>
          <w:sz w:val="16"/>
          <w:szCs w:val="16"/>
        </w:rPr>
        <w:t xml:space="preserve">, D.; </w:t>
      </w:r>
      <w:proofErr w:type="spellStart"/>
      <w:r w:rsidRPr="00790014">
        <w:rPr>
          <w:sz w:val="16"/>
          <w:szCs w:val="16"/>
        </w:rPr>
        <w:t>Spiroux</w:t>
      </w:r>
      <w:proofErr w:type="spellEnd"/>
      <w:r w:rsidRPr="00790014">
        <w:rPr>
          <w:sz w:val="16"/>
          <w:szCs w:val="16"/>
        </w:rPr>
        <w:t xml:space="preserve"> de </w:t>
      </w:r>
      <w:proofErr w:type="spellStart"/>
      <w:r w:rsidRPr="00790014">
        <w:rPr>
          <w:sz w:val="16"/>
          <w:szCs w:val="16"/>
        </w:rPr>
        <w:t>Vendemois</w:t>
      </w:r>
      <w:proofErr w:type="spellEnd"/>
      <w:r w:rsidRPr="00790014">
        <w:rPr>
          <w:sz w:val="16"/>
          <w:szCs w:val="16"/>
        </w:rPr>
        <w:t xml:space="preserve">, J. (2012). Long term toxicity of a Roundup herbicide and </w:t>
      </w:r>
      <w:proofErr w:type="gramStart"/>
      <w:r w:rsidRPr="00790014">
        <w:rPr>
          <w:sz w:val="16"/>
          <w:szCs w:val="16"/>
        </w:rPr>
        <w:t>a Roundup</w:t>
      </w:r>
      <w:proofErr w:type="gramEnd"/>
      <w:r w:rsidRPr="00790014">
        <w:rPr>
          <w:sz w:val="16"/>
          <w:szCs w:val="16"/>
        </w:rPr>
        <w:t xml:space="preserve">-tolerant genetically-modified maize. </w:t>
      </w:r>
      <w:proofErr w:type="gramStart"/>
      <w:r w:rsidRPr="00790014">
        <w:rPr>
          <w:i/>
          <w:sz w:val="16"/>
          <w:szCs w:val="16"/>
        </w:rPr>
        <w:t>Food and Chemical Toxicology</w:t>
      </w:r>
      <w:r w:rsidRPr="00790014">
        <w:rPr>
          <w:sz w:val="16"/>
          <w:szCs w:val="16"/>
        </w:rPr>
        <w:t xml:space="preserve"> 50: 4221 – 4231.</w:t>
      </w:r>
      <w:proofErr w:type="gramEnd"/>
    </w:p>
    <w:p w:rsidR="00417A5C" w:rsidRPr="00790014" w:rsidRDefault="00417A5C" w:rsidP="00C31B9D">
      <w:pPr>
        <w:tabs>
          <w:tab w:val="left" w:pos="0"/>
        </w:tabs>
        <w:spacing w:after="240"/>
        <w:rPr>
          <w:rFonts w:cs="Arial"/>
          <w:noProof/>
          <w:sz w:val="16"/>
          <w:szCs w:val="16"/>
        </w:rPr>
      </w:pPr>
      <w:r w:rsidRPr="00790014">
        <w:rPr>
          <w:rFonts w:cs="Arial"/>
          <w:noProof/>
          <w:sz w:val="16"/>
          <w:szCs w:val="16"/>
        </w:rPr>
        <w:t xml:space="preserve">Carman, J.A., Vlieger, H.R., Ver Steeg, L.J., Sneller, V.E., Robinson, G.W., Clinch-Jones, C.A., Haynes, J.I. and Edwards, J.W. (2013) A long-term toxicology study on pigs fed a combined genetically modified (GM) soy and GM maize diet. </w:t>
      </w:r>
      <w:r w:rsidRPr="00790014">
        <w:rPr>
          <w:rFonts w:cs="Arial"/>
          <w:i/>
          <w:noProof/>
          <w:sz w:val="16"/>
          <w:szCs w:val="16"/>
        </w:rPr>
        <w:t xml:space="preserve">Journal of Organic Systems </w:t>
      </w:r>
      <w:r w:rsidRPr="00790014">
        <w:rPr>
          <w:rFonts w:cs="Arial"/>
          <w:noProof/>
          <w:sz w:val="16"/>
          <w:szCs w:val="16"/>
        </w:rPr>
        <w:t>8(1):38-54.</w:t>
      </w:r>
    </w:p>
    <w:p w:rsidR="00417A5C" w:rsidRPr="006A3BA5" w:rsidRDefault="00417A5C" w:rsidP="00C31B9D">
      <w:pPr>
        <w:pStyle w:val="FootnoteText"/>
        <w:rPr>
          <w:lang w:val="en-AU"/>
        </w:rPr>
      </w:pPr>
    </w:p>
  </w:footnote>
  <w:footnote w:id="3">
    <w:p w:rsidR="00417A5C" w:rsidRPr="00954B4F" w:rsidRDefault="00417A5C" w:rsidP="00561158">
      <w:pPr>
        <w:tabs>
          <w:tab w:val="left" w:pos="0"/>
        </w:tabs>
        <w:rPr>
          <w:lang w:val="en-AU"/>
        </w:rPr>
      </w:pPr>
      <w:r w:rsidRPr="00954B4F">
        <w:rPr>
          <w:rStyle w:val="FootnoteReference"/>
          <w:color w:val="000000" w:themeColor="text1"/>
          <w:sz w:val="16"/>
          <w:szCs w:val="16"/>
        </w:rPr>
        <w:footnoteRef/>
      </w:r>
      <w:r w:rsidRPr="00954B4F">
        <w:rPr>
          <w:color w:val="000000" w:themeColor="text1"/>
          <w:sz w:val="16"/>
          <w:szCs w:val="16"/>
        </w:rPr>
        <w:t xml:space="preserve"> </w:t>
      </w:r>
      <w:r w:rsidRPr="00954B4F">
        <w:rPr>
          <w:rFonts w:cs="Arial"/>
          <w:noProof/>
          <w:color w:val="000000" w:themeColor="text1"/>
          <w:sz w:val="16"/>
          <w:szCs w:val="16"/>
        </w:rPr>
        <w:t xml:space="preserve">Aris, A. and Leblanc, S. (2011) Maternal and fetal exposure to pesticides associated to genetically modified foods in Eastern Townships of Quebec, Canada. </w:t>
      </w:r>
      <w:r w:rsidRPr="00954B4F">
        <w:rPr>
          <w:rFonts w:cs="Arial"/>
          <w:i/>
          <w:noProof/>
          <w:color w:val="000000" w:themeColor="text1"/>
          <w:sz w:val="16"/>
          <w:szCs w:val="16"/>
        </w:rPr>
        <w:t xml:space="preserve">Reproductive Toxicology </w:t>
      </w:r>
      <w:r w:rsidRPr="00954B4F">
        <w:rPr>
          <w:rFonts w:cs="Arial"/>
          <w:noProof/>
          <w:color w:val="000000" w:themeColor="text1"/>
          <w:sz w:val="16"/>
          <w:szCs w:val="16"/>
        </w:rPr>
        <w:t>31(4):528-533.</w:t>
      </w:r>
    </w:p>
  </w:footnote>
  <w:footnote w:id="4">
    <w:p w:rsidR="00417A5C" w:rsidRPr="009549B7" w:rsidRDefault="00417A5C">
      <w:pPr>
        <w:pStyle w:val="FootnoteText"/>
        <w:rPr>
          <w:sz w:val="18"/>
          <w:szCs w:val="18"/>
          <w:lang w:val="en-AU"/>
        </w:rPr>
      </w:pPr>
      <w:r w:rsidRPr="009549B7">
        <w:rPr>
          <w:rStyle w:val="FootnoteReference"/>
          <w:sz w:val="18"/>
        </w:rPr>
        <w:footnoteRef/>
      </w:r>
      <w:r w:rsidRPr="009549B7">
        <w:rPr>
          <w:sz w:val="18"/>
        </w:rPr>
        <w:t xml:space="preserve"> </w:t>
      </w:r>
      <w:r w:rsidRPr="009549B7">
        <w:rPr>
          <w:sz w:val="18"/>
          <w:szCs w:val="18"/>
          <w:lang w:val="en-AU"/>
        </w:rPr>
        <w:t>Now known as th</w:t>
      </w:r>
      <w:r>
        <w:rPr>
          <w:sz w:val="18"/>
          <w:szCs w:val="18"/>
          <w:lang w:val="en-AU"/>
        </w:rPr>
        <w:t>e Implementation Subcommittee for</w:t>
      </w:r>
      <w:r w:rsidRPr="009549B7">
        <w:rPr>
          <w:sz w:val="18"/>
          <w:szCs w:val="18"/>
          <w:lang w:val="en-AU"/>
        </w:rPr>
        <w:t xml:space="preserve"> Food Regulation</w:t>
      </w:r>
    </w:p>
  </w:footnote>
  <w:footnote w:id="5">
    <w:p w:rsidR="00417A5C" w:rsidRPr="006E1858" w:rsidRDefault="00417A5C" w:rsidP="005B4F76">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B9" w:rsidRDefault="004F0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B9" w:rsidRDefault="004F0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C" w:rsidRDefault="00417A5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F3584"/>
    <w:multiLevelType w:val="hybridMultilevel"/>
    <w:tmpl w:val="8B0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AA82BDAE"/>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4530638"/>
    <w:multiLevelType w:val="hybridMultilevel"/>
    <w:tmpl w:val="FEE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BF49F7"/>
    <w:multiLevelType w:val="hybridMultilevel"/>
    <w:tmpl w:val="49849F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F56B15"/>
    <w:multiLevelType w:val="hybridMultilevel"/>
    <w:tmpl w:val="95A8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7C356D"/>
    <w:multiLevelType w:val="hybridMultilevel"/>
    <w:tmpl w:val="BA8C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415350"/>
    <w:multiLevelType w:val="hybridMultilevel"/>
    <w:tmpl w:val="E080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5D5ADC"/>
    <w:multiLevelType w:val="hybridMultilevel"/>
    <w:tmpl w:val="C7DC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F51513"/>
    <w:multiLevelType w:val="hybridMultilevel"/>
    <w:tmpl w:val="7E6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5E0A7E"/>
    <w:multiLevelType w:val="hybridMultilevel"/>
    <w:tmpl w:val="6136BD9E"/>
    <w:lvl w:ilvl="0" w:tplc="55B8F18A">
      <w:start w:val="1"/>
      <w:numFmt w:val="bullet"/>
      <w:pStyle w:val="F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4779FF"/>
    <w:multiLevelType w:val="hybridMultilevel"/>
    <w:tmpl w:val="60F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7469A8"/>
    <w:multiLevelType w:val="hybridMultilevel"/>
    <w:tmpl w:val="1A5CB75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7"/>
  </w:num>
  <w:num w:numId="5">
    <w:abstractNumId w:val="18"/>
  </w:num>
  <w:num w:numId="6">
    <w:abstractNumId w:val="11"/>
  </w:num>
  <w:num w:numId="7">
    <w:abstractNumId w:val="10"/>
  </w:num>
  <w:num w:numId="8">
    <w:abstractNumId w:val="12"/>
  </w:num>
  <w:num w:numId="9">
    <w:abstractNumId w:val="16"/>
  </w:num>
  <w:num w:numId="10">
    <w:abstractNumId w:val="2"/>
  </w:num>
  <w:num w:numId="11">
    <w:abstractNumId w:val="17"/>
  </w:num>
  <w:num w:numId="12">
    <w:abstractNumId w:val="2"/>
  </w:num>
  <w:num w:numId="1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14"/>
  </w:num>
  <w:num w:numId="17">
    <w:abstractNumId w:val="15"/>
  </w:num>
  <w:num w:numId="18">
    <w:abstractNumId w:val="8"/>
  </w:num>
  <w:num w:numId="19">
    <w:abstractNumId w:val="19"/>
  </w:num>
  <w:num w:numId="20">
    <w:abstractNumId w:val="1"/>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num>
  <w:num w:numId="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00FE"/>
    <w:rsid w:val="00002190"/>
    <w:rsid w:val="0000247B"/>
    <w:rsid w:val="0000469B"/>
    <w:rsid w:val="000047E9"/>
    <w:rsid w:val="00005F79"/>
    <w:rsid w:val="00010E79"/>
    <w:rsid w:val="000117FB"/>
    <w:rsid w:val="00014066"/>
    <w:rsid w:val="00014E34"/>
    <w:rsid w:val="00017B7E"/>
    <w:rsid w:val="00024C82"/>
    <w:rsid w:val="00035FF3"/>
    <w:rsid w:val="00036E4B"/>
    <w:rsid w:val="000370E6"/>
    <w:rsid w:val="0004110F"/>
    <w:rsid w:val="000418F0"/>
    <w:rsid w:val="00042590"/>
    <w:rsid w:val="0004390C"/>
    <w:rsid w:val="000460D9"/>
    <w:rsid w:val="00051021"/>
    <w:rsid w:val="000517F4"/>
    <w:rsid w:val="000524F0"/>
    <w:rsid w:val="00052D54"/>
    <w:rsid w:val="00056D19"/>
    <w:rsid w:val="000576EB"/>
    <w:rsid w:val="00061D1B"/>
    <w:rsid w:val="00064B2D"/>
    <w:rsid w:val="00065F1F"/>
    <w:rsid w:val="00071006"/>
    <w:rsid w:val="00076D33"/>
    <w:rsid w:val="00076D3B"/>
    <w:rsid w:val="00077AEA"/>
    <w:rsid w:val="00081B0A"/>
    <w:rsid w:val="00081D87"/>
    <w:rsid w:val="00082517"/>
    <w:rsid w:val="000871B8"/>
    <w:rsid w:val="00093E01"/>
    <w:rsid w:val="00094FD6"/>
    <w:rsid w:val="000968EB"/>
    <w:rsid w:val="000A00CA"/>
    <w:rsid w:val="000A3D8B"/>
    <w:rsid w:val="000B1380"/>
    <w:rsid w:val="000B35CE"/>
    <w:rsid w:val="000B427A"/>
    <w:rsid w:val="000B442D"/>
    <w:rsid w:val="000B5875"/>
    <w:rsid w:val="000B6AF2"/>
    <w:rsid w:val="000C08DE"/>
    <w:rsid w:val="000C0B66"/>
    <w:rsid w:val="000C3B69"/>
    <w:rsid w:val="000D2DF8"/>
    <w:rsid w:val="000D6136"/>
    <w:rsid w:val="000D6FD4"/>
    <w:rsid w:val="000D7B1C"/>
    <w:rsid w:val="000E00CB"/>
    <w:rsid w:val="000E0AE4"/>
    <w:rsid w:val="000E1EA4"/>
    <w:rsid w:val="000E3DBC"/>
    <w:rsid w:val="000E5B9A"/>
    <w:rsid w:val="000E662F"/>
    <w:rsid w:val="000F3C04"/>
    <w:rsid w:val="000F3CFE"/>
    <w:rsid w:val="000F6568"/>
    <w:rsid w:val="000F7FB4"/>
    <w:rsid w:val="00100CFA"/>
    <w:rsid w:val="00102819"/>
    <w:rsid w:val="00111558"/>
    <w:rsid w:val="001122EC"/>
    <w:rsid w:val="001145A0"/>
    <w:rsid w:val="0012388D"/>
    <w:rsid w:val="001244D5"/>
    <w:rsid w:val="001315E8"/>
    <w:rsid w:val="00131C8C"/>
    <w:rsid w:val="00133B33"/>
    <w:rsid w:val="0013435F"/>
    <w:rsid w:val="001365F2"/>
    <w:rsid w:val="00141796"/>
    <w:rsid w:val="001541D6"/>
    <w:rsid w:val="00155420"/>
    <w:rsid w:val="001570BF"/>
    <w:rsid w:val="00165621"/>
    <w:rsid w:val="00170153"/>
    <w:rsid w:val="00173BB9"/>
    <w:rsid w:val="00174BA2"/>
    <w:rsid w:val="00182C4C"/>
    <w:rsid w:val="00183AFF"/>
    <w:rsid w:val="001857D5"/>
    <w:rsid w:val="001878C5"/>
    <w:rsid w:val="001929E2"/>
    <w:rsid w:val="00192CB3"/>
    <w:rsid w:val="00193121"/>
    <w:rsid w:val="0019399D"/>
    <w:rsid w:val="00193D1A"/>
    <w:rsid w:val="00197D8D"/>
    <w:rsid w:val="001A1A75"/>
    <w:rsid w:val="001A6410"/>
    <w:rsid w:val="001A695F"/>
    <w:rsid w:val="001A7E9A"/>
    <w:rsid w:val="001B0F0C"/>
    <w:rsid w:val="001B32CB"/>
    <w:rsid w:val="001B483D"/>
    <w:rsid w:val="001B52DF"/>
    <w:rsid w:val="001C25D1"/>
    <w:rsid w:val="001C27A3"/>
    <w:rsid w:val="001C2996"/>
    <w:rsid w:val="001C63C1"/>
    <w:rsid w:val="001D03BE"/>
    <w:rsid w:val="001D307B"/>
    <w:rsid w:val="001D31CA"/>
    <w:rsid w:val="001D71D0"/>
    <w:rsid w:val="001E0128"/>
    <w:rsid w:val="001E09FA"/>
    <w:rsid w:val="001E1434"/>
    <w:rsid w:val="001E3029"/>
    <w:rsid w:val="001F3AE6"/>
    <w:rsid w:val="00200BE6"/>
    <w:rsid w:val="00202A6F"/>
    <w:rsid w:val="00205F87"/>
    <w:rsid w:val="0021279C"/>
    <w:rsid w:val="00213350"/>
    <w:rsid w:val="0021738B"/>
    <w:rsid w:val="00220151"/>
    <w:rsid w:val="0022197C"/>
    <w:rsid w:val="00221D07"/>
    <w:rsid w:val="00224B18"/>
    <w:rsid w:val="00224E3B"/>
    <w:rsid w:val="002272CF"/>
    <w:rsid w:val="00227C2D"/>
    <w:rsid w:val="00227E4A"/>
    <w:rsid w:val="00231ABF"/>
    <w:rsid w:val="00235766"/>
    <w:rsid w:val="00236461"/>
    <w:rsid w:val="00240F32"/>
    <w:rsid w:val="002421C1"/>
    <w:rsid w:val="0026130A"/>
    <w:rsid w:val="0026198C"/>
    <w:rsid w:val="002627C1"/>
    <w:rsid w:val="002635DE"/>
    <w:rsid w:val="00263E20"/>
    <w:rsid w:val="0026504C"/>
    <w:rsid w:val="002653A0"/>
    <w:rsid w:val="00272E09"/>
    <w:rsid w:val="00272F05"/>
    <w:rsid w:val="002755FF"/>
    <w:rsid w:val="002758A0"/>
    <w:rsid w:val="00291327"/>
    <w:rsid w:val="0029204E"/>
    <w:rsid w:val="00293670"/>
    <w:rsid w:val="002A0194"/>
    <w:rsid w:val="002A5F8B"/>
    <w:rsid w:val="002A7F6C"/>
    <w:rsid w:val="002B0114"/>
    <w:rsid w:val="002B2612"/>
    <w:rsid w:val="002B2844"/>
    <w:rsid w:val="002B390B"/>
    <w:rsid w:val="002B541E"/>
    <w:rsid w:val="002B5ACA"/>
    <w:rsid w:val="002B5C6E"/>
    <w:rsid w:val="002C064D"/>
    <w:rsid w:val="002C74F7"/>
    <w:rsid w:val="002D174A"/>
    <w:rsid w:val="002D5D52"/>
    <w:rsid w:val="002E018B"/>
    <w:rsid w:val="002E1820"/>
    <w:rsid w:val="002E43BB"/>
    <w:rsid w:val="002E5B3A"/>
    <w:rsid w:val="002F241A"/>
    <w:rsid w:val="002F35EA"/>
    <w:rsid w:val="002F3E2C"/>
    <w:rsid w:val="002F4595"/>
    <w:rsid w:val="002F6488"/>
    <w:rsid w:val="00302CC8"/>
    <w:rsid w:val="003036B4"/>
    <w:rsid w:val="00305C54"/>
    <w:rsid w:val="00307958"/>
    <w:rsid w:val="0031016C"/>
    <w:rsid w:val="00317940"/>
    <w:rsid w:val="003213F9"/>
    <w:rsid w:val="00323AB6"/>
    <w:rsid w:val="00323DBF"/>
    <w:rsid w:val="00325A92"/>
    <w:rsid w:val="00326826"/>
    <w:rsid w:val="00326B7E"/>
    <w:rsid w:val="00327867"/>
    <w:rsid w:val="00332B12"/>
    <w:rsid w:val="00333832"/>
    <w:rsid w:val="00333CED"/>
    <w:rsid w:val="00334BB7"/>
    <w:rsid w:val="00337CBC"/>
    <w:rsid w:val="003428FC"/>
    <w:rsid w:val="0034582C"/>
    <w:rsid w:val="003507DB"/>
    <w:rsid w:val="00351B07"/>
    <w:rsid w:val="003567AB"/>
    <w:rsid w:val="00356F53"/>
    <w:rsid w:val="0036533D"/>
    <w:rsid w:val="0037109C"/>
    <w:rsid w:val="00371B29"/>
    <w:rsid w:val="003766F8"/>
    <w:rsid w:val="0037743B"/>
    <w:rsid w:val="00380106"/>
    <w:rsid w:val="0038048E"/>
    <w:rsid w:val="003814F0"/>
    <w:rsid w:val="00381D41"/>
    <w:rsid w:val="00381E07"/>
    <w:rsid w:val="00384D32"/>
    <w:rsid w:val="00385788"/>
    <w:rsid w:val="00386A52"/>
    <w:rsid w:val="003905CE"/>
    <w:rsid w:val="00391769"/>
    <w:rsid w:val="0039237A"/>
    <w:rsid w:val="003953E1"/>
    <w:rsid w:val="003956B3"/>
    <w:rsid w:val="003A04DC"/>
    <w:rsid w:val="003A0A4D"/>
    <w:rsid w:val="003A0E03"/>
    <w:rsid w:val="003A0E0F"/>
    <w:rsid w:val="003A3D30"/>
    <w:rsid w:val="003A4823"/>
    <w:rsid w:val="003A68BE"/>
    <w:rsid w:val="003A7B84"/>
    <w:rsid w:val="003B0D85"/>
    <w:rsid w:val="003B3E1C"/>
    <w:rsid w:val="003B4F42"/>
    <w:rsid w:val="003B53D7"/>
    <w:rsid w:val="003B7986"/>
    <w:rsid w:val="003C1864"/>
    <w:rsid w:val="003C2AF1"/>
    <w:rsid w:val="003C4969"/>
    <w:rsid w:val="003C6814"/>
    <w:rsid w:val="003D12EA"/>
    <w:rsid w:val="003D1F06"/>
    <w:rsid w:val="003D2CDC"/>
    <w:rsid w:val="003E3770"/>
    <w:rsid w:val="003E41D5"/>
    <w:rsid w:val="003E425F"/>
    <w:rsid w:val="003E46BA"/>
    <w:rsid w:val="003E6806"/>
    <w:rsid w:val="003F523D"/>
    <w:rsid w:val="003F5AAB"/>
    <w:rsid w:val="003F62BD"/>
    <w:rsid w:val="003F74C1"/>
    <w:rsid w:val="00400169"/>
    <w:rsid w:val="00400FBF"/>
    <w:rsid w:val="0040307D"/>
    <w:rsid w:val="00405B1A"/>
    <w:rsid w:val="00405F3A"/>
    <w:rsid w:val="0040608B"/>
    <w:rsid w:val="00406720"/>
    <w:rsid w:val="00410C76"/>
    <w:rsid w:val="00411907"/>
    <w:rsid w:val="00414B75"/>
    <w:rsid w:val="00414D9C"/>
    <w:rsid w:val="00415F7B"/>
    <w:rsid w:val="00417A5C"/>
    <w:rsid w:val="00417EE3"/>
    <w:rsid w:val="004207EB"/>
    <w:rsid w:val="00421730"/>
    <w:rsid w:val="00422EC9"/>
    <w:rsid w:val="00423AC7"/>
    <w:rsid w:val="00425F88"/>
    <w:rsid w:val="00426EA9"/>
    <w:rsid w:val="00430C29"/>
    <w:rsid w:val="0043166F"/>
    <w:rsid w:val="00431AF4"/>
    <w:rsid w:val="00437276"/>
    <w:rsid w:val="004433DB"/>
    <w:rsid w:val="00444252"/>
    <w:rsid w:val="00446178"/>
    <w:rsid w:val="00450B46"/>
    <w:rsid w:val="00451E6D"/>
    <w:rsid w:val="00453646"/>
    <w:rsid w:val="00453DEF"/>
    <w:rsid w:val="00456B54"/>
    <w:rsid w:val="004576CC"/>
    <w:rsid w:val="00464643"/>
    <w:rsid w:val="00464B0F"/>
    <w:rsid w:val="00464F98"/>
    <w:rsid w:val="00465372"/>
    <w:rsid w:val="004673BE"/>
    <w:rsid w:val="00472379"/>
    <w:rsid w:val="00473EF4"/>
    <w:rsid w:val="00477A86"/>
    <w:rsid w:val="00477C87"/>
    <w:rsid w:val="0048001F"/>
    <w:rsid w:val="00486793"/>
    <w:rsid w:val="00486C66"/>
    <w:rsid w:val="00487454"/>
    <w:rsid w:val="0049010E"/>
    <w:rsid w:val="00491B52"/>
    <w:rsid w:val="0049385C"/>
    <w:rsid w:val="00493882"/>
    <w:rsid w:val="00494A3F"/>
    <w:rsid w:val="004A0545"/>
    <w:rsid w:val="004A117F"/>
    <w:rsid w:val="004A2037"/>
    <w:rsid w:val="004A793C"/>
    <w:rsid w:val="004B047B"/>
    <w:rsid w:val="004B0D06"/>
    <w:rsid w:val="004B4CDC"/>
    <w:rsid w:val="004C020A"/>
    <w:rsid w:val="004C0DB9"/>
    <w:rsid w:val="004C17BF"/>
    <w:rsid w:val="004C2073"/>
    <w:rsid w:val="004D0F3B"/>
    <w:rsid w:val="004D121E"/>
    <w:rsid w:val="004D1B1C"/>
    <w:rsid w:val="004D24F9"/>
    <w:rsid w:val="004D25A5"/>
    <w:rsid w:val="004D2D9B"/>
    <w:rsid w:val="004D408E"/>
    <w:rsid w:val="004D4B8B"/>
    <w:rsid w:val="004D7041"/>
    <w:rsid w:val="004E428E"/>
    <w:rsid w:val="004E5B67"/>
    <w:rsid w:val="004F02B9"/>
    <w:rsid w:val="004F03EB"/>
    <w:rsid w:val="004F1EDC"/>
    <w:rsid w:val="004F4F98"/>
    <w:rsid w:val="004F69F6"/>
    <w:rsid w:val="004F6EA3"/>
    <w:rsid w:val="004F79AC"/>
    <w:rsid w:val="00500AC8"/>
    <w:rsid w:val="005047D6"/>
    <w:rsid w:val="00506E9B"/>
    <w:rsid w:val="0050719A"/>
    <w:rsid w:val="005072C0"/>
    <w:rsid w:val="0051067D"/>
    <w:rsid w:val="005207D8"/>
    <w:rsid w:val="00523930"/>
    <w:rsid w:val="005244F1"/>
    <w:rsid w:val="00525C62"/>
    <w:rsid w:val="00526511"/>
    <w:rsid w:val="00527DF1"/>
    <w:rsid w:val="00533999"/>
    <w:rsid w:val="005340F3"/>
    <w:rsid w:val="005346BC"/>
    <w:rsid w:val="005349BF"/>
    <w:rsid w:val="00537CDC"/>
    <w:rsid w:val="00543CD1"/>
    <w:rsid w:val="005456AB"/>
    <w:rsid w:val="00551E1F"/>
    <w:rsid w:val="005551E3"/>
    <w:rsid w:val="00560185"/>
    <w:rsid w:val="0056086A"/>
    <w:rsid w:val="00561158"/>
    <w:rsid w:val="00562917"/>
    <w:rsid w:val="00562E2C"/>
    <w:rsid w:val="00564790"/>
    <w:rsid w:val="00571B8C"/>
    <w:rsid w:val="005800A7"/>
    <w:rsid w:val="005811B7"/>
    <w:rsid w:val="00583E62"/>
    <w:rsid w:val="00586228"/>
    <w:rsid w:val="00593441"/>
    <w:rsid w:val="005950DF"/>
    <w:rsid w:val="00595387"/>
    <w:rsid w:val="005A375B"/>
    <w:rsid w:val="005A572E"/>
    <w:rsid w:val="005B4F76"/>
    <w:rsid w:val="005B519B"/>
    <w:rsid w:val="005B6AF4"/>
    <w:rsid w:val="005C04CB"/>
    <w:rsid w:val="005C0B0B"/>
    <w:rsid w:val="005C3FB7"/>
    <w:rsid w:val="005C59D0"/>
    <w:rsid w:val="005C624A"/>
    <w:rsid w:val="005D16AD"/>
    <w:rsid w:val="005D2016"/>
    <w:rsid w:val="005D3FFD"/>
    <w:rsid w:val="005D50A6"/>
    <w:rsid w:val="005D51DE"/>
    <w:rsid w:val="005D5404"/>
    <w:rsid w:val="005D72E1"/>
    <w:rsid w:val="005D7F0C"/>
    <w:rsid w:val="005E6E16"/>
    <w:rsid w:val="005F166C"/>
    <w:rsid w:val="005F3787"/>
    <w:rsid w:val="005F400E"/>
    <w:rsid w:val="005F512F"/>
    <w:rsid w:val="005F57AF"/>
    <w:rsid w:val="005F64F3"/>
    <w:rsid w:val="005F6A76"/>
    <w:rsid w:val="005F7342"/>
    <w:rsid w:val="00603112"/>
    <w:rsid w:val="00610A3C"/>
    <w:rsid w:val="006138D7"/>
    <w:rsid w:val="0061540E"/>
    <w:rsid w:val="00615A9D"/>
    <w:rsid w:val="00615E83"/>
    <w:rsid w:val="00617B03"/>
    <w:rsid w:val="00617CD5"/>
    <w:rsid w:val="0062703C"/>
    <w:rsid w:val="00627F48"/>
    <w:rsid w:val="00630545"/>
    <w:rsid w:val="00630D10"/>
    <w:rsid w:val="00631895"/>
    <w:rsid w:val="00632FD6"/>
    <w:rsid w:val="0063455F"/>
    <w:rsid w:val="00635814"/>
    <w:rsid w:val="006359E5"/>
    <w:rsid w:val="00643BA9"/>
    <w:rsid w:val="006477E4"/>
    <w:rsid w:val="00647FDC"/>
    <w:rsid w:val="00650888"/>
    <w:rsid w:val="006514C6"/>
    <w:rsid w:val="00663FCF"/>
    <w:rsid w:val="006652A2"/>
    <w:rsid w:val="00666466"/>
    <w:rsid w:val="00667860"/>
    <w:rsid w:val="006710BC"/>
    <w:rsid w:val="00672B40"/>
    <w:rsid w:val="00674FE5"/>
    <w:rsid w:val="0067711A"/>
    <w:rsid w:val="00677BC1"/>
    <w:rsid w:val="00680156"/>
    <w:rsid w:val="00680662"/>
    <w:rsid w:val="006857A6"/>
    <w:rsid w:val="00687FA7"/>
    <w:rsid w:val="006918CE"/>
    <w:rsid w:val="006926CB"/>
    <w:rsid w:val="0069619A"/>
    <w:rsid w:val="006969CC"/>
    <w:rsid w:val="00696A15"/>
    <w:rsid w:val="0069730F"/>
    <w:rsid w:val="006A48A7"/>
    <w:rsid w:val="006B190B"/>
    <w:rsid w:val="006B2644"/>
    <w:rsid w:val="006B3212"/>
    <w:rsid w:val="006C22A7"/>
    <w:rsid w:val="006C24B7"/>
    <w:rsid w:val="006C34BC"/>
    <w:rsid w:val="006C5CF5"/>
    <w:rsid w:val="006D098A"/>
    <w:rsid w:val="006D0C46"/>
    <w:rsid w:val="006D2C98"/>
    <w:rsid w:val="006D33FF"/>
    <w:rsid w:val="006D7958"/>
    <w:rsid w:val="006E0FE3"/>
    <w:rsid w:val="006E634D"/>
    <w:rsid w:val="006E6739"/>
    <w:rsid w:val="006F4A82"/>
    <w:rsid w:val="006F53A8"/>
    <w:rsid w:val="006F5B64"/>
    <w:rsid w:val="006F6393"/>
    <w:rsid w:val="007009C6"/>
    <w:rsid w:val="007073ED"/>
    <w:rsid w:val="00710C37"/>
    <w:rsid w:val="007140EF"/>
    <w:rsid w:val="0071477F"/>
    <w:rsid w:val="0071592F"/>
    <w:rsid w:val="00715B7D"/>
    <w:rsid w:val="00716C38"/>
    <w:rsid w:val="00721CB7"/>
    <w:rsid w:val="007232EF"/>
    <w:rsid w:val="00724FA4"/>
    <w:rsid w:val="00730800"/>
    <w:rsid w:val="00731196"/>
    <w:rsid w:val="00734539"/>
    <w:rsid w:val="00734A41"/>
    <w:rsid w:val="00736775"/>
    <w:rsid w:val="00737A1C"/>
    <w:rsid w:val="00740AA9"/>
    <w:rsid w:val="0074193C"/>
    <w:rsid w:val="00755F02"/>
    <w:rsid w:val="007602AA"/>
    <w:rsid w:val="007608F6"/>
    <w:rsid w:val="007630BE"/>
    <w:rsid w:val="00763D3A"/>
    <w:rsid w:val="007652EF"/>
    <w:rsid w:val="00765DDC"/>
    <w:rsid w:val="00765DE1"/>
    <w:rsid w:val="00772BDC"/>
    <w:rsid w:val="00773BF8"/>
    <w:rsid w:val="00777437"/>
    <w:rsid w:val="00777D4C"/>
    <w:rsid w:val="00780792"/>
    <w:rsid w:val="00781E66"/>
    <w:rsid w:val="0078309E"/>
    <w:rsid w:val="00791AF9"/>
    <w:rsid w:val="007929D0"/>
    <w:rsid w:val="00793D48"/>
    <w:rsid w:val="00795D86"/>
    <w:rsid w:val="00796669"/>
    <w:rsid w:val="0079687B"/>
    <w:rsid w:val="00796D33"/>
    <w:rsid w:val="007A15DB"/>
    <w:rsid w:val="007A25D7"/>
    <w:rsid w:val="007A44B4"/>
    <w:rsid w:val="007A4D1B"/>
    <w:rsid w:val="007A4FD5"/>
    <w:rsid w:val="007A50E0"/>
    <w:rsid w:val="007A7D3D"/>
    <w:rsid w:val="007B225D"/>
    <w:rsid w:val="007B4B49"/>
    <w:rsid w:val="007B5F7A"/>
    <w:rsid w:val="007B629E"/>
    <w:rsid w:val="007C1C64"/>
    <w:rsid w:val="007C22CB"/>
    <w:rsid w:val="007D0189"/>
    <w:rsid w:val="007D18A8"/>
    <w:rsid w:val="007D3B68"/>
    <w:rsid w:val="007D5A1E"/>
    <w:rsid w:val="007E0AA9"/>
    <w:rsid w:val="007E484C"/>
    <w:rsid w:val="007E48BC"/>
    <w:rsid w:val="007E79F7"/>
    <w:rsid w:val="007F33FC"/>
    <w:rsid w:val="007F3630"/>
    <w:rsid w:val="007F720E"/>
    <w:rsid w:val="007F7BF7"/>
    <w:rsid w:val="00800C67"/>
    <w:rsid w:val="00802C7B"/>
    <w:rsid w:val="00805AB4"/>
    <w:rsid w:val="00807559"/>
    <w:rsid w:val="00810A0B"/>
    <w:rsid w:val="008116E4"/>
    <w:rsid w:val="00813263"/>
    <w:rsid w:val="008132E7"/>
    <w:rsid w:val="00813464"/>
    <w:rsid w:val="00831154"/>
    <w:rsid w:val="008355F7"/>
    <w:rsid w:val="00837C46"/>
    <w:rsid w:val="00844007"/>
    <w:rsid w:val="008450BC"/>
    <w:rsid w:val="00847066"/>
    <w:rsid w:val="00850B09"/>
    <w:rsid w:val="0085334B"/>
    <w:rsid w:val="008537BA"/>
    <w:rsid w:val="008542C0"/>
    <w:rsid w:val="0085461D"/>
    <w:rsid w:val="00860808"/>
    <w:rsid w:val="00861C13"/>
    <w:rsid w:val="008660B9"/>
    <w:rsid w:val="00867059"/>
    <w:rsid w:val="00870214"/>
    <w:rsid w:val="008766D6"/>
    <w:rsid w:val="008779ED"/>
    <w:rsid w:val="008810D9"/>
    <w:rsid w:val="00885C51"/>
    <w:rsid w:val="0089533B"/>
    <w:rsid w:val="00895BFD"/>
    <w:rsid w:val="00896B85"/>
    <w:rsid w:val="008A243D"/>
    <w:rsid w:val="008A7D76"/>
    <w:rsid w:val="008A7F8A"/>
    <w:rsid w:val="008B2CC2"/>
    <w:rsid w:val="008C0907"/>
    <w:rsid w:val="008C4EAE"/>
    <w:rsid w:val="008C4EC8"/>
    <w:rsid w:val="008C6436"/>
    <w:rsid w:val="008D06C6"/>
    <w:rsid w:val="008E4D06"/>
    <w:rsid w:val="008E6250"/>
    <w:rsid w:val="008F1EA0"/>
    <w:rsid w:val="008F4CB0"/>
    <w:rsid w:val="008F7A06"/>
    <w:rsid w:val="00900B3D"/>
    <w:rsid w:val="00910FA0"/>
    <w:rsid w:val="00911AE5"/>
    <w:rsid w:val="00914A5A"/>
    <w:rsid w:val="00920249"/>
    <w:rsid w:val="00920E9F"/>
    <w:rsid w:val="00923055"/>
    <w:rsid w:val="00924690"/>
    <w:rsid w:val="009249C2"/>
    <w:rsid w:val="00924E0D"/>
    <w:rsid w:val="00927158"/>
    <w:rsid w:val="00932F14"/>
    <w:rsid w:val="009353F1"/>
    <w:rsid w:val="00935999"/>
    <w:rsid w:val="009369CC"/>
    <w:rsid w:val="0094247F"/>
    <w:rsid w:val="00942D60"/>
    <w:rsid w:val="009460FA"/>
    <w:rsid w:val="0094643B"/>
    <w:rsid w:val="00947534"/>
    <w:rsid w:val="009478A1"/>
    <w:rsid w:val="00950E23"/>
    <w:rsid w:val="009549B7"/>
    <w:rsid w:val="00954B4F"/>
    <w:rsid w:val="00955C39"/>
    <w:rsid w:val="009632EA"/>
    <w:rsid w:val="0096523B"/>
    <w:rsid w:val="00965EC6"/>
    <w:rsid w:val="009673E8"/>
    <w:rsid w:val="009679B4"/>
    <w:rsid w:val="00971AC8"/>
    <w:rsid w:val="00972157"/>
    <w:rsid w:val="00972D06"/>
    <w:rsid w:val="00976801"/>
    <w:rsid w:val="0099323D"/>
    <w:rsid w:val="00993B7D"/>
    <w:rsid w:val="00994A3E"/>
    <w:rsid w:val="009A2699"/>
    <w:rsid w:val="009A391C"/>
    <w:rsid w:val="009B0055"/>
    <w:rsid w:val="009B01A9"/>
    <w:rsid w:val="009B082D"/>
    <w:rsid w:val="009B52B3"/>
    <w:rsid w:val="009B53EF"/>
    <w:rsid w:val="009B6D18"/>
    <w:rsid w:val="009B70B0"/>
    <w:rsid w:val="009C0A5F"/>
    <w:rsid w:val="009C228D"/>
    <w:rsid w:val="009C31AD"/>
    <w:rsid w:val="009C5D87"/>
    <w:rsid w:val="009D77C3"/>
    <w:rsid w:val="009D7A58"/>
    <w:rsid w:val="009E00C7"/>
    <w:rsid w:val="009E0A61"/>
    <w:rsid w:val="009E1E11"/>
    <w:rsid w:val="009E3010"/>
    <w:rsid w:val="009E46F5"/>
    <w:rsid w:val="009E717F"/>
    <w:rsid w:val="009F14C0"/>
    <w:rsid w:val="009F38D1"/>
    <w:rsid w:val="009F5EDC"/>
    <w:rsid w:val="009F7065"/>
    <w:rsid w:val="00A02EAD"/>
    <w:rsid w:val="00A03216"/>
    <w:rsid w:val="00A04D91"/>
    <w:rsid w:val="00A13D0B"/>
    <w:rsid w:val="00A13F05"/>
    <w:rsid w:val="00A23164"/>
    <w:rsid w:val="00A2449C"/>
    <w:rsid w:val="00A25A2C"/>
    <w:rsid w:val="00A25D14"/>
    <w:rsid w:val="00A318EB"/>
    <w:rsid w:val="00A33F8A"/>
    <w:rsid w:val="00A44C84"/>
    <w:rsid w:val="00A46DAF"/>
    <w:rsid w:val="00A47976"/>
    <w:rsid w:val="00A551B9"/>
    <w:rsid w:val="00A56DC7"/>
    <w:rsid w:val="00A66619"/>
    <w:rsid w:val="00A66E5E"/>
    <w:rsid w:val="00A66FDD"/>
    <w:rsid w:val="00A671E6"/>
    <w:rsid w:val="00A709E5"/>
    <w:rsid w:val="00A724FD"/>
    <w:rsid w:val="00A73AC5"/>
    <w:rsid w:val="00A73E2E"/>
    <w:rsid w:val="00A74FD1"/>
    <w:rsid w:val="00A75943"/>
    <w:rsid w:val="00A80693"/>
    <w:rsid w:val="00A82506"/>
    <w:rsid w:val="00A84891"/>
    <w:rsid w:val="00A84A58"/>
    <w:rsid w:val="00A85E89"/>
    <w:rsid w:val="00A91966"/>
    <w:rsid w:val="00A929A9"/>
    <w:rsid w:val="00A95CDA"/>
    <w:rsid w:val="00A96594"/>
    <w:rsid w:val="00A976C6"/>
    <w:rsid w:val="00AA239D"/>
    <w:rsid w:val="00AA41BA"/>
    <w:rsid w:val="00AA6D0D"/>
    <w:rsid w:val="00AA6FA3"/>
    <w:rsid w:val="00AA7348"/>
    <w:rsid w:val="00AB019D"/>
    <w:rsid w:val="00AB1090"/>
    <w:rsid w:val="00AB40F1"/>
    <w:rsid w:val="00AB4320"/>
    <w:rsid w:val="00AB5748"/>
    <w:rsid w:val="00AC1D5B"/>
    <w:rsid w:val="00AC2CED"/>
    <w:rsid w:val="00AC428E"/>
    <w:rsid w:val="00AD0FFF"/>
    <w:rsid w:val="00AD1898"/>
    <w:rsid w:val="00AD2E76"/>
    <w:rsid w:val="00AD344F"/>
    <w:rsid w:val="00AE0E6F"/>
    <w:rsid w:val="00AE4A8C"/>
    <w:rsid w:val="00AE4ABC"/>
    <w:rsid w:val="00AE4EA8"/>
    <w:rsid w:val="00AE4FFD"/>
    <w:rsid w:val="00AF06AC"/>
    <w:rsid w:val="00AF24FA"/>
    <w:rsid w:val="00AF328B"/>
    <w:rsid w:val="00AF387F"/>
    <w:rsid w:val="00AF397D"/>
    <w:rsid w:val="00AF6E4C"/>
    <w:rsid w:val="00AF765C"/>
    <w:rsid w:val="00B00E7F"/>
    <w:rsid w:val="00B0135A"/>
    <w:rsid w:val="00B068D7"/>
    <w:rsid w:val="00B102DB"/>
    <w:rsid w:val="00B11450"/>
    <w:rsid w:val="00B132FE"/>
    <w:rsid w:val="00B1365E"/>
    <w:rsid w:val="00B17112"/>
    <w:rsid w:val="00B17F5E"/>
    <w:rsid w:val="00B21055"/>
    <w:rsid w:val="00B21D62"/>
    <w:rsid w:val="00B21DCC"/>
    <w:rsid w:val="00B25F37"/>
    <w:rsid w:val="00B341B7"/>
    <w:rsid w:val="00B34E05"/>
    <w:rsid w:val="00B41F4E"/>
    <w:rsid w:val="00B425AA"/>
    <w:rsid w:val="00B42A38"/>
    <w:rsid w:val="00B43B64"/>
    <w:rsid w:val="00B44422"/>
    <w:rsid w:val="00B45859"/>
    <w:rsid w:val="00B46EA0"/>
    <w:rsid w:val="00B500FF"/>
    <w:rsid w:val="00B509FB"/>
    <w:rsid w:val="00B54B16"/>
    <w:rsid w:val="00B55714"/>
    <w:rsid w:val="00B60907"/>
    <w:rsid w:val="00B63440"/>
    <w:rsid w:val="00B64E13"/>
    <w:rsid w:val="00B731D3"/>
    <w:rsid w:val="00B75B57"/>
    <w:rsid w:val="00B75E62"/>
    <w:rsid w:val="00B76123"/>
    <w:rsid w:val="00B811B3"/>
    <w:rsid w:val="00B839A3"/>
    <w:rsid w:val="00B86AC0"/>
    <w:rsid w:val="00B902BD"/>
    <w:rsid w:val="00B90B03"/>
    <w:rsid w:val="00B928CB"/>
    <w:rsid w:val="00B94723"/>
    <w:rsid w:val="00B95BB1"/>
    <w:rsid w:val="00B96C90"/>
    <w:rsid w:val="00BA47F8"/>
    <w:rsid w:val="00BA4EB4"/>
    <w:rsid w:val="00BA52DF"/>
    <w:rsid w:val="00BB233A"/>
    <w:rsid w:val="00BB2384"/>
    <w:rsid w:val="00BB24EF"/>
    <w:rsid w:val="00BB385D"/>
    <w:rsid w:val="00BB6342"/>
    <w:rsid w:val="00BC152C"/>
    <w:rsid w:val="00BC621F"/>
    <w:rsid w:val="00BD016E"/>
    <w:rsid w:val="00BD0B3A"/>
    <w:rsid w:val="00BD2A39"/>
    <w:rsid w:val="00BD2E80"/>
    <w:rsid w:val="00BD49FF"/>
    <w:rsid w:val="00BD4B64"/>
    <w:rsid w:val="00BD4BDF"/>
    <w:rsid w:val="00BD739D"/>
    <w:rsid w:val="00BD77E1"/>
    <w:rsid w:val="00BE11B8"/>
    <w:rsid w:val="00BE257B"/>
    <w:rsid w:val="00BE6C9B"/>
    <w:rsid w:val="00BE7CD8"/>
    <w:rsid w:val="00BF7FF0"/>
    <w:rsid w:val="00C00271"/>
    <w:rsid w:val="00C0504E"/>
    <w:rsid w:val="00C05C62"/>
    <w:rsid w:val="00C078DA"/>
    <w:rsid w:val="00C10653"/>
    <w:rsid w:val="00C12502"/>
    <w:rsid w:val="00C17686"/>
    <w:rsid w:val="00C228CA"/>
    <w:rsid w:val="00C23794"/>
    <w:rsid w:val="00C25381"/>
    <w:rsid w:val="00C25A18"/>
    <w:rsid w:val="00C31B9D"/>
    <w:rsid w:val="00C33021"/>
    <w:rsid w:val="00C37ED6"/>
    <w:rsid w:val="00C40AA5"/>
    <w:rsid w:val="00C46F70"/>
    <w:rsid w:val="00C476D0"/>
    <w:rsid w:val="00C5239D"/>
    <w:rsid w:val="00C578DB"/>
    <w:rsid w:val="00C579B4"/>
    <w:rsid w:val="00C606DE"/>
    <w:rsid w:val="00C624DF"/>
    <w:rsid w:val="00C6434A"/>
    <w:rsid w:val="00C657A4"/>
    <w:rsid w:val="00C662F9"/>
    <w:rsid w:val="00C721A9"/>
    <w:rsid w:val="00C73CB7"/>
    <w:rsid w:val="00C74398"/>
    <w:rsid w:val="00C75EF3"/>
    <w:rsid w:val="00C77ECE"/>
    <w:rsid w:val="00C836E3"/>
    <w:rsid w:val="00C836FF"/>
    <w:rsid w:val="00C854DC"/>
    <w:rsid w:val="00C86324"/>
    <w:rsid w:val="00C86577"/>
    <w:rsid w:val="00C91C02"/>
    <w:rsid w:val="00C92E07"/>
    <w:rsid w:val="00C94581"/>
    <w:rsid w:val="00C96868"/>
    <w:rsid w:val="00CA0416"/>
    <w:rsid w:val="00CA27FC"/>
    <w:rsid w:val="00CA33BC"/>
    <w:rsid w:val="00CA45D0"/>
    <w:rsid w:val="00CA5734"/>
    <w:rsid w:val="00CB0F4D"/>
    <w:rsid w:val="00CB115C"/>
    <w:rsid w:val="00CB5ACB"/>
    <w:rsid w:val="00CC0FF1"/>
    <w:rsid w:val="00CC3A35"/>
    <w:rsid w:val="00CC5468"/>
    <w:rsid w:val="00CC560B"/>
    <w:rsid w:val="00CC5E2A"/>
    <w:rsid w:val="00CC75E2"/>
    <w:rsid w:val="00CC7883"/>
    <w:rsid w:val="00CD3A1A"/>
    <w:rsid w:val="00CD46EB"/>
    <w:rsid w:val="00CD6530"/>
    <w:rsid w:val="00CD6CBA"/>
    <w:rsid w:val="00CD7EBF"/>
    <w:rsid w:val="00CD7F08"/>
    <w:rsid w:val="00CE26FB"/>
    <w:rsid w:val="00CE3F82"/>
    <w:rsid w:val="00CE4E20"/>
    <w:rsid w:val="00CF15C9"/>
    <w:rsid w:val="00CF4A20"/>
    <w:rsid w:val="00D01C0A"/>
    <w:rsid w:val="00D02E5B"/>
    <w:rsid w:val="00D03929"/>
    <w:rsid w:val="00D056F1"/>
    <w:rsid w:val="00D06163"/>
    <w:rsid w:val="00D06616"/>
    <w:rsid w:val="00D07450"/>
    <w:rsid w:val="00D13C78"/>
    <w:rsid w:val="00D144D7"/>
    <w:rsid w:val="00D15A08"/>
    <w:rsid w:val="00D16004"/>
    <w:rsid w:val="00D17F09"/>
    <w:rsid w:val="00D22129"/>
    <w:rsid w:val="00D22B01"/>
    <w:rsid w:val="00D23DB6"/>
    <w:rsid w:val="00D251DD"/>
    <w:rsid w:val="00D2707F"/>
    <w:rsid w:val="00D32733"/>
    <w:rsid w:val="00D33B29"/>
    <w:rsid w:val="00D34DF8"/>
    <w:rsid w:val="00D42BF8"/>
    <w:rsid w:val="00D51A95"/>
    <w:rsid w:val="00D60489"/>
    <w:rsid w:val="00D60568"/>
    <w:rsid w:val="00D645DA"/>
    <w:rsid w:val="00D70C7A"/>
    <w:rsid w:val="00D711B5"/>
    <w:rsid w:val="00D72A29"/>
    <w:rsid w:val="00D75D75"/>
    <w:rsid w:val="00D76605"/>
    <w:rsid w:val="00D76C3E"/>
    <w:rsid w:val="00D82D5E"/>
    <w:rsid w:val="00D834E5"/>
    <w:rsid w:val="00D92EE0"/>
    <w:rsid w:val="00D93195"/>
    <w:rsid w:val="00D952BB"/>
    <w:rsid w:val="00D966C6"/>
    <w:rsid w:val="00D97DC6"/>
    <w:rsid w:val="00DA02F4"/>
    <w:rsid w:val="00DA10A8"/>
    <w:rsid w:val="00DA1765"/>
    <w:rsid w:val="00DA392F"/>
    <w:rsid w:val="00DA5AE2"/>
    <w:rsid w:val="00DB123A"/>
    <w:rsid w:val="00DB1E08"/>
    <w:rsid w:val="00DB2973"/>
    <w:rsid w:val="00DB5F1D"/>
    <w:rsid w:val="00DC0FBA"/>
    <w:rsid w:val="00DC17D0"/>
    <w:rsid w:val="00DC1B56"/>
    <w:rsid w:val="00DC20CC"/>
    <w:rsid w:val="00DC2129"/>
    <w:rsid w:val="00DC2F10"/>
    <w:rsid w:val="00DC35CC"/>
    <w:rsid w:val="00DC59B7"/>
    <w:rsid w:val="00DC5F90"/>
    <w:rsid w:val="00DC6570"/>
    <w:rsid w:val="00DC6D4A"/>
    <w:rsid w:val="00DC7BD0"/>
    <w:rsid w:val="00DD1517"/>
    <w:rsid w:val="00DD265C"/>
    <w:rsid w:val="00DD269B"/>
    <w:rsid w:val="00DD3703"/>
    <w:rsid w:val="00DD6762"/>
    <w:rsid w:val="00DE27CB"/>
    <w:rsid w:val="00DE46EA"/>
    <w:rsid w:val="00DE5528"/>
    <w:rsid w:val="00DE60BD"/>
    <w:rsid w:val="00DE673F"/>
    <w:rsid w:val="00DF09C3"/>
    <w:rsid w:val="00DF25C3"/>
    <w:rsid w:val="00DF3BF4"/>
    <w:rsid w:val="00E0047D"/>
    <w:rsid w:val="00E01715"/>
    <w:rsid w:val="00E026FE"/>
    <w:rsid w:val="00E04062"/>
    <w:rsid w:val="00E04148"/>
    <w:rsid w:val="00E05C25"/>
    <w:rsid w:val="00E063C6"/>
    <w:rsid w:val="00E138A9"/>
    <w:rsid w:val="00E16923"/>
    <w:rsid w:val="00E2003B"/>
    <w:rsid w:val="00E21CB9"/>
    <w:rsid w:val="00E2362E"/>
    <w:rsid w:val="00E25C60"/>
    <w:rsid w:val="00E25F05"/>
    <w:rsid w:val="00E26887"/>
    <w:rsid w:val="00E279D8"/>
    <w:rsid w:val="00E319B1"/>
    <w:rsid w:val="00E34B10"/>
    <w:rsid w:val="00E3670F"/>
    <w:rsid w:val="00E43C33"/>
    <w:rsid w:val="00E44CDD"/>
    <w:rsid w:val="00E45837"/>
    <w:rsid w:val="00E500DB"/>
    <w:rsid w:val="00E5372B"/>
    <w:rsid w:val="00E5492F"/>
    <w:rsid w:val="00E572B1"/>
    <w:rsid w:val="00E57C83"/>
    <w:rsid w:val="00E60968"/>
    <w:rsid w:val="00E63C08"/>
    <w:rsid w:val="00E66BE2"/>
    <w:rsid w:val="00E66C91"/>
    <w:rsid w:val="00E70631"/>
    <w:rsid w:val="00E70A86"/>
    <w:rsid w:val="00E72DA1"/>
    <w:rsid w:val="00E73E50"/>
    <w:rsid w:val="00E777EC"/>
    <w:rsid w:val="00E80FCD"/>
    <w:rsid w:val="00E81276"/>
    <w:rsid w:val="00E867BC"/>
    <w:rsid w:val="00E86AD0"/>
    <w:rsid w:val="00E97033"/>
    <w:rsid w:val="00EA3676"/>
    <w:rsid w:val="00EA4B17"/>
    <w:rsid w:val="00EA62FE"/>
    <w:rsid w:val="00EA6901"/>
    <w:rsid w:val="00EA7F2F"/>
    <w:rsid w:val="00EB6590"/>
    <w:rsid w:val="00EC00DE"/>
    <w:rsid w:val="00EC21DF"/>
    <w:rsid w:val="00EC30E1"/>
    <w:rsid w:val="00EC3156"/>
    <w:rsid w:val="00EC3436"/>
    <w:rsid w:val="00EC3704"/>
    <w:rsid w:val="00EC5702"/>
    <w:rsid w:val="00EC66BB"/>
    <w:rsid w:val="00EC78E3"/>
    <w:rsid w:val="00ED0D41"/>
    <w:rsid w:val="00ED12CF"/>
    <w:rsid w:val="00ED172A"/>
    <w:rsid w:val="00ED42D3"/>
    <w:rsid w:val="00ED663C"/>
    <w:rsid w:val="00EE01DC"/>
    <w:rsid w:val="00EE2A90"/>
    <w:rsid w:val="00EE2FF8"/>
    <w:rsid w:val="00EE5773"/>
    <w:rsid w:val="00EE6786"/>
    <w:rsid w:val="00EE7151"/>
    <w:rsid w:val="00EF1123"/>
    <w:rsid w:val="00EF49D4"/>
    <w:rsid w:val="00EF5EC2"/>
    <w:rsid w:val="00F01475"/>
    <w:rsid w:val="00F0524C"/>
    <w:rsid w:val="00F071E5"/>
    <w:rsid w:val="00F07B0F"/>
    <w:rsid w:val="00F07C8C"/>
    <w:rsid w:val="00F14BEC"/>
    <w:rsid w:val="00F20964"/>
    <w:rsid w:val="00F21C90"/>
    <w:rsid w:val="00F224B7"/>
    <w:rsid w:val="00F225C5"/>
    <w:rsid w:val="00F2587A"/>
    <w:rsid w:val="00F26866"/>
    <w:rsid w:val="00F270B9"/>
    <w:rsid w:val="00F2775E"/>
    <w:rsid w:val="00F322BA"/>
    <w:rsid w:val="00F34CF8"/>
    <w:rsid w:val="00F34E02"/>
    <w:rsid w:val="00F36294"/>
    <w:rsid w:val="00F36D10"/>
    <w:rsid w:val="00F3715D"/>
    <w:rsid w:val="00F37A10"/>
    <w:rsid w:val="00F37D81"/>
    <w:rsid w:val="00F41D16"/>
    <w:rsid w:val="00F420C8"/>
    <w:rsid w:val="00F42A4C"/>
    <w:rsid w:val="00F4470B"/>
    <w:rsid w:val="00F447BA"/>
    <w:rsid w:val="00F463AC"/>
    <w:rsid w:val="00F525A3"/>
    <w:rsid w:val="00F526BD"/>
    <w:rsid w:val="00F542C9"/>
    <w:rsid w:val="00F56B47"/>
    <w:rsid w:val="00F634A1"/>
    <w:rsid w:val="00F65D60"/>
    <w:rsid w:val="00F66D97"/>
    <w:rsid w:val="00F747B8"/>
    <w:rsid w:val="00F753DF"/>
    <w:rsid w:val="00F76CB8"/>
    <w:rsid w:val="00F771D9"/>
    <w:rsid w:val="00F808D1"/>
    <w:rsid w:val="00F82E26"/>
    <w:rsid w:val="00F83B23"/>
    <w:rsid w:val="00F97B01"/>
    <w:rsid w:val="00FA16EA"/>
    <w:rsid w:val="00FA1D1E"/>
    <w:rsid w:val="00FA21C1"/>
    <w:rsid w:val="00FA2ECB"/>
    <w:rsid w:val="00FA463B"/>
    <w:rsid w:val="00FA5511"/>
    <w:rsid w:val="00FA7671"/>
    <w:rsid w:val="00FB3272"/>
    <w:rsid w:val="00FB43D1"/>
    <w:rsid w:val="00FB5E22"/>
    <w:rsid w:val="00FB7512"/>
    <w:rsid w:val="00FC43C6"/>
    <w:rsid w:val="00FC711B"/>
    <w:rsid w:val="00FD52BA"/>
    <w:rsid w:val="00FD5BC2"/>
    <w:rsid w:val="00FD7547"/>
    <w:rsid w:val="00FD782D"/>
    <w:rsid w:val="00FE287B"/>
    <w:rsid w:val="00FE6B50"/>
    <w:rsid w:val="00FE6F60"/>
    <w:rsid w:val="00FF165B"/>
    <w:rsid w:val="00FF3BF2"/>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F36294"/>
    <w:pPr>
      <w:widowControl/>
      <w:numPr>
        <w:numId w:val="2"/>
      </w:numPr>
      <w:ind w:left="567" w:hanging="567"/>
    </w:pPr>
    <w:rPr>
      <w:rFonts w:cs="Arial"/>
      <w:lang w:bidi="ar-SA"/>
    </w:rPr>
  </w:style>
  <w:style w:type="character" w:customStyle="1" w:styleId="FSBullet1Char">
    <w:name w:val="FSBullet 1 Char"/>
    <w:link w:val="FSBullet1"/>
    <w:rsid w:val="00F36294"/>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 w:type="paragraph" w:customStyle="1" w:styleId="FSSUBJECT">
    <w:name w:val="FS SUBJECT"/>
    <w:basedOn w:val="Normal"/>
    <w:qFormat/>
    <w:rsid w:val="009C5D87"/>
    <w:pPr>
      <w:widowControl/>
      <w:jc w:val="center"/>
    </w:pPr>
    <w:rPr>
      <w:b/>
      <w:caps/>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F36294"/>
    <w:pPr>
      <w:widowControl/>
      <w:numPr>
        <w:numId w:val="2"/>
      </w:numPr>
      <w:ind w:left="567" w:hanging="567"/>
    </w:pPr>
    <w:rPr>
      <w:rFonts w:cs="Arial"/>
      <w:lang w:bidi="ar-SA"/>
    </w:rPr>
  </w:style>
  <w:style w:type="character" w:customStyle="1" w:styleId="FSBullet1Char">
    <w:name w:val="FSBullet 1 Char"/>
    <w:link w:val="FSBullet1"/>
    <w:rsid w:val="00F36294"/>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 w:type="paragraph" w:customStyle="1" w:styleId="FSSUBJECT">
    <w:name w:val="FS SUBJECT"/>
    <w:basedOn w:val="Normal"/>
    <w:qFormat/>
    <w:rsid w:val="009C5D87"/>
    <w:pPr>
      <w:widowControl/>
      <w:jc w:val="center"/>
    </w:pPr>
    <w:rPr>
      <w:b/>
      <w:cap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8956">
      <w:bodyDiv w:val="1"/>
      <w:marLeft w:val="0"/>
      <w:marRight w:val="0"/>
      <w:marTop w:val="0"/>
      <w:marBottom w:val="0"/>
      <w:divBdr>
        <w:top w:val="none" w:sz="0" w:space="0" w:color="auto"/>
        <w:left w:val="none" w:sz="0" w:space="0" w:color="auto"/>
        <w:bottom w:val="none" w:sz="0" w:space="0" w:color="auto"/>
        <w:right w:val="none" w:sz="0" w:space="0" w:color="auto"/>
      </w:divBdr>
      <w:divsChild>
        <w:div w:id="1549759426">
          <w:marLeft w:val="0"/>
          <w:marRight w:val="0"/>
          <w:marTop w:val="0"/>
          <w:marBottom w:val="0"/>
          <w:divBdr>
            <w:top w:val="none" w:sz="0" w:space="0" w:color="auto"/>
            <w:left w:val="none" w:sz="0" w:space="0" w:color="auto"/>
            <w:bottom w:val="none" w:sz="0" w:space="0" w:color="auto"/>
            <w:right w:val="none" w:sz="0" w:space="0" w:color="auto"/>
          </w:divBdr>
          <w:divsChild>
            <w:div w:id="1657764158">
              <w:marLeft w:val="0"/>
              <w:marRight w:val="0"/>
              <w:marTop w:val="0"/>
              <w:marBottom w:val="0"/>
              <w:divBdr>
                <w:top w:val="none" w:sz="0" w:space="0" w:color="auto"/>
                <w:left w:val="none" w:sz="0" w:space="0" w:color="auto"/>
                <w:bottom w:val="none" w:sz="0" w:space="0" w:color="auto"/>
                <w:right w:val="none" w:sz="0" w:space="0" w:color="auto"/>
              </w:divBdr>
              <w:divsChild>
                <w:div w:id="2015299951">
                  <w:marLeft w:val="0"/>
                  <w:marRight w:val="0"/>
                  <w:marTop w:val="0"/>
                  <w:marBottom w:val="0"/>
                  <w:divBdr>
                    <w:top w:val="none" w:sz="0" w:space="0" w:color="auto"/>
                    <w:left w:val="none" w:sz="0" w:space="0" w:color="auto"/>
                    <w:bottom w:val="none" w:sz="0" w:space="0" w:color="auto"/>
                    <w:right w:val="none" w:sz="0" w:space="0" w:color="auto"/>
                  </w:divBdr>
                  <w:divsChild>
                    <w:div w:id="405608726">
                      <w:marLeft w:val="0"/>
                      <w:marRight w:val="0"/>
                      <w:marTop w:val="0"/>
                      <w:marBottom w:val="0"/>
                      <w:divBdr>
                        <w:top w:val="none" w:sz="0" w:space="0" w:color="auto"/>
                        <w:left w:val="none" w:sz="0" w:space="0" w:color="auto"/>
                        <w:bottom w:val="none" w:sz="0" w:space="0" w:color="auto"/>
                        <w:right w:val="none" w:sz="0" w:space="0" w:color="auto"/>
                      </w:divBdr>
                      <w:divsChild>
                        <w:div w:id="838891506">
                          <w:marLeft w:val="0"/>
                          <w:marRight w:val="0"/>
                          <w:marTop w:val="0"/>
                          <w:marBottom w:val="0"/>
                          <w:divBdr>
                            <w:top w:val="none" w:sz="0" w:space="0" w:color="auto"/>
                            <w:left w:val="none" w:sz="0" w:space="0" w:color="auto"/>
                            <w:bottom w:val="none" w:sz="0" w:space="0" w:color="auto"/>
                            <w:right w:val="none" w:sz="0" w:space="0" w:color="auto"/>
                          </w:divBdr>
                          <w:divsChild>
                            <w:div w:id="8052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473945">
      <w:bodyDiv w:val="1"/>
      <w:marLeft w:val="0"/>
      <w:marRight w:val="0"/>
      <w:marTop w:val="0"/>
      <w:marBottom w:val="0"/>
      <w:divBdr>
        <w:top w:val="none" w:sz="0" w:space="0" w:color="auto"/>
        <w:left w:val="none" w:sz="0" w:space="0" w:color="auto"/>
        <w:bottom w:val="none" w:sz="0" w:space="0" w:color="auto"/>
        <w:right w:val="none" w:sz="0" w:space="0" w:color="auto"/>
      </w:divBdr>
    </w:div>
    <w:div w:id="42279896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21937655">
      <w:bodyDiv w:val="1"/>
      <w:marLeft w:val="0"/>
      <w:marRight w:val="0"/>
      <w:marTop w:val="0"/>
      <w:marBottom w:val="0"/>
      <w:divBdr>
        <w:top w:val="none" w:sz="0" w:space="0" w:color="auto"/>
        <w:left w:val="none" w:sz="0" w:space="0" w:color="auto"/>
        <w:bottom w:val="none" w:sz="0" w:space="0" w:color="auto"/>
        <w:right w:val="none" w:sz="0" w:space="0" w:color="auto"/>
      </w:divBdr>
      <w:divsChild>
        <w:div w:id="24184466">
          <w:marLeft w:val="0"/>
          <w:marRight w:val="0"/>
          <w:marTop w:val="0"/>
          <w:marBottom w:val="0"/>
          <w:divBdr>
            <w:top w:val="none" w:sz="0" w:space="0" w:color="auto"/>
            <w:left w:val="none" w:sz="0" w:space="0" w:color="auto"/>
            <w:bottom w:val="none" w:sz="0" w:space="0" w:color="auto"/>
            <w:right w:val="none" w:sz="0" w:space="0" w:color="auto"/>
          </w:divBdr>
          <w:divsChild>
            <w:div w:id="207686200">
              <w:marLeft w:val="0"/>
              <w:marRight w:val="0"/>
              <w:marTop w:val="0"/>
              <w:marBottom w:val="0"/>
              <w:divBdr>
                <w:top w:val="none" w:sz="0" w:space="0" w:color="auto"/>
                <w:left w:val="none" w:sz="0" w:space="0" w:color="auto"/>
                <w:bottom w:val="none" w:sz="0" w:space="0" w:color="auto"/>
                <w:right w:val="none" w:sz="0" w:space="0" w:color="auto"/>
              </w:divBdr>
              <w:divsChild>
                <w:div w:id="303317374">
                  <w:marLeft w:val="0"/>
                  <w:marRight w:val="0"/>
                  <w:marTop w:val="0"/>
                  <w:marBottom w:val="0"/>
                  <w:divBdr>
                    <w:top w:val="none" w:sz="0" w:space="0" w:color="auto"/>
                    <w:left w:val="none" w:sz="0" w:space="0" w:color="auto"/>
                    <w:bottom w:val="none" w:sz="0" w:space="0" w:color="auto"/>
                    <w:right w:val="none" w:sz="0" w:space="0" w:color="auto"/>
                  </w:divBdr>
                  <w:divsChild>
                    <w:div w:id="260337175">
                      <w:marLeft w:val="0"/>
                      <w:marRight w:val="0"/>
                      <w:marTop w:val="0"/>
                      <w:marBottom w:val="0"/>
                      <w:divBdr>
                        <w:top w:val="none" w:sz="0" w:space="0" w:color="auto"/>
                        <w:left w:val="none" w:sz="0" w:space="0" w:color="auto"/>
                        <w:bottom w:val="none" w:sz="0" w:space="0" w:color="auto"/>
                        <w:right w:val="none" w:sz="0" w:space="0" w:color="auto"/>
                      </w:divBdr>
                      <w:divsChild>
                        <w:div w:id="1043136819">
                          <w:marLeft w:val="0"/>
                          <w:marRight w:val="0"/>
                          <w:marTop w:val="0"/>
                          <w:marBottom w:val="0"/>
                          <w:divBdr>
                            <w:top w:val="none" w:sz="0" w:space="0" w:color="auto"/>
                            <w:left w:val="none" w:sz="0" w:space="0" w:color="auto"/>
                            <w:bottom w:val="none" w:sz="0" w:space="0" w:color="auto"/>
                            <w:right w:val="none" w:sz="0" w:space="0" w:color="auto"/>
                          </w:divBdr>
                          <w:divsChild>
                            <w:div w:id="7748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03">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82525279">
      <w:bodyDiv w:val="1"/>
      <w:marLeft w:val="0"/>
      <w:marRight w:val="0"/>
      <w:marTop w:val="0"/>
      <w:marBottom w:val="0"/>
      <w:divBdr>
        <w:top w:val="none" w:sz="0" w:space="0" w:color="auto"/>
        <w:left w:val="none" w:sz="0" w:space="0" w:color="auto"/>
        <w:bottom w:val="none" w:sz="0" w:space="0" w:color="auto"/>
        <w:right w:val="none" w:sz="0" w:space="0" w:color="auto"/>
      </w:divBdr>
    </w:div>
    <w:div w:id="971207931">
      <w:bodyDiv w:val="1"/>
      <w:marLeft w:val="0"/>
      <w:marRight w:val="0"/>
      <w:marTop w:val="0"/>
      <w:marBottom w:val="0"/>
      <w:divBdr>
        <w:top w:val="none" w:sz="0" w:space="0" w:color="auto"/>
        <w:left w:val="none" w:sz="0" w:space="0" w:color="auto"/>
        <w:bottom w:val="none" w:sz="0" w:space="0" w:color="auto"/>
        <w:right w:val="none" w:sz="0" w:space="0" w:color="auto"/>
      </w:divBdr>
    </w:div>
    <w:div w:id="1294873042">
      <w:bodyDiv w:val="1"/>
      <w:marLeft w:val="0"/>
      <w:marRight w:val="0"/>
      <w:marTop w:val="0"/>
      <w:marBottom w:val="0"/>
      <w:divBdr>
        <w:top w:val="none" w:sz="0" w:space="0" w:color="auto"/>
        <w:left w:val="none" w:sz="0" w:space="0" w:color="auto"/>
        <w:bottom w:val="none" w:sz="0" w:space="0" w:color="auto"/>
        <w:right w:val="none" w:sz="0" w:space="0" w:color="auto"/>
      </w:divBdr>
      <w:divsChild>
        <w:div w:id="2103061692">
          <w:marLeft w:val="0"/>
          <w:marRight w:val="0"/>
          <w:marTop w:val="0"/>
          <w:marBottom w:val="0"/>
          <w:divBdr>
            <w:top w:val="none" w:sz="0" w:space="0" w:color="auto"/>
            <w:left w:val="none" w:sz="0" w:space="0" w:color="auto"/>
            <w:bottom w:val="none" w:sz="0" w:space="0" w:color="auto"/>
            <w:right w:val="none" w:sz="0" w:space="0" w:color="auto"/>
          </w:divBdr>
          <w:divsChild>
            <w:div w:id="404452193">
              <w:marLeft w:val="0"/>
              <w:marRight w:val="0"/>
              <w:marTop w:val="0"/>
              <w:marBottom w:val="0"/>
              <w:divBdr>
                <w:top w:val="none" w:sz="0" w:space="0" w:color="auto"/>
                <w:left w:val="none" w:sz="0" w:space="0" w:color="auto"/>
                <w:bottom w:val="none" w:sz="0" w:space="0" w:color="auto"/>
                <w:right w:val="none" w:sz="0" w:space="0" w:color="auto"/>
              </w:divBdr>
              <w:divsChild>
                <w:div w:id="1536577529">
                  <w:marLeft w:val="0"/>
                  <w:marRight w:val="0"/>
                  <w:marTop w:val="0"/>
                  <w:marBottom w:val="0"/>
                  <w:divBdr>
                    <w:top w:val="none" w:sz="0" w:space="0" w:color="auto"/>
                    <w:left w:val="none" w:sz="0" w:space="0" w:color="auto"/>
                    <w:bottom w:val="none" w:sz="0" w:space="0" w:color="auto"/>
                    <w:right w:val="none" w:sz="0" w:space="0" w:color="auto"/>
                  </w:divBdr>
                  <w:divsChild>
                    <w:div w:id="886139277">
                      <w:marLeft w:val="0"/>
                      <w:marRight w:val="0"/>
                      <w:marTop w:val="0"/>
                      <w:marBottom w:val="0"/>
                      <w:divBdr>
                        <w:top w:val="none" w:sz="0" w:space="0" w:color="auto"/>
                        <w:left w:val="none" w:sz="0" w:space="0" w:color="auto"/>
                        <w:bottom w:val="none" w:sz="0" w:space="0" w:color="auto"/>
                        <w:right w:val="none" w:sz="0" w:space="0" w:color="auto"/>
                      </w:divBdr>
                      <w:divsChild>
                        <w:div w:id="1026980737">
                          <w:marLeft w:val="0"/>
                          <w:marRight w:val="0"/>
                          <w:marTop w:val="0"/>
                          <w:marBottom w:val="0"/>
                          <w:divBdr>
                            <w:top w:val="none" w:sz="0" w:space="0" w:color="auto"/>
                            <w:left w:val="none" w:sz="0" w:space="0" w:color="auto"/>
                            <w:bottom w:val="none" w:sz="0" w:space="0" w:color="auto"/>
                            <w:right w:val="none" w:sz="0" w:space="0" w:color="auto"/>
                          </w:divBdr>
                          <w:divsChild>
                            <w:div w:id="1814905368">
                              <w:marLeft w:val="0"/>
                              <w:marRight w:val="0"/>
                              <w:marTop w:val="0"/>
                              <w:marBottom w:val="0"/>
                              <w:divBdr>
                                <w:top w:val="none" w:sz="0" w:space="0" w:color="auto"/>
                                <w:left w:val="none" w:sz="0" w:space="0" w:color="auto"/>
                                <w:bottom w:val="none" w:sz="0" w:space="0" w:color="auto"/>
                                <w:right w:val="none" w:sz="0" w:space="0" w:color="auto"/>
                              </w:divBdr>
                              <w:divsChild>
                                <w:div w:id="1670055672">
                                  <w:marLeft w:val="0"/>
                                  <w:marRight w:val="0"/>
                                  <w:marTop w:val="0"/>
                                  <w:marBottom w:val="0"/>
                                  <w:divBdr>
                                    <w:top w:val="none" w:sz="0" w:space="0" w:color="auto"/>
                                    <w:left w:val="none" w:sz="0" w:space="0" w:color="auto"/>
                                    <w:bottom w:val="none" w:sz="0" w:space="0" w:color="auto"/>
                                    <w:right w:val="none" w:sz="0" w:space="0" w:color="auto"/>
                                  </w:divBdr>
                                  <w:divsChild>
                                    <w:div w:id="158278861">
                                      <w:marLeft w:val="0"/>
                                      <w:marRight w:val="0"/>
                                      <w:marTop w:val="0"/>
                                      <w:marBottom w:val="0"/>
                                      <w:divBdr>
                                        <w:top w:val="none" w:sz="0" w:space="0" w:color="auto"/>
                                        <w:left w:val="none" w:sz="0" w:space="0" w:color="auto"/>
                                        <w:bottom w:val="none" w:sz="0" w:space="0" w:color="auto"/>
                                        <w:right w:val="none" w:sz="0" w:space="0" w:color="auto"/>
                                      </w:divBdr>
                                      <w:divsChild>
                                        <w:div w:id="286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145427">
      <w:bodyDiv w:val="1"/>
      <w:marLeft w:val="0"/>
      <w:marRight w:val="0"/>
      <w:marTop w:val="0"/>
      <w:marBottom w:val="0"/>
      <w:divBdr>
        <w:top w:val="none" w:sz="0" w:space="0" w:color="auto"/>
        <w:left w:val="none" w:sz="0" w:space="0" w:color="auto"/>
        <w:bottom w:val="none" w:sz="0" w:space="0" w:color="auto"/>
        <w:right w:val="none" w:sz="0" w:space="0" w:color="auto"/>
      </w:divBdr>
      <w:divsChild>
        <w:div w:id="593435952">
          <w:marLeft w:val="0"/>
          <w:marRight w:val="0"/>
          <w:marTop w:val="0"/>
          <w:marBottom w:val="0"/>
          <w:divBdr>
            <w:top w:val="none" w:sz="0" w:space="0" w:color="auto"/>
            <w:left w:val="none" w:sz="0" w:space="0" w:color="auto"/>
            <w:bottom w:val="none" w:sz="0" w:space="0" w:color="auto"/>
            <w:right w:val="none" w:sz="0" w:space="0" w:color="auto"/>
          </w:divBdr>
          <w:divsChild>
            <w:div w:id="943415537">
              <w:marLeft w:val="0"/>
              <w:marRight w:val="0"/>
              <w:marTop w:val="0"/>
              <w:marBottom w:val="0"/>
              <w:divBdr>
                <w:top w:val="none" w:sz="0" w:space="0" w:color="auto"/>
                <w:left w:val="none" w:sz="0" w:space="0" w:color="auto"/>
                <w:bottom w:val="none" w:sz="0" w:space="0" w:color="auto"/>
                <w:right w:val="none" w:sz="0" w:space="0" w:color="auto"/>
              </w:divBdr>
              <w:divsChild>
                <w:div w:id="1251813480">
                  <w:marLeft w:val="0"/>
                  <w:marRight w:val="0"/>
                  <w:marTop w:val="0"/>
                  <w:marBottom w:val="0"/>
                  <w:divBdr>
                    <w:top w:val="none" w:sz="0" w:space="0" w:color="auto"/>
                    <w:left w:val="none" w:sz="0" w:space="0" w:color="auto"/>
                    <w:bottom w:val="none" w:sz="0" w:space="0" w:color="auto"/>
                    <w:right w:val="none" w:sz="0" w:space="0" w:color="auto"/>
                  </w:divBdr>
                  <w:divsChild>
                    <w:div w:id="576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6786">
      <w:bodyDiv w:val="1"/>
      <w:marLeft w:val="0"/>
      <w:marRight w:val="0"/>
      <w:marTop w:val="0"/>
      <w:marBottom w:val="0"/>
      <w:divBdr>
        <w:top w:val="none" w:sz="0" w:space="0" w:color="auto"/>
        <w:left w:val="none" w:sz="0" w:space="0" w:color="auto"/>
        <w:bottom w:val="none" w:sz="0" w:space="0" w:color="auto"/>
        <w:right w:val="none" w:sz="0" w:space="0" w:color="auto"/>
      </w:divBdr>
    </w:div>
    <w:div w:id="1648974267">
      <w:bodyDiv w:val="1"/>
      <w:marLeft w:val="0"/>
      <w:marRight w:val="0"/>
      <w:marTop w:val="0"/>
      <w:marBottom w:val="0"/>
      <w:divBdr>
        <w:top w:val="none" w:sz="0" w:space="0" w:color="auto"/>
        <w:left w:val="none" w:sz="0" w:space="0" w:color="auto"/>
        <w:bottom w:val="none" w:sz="0" w:space="0" w:color="auto"/>
        <w:right w:val="none" w:sz="0" w:space="0" w:color="auto"/>
      </w:divBdr>
      <w:divsChild>
        <w:div w:id="775833734">
          <w:marLeft w:val="0"/>
          <w:marRight w:val="0"/>
          <w:marTop w:val="0"/>
          <w:marBottom w:val="0"/>
          <w:divBdr>
            <w:top w:val="none" w:sz="0" w:space="0" w:color="auto"/>
            <w:left w:val="none" w:sz="0" w:space="0" w:color="auto"/>
            <w:bottom w:val="none" w:sz="0" w:space="0" w:color="auto"/>
            <w:right w:val="none" w:sz="0" w:space="0" w:color="auto"/>
          </w:divBdr>
          <w:divsChild>
            <w:div w:id="434449088">
              <w:marLeft w:val="0"/>
              <w:marRight w:val="0"/>
              <w:marTop w:val="0"/>
              <w:marBottom w:val="0"/>
              <w:divBdr>
                <w:top w:val="none" w:sz="0" w:space="0" w:color="auto"/>
                <w:left w:val="none" w:sz="0" w:space="0" w:color="auto"/>
                <w:bottom w:val="none" w:sz="0" w:space="0" w:color="auto"/>
                <w:right w:val="none" w:sz="0" w:space="0" w:color="auto"/>
              </w:divBdr>
              <w:divsChild>
                <w:div w:id="1009911626">
                  <w:marLeft w:val="0"/>
                  <w:marRight w:val="0"/>
                  <w:marTop w:val="0"/>
                  <w:marBottom w:val="0"/>
                  <w:divBdr>
                    <w:top w:val="none" w:sz="0" w:space="0" w:color="auto"/>
                    <w:left w:val="none" w:sz="0" w:space="0" w:color="auto"/>
                    <w:bottom w:val="none" w:sz="0" w:space="0" w:color="auto"/>
                    <w:right w:val="none" w:sz="0" w:space="0" w:color="auto"/>
                  </w:divBdr>
                  <w:divsChild>
                    <w:div w:id="6406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mfood/adverse/Pages/default.aspx" TargetMode="External"/><Relationship Id="rId26" Type="http://schemas.openxmlformats.org/officeDocument/2006/relationships/hyperlink" Target="http://www.foodstandards.gov.au/consumer/gmfood/safety/Pages/default.aspx" TargetMode="External"/><Relationship Id="rId21" Type="http://schemas.openxmlformats.org/officeDocument/2006/relationships/hyperlink" Target="http://www.foodstandards.gov.au/consumer/gmfood/recombinantdna/Pages/default.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nsumer/gmfood/adverse/Pages/default.aspx" TargetMode="External"/><Relationship Id="rId25" Type="http://schemas.openxmlformats.org/officeDocument/2006/relationships/hyperlink" Target="http://www.foodstandards.gov.au/consumer/gmfood/seralini/Pages/default.aspx" TargetMode="External"/><Relationship Id="rId33" Type="http://schemas.openxmlformats.org/officeDocument/2006/relationships/image" Target="media/image2.png"/><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oodstandards.gov.au/code/applications/Pages/a1081foodderivedfrom5825.aspx" TargetMode="External"/><Relationship Id="rId20" Type="http://schemas.openxmlformats.org/officeDocument/2006/relationships/hyperlink" Target="http://www.foodstandards.gov.au/consumer/gmfood/Pages/reviewofgeneticallym4394.aspx" TargetMode="External"/><Relationship Id="rId29" Type="http://schemas.openxmlformats.org/officeDocument/2006/relationships/hyperlink" Target="http://www.foodstandards.gov.au/code/applications/pages/applicationa518foodd2314.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nsumer/gmfood/Pages/Response-to-Dr-Carman's-study.aspx" TargetMode="External"/><Relationship Id="rId32" Type="http://schemas.openxmlformats.org/officeDocument/2006/relationships/hyperlink" Target="http://www.oecd.org/futures/long-termtechnologicalsocietalchallenges/40926844.pdf"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prnewswire.co.uk/news-releases/elsevier-announces-article-retraction-from-journal-food-and-chemical-toxicology-233754961.html" TargetMode="External"/><Relationship Id="rId28" Type="http://schemas.openxmlformats.org/officeDocument/2006/relationships/hyperlink" Target="http://www.codexalimentarius.net/web/standard_list.do?lang=en"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foodstandards.gov.au/consumer/gmfood/safety/Pages/default.aspx" TargetMode="External"/><Relationship Id="rId31" Type="http://schemas.openxmlformats.org/officeDocument/2006/relationships/hyperlink" Target="http://www.foodstandards.gov.au/foodstandards/changingthecode/applicationshandbook.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consumer/gmfood/Pages/roleofanimalfeedings3717.aspx" TargetMode="External"/><Relationship Id="rId27" Type="http://schemas.openxmlformats.org/officeDocument/2006/relationships/hyperlink" Target="http://www.foodstandards.gov.au/consumer/gmfood/adverse/Pages/default.aspx" TargetMode="External"/><Relationship Id="rId30" Type="http://schemas.openxmlformats.org/officeDocument/2006/relationships/hyperlink" Target="http://www.foodstandards.gov.au/_srcfiles/GM%20FINAL%20Sept%2007L%20_2_.pdf"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3479AF-4C52-4AA7-874F-07E467E463C0}"/>
</file>

<file path=customXml/itemProps2.xml><?xml version="1.0" encoding="utf-8"?>
<ds:datastoreItem xmlns:ds="http://schemas.openxmlformats.org/officeDocument/2006/customXml" ds:itemID="{603982DE-9341-4FDE-85A6-FFD59F57E5F8}"/>
</file>

<file path=customXml/itemProps3.xml><?xml version="1.0" encoding="utf-8"?>
<ds:datastoreItem xmlns:ds="http://schemas.openxmlformats.org/officeDocument/2006/customXml" ds:itemID="{C2E8E322-BFDF-4A6D-B396-5462FDD7E363}"/>
</file>

<file path=customXml/itemProps4.xml><?xml version="1.0" encoding="utf-8"?>
<ds:datastoreItem xmlns:ds="http://schemas.openxmlformats.org/officeDocument/2006/customXml" ds:itemID="{530F1792-53E4-4413-99B7-A609BC9C7D36}"/>
</file>

<file path=docProps/app.xml><?xml version="1.0" encoding="utf-8"?>
<Properties xmlns="http://schemas.openxmlformats.org/officeDocument/2006/extended-properties" xmlns:vt="http://schemas.openxmlformats.org/officeDocument/2006/docPropsVTypes">
  <Template>Normal</Template>
  <TotalTime>0</TotalTime>
  <Pages>18</Pages>
  <Words>5287</Words>
  <Characters>44810</Characters>
  <Application>Microsoft Office Word</Application>
  <DocSecurity>0</DocSecurity>
  <Lines>373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49998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A1087-GM-AppR</dc:title>
  <dc:creator/>
  <cp:lastModifiedBy/>
  <cp:revision>1</cp:revision>
  <dcterms:created xsi:type="dcterms:W3CDTF">2014-03-05T01:36:00Z</dcterms:created>
  <dcterms:modified xsi:type="dcterms:W3CDTF">2014-03-05T01:37:00Z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