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4D55A" w14:textId="483A6D43" w:rsidR="00E203C2" w:rsidRDefault="00E203C2" w:rsidP="00E203C2">
      <w:bookmarkStart w:id="0" w:name="_GoBack"/>
      <w:bookmarkEnd w:id="0"/>
      <w:r>
        <w:rPr>
          <w:noProof/>
          <w:lang w:eastAsia="en-GB" w:bidi="ar-SA"/>
        </w:rPr>
        <w:drawing>
          <wp:inline distT="0" distB="0" distL="0" distR="0" wp14:anchorId="0EA4D5AD" wp14:editId="047E777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EA4D55B" w14:textId="77777777" w:rsidR="00E203C2" w:rsidRDefault="00E203C2" w:rsidP="00E203C2"/>
    <w:p w14:paraId="0EA4D55C" w14:textId="77777777"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23168F" w:rsidRPr="007C518E">
        <w:rPr>
          <w:b/>
        </w:rPr>
        <w:t>2</w:t>
      </w:r>
    </w:p>
    <w:p w14:paraId="0EA4D55D" w14:textId="77777777" w:rsidR="00BA24E2" w:rsidRDefault="00BA24E2" w:rsidP="00E203C2"/>
    <w:p w14:paraId="0EA4D55E" w14:textId="323310AE" w:rsidR="00E203C2" w:rsidRPr="007C518E" w:rsidRDefault="0023168F" w:rsidP="00177765">
      <w:pPr>
        <w:pStyle w:val="FSTitle"/>
      </w:pPr>
      <w:r w:rsidRPr="007C518E">
        <w:t>Assessment against Policy Guideline</w:t>
      </w:r>
      <w:r w:rsidR="003855FA">
        <w:t xml:space="preserve"> on</w:t>
      </w:r>
      <w:r w:rsidRPr="007C518E">
        <w:t xml:space="preserve"> Fortification of food with vitamins and minerals</w:t>
      </w:r>
      <w:r w:rsidR="00177765" w:rsidRPr="007C518E">
        <w:t xml:space="preserve"> </w:t>
      </w:r>
      <w:r w:rsidR="007E3CB0">
        <w:t xml:space="preserve">(at Approval) </w:t>
      </w:r>
      <w:r w:rsidR="006B5EBE" w:rsidRPr="007C518E">
        <w:t xml:space="preserve">– </w:t>
      </w:r>
      <w:r w:rsidR="00D056F1" w:rsidRPr="007C518E">
        <w:t>A</w:t>
      </w:r>
      <w:r w:rsidR="00177765" w:rsidRPr="007C518E">
        <w:t>pplication A1090</w:t>
      </w:r>
    </w:p>
    <w:p w14:paraId="0EA4D55F" w14:textId="77777777" w:rsidR="00177765" w:rsidRPr="00B8184A" w:rsidRDefault="00177765" w:rsidP="00177765">
      <w:pPr>
        <w:pStyle w:val="FSTitle"/>
        <w:rPr>
          <w:sz w:val="22"/>
        </w:rPr>
      </w:pPr>
    </w:p>
    <w:p w14:paraId="0EA4D560" w14:textId="77777777" w:rsidR="00D056F1" w:rsidRPr="007C518E" w:rsidRDefault="00177765" w:rsidP="00690206">
      <w:pPr>
        <w:pStyle w:val="FSTitle"/>
      </w:pPr>
      <w:r w:rsidRPr="007C518E">
        <w:t>Voluntary Addition of Vitamin D to Breakfast Cereals</w:t>
      </w:r>
    </w:p>
    <w:p w14:paraId="0EA4D561" w14:textId="77777777" w:rsidR="00E203C2" w:rsidRPr="00B37BF0" w:rsidRDefault="00E203C2" w:rsidP="00E203C2">
      <w:pPr>
        <w:pBdr>
          <w:bottom w:val="single" w:sz="12" w:space="1" w:color="auto"/>
        </w:pBdr>
        <w:spacing w:line="280" w:lineRule="exact"/>
        <w:rPr>
          <w:rFonts w:cs="Arial"/>
          <w:bCs/>
        </w:rPr>
      </w:pPr>
    </w:p>
    <w:p w14:paraId="0EA4D562" w14:textId="77777777" w:rsidR="00E203C2" w:rsidRPr="00B37BF0" w:rsidRDefault="00E203C2" w:rsidP="00E203C2"/>
    <w:p w14:paraId="0EA4D563" w14:textId="77777777" w:rsidR="00092CDA" w:rsidRPr="00092CDA" w:rsidRDefault="00092CDA" w:rsidP="00352CF2">
      <w:pPr>
        <w:pStyle w:val="Heading1"/>
        <w:spacing w:before="0"/>
      </w:pPr>
      <w:bookmarkStart w:id="1" w:name="_Toc286391001"/>
      <w:bookmarkStart w:id="2" w:name="_Toc300933414"/>
      <w:r w:rsidRPr="00092CDA">
        <w:t xml:space="preserve">Executive </w:t>
      </w:r>
      <w:r w:rsidR="00B12F1E">
        <w:t>s</w:t>
      </w:r>
      <w:r w:rsidRPr="00092CDA">
        <w:t>ummary</w:t>
      </w:r>
      <w:bookmarkEnd w:id="1"/>
      <w:bookmarkEnd w:id="2"/>
    </w:p>
    <w:p w14:paraId="6E85532A" w14:textId="3F6BBC11" w:rsidR="003C6898" w:rsidRDefault="00177765" w:rsidP="00690206">
      <w:pPr>
        <w:rPr>
          <w:highlight w:val="yellow"/>
        </w:rPr>
      </w:pPr>
      <w:r>
        <w:t xml:space="preserve">This Supporting Document provides a summary of </w:t>
      </w:r>
      <w:r w:rsidR="00B8184A">
        <w:t>FSANZ’s</w:t>
      </w:r>
      <w:r>
        <w:t xml:space="preserve"> consideration of this Application against the </w:t>
      </w:r>
      <w:r w:rsidR="003855FA">
        <w:t xml:space="preserve">specific policy principles </w:t>
      </w:r>
      <w:r>
        <w:t>of the Policy Guideline</w:t>
      </w:r>
      <w:r w:rsidR="003855FA">
        <w:t xml:space="preserve"> on</w:t>
      </w:r>
      <w:r>
        <w:t xml:space="preserve"> Fortification of food with vitamins and </w:t>
      </w:r>
      <w:r w:rsidRPr="003C6898">
        <w:t>minerals.</w:t>
      </w:r>
      <w:r w:rsidRPr="003C6898">
        <w:rPr>
          <w:highlight w:val="yellow"/>
        </w:rPr>
        <w:t xml:space="preserve"> </w:t>
      </w:r>
    </w:p>
    <w:p w14:paraId="06ED3BD5" w14:textId="77777777" w:rsidR="003C6898" w:rsidRDefault="003C6898" w:rsidP="00690206">
      <w:pPr>
        <w:rPr>
          <w:highlight w:val="yellow"/>
        </w:rPr>
      </w:pPr>
    </w:p>
    <w:p w14:paraId="0EA4D565" w14:textId="5B532887" w:rsidR="00092CDA" w:rsidRDefault="003855FA" w:rsidP="00690206">
      <w:r>
        <w:t xml:space="preserve">From an assessment of issues including those </w:t>
      </w:r>
      <w:proofErr w:type="gramStart"/>
      <w:r>
        <w:t>raised</w:t>
      </w:r>
      <w:proofErr w:type="gramEnd"/>
      <w:r>
        <w:t xml:space="preserve"> in submissions</w:t>
      </w:r>
      <w:r w:rsidR="0012722F" w:rsidRPr="0012722F">
        <w:t xml:space="preserve"> </w:t>
      </w:r>
      <w:r w:rsidR="0012722F">
        <w:t>against each of the specific policy principles</w:t>
      </w:r>
      <w:r>
        <w:t xml:space="preserve">, </w:t>
      </w:r>
      <w:r w:rsidR="003C6898" w:rsidRPr="003C6898">
        <w:t>FSANZ conclude</w:t>
      </w:r>
      <w:r w:rsidR="005F6361">
        <w:t>d</w:t>
      </w:r>
      <w:r w:rsidR="003C6898" w:rsidRPr="003C6898">
        <w:t xml:space="preserve"> that permitting the voluntary addition of vitamin D to breakfast cereals to a maximum claim amount of 2.5</w:t>
      </w:r>
      <w:r w:rsidR="003C6898">
        <w:t xml:space="preserve"> </w:t>
      </w:r>
      <w:proofErr w:type="spellStart"/>
      <w:r w:rsidR="003C6898" w:rsidRPr="003C6898">
        <w:t>ug</w:t>
      </w:r>
      <w:proofErr w:type="spellEnd"/>
      <w:r w:rsidR="003C6898" w:rsidRPr="003C6898">
        <w:t xml:space="preserve">/normal serve </w:t>
      </w:r>
      <w:r w:rsidR="0044668F">
        <w:t>satisfie</w:t>
      </w:r>
      <w:r w:rsidR="0012722F">
        <w:t>d</w:t>
      </w:r>
      <w:r w:rsidR="003C6898" w:rsidRPr="003C6898">
        <w:t xml:space="preserve"> the </w:t>
      </w:r>
      <w:r>
        <w:t>specific p</w:t>
      </w:r>
      <w:r w:rsidRPr="003C6898">
        <w:t xml:space="preserve">olicy </w:t>
      </w:r>
      <w:r>
        <w:t>p</w:t>
      </w:r>
      <w:r w:rsidRPr="003C6898">
        <w:t xml:space="preserve">rinciples </w:t>
      </w:r>
      <w:r w:rsidR="003C6898" w:rsidRPr="003C6898">
        <w:t>for voluntary fortification o</w:t>
      </w:r>
      <w:r w:rsidR="005F6361">
        <w:t xml:space="preserve">utlined in the Policy Guideline. </w:t>
      </w:r>
    </w:p>
    <w:p w14:paraId="0EA4D566" w14:textId="77777777" w:rsidR="00092CDA" w:rsidRDefault="00092CDA" w:rsidP="00690206">
      <w:pPr>
        <w:sectPr w:rsidR="00092CDA" w:rsidSect="007D03E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pgNumType w:fmt="lowerRoman" w:start="1"/>
          <w:cols w:space="708"/>
          <w:docGrid w:linePitch="360"/>
        </w:sectPr>
      </w:pPr>
    </w:p>
    <w:p w14:paraId="0EA4D567" w14:textId="77777777" w:rsidR="00177765" w:rsidRDefault="00177765" w:rsidP="00177765">
      <w:pPr>
        <w:pStyle w:val="Heading3"/>
      </w:pPr>
      <w:bookmarkStart w:id="3" w:name="_Toc414968521"/>
      <w:r>
        <w:lastRenderedPageBreak/>
        <w:t>A1090 – Assessment against the Policy Guideline</w:t>
      </w:r>
      <w:bookmarkEnd w:id="3"/>
    </w:p>
    <w:p w14:paraId="0EA4D568" w14:textId="77777777" w:rsidR="00177765" w:rsidRDefault="00177765" w:rsidP="00177765">
      <w:pPr>
        <w:pStyle w:val="Heading3"/>
      </w:pPr>
      <w:bookmarkStart w:id="4" w:name="_Toc414968522"/>
      <w:r>
        <w:t>Specific order policy principles – Voluntary Fortification</w:t>
      </w:r>
      <w:bookmarkEnd w:id="4"/>
    </w:p>
    <w:tbl>
      <w:tblPr>
        <w:tblStyle w:val="TableGrid"/>
        <w:tblW w:w="13716" w:type="dxa"/>
        <w:tblCellMar>
          <w:top w:w="57" w:type="dxa"/>
        </w:tblCellMar>
        <w:tblLook w:val="04A0" w:firstRow="1" w:lastRow="0" w:firstColumn="1" w:lastColumn="0" w:noHBand="0" w:noVBand="1"/>
      </w:tblPr>
      <w:tblGrid>
        <w:gridCol w:w="4685"/>
        <w:gridCol w:w="9031"/>
      </w:tblGrid>
      <w:tr w:rsidR="007F4013" w:rsidRPr="00D525CA" w14:paraId="0EA4D56B" w14:textId="77777777" w:rsidTr="00B8184A">
        <w:trPr>
          <w:cantSplit/>
          <w:tblHeader/>
        </w:trPr>
        <w:tc>
          <w:tcPr>
            <w:tcW w:w="4685" w:type="dxa"/>
          </w:tcPr>
          <w:p w14:paraId="0EA4D569" w14:textId="77777777" w:rsidR="007F4013" w:rsidRPr="00323BBC" w:rsidRDefault="007F4013" w:rsidP="00242029">
            <w:pPr>
              <w:autoSpaceDE w:val="0"/>
              <w:autoSpaceDN w:val="0"/>
              <w:adjustRightInd w:val="0"/>
              <w:rPr>
                <w:rFonts w:cs="Arial"/>
                <w:b/>
                <w:sz w:val="20"/>
                <w:szCs w:val="20"/>
              </w:rPr>
            </w:pPr>
            <w:r w:rsidRPr="00323BBC">
              <w:rPr>
                <w:rFonts w:cs="Arial"/>
                <w:b/>
                <w:sz w:val="20"/>
                <w:szCs w:val="20"/>
              </w:rPr>
              <w:t>Specific Order Principle</w:t>
            </w:r>
          </w:p>
        </w:tc>
        <w:tc>
          <w:tcPr>
            <w:tcW w:w="9031" w:type="dxa"/>
          </w:tcPr>
          <w:p w14:paraId="0EA4D56A" w14:textId="77777777" w:rsidR="007F4013" w:rsidRPr="00906563" w:rsidRDefault="007F4013" w:rsidP="00242029"/>
        </w:tc>
      </w:tr>
      <w:tr w:rsidR="007F4013" w:rsidRPr="00D525CA" w14:paraId="0EA4D56E" w14:textId="77777777" w:rsidTr="0015387D">
        <w:trPr>
          <w:cantSplit/>
        </w:trPr>
        <w:tc>
          <w:tcPr>
            <w:tcW w:w="4685" w:type="dxa"/>
          </w:tcPr>
          <w:p w14:paraId="0EA4D56C" w14:textId="77777777" w:rsidR="007F4013" w:rsidRPr="007B7422" w:rsidRDefault="007F4013" w:rsidP="00242029">
            <w:pPr>
              <w:autoSpaceDE w:val="0"/>
              <w:autoSpaceDN w:val="0"/>
              <w:adjustRightInd w:val="0"/>
              <w:rPr>
                <w:rFonts w:cs="Arial"/>
                <w:b/>
                <w:bCs/>
                <w:sz w:val="20"/>
                <w:szCs w:val="20"/>
              </w:rPr>
            </w:pPr>
            <w:r w:rsidRPr="007B7422">
              <w:rPr>
                <w:rFonts w:cs="Arial"/>
                <w:sz w:val="20"/>
                <w:szCs w:val="20"/>
              </w:rPr>
              <w:t>Where there is a need for increasing the intake of a vitamin or mineral in one or more population groups demonstrated by actual clinical or subclinical evidence of deficiency or by data indicating low levels of intake</w:t>
            </w:r>
            <w:r>
              <w:rPr>
                <w:rFonts w:cs="Arial"/>
                <w:sz w:val="20"/>
                <w:szCs w:val="20"/>
              </w:rPr>
              <w:t xml:space="preserve">; </w:t>
            </w:r>
            <w:r w:rsidRPr="007B7422">
              <w:rPr>
                <w:rFonts w:cs="Arial"/>
                <w:sz w:val="20"/>
                <w:szCs w:val="20"/>
              </w:rPr>
              <w:t xml:space="preserve"> </w:t>
            </w:r>
            <w:r w:rsidRPr="007B7422">
              <w:rPr>
                <w:rFonts w:cs="Arial"/>
                <w:b/>
                <w:bCs/>
                <w:sz w:val="20"/>
                <w:szCs w:val="20"/>
              </w:rPr>
              <w:t>or</w:t>
            </w:r>
          </w:p>
        </w:tc>
        <w:tc>
          <w:tcPr>
            <w:tcW w:w="9031" w:type="dxa"/>
          </w:tcPr>
          <w:p w14:paraId="61731F77" w14:textId="77777777" w:rsidR="00CE65D9" w:rsidRPr="007E4027" w:rsidRDefault="007F4013" w:rsidP="00242029">
            <w:pPr>
              <w:rPr>
                <w:rStyle w:val="Hyperlink"/>
                <w:sz w:val="20"/>
              </w:rPr>
            </w:pPr>
            <w:r w:rsidRPr="007E4027">
              <w:rPr>
                <w:sz w:val="20"/>
              </w:rPr>
              <w:t xml:space="preserve">See SD1 – </w:t>
            </w:r>
            <w:hyperlink r:id="rId16" w:history="1">
              <w:r w:rsidRPr="007E4027">
                <w:rPr>
                  <w:rStyle w:val="Hyperlink"/>
                  <w:sz w:val="20"/>
                </w:rPr>
                <w:t>Technological and Nutrition Risk Assessment.</w:t>
              </w:r>
            </w:hyperlink>
          </w:p>
          <w:p w14:paraId="6BF83F71" w14:textId="77777777" w:rsidR="00CE65D9" w:rsidRPr="007E4027" w:rsidRDefault="00CE65D9" w:rsidP="00242029">
            <w:pPr>
              <w:rPr>
                <w:sz w:val="20"/>
              </w:rPr>
            </w:pPr>
          </w:p>
          <w:p w14:paraId="39621DD2" w14:textId="77777777" w:rsidR="005F5491" w:rsidRPr="007E4027" w:rsidRDefault="005F5491" w:rsidP="005F5491">
            <w:pPr>
              <w:rPr>
                <w:rFonts w:cs="Arial"/>
                <w:sz w:val="20"/>
                <w:szCs w:val="20"/>
                <w:lang w:bidi="ar-SA"/>
              </w:rPr>
            </w:pPr>
            <w:r w:rsidRPr="007E4027">
              <w:rPr>
                <w:rFonts w:cs="Arial"/>
                <w:sz w:val="20"/>
                <w:szCs w:val="20"/>
                <w:lang w:bidi="ar-SA"/>
              </w:rPr>
              <w:t>Nationally-based surveys reported that:</w:t>
            </w:r>
          </w:p>
          <w:p w14:paraId="041EE09A" w14:textId="77777777" w:rsidR="005F5491" w:rsidRPr="007E4027" w:rsidRDefault="005F5491" w:rsidP="005F5491">
            <w:pPr>
              <w:widowControl/>
              <w:numPr>
                <w:ilvl w:val="0"/>
                <w:numId w:val="50"/>
              </w:numPr>
              <w:ind w:left="371" w:hanging="315"/>
              <w:contextualSpacing/>
              <w:rPr>
                <w:rFonts w:cs="Arial"/>
                <w:sz w:val="20"/>
                <w:szCs w:val="20"/>
                <w:lang w:bidi="ar-SA"/>
              </w:rPr>
            </w:pPr>
            <w:r w:rsidRPr="007E4027">
              <w:rPr>
                <w:rFonts w:cs="Arial"/>
                <w:sz w:val="20"/>
                <w:szCs w:val="20"/>
                <w:lang w:bidi="ar-SA"/>
              </w:rPr>
              <w:t xml:space="preserve">13.4% of Australians (12 years and above) and 20.9% of New Zealand adults (15 years and above) have 25OHD &lt; 40 </w:t>
            </w:r>
            <w:proofErr w:type="spellStart"/>
            <w:r w:rsidRPr="007E4027">
              <w:rPr>
                <w:rFonts w:cs="Arial"/>
                <w:sz w:val="20"/>
                <w:szCs w:val="20"/>
                <w:lang w:bidi="ar-SA"/>
              </w:rPr>
              <w:t>nM</w:t>
            </w:r>
            <w:proofErr w:type="spellEnd"/>
            <w:r w:rsidRPr="007E4027">
              <w:rPr>
                <w:rFonts w:cs="Arial"/>
                <w:sz w:val="20"/>
                <w:szCs w:val="20"/>
                <w:lang w:bidi="ar-SA"/>
              </w:rPr>
              <w:t xml:space="preserve"> </w:t>
            </w:r>
          </w:p>
          <w:p w14:paraId="2F9B2938" w14:textId="77777777" w:rsidR="005F5491" w:rsidRPr="007E4027" w:rsidRDefault="005F5491" w:rsidP="005F5491">
            <w:pPr>
              <w:widowControl/>
              <w:numPr>
                <w:ilvl w:val="0"/>
                <w:numId w:val="50"/>
              </w:numPr>
              <w:ind w:left="371" w:hanging="315"/>
              <w:contextualSpacing/>
              <w:rPr>
                <w:rFonts w:cs="Arial"/>
                <w:sz w:val="20"/>
                <w:szCs w:val="20"/>
                <w:lang w:bidi="ar-SA"/>
              </w:rPr>
            </w:pPr>
            <w:r w:rsidRPr="007E4027">
              <w:rPr>
                <w:rFonts w:cs="Arial"/>
                <w:sz w:val="20"/>
                <w:szCs w:val="20"/>
                <w:lang w:bidi="ar-SA"/>
              </w:rPr>
              <w:t xml:space="preserve">31% of New Zealand children (5–14 years) have serum 25OHD &lt; than 37.5 </w:t>
            </w:r>
            <w:proofErr w:type="spellStart"/>
            <w:r w:rsidRPr="007E4027">
              <w:rPr>
                <w:rFonts w:cs="Arial"/>
                <w:sz w:val="20"/>
                <w:szCs w:val="20"/>
                <w:lang w:bidi="ar-SA"/>
              </w:rPr>
              <w:t>nM</w:t>
            </w:r>
            <w:proofErr w:type="spellEnd"/>
          </w:p>
          <w:p w14:paraId="6E8928CD" w14:textId="77777777" w:rsidR="005F5491" w:rsidRPr="007E4027" w:rsidRDefault="005F5491" w:rsidP="005F5491">
            <w:pPr>
              <w:ind w:left="56"/>
              <w:rPr>
                <w:rFonts w:cs="Arial"/>
                <w:sz w:val="20"/>
                <w:szCs w:val="20"/>
                <w:lang w:bidi="ar-SA"/>
              </w:rPr>
            </w:pPr>
          </w:p>
          <w:p w14:paraId="0EA4D56D" w14:textId="02AED31A" w:rsidR="007F4013" w:rsidRPr="007E4027" w:rsidRDefault="005F5491" w:rsidP="00CE65D9">
            <w:pPr>
              <w:rPr>
                <w:sz w:val="20"/>
              </w:rPr>
            </w:pPr>
            <w:r w:rsidRPr="007E4027">
              <w:rPr>
                <w:rFonts w:cs="Arial"/>
                <w:sz w:val="20"/>
                <w:szCs w:val="20"/>
                <w:lang w:bidi="ar-SA"/>
              </w:rPr>
              <w:t xml:space="preserve">The survey data indicate that the majority of persons in </w:t>
            </w:r>
            <w:r w:rsidR="0044668F" w:rsidRPr="007E4027">
              <w:rPr>
                <w:rFonts w:cs="Arial"/>
                <w:sz w:val="20"/>
                <w:szCs w:val="20"/>
                <w:lang w:bidi="ar-SA"/>
              </w:rPr>
              <w:t>Australia New Zealand</w:t>
            </w:r>
            <w:r w:rsidRPr="007E4027">
              <w:rPr>
                <w:rFonts w:cs="Arial"/>
                <w:sz w:val="20"/>
                <w:szCs w:val="20"/>
                <w:lang w:bidi="ar-SA"/>
              </w:rPr>
              <w:t xml:space="preserve"> have adequate vitamin D status but that prevalence of low vitamin D was higher in winter than summer, varied with region, and was more common in indigenous and some migrant groups. </w:t>
            </w:r>
          </w:p>
        </w:tc>
      </w:tr>
      <w:tr w:rsidR="007F4013" w:rsidRPr="00D525CA" w14:paraId="0EA4D571" w14:textId="77777777" w:rsidTr="0015387D">
        <w:trPr>
          <w:cantSplit/>
        </w:trPr>
        <w:tc>
          <w:tcPr>
            <w:tcW w:w="4685" w:type="dxa"/>
          </w:tcPr>
          <w:p w14:paraId="0EA4D56F" w14:textId="77777777" w:rsidR="007F4013" w:rsidRPr="007B7422" w:rsidRDefault="007F4013" w:rsidP="00242029">
            <w:pPr>
              <w:rPr>
                <w:rFonts w:cs="Arial"/>
                <w:sz w:val="20"/>
                <w:szCs w:val="20"/>
              </w:rPr>
            </w:pPr>
            <w:r w:rsidRPr="007B7422">
              <w:rPr>
                <w:rFonts w:cs="Arial"/>
                <w:sz w:val="20"/>
                <w:szCs w:val="20"/>
              </w:rPr>
              <w:t>Where data indicates that deficiencies in the intake of a vitamin or mineral in one or more population groups are likely to develop because of changes taking place in food habits</w:t>
            </w:r>
            <w:r>
              <w:rPr>
                <w:rFonts w:cs="Arial"/>
                <w:sz w:val="20"/>
                <w:szCs w:val="20"/>
              </w:rPr>
              <w:t>;</w:t>
            </w:r>
            <w:r w:rsidRPr="007B7422">
              <w:rPr>
                <w:rFonts w:cs="Arial"/>
                <w:sz w:val="20"/>
                <w:szCs w:val="20"/>
              </w:rPr>
              <w:t xml:space="preserve"> </w:t>
            </w:r>
            <w:r w:rsidRPr="007B7422">
              <w:rPr>
                <w:rFonts w:cs="Arial"/>
                <w:b/>
                <w:bCs/>
                <w:sz w:val="20"/>
                <w:szCs w:val="20"/>
              </w:rPr>
              <w:t>or</w:t>
            </w:r>
          </w:p>
        </w:tc>
        <w:tc>
          <w:tcPr>
            <w:tcW w:w="9031" w:type="dxa"/>
          </w:tcPr>
          <w:p w14:paraId="0EA4D570" w14:textId="77777777" w:rsidR="007F4013" w:rsidRPr="007E4027" w:rsidRDefault="007F4013" w:rsidP="00242029">
            <w:pPr>
              <w:rPr>
                <w:sz w:val="20"/>
              </w:rPr>
            </w:pPr>
            <w:r w:rsidRPr="007E4027">
              <w:rPr>
                <w:sz w:val="20"/>
              </w:rPr>
              <w:t>Not applicable to this Application</w:t>
            </w:r>
          </w:p>
        </w:tc>
      </w:tr>
      <w:tr w:rsidR="007F4013" w:rsidRPr="00D525CA" w14:paraId="0EA4D574" w14:textId="77777777" w:rsidTr="0015387D">
        <w:trPr>
          <w:cantSplit/>
        </w:trPr>
        <w:tc>
          <w:tcPr>
            <w:tcW w:w="4685" w:type="dxa"/>
          </w:tcPr>
          <w:p w14:paraId="0EA4D572" w14:textId="77777777" w:rsidR="007F4013" w:rsidRPr="007B7422" w:rsidRDefault="007F4013" w:rsidP="00242029">
            <w:pPr>
              <w:rPr>
                <w:rFonts w:cs="Arial"/>
                <w:sz w:val="20"/>
                <w:szCs w:val="20"/>
              </w:rPr>
            </w:pPr>
            <w:r w:rsidRPr="007B7422">
              <w:rPr>
                <w:rFonts w:cs="Arial"/>
                <w:sz w:val="20"/>
                <w:szCs w:val="20"/>
              </w:rPr>
              <w:t>Where there is generally accepted scientific evidence that an increase in the intake of a vitamin and/or mineral can deliver a health benefit</w:t>
            </w:r>
            <w:r>
              <w:rPr>
                <w:rFonts w:cs="Arial"/>
                <w:sz w:val="20"/>
                <w:szCs w:val="20"/>
              </w:rPr>
              <w:t>;</w:t>
            </w:r>
            <w:r w:rsidRPr="007B7422">
              <w:rPr>
                <w:rFonts w:cs="Arial"/>
                <w:sz w:val="20"/>
                <w:szCs w:val="20"/>
              </w:rPr>
              <w:t xml:space="preserve"> </w:t>
            </w:r>
            <w:r w:rsidRPr="007B7422">
              <w:rPr>
                <w:rFonts w:cs="Arial"/>
                <w:b/>
                <w:bCs/>
                <w:sz w:val="20"/>
                <w:szCs w:val="20"/>
              </w:rPr>
              <w:t>or</w:t>
            </w:r>
          </w:p>
        </w:tc>
        <w:tc>
          <w:tcPr>
            <w:tcW w:w="9031" w:type="dxa"/>
          </w:tcPr>
          <w:p w14:paraId="0EA4D573" w14:textId="77777777" w:rsidR="007F4013" w:rsidRPr="007E4027" w:rsidRDefault="007F4013" w:rsidP="00242029">
            <w:pPr>
              <w:rPr>
                <w:sz w:val="20"/>
              </w:rPr>
            </w:pPr>
            <w:r w:rsidRPr="007E4027">
              <w:rPr>
                <w:sz w:val="20"/>
              </w:rPr>
              <w:t>Not applicable to this Application</w:t>
            </w:r>
          </w:p>
        </w:tc>
      </w:tr>
      <w:tr w:rsidR="007F4013" w:rsidRPr="00D525CA" w14:paraId="0EA4D577" w14:textId="77777777" w:rsidTr="0015387D">
        <w:trPr>
          <w:cantSplit/>
        </w:trPr>
        <w:tc>
          <w:tcPr>
            <w:tcW w:w="4685" w:type="dxa"/>
          </w:tcPr>
          <w:p w14:paraId="0EA4D575" w14:textId="77777777" w:rsidR="007F4013" w:rsidRPr="007B7422" w:rsidRDefault="007F4013" w:rsidP="00242029">
            <w:pPr>
              <w:rPr>
                <w:rFonts w:cs="Arial"/>
                <w:sz w:val="20"/>
                <w:szCs w:val="20"/>
              </w:rPr>
            </w:pPr>
            <w:r w:rsidRPr="007B7422">
              <w:rPr>
                <w:rFonts w:cs="Arial"/>
                <w:sz w:val="20"/>
                <w:szCs w:val="20"/>
              </w:rPr>
              <w:t>To enable the nutritional profile of foods to be maintained at pre-processing levels as far as possible after processing (through modified restoration)</w:t>
            </w:r>
            <w:r>
              <w:rPr>
                <w:rFonts w:cs="Arial"/>
                <w:sz w:val="20"/>
                <w:szCs w:val="20"/>
              </w:rPr>
              <w:t>;</w:t>
            </w:r>
            <w:r w:rsidRPr="007B7422">
              <w:rPr>
                <w:rFonts w:cs="Arial"/>
                <w:sz w:val="20"/>
                <w:szCs w:val="20"/>
              </w:rPr>
              <w:t xml:space="preserve"> </w:t>
            </w:r>
            <w:r w:rsidRPr="007B7422">
              <w:rPr>
                <w:rFonts w:cs="Arial"/>
                <w:b/>
                <w:bCs/>
                <w:sz w:val="20"/>
                <w:szCs w:val="20"/>
              </w:rPr>
              <w:t>or</w:t>
            </w:r>
          </w:p>
        </w:tc>
        <w:tc>
          <w:tcPr>
            <w:tcW w:w="9031" w:type="dxa"/>
          </w:tcPr>
          <w:p w14:paraId="0EA4D576" w14:textId="77777777" w:rsidR="007F4013" w:rsidRPr="007E4027" w:rsidRDefault="007F4013" w:rsidP="00242029">
            <w:pPr>
              <w:rPr>
                <w:sz w:val="20"/>
              </w:rPr>
            </w:pPr>
            <w:r w:rsidRPr="007E4027">
              <w:rPr>
                <w:sz w:val="20"/>
              </w:rPr>
              <w:t>Not Applicable to this Application</w:t>
            </w:r>
          </w:p>
        </w:tc>
      </w:tr>
      <w:tr w:rsidR="007F4013" w:rsidRPr="007B7422" w14:paraId="0EA4D57A" w14:textId="77777777" w:rsidTr="0015387D">
        <w:trPr>
          <w:cantSplit/>
        </w:trPr>
        <w:tc>
          <w:tcPr>
            <w:tcW w:w="4685" w:type="dxa"/>
          </w:tcPr>
          <w:p w14:paraId="0EA4D578" w14:textId="77777777" w:rsidR="007F4013" w:rsidRPr="007B7422" w:rsidRDefault="007F4013" w:rsidP="00242029">
            <w:pPr>
              <w:autoSpaceDE w:val="0"/>
              <w:autoSpaceDN w:val="0"/>
              <w:adjustRightInd w:val="0"/>
              <w:rPr>
                <w:rFonts w:cs="Arial"/>
                <w:sz w:val="20"/>
                <w:szCs w:val="20"/>
              </w:rPr>
            </w:pPr>
            <w:r w:rsidRPr="007B7422">
              <w:rPr>
                <w:rFonts w:cs="Arial"/>
                <w:sz w:val="20"/>
                <w:szCs w:val="20"/>
              </w:rPr>
              <w:t>To enable the nutritional profile of specific substitute foods to be aligned with the primary food (through nutritional equivalence).</w:t>
            </w:r>
          </w:p>
        </w:tc>
        <w:tc>
          <w:tcPr>
            <w:tcW w:w="9031" w:type="dxa"/>
          </w:tcPr>
          <w:p w14:paraId="0EA4D579" w14:textId="77777777" w:rsidR="007F4013" w:rsidRPr="007E4027" w:rsidRDefault="007F4013" w:rsidP="00242029">
            <w:pPr>
              <w:rPr>
                <w:sz w:val="20"/>
              </w:rPr>
            </w:pPr>
            <w:r w:rsidRPr="007E4027">
              <w:rPr>
                <w:sz w:val="20"/>
              </w:rPr>
              <w:t>Not Applicable to this Application</w:t>
            </w:r>
          </w:p>
        </w:tc>
      </w:tr>
      <w:tr w:rsidR="007F4013" w:rsidRPr="007B7422" w14:paraId="0EA4D580" w14:textId="77777777" w:rsidTr="0015387D">
        <w:trPr>
          <w:cantSplit/>
        </w:trPr>
        <w:tc>
          <w:tcPr>
            <w:tcW w:w="4685" w:type="dxa"/>
          </w:tcPr>
          <w:p w14:paraId="0EA4D57B" w14:textId="77777777" w:rsidR="007F4013" w:rsidRPr="007B7422" w:rsidRDefault="007F4013" w:rsidP="00242029">
            <w:pPr>
              <w:rPr>
                <w:rFonts w:cs="Arial"/>
                <w:sz w:val="20"/>
                <w:szCs w:val="20"/>
              </w:rPr>
            </w:pPr>
            <w:r w:rsidRPr="007B7422">
              <w:rPr>
                <w:rFonts w:cs="Arial"/>
                <w:sz w:val="20"/>
                <w:szCs w:val="20"/>
              </w:rPr>
              <w:lastRenderedPageBreak/>
              <w:t xml:space="preserve">The permitted fortification has </w:t>
            </w:r>
            <w:r w:rsidRPr="00F70141">
              <w:rPr>
                <w:rFonts w:cs="Arial"/>
                <w:sz w:val="20"/>
                <w:szCs w:val="20"/>
              </w:rPr>
              <w:t>the potential to address the deficit or deliver the benefit to a population group that consumes the fortified</w:t>
            </w:r>
            <w:r w:rsidRPr="007B7422">
              <w:rPr>
                <w:rFonts w:cs="Arial"/>
                <w:sz w:val="20"/>
                <w:szCs w:val="20"/>
              </w:rPr>
              <w:t xml:space="preserve"> food according to its reasonable intended use</w:t>
            </w:r>
          </w:p>
        </w:tc>
        <w:tc>
          <w:tcPr>
            <w:tcW w:w="9031" w:type="dxa"/>
          </w:tcPr>
          <w:p w14:paraId="0EA4D57C" w14:textId="539DCA8F" w:rsidR="007F4013" w:rsidRPr="00690627" w:rsidRDefault="007F4013" w:rsidP="00242029">
            <w:pPr>
              <w:rPr>
                <w:rFonts w:cs="Arial"/>
                <w:sz w:val="20"/>
                <w:szCs w:val="20"/>
              </w:rPr>
            </w:pPr>
            <w:r w:rsidRPr="00690627">
              <w:rPr>
                <w:rFonts w:cs="Arial"/>
                <w:sz w:val="20"/>
                <w:szCs w:val="20"/>
              </w:rPr>
              <w:t xml:space="preserve">As </w:t>
            </w:r>
            <w:r>
              <w:rPr>
                <w:rFonts w:cs="Arial"/>
                <w:sz w:val="20"/>
                <w:szCs w:val="20"/>
              </w:rPr>
              <w:t>the Applicant sought</w:t>
            </w:r>
            <w:r w:rsidRPr="00690627">
              <w:rPr>
                <w:rFonts w:cs="Arial"/>
                <w:sz w:val="20"/>
                <w:szCs w:val="20"/>
              </w:rPr>
              <w:t xml:space="preserve"> permission for the voluntary addition of vitamin D to breakfast cereals, a benefit will only be realised if industry decide</w:t>
            </w:r>
            <w:r w:rsidR="00CE65D9">
              <w:rPr>
                <w:rFonts w:cs="Arial"/>
                <w:sz w:val="20"/>
                <w:szCs w:val="20"/>
              </w:rPr>
              <w:t>s</w:t>
            </w:r>
            <w:r w:rsidRPr="00690627">
              <w:rPr>
                <w:rFonts w:cs="Arial"/>
                <w:sz w:val="20"/>
                <w:szCs w:val="20"/>
              </w:rPr>
              <w:t xml:space="preserve"> to make use of the permission and consumers choose to purchase and consume the product. </w:t>
            </w:r>
            <w:r>
              <w:rPr>
                <w:rFonts w:cs="Arial"/>
                <w:sz w:val="20"/>
                <w:szCs w:val="20"/>
              </w:rPr>
              <w:t xml:space="preserve">The risk assessment </w:t>
            </w:r>
            <w:r w:rsidR="00866C55">
              <w:rPr>
                <w:rFonts w:cs="Arial"/>
                <w:sz w:val="20"/>
                <w:szCs w:val="20"/>
              </w:rPr>
              <w:t>showed that for persons consuming an</w:t>
            </w:r>
            <w:r w:rsidRPr="00690627">
              <w:rPr>
                <w:rFonts w:cs="Arial"/>
                <w:sz w:val="20"/>
                <w:szCs w:val="20"/>
              </w:rPr>
              <w:t xml:space="preserve"> </w:t>
            </w:r>
            <w:r w:rsidR="00866C55">
              <w:rPr>
                <w:rFonts w:cs="Arial"/>
                <w:sz w:val="20"/>
                <w:szCs w:val="20"/>
              </w:rPr>
              <w:t xml:space="preserve">average amount of breakfast cereal assuming a reasonable market share (35%) will increase their </w:t>
            </w:r>
            <w:r w:rsidRPr="00690627">
              <w:rPr>
                <w:rFonts w:cs="Arial"/>
                <w:sz w:val="20"/>
                <w:szCs w:val="20"/>
              </w:rPr>
              <w:t>serum</w:t>
            </w:r>
            <w:r w:rsidR="00866C55">
              <w:rPr>
                <w:rFonts w:cs="Arial"/>
                <w:sz w:val="20"/>
                <w:szCs w:val="20"/>
              </w:rPr>
              <w:t xml:space="preserve"> 25OHD</w:t>
            </w:r>
            <w:r w:rsidRPr="00690627">
              <w:rPr>
                <w:rFonts w:cs="Arial"/>
                <w:sz w:val="20"/>
                <w:szCs w:val="20"/>
              </w:rPr>
              <w:t xml:space="preserve"> </w:t>
            </w:r>
            <w:r w:rsidRPr="0044668F">
              <w:rPr>
                <w:rFonts w:cs="Arial"/>
                <w:sz w:val="20"/>
                <w:szCs w:val="20"/>
              </w:rPr>
              <w:t>by</w:t>
            </w:r>
            <w:r w:rsidRPr="00690627">
              <w:rPr>
                <w:rFonts w:cs="Arial"/>
                <w:sz w:val="20"/>
                <w:szCs w:val="20"/>
              </w:rPr>
              <w:t xml:space="preserve"> about</w:t>
            </w:r>
            <w:r w:rsidR="00866C55">
              <w:rPr>
                <w:rFonts w:cs="Arial"/>
                <w:sz w:val="20"/>
                <w:szCs w:val="20"/>
              </w:rPr>
              <w:t xml:space="preserve"> 4 </w:t>
            </w:r>
            <w:proofErr w:type="spellStart"/>
            <w:r w:rsidR="00866C55">
              <w:rPr>
                <w:rFonts w:cs="Arial"/>
                <w:sz w:val="20"/>
                <w:szCs w:val="20"/>
              </w:rPr>
              <w:t>nM</w:t>
            </w:r>
            <w:proofErr w:type="spellEnd"/>
            <w:r w:rsidR="004028B5">
              <w:rPr>
                <w:rFonts w:cs="Arial"/>
                <w:sz w:val="20"/>
                <w:szCs w:val="20"/>
              </w:rPr>
              <w:t>.</w:t>
            </w:r>
            <w:r w:rsidR="00866C55">
              <w:rPr>
                <w:rFonts w:cs="Arial"/>
                <w:sz w:val="20"/>
                <w:szCs w:val="20"/>
              </w:rPr>
              <w:t xml:space="preserve"> Higher increases in serum 25OHD would result from higher cereal consumption and/or greater market share. </w:t>
            </w:r>
          </w:p>
          <w:p w14:paraId="0EA4D57D" w14:textId="77777777" w:rsidR="007F4013" w:rsidRPr="00690627" w:rsidRDefault="007F4013" w:rsidP="00242029">
            <w:pPr>
              <w:rPr>
                <w:rFonts w:cs="Arial"/>
                <w:sz w:val="20"/>
                <w:szCs w:val="20"/>
              </w:rPr>
            </w:pPr>
          </w:p>
          <w:p w14:paraId="0EA4D57F" w14:textId="6CD40794" w:rsidR="007F4013" w:rsidRPr="00690627" w:rsidRDefault="007F4013" w:rsidP="005F10BF">
            <w:pPr>
              <w:pStyle w:val="Table2"/>
              <w:ind w:left="34" w:firstLine="0"/>
            </w:pPr>
            <w:r w:rsidRPr="00690627">
              <w:t xml:space="preserve">Further analysis undertaken by the ABS (unpublished data, 2015) indicated that </w:t>
            </w:r>
            <w:r>
              <w:t xml:space="preserve">nearly 30% </w:t>
            </w:r>
            <w:r w:rsidRPr="00690627">
              <w:t xml:space="preserve">persons identified in the biomedical component of the AHS </w:t>
            </w:r>
            <w:r>
              <w:t xml:space="preserve">as </w:t>
            </w:r>
            <w:r w:rsidRPr="00690627">
              <w:t xml:space="preserve">having vitamin D levels of &lt;50 </w:t>
            </w:r>
            <w:proofErr w:type="spellStart"/>
            <w:r w:rsidRPr="00690627">
              <w:t>nmol</w:t>
            </w:r>
            <w:proofErr w:type="spellEnd"/>
            <w:r w:rsidRPr="00690627">
              <w:t>/L consume</w:t>
            </w:r>
            <w:r>
              <w:t>d</w:t>
            </w:r>
            <w:r w:rsidRPr="00690627">
              <w:t xml:space="preserve"> RTE breakfast cereals.</w:t>
            </w:r>
            <w:r>
              <w:t xml:space="preserve"> Therefore, the addition of vitamin D to breakfast cereal has the potential to </w:t>
            </w:r>
            <w:r w:rsidR="006A583D">
              <w:t>increase the serum 25OHD</w:t>
            </w:r>
            <w:r>
              <w:t xml:space="preserve"> among </w:t>
            </w:r>
            <w:r w:rsidRPr="0044668F">
              <w:rPr>
                <w:bCs w:val="0"/>
              </w:rPr>
              <w:t>this population group</w:t>
            </w:r>
            <w:r w:rsidRPr="0044668F">
              <w:t>.</w:t>
            </w:r>
            <w:r w:rsidRPr="00690627">
              <w:t xml:space="preserve"> </w:t>
            </w:r>
          </w:p>
        </w:tc>
      </w:tr>
      <w:tr w:rsidR="007F4013" w:rsidRPr="007B7422" w14:paraId="0EA4D587" w14:textId="77777777" w:rsidTr="0015387D">
        <w:trPr>
          <w:cantSplit/>
        </w:trPr>
        <w:tc>
          <w:tcPr>
            <w:tcW w:w="4685" w:type="dxa"/>
          </w:tcPr>
          <w:p w14:paraId="0EA4D581" w14:textId="77777777" w:rsidR="007F4013" w:rsidRPr="007B7422" w:rsidRDefault="007F4013" w:rsidP="00242029">
            <w:pPr>
              <w:autoSpaceDE w:val="0"/>
              <w:autoSpaceDN w:val="0"/>
              <w:adjustRightInd w:val="0"/>
              <w:rPr>
                <w:rFonts w:cs="Arial"/>
                <w:sz w:val="20"/>
                <w:szCs w:val="20"/>
              </w:rPr>
            </w:pPr>
            <w:r w:rsidRPr="007B7422">
              <w:rPr>
                <w:rFonts w:cs="Arial"/>
                <w:sz w:val="20"/>
                <w:szCs w:val="20"/>
              </w:rPr>
              <w:t xml:space="preserve">Permission to </w:t>
            </w:r>
            <w:r w:rsidRPr="00F70141">
              <w:rPr>
                <w:rFonts w:cs="Arial"/>
                <w:sz w:val="20"/>
                <w:szCs w:val="20"/>
              </w:rPr>
              <w:t>fortify should not promote consumption patterns inconsistent with the</w:t>
            </w:r>
            <w:r w:rsidRPr="007B7422">
              <w:rPr>
                <w:rFonts w:cs="Arial"/>
                <w:sz w:val="20"/>
                <w:szCs w:val="20"/>
              </w:rPr>
              <w:t xml:space="preserve"> nutrition policies and guidelines of Australia and New Zealand</w:t>
            </w:r>
          </w:p>
        </w:tc>
        <w:tc>
          <w:tcPr>
            <w:tcW w:w="9031" w:type="dxa"/>
          </w:tcPr>
          <w:p w14:paraId="0EA4D582" w14:textId="494E6EC8" w:rsidR="007F4013" w:rsidRPr="00690627" w:rsidRDefault="007F4013" w:rsidP="00242029">
            <w:pPr>
              <w:rPr>
                <w:rFonts w:cs="Arial"/>
                <w:sz w:val="20"/>
                <w:szCs w:val="20"/>
              </w:rPr>
            </w:pPr>
            <w:r w:rsidRPr="00690627">
              <w:rPr>
                <w:sz w:val="20"/>
                <w:szCs w:val="20"/>
              </w:rPr>
              <w:t>Breakfast cereals are included in the cereal category of the food groups recommended in the Australian Guide to Healthy Eating</w:t>
            </w:r>
            <w:r>
              <w:rPr>
                <w:sz w:val="20"/>
                <w:szCs w:val="20"/>
              </w:rPr>
              <w:t xml:space="preserve"> (AGHE)</w:t>
            </w:r>
            <w:r w:rsidRPr="00690627">
              <w:rPr>
                <w:sz w:val="20"/>
                <w:szCs w:val="20"/>
              </w:rPr>
              <w:t xml:space="preserve"> and the Australian (and New Zealand) </w:t>
            </w:r>
            <w:r w:rsidR="003855FA" w:rsidRPr="00690627">
              <w:rPr>
                <w:sz w:val="20"/>
                <w:szCs w:val="20"/>
              </w:rPr>
              <w:t>Dietary Guidelines</w:t>
            </w:r>
            <w:r w:rsidRPr="00690627">
              <w:rPr>
                <w:sz w:val="20"/>
                <w:szCs w:val="20"/>
              </w:rPr>
              <w:t>.</w:t>
            </w:r>
            <w:r w:rsidRPr="00690627">
              <w:rPr>
                <w:rFonts w:cs="Arial"/>
                <w:sz w:val="20"/>
                <w:szCs w:val="20"/>
              </w:rPr>
              <w:t xml:space="preserve"> </w:t>
            </w:r>
          </w:p>
          <w:p w14:paraId="0EA4D583" w14:textId="77777777" w:rsidR="007F4013" w:rsidRPr="00690627" w:rsidRDefault="007F4013" w:rsidP="00242029">
            <w:pPr>
              <w:rPr>
                <w:rFonts w:cs="Arial"/>
                <w:sz w:val="20"/>
                <w:szCs w:val="20"/>
              </w:rPr>
            </w:pPr>
          </w:p>
          <w:p w14:paraId="0EA4D584" w14:textId="27F452C6" w:rsidR="007F4013" w:rsidRDefault="007F4013" w:rsidP="00242029">
            <w:pPr>
              <w:rPr>
                <w:rFonts w:cs="Arial"/>
                <w:sz w:val="20"/>
                <w:szCs w:val="20"/>
              </w:rPr>
            </w:pPr>
            <w:r w:rsidRPr="00690627">
              <w:rPr>
                <w:rFonts w:cs="Arial"/>
                <w:sz w:val="20"/>
                <w:szCs w:val="20"/>
              </w:rPr>
              <w:t xml:space="preserve">The Australian and </w:t>
            </w:r>
            <w:r w:rsidR="0044668F">
              <w:rPr>
                <w:rFonts w:cs="Arial"/>
                <w:sz w:val="20"/>
                <w:szCs w:val="20"/>
              </w:rPr>
              <w:t xml:space="preserve">the </w:t>
            </w:r>
            <w:r w:rsidRPr="00690627">
              <w:rPr>
                <w:rFonts w:cs="Arial"/>
                <w:sz w:val="20"/>
                <w:szCs w:val="20"/>
              </w:rPr>
              <w:t xml:space="preserve">New Zealand </w:t>
            </w:r>
            <w:r w:rsidR="0044668F" w:rsidRPr="00690627">
              <w:rPr>
                <w:rFonts w:cs="Arial"/>
                <w:sz w:val="20"/>
                <w:szCs w:val="20"/>
              </w:rPr>
              <w:t xml:space="preserve">dietary guidelines </w:t>
            </w:r>
            <w:r w:rsidRPr="00690627">
              <w:rPr>
                <w:rFonts w:cs="Arial"/>
                <w:sz w:val="20"/>
                <w:szCs w:val="20"/>
              </w:rPr>
              <w:t>recommend people consume cereals (preferably wholegrain). The</w:t>
            </w:r>
            <w:r w:rsidR="003855FA">
              <w:rPr>
                <w:rFonts w:cs="Arial"/>
                <w:sz w:val="20"/>
                <w:szCs w:val="20"/>
              </w:rPr>
              <w:t>se</w:t>
            </w:r>
            <w:r w:rsidRPr="00690627">
              <w:rPr>
                <w:rFonts w:cs="Arial"/>
                <w:sz w:val="20"/>
                <w:szCs w:val="20"/>
              </w:rPr>
              <w:t xml:space="preserve"> </w:t>
            </w:r>
            <w:r w:rsidR="0044668F" w:rsidRPr="00690627">
              <w:rPr>
                <w:rFonts w:cs="Arial"/>
                <w:sz w:val="20"/>
                <w:szCs w:val="20"/>
              </w:rPr>
              <w:t xml:space="preserve">dietary guidelines </w:t>
            </w:r>
            <w:r>
              <w:rPr>
                <w:rFonts w:cs="Arial"/>
                <w:sz w:val="20"/>
                <w:szCs w:val="20"/>
              </w:rPr>
              <w:t xml:space="preserve">also </w:t>
            </w:r>
            <w:r w:rsidRPr="00690627">
              <w:rPr>
                <w:rFonts w:cs="Arial"/>
                <w:sz w:val="20"/>
                <w:szCs w:val="20"/>
              </w:rPr>
              <w:t>recommend limiting foods containing saturated fats, added salt, added sugars and alcohol. Although some foods are specifically listed as examples</w:t>
            </w:r>
            <w:r>
              <w:rPr>
                <w:rFonts w:cs="Arial"/>
                <w:sz w:val="20"/>
                <w:szCs w:val="20"/>
              </w:rPr>
              <w:t xml:space="preserve"> of these undesirable foods</w:t>
            </w:r>
            <w:r w:rsidRPr="00690627">
              <w:rPr>
                <w:rFonts w:cs="Arial"/>
                <w:sz w:val="20"/>
                <w:szCs w:val="20"/>
              </w:rPr>
              <w:t>, a sub</w:t>
            </w:r>
            <w:r>
              <w:rPr>
                <w:rFonts w:cs="Arial"/>
                <w:sz w:val="20"/>
                <w:szCs w:val="20"/>
              </w:rPr>
              <w:t>-</w:t>
            </w:r>
            <w:r w:rsidRPr="00690627">
              <w:rPr>
                <w:rFonts w:cs="Arial"/>
                <w:sz w:val="20"/>
                <w:szCs w:val="20"/>
              </w:rPr>
              <w:t>set of breakfast cereals</w:t>
            </w:r>
            <w:r>
              <w:rPr>
                <w:rFonts w:cs="Arial"/>
                <w:sz w:val="20"/>
                <w:szCs w:val="20"/>
              </w:rPr>
              <w:t xml:space="preserve"> that are higher in sugar</w:t>
            </w:r>
            <w:r w:rsidRPr="00690627">
              <w:rPr>
                <w:rFonts w:cs="Arial"/>
                <w:sz w:val="20"/>
                <w:szCs w:val="20"/>
              </w:rPr>
              <w:t xml:space="preserve"> </w:t>
            </w:r>
            <w:r>
              <w:rPr>
                <w:rFonts w:cs="Arial"/>
                <w:sz w:val="20"/>
                <w:szCs w:val="20"/>
              </w:rPr>
              <w:t>is</w:t>
            </w:r>
            <w:r w:rsidRPr="00690627">
              <w:rPr>
                <w:rFonts w:cs="Arial"/>
                <w:sz w:val="20"/>
                <w:szCs w:val="20"/>
              </w:rPr>
              <w:t xml:space="preserve"> not considered to </w:t>
            </w:r>
            <w:r w:rsidR="00CE65D9">
              <w:rPr>
                <w:rFonts w:cs="Arial"/>
                <w:sz w:val="20"/>
                <w:szCs w:val="20"/>
              </w:rPr>
              <w:t xml:space="preserve">fall within the category identified by the Australian </w:t>
            </w:r>
            <w:r w:rsidR="0044668F">
              <w:rPr>
                <w:rFonts w:cs="Arial"/>
                <w:sz w:val="20"/>
                <w:szCs w:val="20"/>
              </w:rPr>
              <w:t xml:space="preserve">dietary guidelines </w:t>
            </w:r>
            <w:r w:rsidR="00CE65D9">
              <w:rPr>
                <w:rFonts w:cs="Arial"/>
                <w:sz w:val="20"/>
                <w:szCs w:val="20"/>
              </w:rPr>
              <w:t xml:space="preserve">as </w:t>
            </w:r>
            <w:r w:rsidRPr="00690627">
              <w:rPr>
                <w:rFonts w:cs="Arial"/>
                <w:sz w:val="20"/>
                <w:szCs w:val="20"/>
              </w:rPr>
              <w:t xml:space="preserve">discretionary foods. </w:t>
            </w:r>
          </w:p>
          <w:p w14:paraId="0EA4D585" w14:textId="77777777" w:rsidR="007F4013" w:rsidRPr="00B142C9" w:rsidRDefault="007F4013" w:rsidP="00242029">
            <w:pPr>
              <w:rPr>
                <w:rFonts w:cs="Arial"/>
                <w:sz w:val="20"/>
                <w:szCs w:val="20"/>
              </w:rPr>
            </w:pPr>
          </w:p>
          <w:p w14:paraId="0EA4D586" w14:textId="412052D2" w:rsidR="007F4013" w:rsidRPr="00690627" w:rsidRDefault="007F4013" w:rsidP="008478DA">
            <w:pPr>
              <w:rPr>
                <w:sz w:val="20"/>
                <w:szCs w:val="20"/>
              </w:rPr>
            </w:pPr>
            <w:r>
              <w:rPr>
                <w:rFonts w:cs="Arial"/>
                <w:sz w:val="20"/>
                <w:szCs w:val="20"/>
              </w:rPr>
              <w:t>Therefore, c</w:t>
            </w:r>
            <w:r w:rsidRPr="00690627">
              <w:rPr>
                <w:rFonts w:cs="Arial"/>
                <w:sz w:val="20"/>
                <w:szCs w:val="20"/>
              </w:rPr>
              <w:t xml:space="preserve">onsuming </w:t>
            </w:r>
            <w:r>
              <w:rPr>
                <w:rFonts w:cs="Arial"/>
                <w:sz w:val="20"/>
                <w:szCs w:val="20"/>
              </w:rPr>
              <w:t xml:space="preserve">all types of </w:t>
            </w:r>
            <w:r w:rsidRPr="00690627">
              <w:rPr>
                <w:rFonts w:cs="Arial"/>
                <w:sz w:val="20"/>
                <w:szCs w:val="20"/>
              </w:rPr>
              <w:t>breakfast cereal</w:t>
            </w:r>
            <w:r>
              <w:rPr>
                <w:rFonts w:cs="Arial"/>
                <w:sz w:val="20"/>
                <w:szCs w:val="20"/>
              </w:rPr>
              <w:t xml:space="preserve">s </w:t>
            </w:r>
            <w:r w:rsidRPr="00690627">
              <w:rPr>
                <w:rFonts w:cs="Arial"/>
                <w:sz w:val="20"/>
                <w:szCs w:val="20"/>
              </w:rPr>
              <w:t>is considered to be consistent with national policies and guidelines.</w:t>
            </w:r>
            <w:r>
              <w:rPr>
                <w:rFonts w:cs="Arial"/>
                <w:sz w:val="20"/>
                <w:szCs w:val="20"/>
              </w:rPr>
              <w:t xml:space="preserve"> See also</w:t>
            </w:r>
            <w:r w:rsidR="00CE65D9">
              <w:rPr>
                <w:rFonts w:cs="Arial"/>
                <w:sz w:val="20"/>
                <w:szCs w:val="20"/>
              </w:rPr>
              <w:t xml:space="preserve"> </w:t>
            </w:r>
            <w:r w:rsidR="005232A9">
              <w:rPr>
                <w:rFonts w:cs="Arial"/>
                <w:sz w:val="20"/>
                <w:szCs w:val="20"/>
              </w:rPr>
              <w:t xml:space="preserve">assessment against the </w:t>
            </w:r>
            <w:r>
              <w:rPr>
                <w:rFonts w:cs="Arial"/>
                <w:sz w:val="20"/>
                <w:szCs w:val="20"/>
              </w:rPr>
              <w:t xml:space="preserve">next </w:t>
            </w:r>
            <w:r w:rsidR="005232A9">
              <w:rPr>
                <w:rFonts w:cs="Arial"/>
                <w:sz w:val="20"/>
                <w:szCs w:val="20"/>
              </w:rPr>
              <w:t>specific policy principle</w:t>
            </w:r>
            <w:r>
              <w:rPr>
                <w:rFonts w:cs="Arial"/>
                <w:sz w:val="20"/>
                <w:szCs w:val="20"/>
              </w:rPr>
              <w:t xml:space="preserve">. </w:t>
            </w:r>
            <w:r w:rsidRPr="00690627">
              <w:rPr>
                <w:rFonts w:cs="Arial"/>
                <w:sz w:val="20"/>
                <w:szCs w:val="20"/>
              </w:rPr>
              <w:t xml:space="preserve"> </w:t>
            </w:r>
          </w:p>
        </w:tc>
      </w:tr>
      <w:tr w:rsidR="007F4013" w:rsidRPr="007B7422" w14:paraId="0EA4D593" w14:textId="77777777" w:rsidTr="0015387D">
        <w:tc>
          <w:tcPr>
            <w:tcW w:w="4685" w:type="dxa"/>
          </w:tcPr>
          <w:p w14:paraId="0D123CBC" w14:textId="77777777" w:rsidR="007F4013" w:rsidRDefault="007F4013" w:rsidP="00242029">
            <w:pPr>
              <w:autoSpaceDE w:val="0"/>
              <w:autoSpaceDN w:val="0"/>
              <w:adjustRightInd w:val="0"/>
              <w:rPr>
                <w:rFonts w:cs="Arial"/>
                <w:sz w:val="20"/>
                <w:szCs w:val="20"/>
              </w:rPr>
            </w:pPr>
            <w:r w:rsidRPr="007B7422">
              <w:rPr>
                <w:rFonts w:cs="Arial"/>
                <w:sz w:val="20"/>
                <w:szCs w:val="20"/>
              </w:rPr>
              <w:t xml:space="preserve">Permission to </w:t>
            </w:r>
            <w:r w:rsidRPr="00F70141">
              <w:rPr>
                <w:rFonts w:cs="Arial"/>
                <w:sz w:val="20"/>
                <w:szCs w:val="20"/>
              </w:rPr>
              <w:t>fortify should not promote increased consumption</w:t>
            </w:r>
            <w:r w:rsidRPr="002A71F0">
              <w:rPr>
                <w:rFonts w:cs="Arial"/>
                <w:b/>
                <w:sz w:val="20"/>
                <w:szCs w:val="20"/>
              </w:rPr>
              <w:t xml:space="preserve"> </w:t>
            </w:r>
            <w:r w:rsidRPr="00F70141">
              <w:rPr>
                <w:rFonts w:cs="Arial"/>
                <w:sz w:val="20"/>
                <w:szCs w:val="20"/>
              </w:rPr>
              <w:t>of</w:t>
            </w:r>
            <w:r w:rsidRPr="007B7422">
              <w:rPr>
                <w:rFonts w:cs="Arial"/>
                <w:sz w:val="20"/>
                <w:szCs w:val="20"/>
              </w:rPr>
              <w:t xml:space="preserve"> foods high in salt, sugar or fat, or foods with little or no nutritional value that have no other demonstrated health benefit.</w:t>
            </w:r>
          </w:p>
          <w:p w14:paraId="0EA4D588" w14:textId="123462E8" w:rsidR="00040545" w:rsidRPr="007B7422" w:rsidRDefault="00040545" w:rsidP="00242029">
            <w:pPr>
              <w:autoSpaceDE w:val="0"/>
              <w:autoSpaceDN w:val="0"/>
              <w:adjustRightInd w:val="0"/>
              <w:rPr>
                <w:rFonts w:cs="Arial"/>
                <w:sz w:val="20"/>
                <w:szCs w:val="20"/>
              </w:rPr>
            </w:pPr>
            <w:r w:rsidRPr="00520BA4">
              <w:rPr>
                <w:rFonts w:cs="Arial"/>
                <w:sz w:val="20"/>
                <w:szCs w:val="20"/>
              </w:rPr>
              <w:t>.</w:t>
            </w:r>
          </w:p>
        </w:tc>
        <w:tc>
          <w:tcPr>
            <w:tcW w:w="9031" w:type="dxa"/>
          </w:tcPr>
          <w:p w14:paraId="045937BD" w14:textId="458A645C" w:rsidR="005F6361" w:rsidRDefault="00717AB5" w:rsidP="00717AB5">
            <w:pPr>
              <w:rPr>
                <w:rFonts w:cs="Arial"/>
                <w:sz w:val="20"/>
                <w:szCs w:val="20"/>
              </w:rPr>
            </w:pPr>
            <w:r w:rsidRPr="00520BA4">
              <w:rPr>
                <w:rFonts w:cs="Arial"/>
                <w:sz w:val="20"/>
                <w:szCs w:val="20"/>
              </w:rPr>
              <w:t xml:space="preserve">This specific policy principle </w:t>
            </w:r>
            <w:r w:rsidR="001D1192">
              <w:rPr>
                <w:rFonts w:cs="Arial"/>
                <w:sz w:val="20"/>
                <w:szCs w:val="20"/>
              </w:rPr>
              <w:t>guides tha</w:t>
            </w:r>
            <w:r w:rsidRPr="00520BA4">
              <w:rPr>
                <w:rFonts w:cs="Arial"/>
                <w:sz w:val="20"/>
                <w:szCs w:val="20"/>
              </w:rPr>
              <w:t xml:space="preserve">t </w:t>
            </w:r>
            <w:r w:rsidR="001D1192">
              <w:rPr>
                <w:rFonts w:cs="Arial"/>
                <w:sz w:val="20"/>
                <w:szCs w:val="20"/>
              </w:rPr>
              <w:t>dietary</w:t>
            </w:r>
            <w:r w:rsidRPr="00520BA4">
              <w:rPr>
                <w:rFonts w:cs="Arial"/>
                <w:sz w:val="20"/>
                <w:szCs w:val="20"/>
              </w:rPr>
              <w:t xml:space="preserve"> patterns </w:t>
            </w:r>
            <w:r w:rsidR="008478DA">
              <w:rPr>
                <w:rFonts w:cs="Arial"/>
                <w:sz w:val="20"/>
                <w:szCs w:val="20"/>
              </w:rPr>
              <w:t xml:space="preserve">should </w:t>
            </w:r>
            <w:r w:rsidRPr="00520BA4">
              <w:rPr>
                <w:rFonts w:cs="Arial"/>
                <w:sz w:val="20"/>
                <w:szCs w:val="20"/>
              </w:rPr>
              <w:t xml:space="preserve">not </w:t>
            </w:r>
            <w:r w:rsidR="003855FA">
              <w:rPr>
                <w:rFonts w:cs="Arial"/>
                <w:sz w:val="20"/>
                <w:szCs w:val="20"/>
              </w:rPr>
              <w:t xml:space="preserve">be </w:t>
            </w:r>
            <w:r w:rsidR="0044668F">
              <w:rPr>
                <w:rFonts w:cs="Arial"/>
                <w:sz w:val="20"/>
                <w:szCs w:val="20"/>
              </w:rPr>
              <w:t xml:space="preserve">adversely </w:t>
            </w:r>
            <w:r w:rsidR="001D1192">
              <w:rPr>
                <w:rFonts w:cs="Arial"/>
                <w:sz w:val="20"/>
                <w:szCs w:val="20"/>
              </w:rPr>
              <w:t>influence</w:t>
            </w:r>
            <w:r w:rsidR="0044668F">
              <w:rPr>
                <w:rFonts w:cs="Arial"/>
                <w:sz w:val="20"/>
                <w:szCs w:val="20"/>
              </w:rPr>
              <w:t>d</w:t>
            </w:r>
            <w:r w:rsidRPr="00520BA4">
              <w:rPr>
                <w:rFonts w:cs="Arial"/>
                <w:sz w:val="20"/>
                <w:szCs w:val="20"/>
              </w:rPr>
              <w:t xml:space="preserve"> </w:t>
            </w:r>
            <w:r w:rsidR="001D1192">
              <w:rPr>
                <w:rFonts w:cs="Arial"/>
                <w:sz w:val="20"/>
                <w:szCs w:val="20"/>
              </w:rPr>
              <w:t xml:space="preserve">away from the </w:t>
            </w:r>
            <w:r w:rsidR="0044668F">
              <w:rPr>
                <w:rFonts w:cs="Arial"/>
                <w:sz w:val="20"/>
                <w:szCs w:val="20"/>
              </w:rPr>
              <w:t xml:space="preserve">dietary guidelines </w:t>
            </w:r>
            <w:r w:rsidR="0012722F">
              <w:rPr>
                <w:rFonts w:cs="Arial"/>
                <w:sz w:val="20"/>
                <w:szCs w:val="20"/>
              </w:rPr>
              <w:t>as a result</w:t>
            </w:r>
            <w:r w:rsidR="003855FA">
              <w:rPr>
                <w:rFonts w:cs="Arial"/>
                <w:sz w:val="20"/>
                <w:szCs w:val="20"/>
              </w:rPr>
              <w:t xml:space="preserve"> of</w:t>
            </w:r>
            <w:r w:rsidR="001D1192">
              <w:rPr>
                <w:rFonts w:cs="Arial"/>
                <w:sz w:val="20"/>
                <w:szCs w:val="20"/>
              </w:rPr>
              <w:t xml:space="preserve"> greater preference for</w:t>
            </w:r>
            <w:r w:rsidRPr="00520BA4">
              <w:rPr>
                <w:rFonts w:cs="Arial"/>
                <w:sz w:val="20"/>
                <w:szCs w:val="20"/>
              </w:rPr>
              <w:t xml:space="preserve"> less nutritious </w:t>
            </w:r>
            <w:r>
              <w:rPr>
                <w:rFonts w:cs="Arial"/>
                <w:sz w:val="20"/>
                <w:szCs w:val="20"/>
              </w:rPr>
              <w:t>food choices</w:t>
            </w:r>
            <w:r w:rsidRPr="00520BA4">
              <w:rPr>
                <w:rFonts w:cs="Arial"/>
                <w:sz w:val="20"/>
                <w:szCs w:val="20"/>
              </w:rPr>
              <w:t xml:space="preserve"> </w:t>
            </w:r>
            <w:r>
              <w:rPr>
                <w:rFonts w:cs="Arial"/>
                <w:sz w:val="20"/>
                <w:szCs w:val="20"/>
              </w:rPr>
              <w:t xml:space="preserve">in response to </w:t>
            </w:r>
            <w:r w:rsidRPr="00520BA4">
              <w:rPr>
                <w:rFonts w:cs="Arial"/>
                <w:sz w:val="20"/>
                <w:szCs w:val="20"/>
              </w:rPr>
              <w:t xml:space="preserve">new fortification permissions. </w:t>
            </w:r>
            <w:r w:rsidR="005F6361">
              <w:rPr>
                <w:sz w:val="18"/>
                <w:szCs w:val="18"/>
              </w:rPr>
              <w:t>Many studies find many other factors such as price, brand, and unsurprisingly for food, taste,</w:t>
            </w:r>
            <w:r w:rsidR="005F6361" w:rsidRPr="00935FEA">
              <w:rPr>
                <w:sz w:val="18"/>
                <w:szCs w:val="18"/>
              </w:rPr>
              <w:t xml:space="preserve"> </w:t>
            </w:r>
            <w:r w:rsidR="005F6361">
              <w:rPr>
                <w:sz w:val="18"/>
                <w:szCs w:val="18"/>
              </w:rPr>
              <w:t xml:space="preserve">have greater impacts on consumption and purchase decisions than perceptions of enhanced nutritional value. </w:t>
            </w:r>
          </w:p>
          <w:p w14:paraId="5EE3A023" w14:textId="77777777" w:rsidR="005F6361" w:rsidRDefault="005F6361" w:rsidP="00717AB5">
            <w:pPr>
              <w:rPr>
                <w:rFonts w:cs="Arial"/>
                <w:sz w:val="20"/>
                <w:szCs w:val="20"/>
              </w:rPr>
            </w:pPr>
          </w:p>
          <w:p w14:paraId="758CF2C5" w14:textId="51A5C43F" w:rsidR="00717AB5" w:rsidRDefault="001D1192" w:rsidP="00717AB5">
            <w:pPr>
              <w:rPr>
                <w:rFonts w:cs="Arial"/>
                <w:sz w:val="20"/>
                <w:szCs w:val="20"/>
              </w:rPr>
            </w:pPr>
            <w:r w:rsidRPr="0044668F">
              <w:rPr>
                <w:rFonts w:cs="Arial"/>
                <w:sz w:val="20"/>
                <w:szCs w:val="20"/>
              </w:rPr>
              <w:t>FSANZ therefore consider</w:t>
            </w:r>
            <w:r w:rsidR="0012722F">
              <w:rPr>
                <w:rFonts w:cs="Arial"/>
                <w:sz w:val="20"/>
                <w:szCs w:val="20"/>
              </w:rPr>
              <w:t>ed</w:t>
            </w:r>
            <w:r w:rsidR="005F6361" w:rsidRPr="0044668F">
              <w:rPr>
                <w:rFonts w:cs="Arial"/>
                <w:sz w:val="20"/>
                <w:szCs w:val="20"/>
              </w:rPr>
              <w:t xml:space="preserve"> on the</w:t>
            </w:r>
            <w:r w:rsidR="005F6361">
              <w:rPr>
                <w:rFonts w:cs="Arial"/>
                <w:sz w:val="20"/>
                <w:szCs w:val="20"/>
              </w:rPr>
              <w:t xml:space="preserve"> best available evidence</w:t>
            </w:r>
            <w:r>
              <w:rPr>
                <w:rFonts w:cs="Arial"/>
                <w:sz w:val="20"/>
                <w:szCs w:val="20"/>
              </w:rPr>
              <w:t xml:space="preserve"> that </w:t>
            </w:r>
            <w:r w:rsidR="00717AB5" w:rsidRPr="00520BA4">
              <w:rPr>
                <w:rFonts w:cs="Arial"/>
                <w:sz w:val="20"/>
                <w:szCs w:val="20"/>
              </w:rPr>
              <w:t>the permission to add one extra vitamin fortification permission to breakfast cereals, where breakfast cereals already have permission to add 12 other vitamins and minerals</w:t>
            </w:r>
            <w:r>
              <w:rPr>
                <w:rFonts w:cs="Arial"/>
                <w:sz w:val="20"/>
                <w:szCs w:val="20"/>
              </w:rPr>
              <w:t>,</w:t>
            </w:r>
            <w:r w:rsidR="00717AB5" w:rsidRPr="00520BA4">
              <w:rPr>
                <w:rFonts w:cs="Arial"/>
                <w:sz w:val="20"/>
                <w:szCs w:val="20"/>
              </w:rPr>
              <w:t xml:space="preserve"> is unlikely </w:t>
            </w:r>
            <w:r w:rsidR="00717AB5">
              <w:rPr>
                <w:rFonts w:cs="Arial"/>
                <w:sz w:val="20"/>
                <w:szCs w:val="20"/>
              </w:rPr>
              <w:t xml:space="preserve">to impact on </w:t>
            </w:r>
            <w:r>
              <w:rPr>
                <w:rFonts w:cs="Arial"/>
                <w:sz w:val="20"/>
                <w:szCs w:val="20"/>
              </w:rPr>
              <w:t xml:space="preserve">existing </w:t>
            </w:r>
            <w:r w:rsidR="00717AB5" w:rsidRPr="00520BA4">
              <w:rPr>
                <w:rFonts w:cs="Arial"/>
                <w:sz w:val="20"/>
                <w:szCs w:val="20"/>
              </w:rPr>
              <w:t>consumption</w:t>
            </w:r>
            <w:r w:rsidR="00717AB5">
              <w:rPr>
                <w:rFonts w:cs="Arial"/>
                <w:sz w:val="20"/>
                <w:szCs w:val="20"/>
              </w:rPr>
              <w:t xml:space="preserve"> or purchase behaviours </w:t>
            </w:r>
            <w:r w:rsidR="00717AB5" w:rsidRPr="00520BA4">
              <w:rPr>
                <w:rFonts w:cs="Arial"/>
                <w:sz w:val="20"/>
                <w:szCs w:val="20"/>
              </w:rPr>
              <w:t xml:space="preserve">of a subset of breakfast cereals that are high in salt, sugar or fat. </w:t>
            </w:r>
          </w:p>
          <w:p w14:paraId="7D95B776" w14:textId="77777777" w:rsidR="00717AB5" w:rsidRDefault="00717AB5" w:rsidP="00717AB5">
            <w:pPr>
              <w:rPr>
                <w:rFonts w:cs="Arial"/>
                <w:sz w:val="20"/>
                <w:szCs w:val="20"/>
              </w:rPr>
            </w:pPr>
          </w:p>
          <w:p w14:paraId="5471FA93" w14:textId="28B3D2B5" w:rsidR="009E6CFC" w:rsidRDefault="009E6CFC" w:rsidP="00717AB5">
            <w:pPr>
              <w:rPr>
                <w:rFonts w:cs="Arial"/>
                <w:sz w:val="20"/>
                <w:szCs w:val="20"/>
              </w:rPr>
            </w:pPr>
          </w:p>
          <w:p w14:paraId="0CA81ED7" w14:textId="77777777" w:rsidR="009E6CFC" w:rsidRDefault="009E6CFC" w:rsidP="00717AB5">
            <w:pPr>
              <w:rPr>
                <w:rFonts w:cs="Arial"/>
                <w:sz w:val="20"/>
                <w:szCs w:val="20"/>
              </w:rPr>
            </w:pPr>
          </w:p>
          <w:p w14:paraId="0EA4D589" w14:textId="0EC7EE53" w:rsidR="007F4013" w:rsidRPr="00520BA4" w:rsidRDefault="009214D1" w:rsidP="00242029">
            <w:pPr>
              <w:rPr>
                <w:rFonts w:cs="Arial"/>
                <w:sz w:val="20"/>
                <w:szCs w:val="20"/>
              </w:rPr>
            </w:pPr>
            <w:r w:rsidRPr="00520BA4">
              <w:rPr>
                <w:rFonts w:cs="Arial"/>
                <w:sz w:val="20"/>
                <w:szCs w:val="20"/>
              </w:rPr>
              <w:lastRenderedPageBreak/>
              <w:t xml:space="preserve">Some submitters </w:t>
            </w:r>
            <w:r w:rsidR="00717AB5">
              <w:rPr>
                <w:rFonts w:cs="Arial"/>
                <w:sz w:val="20"/>
                <w:szCs w:val="20"/>
              </w:rPr>
              <w:t xml:space="preserve">alternatively </w:t>
            </w:r>
            <w:r w:rsidR="00CE65D9">
              <w:rPr>
                <w:rFonts w:cs="Arial"/>
                <w:sz w:val="20"/>
                <w:szCs w:val="20"/>
              </w:rPr>
              <w:t>interpreted</w:t>
            </w:r>
            <w:r w:rsidRPr="00520BA4">
              <w:rPr>
                <w:rFonts w:cs="Arial"/>
                <w:sz w:val="20"/>
                <w:szCs w:val="20"/>
              </w:rPr>
              <w:t xml:space="preserve"> </w:t>
            </w:r>
            <w:r w:rsidR="00CE65D9">
              <w:rPr>
                <w:rFonts w:cs="Arial"/>
                <w:sz w:val="20"/>
                <w:szCs w:val="20"/>
              </w:rPr>
              <w:t xml:space="preserve">this specific principle as excluding </w:t>
            </w:r>
            <w:r w:rsidR="00CB25B7" w:rsidRPr="00520BA4">
              <w:rPr>
                <w:rFonts w:cs="Arial"/>
                <w:sz w:val="20"/>
                <w:szCs w:val="20"/>
              </w:rPr>
              <w:t>any food</w:t>
            </w:r>
            <w:r w:rsidRPr="00520BA4">
              <w:rPr>
                <w:rFonts w:cs="Arial"/>
                <w:sz w:val="20"/>
                <w:szCs w:val="20"/>
              </w:rPr>
              <w:t xml:space="preserve"> </w:t>
            </w:r>
            <w:r w:rsidR="0092205C">
              <w:rPr>
                <w:rFonts w:cs="Arial"/>
                <w:sz w:val="20"/>
                <w:szCs w:val="20"/>
              </w:rPr>
              <w:t>considered</w:t>
            </w:r>
            <w:r w:rsidRPr="00520BA4">
              <w:rPr>
                <w:rFonts w:cs="Arial"/>
                <w:sz w:val="20"/>
                <w:szCs w:val="20"/>
              </w:rPr>
              <w:t xml:space="preserve"> high in salt, sugar and fat</w:t>
            </w:r>
            <w:r w:rsidR="0092205C">
              <w:rPr>
                <w:rFonts w:cs="Arial"/>
                <w:sz w:val="20"/>
                <w:szCs w:val="20"/>
              </w:rPr>
              <w:t xml:space="preserve"> (no criteria described)</w:t>
            </w:r>
            <w:r w:rsidRPr="00520BA4">
              <w:rPr>
                <w:rFonts w:cs="Arial"/>
                <w:sz w:val="20"/>
                <w:szCs w:val="20"/>
              </w:rPr>
              <w:t xml:space="preserve"> from new fortification permissions</w:t>
            </w:r>
            <w:r w:rsidR="00040545">
              <w:rPr>
                <w:rFonts w:cs="Arial"/>
                <w:sz w:val="20"/>
                <w:szCs w:val="20"/>
              </w:rPr>
              <w:t>. FSANZ was</w:t>
            </w:r>
            <w:r w:rsidR="006716E3">
              <w:rPr>
                <w:rFonts w:cs="Arial"/>
                <w:sz w:val="20"/>
                <w:szCs w:val="20"/>
              </w:rPr>
              <w:t xml:space="preserve"> requested </w:t>
            </w:r>
            <w:r w:rsidR="007F4013" w:rsidRPr="00520BA4">
              <w:rPr>
                <w:rFonts w:cs="Arial"/>
                <w:sz w:val="20"/>
                <w:szCs w:val="20"/>
              </w:rPr>
              <w:t xml:space="preserve">to consider </w:t>
            </w:r>
            <w:r w:rsidR="00040545" w:rsidRPr="00520BA4">
              <w:rPr>
                <w:rFonts w:cs="Arial"/>
                <w:sz w:val="20"/>
                <w:szCs w:val="20"/>
              </w:rPr>
              <w:t xml:space="preserve">prospectively </w:t>
            </w:r>
            <w:r w:rsidR="007F4013" w:rsidRPr="00520BA4">
              <w:rPr>
                <w:rFonts w:cs="Arial"/>
                <w:sz w:val="20"/>
                <w:szCs w:val="20"/>
              </w:rPr>
              <w:t xml:space="preserve">applying </w:t>
            </w:r>
            <w:r w:rsidR="00040545">
              <w:rPr>
                <w:rFonts w:cs="Arial"/>
                <w:sz w:val="20"/>
                <w:szCs w:val="20"/>
              </w:rPr>
              <w:t xml:space="preserve">alternative </w:t>
            </w:r>
            <w:r w:rsidR="007F4013" w:rsidRPr="00520BA4">
              <w:rPr>
                <w:rFonts w:cs="Arial"/>
                <w:sz w:val="20"/>
                <w:szCs w:val="20"/>
              </w:rPr>
              <w:t>compositional criteria to breakfast cereal fortification permissions</w:t>
            </w:r>
            <w:r w:rsidR="00040545">
              <w:rPr>
                <w:rFonts w:cs="Arial"/>
                <w:sz w:val="20"/>
                <w:szCs w:val="20"/>
              </w:rPr>
              <w:t xml:space="preserve">. These were </w:t>
            </w:r>
            <w:proofErr w:type="spellStart"/>
            <w:r w:rsidR="007F4013" w:rsidRPr="00520BA4">
              <w:rPr>
                <w:rFonts w:cs="Arial"/>
                <w:sz w:val="20"/>
                <w:szCs w:val="20"/>
              </w:rPr>
              <w:t>i</w:t>
            </w:r>
            <w:proofErr w:type="spellEnd"/>
            <w:r w:rsidR="007F4013" w:rsidRPr="00520BA4">
              <w:rPr>
                <w:rFonts w:cs="Arial"/>
                <w:sz w:val="20"/>
                <w:szCs w:val="20"/>
              </w:rPr>
              <w:t xml:space="preserve">) the </w:t>
            </w:r>
            <w:r w:rsidR="004D7B9E">
              <w:rPr>
                <w:rFonts w:cs="Arial"/>
                <w:sz w:val="20"/>
                <w:szCs w:val="20"/>
              </w:rPr>
              <w:t>Nutrient Profiling Scoring Criterion (</w:t>
            </w:r>
            <w:r w:rsidR="007F4013" w:rsidRPr="00520BA4">
              <w:rPr>
                <w:rFonts w:cs="Arial"/>
                <w:sz w:val="20"/>
                <w:szCs w:val="20"/>
              </w:rPr>
              <w:t>NPSC</w:t>
            </w:r>
            <w:r w:rsidR="004D7B9E">
              <w:rPr>
                <w:rFonts w:cs="Arial"/>
                <w:sz w:val="20"/>
                <w:szCs w:val="20"/>
              </w:rPr>
              <w:t>)</w:t>
            </w:r>
            <w:r w:rsidR="007F4013" w:rsidRPr="00520BA4">
              <w:rPr>
                <w:rFonts w:cs="Arial"/>
                <w:sz w:val="20"/>
                <w:szCs w:val="20"/>
              </w:rPr>
              <w:t xml:space="preserve">, or ii) </w:t>
            </w:r>
            <w:r w:rsidR="00040545">
              <w:rPr>
                <w:rFonts w:cs="Arial"/>
                <w:sz w:val="20"/>
                <w:szCs w:val="20"/>
              </w:rPr>
              <w:t>a</w:t>
            </w:r>
            <w:r w:rsidR="007F4013" w:rsidRPr="00520BA4">
              <w:rPr>
                <w:rFonts w:cs="Arial"/>
                <w:sz w:val="20"/>
                <w:szCs w:val="20"/>
              </w:rPr>
              <w:t xml:space="preserve"> 30 g/100 g sugar </w:t>
            </w:r>
            <w:r w:rsidR="00717AB5">
              <w:rPr>
                <w:rFonts w:cs="Arial"/>
                <w:sz w:val="20"/>
                <w:szCs w:val="20"/>
              </w:rPr>
              <w:t>threshold</w:t>
            </w:r>
            <w:r w:rsidR="007F4013" w:rsidRPr="00520BA4">
              <w:rPr>
                <w:rFonts w:cs="Arial"/>
                <w:sz w:val="20"/>
                <w:szCs w:val="20"/>
              </w:rPr>
              <w:t xml:space="preserve"> from the modelling used to inform the development of the AGHE</w:t>
            </w:r>
            <w:r w:rsidR="0092205C">
              <w:rPr>
                <w:rFonts w:cs="Arial"/>
                <w:sz w:val="20"/>
                <w:szCs w:val="20"/>
              </w:rPr>
              <w:t xml:space="preserve"> and the Australian Dietary Guidelines</w:t>
            </w:r>
            <w:r w:rsidR="007F4013" w:rsidRPr="00520BA4">
              <w:rPr>
                <w:rFonts w:cs="Arial"/>
                <w:sz w:val="20"/>
                <w:szCs w:val="20"/>
              </w:rPr>
              <w:t xml:space="preserve">. </w:t>
            </w:r>
            <w:r w:rsidR="00040545">
              <w:rPr>
                <w:rFonts w:cs="Arial"/>
                <w:sz w:val="20"/>
                <w:szCs w:val="20"/>
              </w:rPr>
              <w:t>FSANZ notes that t</w:t>
            </w:r>
            <w:r w:rsidR="007F4013" w:rsidRPr="00520BA4">
              <w:rPr>
                <w:rFonts w:cs="Arial"/>
                <w:sz w:val="20"/>
                <w:szCs w:val="20"/>
              </w:rPr>
              <w:t>h</w:t>
            </w:r>
            <w:r w:rsidR="00717AB5">
              <w:rPr>
                <w:rFonts w:cs="Arial"/>
                <w:sz w:val="20"/>
                <w:szCs w:val="20"/>
              </w:rPr>
              <w:t xml:space="preserve">e threshold </w:t>
            </w:r>
            <w:r w:rsidR="007F4013" w:rsidRPr="00520BA4">
              <w:rPr>
                <w:rFonts w:cs="Arial"/>
                <w:sz w:val="20"/>
                <w:szCs w:val="20"/>
              </w:rPr>
              <w:t xml:space="preserve">amount has been subsequently used as a cut point for defining discretionary foods when analysing the AHS against dietary guidelines. </w:t>
            </w:r>
            <w:r w:rsidR="00040545">
              <w:rPr>
                <w:rFonts w:cs="Arial"/>
                <w:sz w:val="20"/>
                <w:szCs w:val="20"/>
              </w:rPr>
              <w:t>Subsequent</w:t>
            </w:r>
            <w:r w:rsidRPr="00520BA4">
              <w:rPr>
                <w:rFonts w:cs="Arial"/>
                <w:sz w:val="20"/>
                <w:szCs w:val="20"/>
              </w:rPr>
              <w:t xml:space="preserve"> consultation </w:t>
            </w:r>
            <w:r w:rsidR="00BB450E">
              <w:rPr>
                <w:rFonts w:cs="Arial"/>
                <w:sz w:val="20"/>
                <w:szCs w:val="20"/>
              </w:rPr>
              <w:t xml:space="preserve">with these stakeholders </w:t>
            </w:r>
            <w:r w:rsidRPr="00520BA4">
              <w:rPr>
                <w:rFonts w:cs="Arial"/>
                <w:sz w:val="20"/>
                <w:szCs w:val="20"/>
              </w:rPr>
              <w:t xml:space="preserve">also </w:t>
            </w:r>
            <w:r w:rsidR="00717AB5">
              <w:rPr>
                <w:rFonts w:cs="Arial"/>
                <w:sz w:val="20"/>
                <w:szCs w:val="20"/>
              </w:rPr>
              <w:t>suggested</w:t>
            </w:r>
            <w:r w:rsidR="00491A07" w:rsidRPr="00520BA4">
              <w:rPr>
                <w:rFonts w:cs="Arial"/>
                <w:sz w:val="20"/>
                <w:szCs w:val="20"/>
              </w:rPr>
              <w:t xml:space="preserve"> </w:t>
            </w:r>
            <w:r w:rsidR="00717AB5">
              <w:rPr>
                <w:rFonts w:cs="Arial"/>
                <w:sz w:val="20"/>
                <w:szCs w:val="20"/>
              </w:rPr>
              <w:t>that</w:t>
            </w:r>
            <w:r w:rsidR="005F6361">
              <w:rPr>
                <w:rFonts w:cs="Arial"/>
                <w:sz w:val="20"/>
                <w:szCs w:val="20"/>
              </w:rPr>
              <w:t>,</w:t>
            </w:r>
            <w:r w:rsidR="00491A07" w:rsidRPr="00520BA4">
              <w:rPr>
                <w:rFonts w:cs="Arial"/>
                <w:sz w:val="20"/>
                <w:szCs w:val="20"/>
              </w:rPr>
              <w:t xml:space="preserve"> </w:t>
            </w:r>
            <w:r w:rsidR="00BB450E">
              <w:rPr>
                <w:rFonts w:cs="Arial"/>
                <w:sz w:val="20"/>
                <w:szCs w:val="20"/>
              </w:rPr>
              <w:t xml:space="preserve">iii) </w:t>
            </w:r>
            <w:r w:rsidR="00520BA4" w:rsidRPr="00520BA4">
              <w:rPr>
                <w:rFonts w:cs="Arial"/>
                <w:sz w:val="20"/>
                <w:szCs w:val="20"/>
              </w:rPr>
              <w:t>criteria</w:t>
            </w:r>
            <w:r w:rsidR="00491A07" w:rsidRPr="00520BA4">
              <w:rPr>
                <w:rFonts w:cs="Arial"/>
                <w:sz w:val="20"/>
                <w:szCs w:val="20"/>
              </w:rPr>
              <w:t xml:space="preserve"> </w:t>
            </w:r>
            <w:r w:rsidR="00717AB5">
              <w:rPr>
                <w:rFonts w:cs="Arial"/>
                <w:sz w:val="20"/>
                <w:szCs w:val="20"/>
              </w:rPr>
              <w:t xml:space="preserve">could be developed </w:t>
            </w:r>
            <w:r w:rsidR="00491A07" w:rsidRPr="00520BA4">
              <w:rPr>
                <w:rFonts w:cs="Arial"/>
                <w:sz w:val="20"/>
                <w:szCs w:val="20"/>
              </w:rPr>
              <w:t xml:space="preserve">based on the </w:t>
            </w:r>
            <w:r w:rsidRPr="003B731B">
              <w:rPr>
                <w:rFonts w:cs="Arial"/>
                <w:sz w:val="20"/>
                <w:szCs w:val="20"/>
              </w:rPr>
              <w:t>H</w:t>
            </w:r>
            <w:r w:rsidR="003B731B" w:rsidRPr="003B731B">
              <w:rPr>
                <w:rFonts w:cs="Arial"/>
                <w:sz w:val="20"/>
                <w:szCs w:val="20"/>
              </w:rPr>
              <w:t xml:space="preserve">ealth </w:t>
            </w:r>
            <w:r w:rsidRPr="003B731B">
              <w:rPr>
                <w:rFonts w:cs="Arial"/>
                <w:sz w:val="20"/>
                <w:szCs w:val="20"/>
              </w:rPr>
              <w:t>S</w:t>
            </w:r>
            <w:r w:rsidR="003B731B" w:rsidRPr="003B731B">
              <w:rPr>
                <w:rFonts w:cs="Arial"/>
                <w:sz w:val="20"/>
                <w:szCs w:val="20"/>
              </w:rPr>
              <w:t xml:space="preserve">tar </w:t>
            </w:r>
            <w:r w:rsidRPr="003B731B">
              <w:rPr>
                <w:rFonts w:cs="Arial"/>
                <w:sz w:val="20"/>
                <w:szCs w:val="20"/>
              </w:rPr>
              <w:t>R</w:t>
            </w:r>
            <w:r w:rsidR="003B731B">
              <w:rPr>
                <w:rFonts w:cs="Arial"/>
                <w:sz w:val="20"/>
                <w:szCs w:val="20"/>
              </w:rPr>
              <w:t>ating</w:t>
            </w:r>
            <w:r w:rsidRPr="00520BA4">
              <w:rPr>
                <w:rFonts w:cs="Arial"/>
                <w:sz w:val="20"/>
                <w:szCs w:val="20"/>
              </w:rPr>
              <w:t xml:space="preserve"> </w:t>
            </w:r>
            <w:r w:rsidR="004D7B9E">
              <w:rPr>
                <w:rFonts w:cs="Arial"/>
                <w:sz w:val="20"/>
                <w:szCs w:val="20"/>
              </w:rPr>
              <w:t xml:space="preserve">(HSR) </w:t>
            </w:r>
            <w:r w:rsidR="00717AB5">
              <w:rPr>
                <w:rFonts w:cs="Arial"/>
                <w:sz w:val="20"/>
                <w:szCs w:val="20"/>
              </w:rPr>
              <w:t xml:space="preserve">and </w:t>
            </w:r>
            <w:r w:rsidR="00491A07" w:rsidRPr="00520BA4">
              <w:rPr>
                <w:rFonts w:cs="Arial"/>
                <w:sz w:val="20"/>
                <w:szCs w:val="20"/>
              </w:rPr>
              <w:t>be applied prospectively to fortification permissions</w:t>
            </w:r>
            <w:r w:rsidR="00CB25B7" w:rsidRPr="00520BA4">
              <w:rPr>
                <w:rFonts w:cs="Arial"/>
                <w:sz w:val="20"/>
                <w:szCs w:val="20"/>
              </w:rPr>
              <w:t xml:space="preserve">. </w:t>
            </w:r>
          </w:p>
          <w:p w14:paraId="0EA4D58C" w14:textId="64BD119D" w:rsidR="007F4013" w:rsidRDefault="007F4013" w:rsidP="00242029">
            <w:pPr>
              <w:rPr>
                <w:sz w:val="20"/>
                <w:szCs w:val="20"/>
              </w:rPr>
            </w:pPr>
          </w:p>
          <w:p w14:paraId="5F1F385F" w14:textId="734D2BDB" w:rsidR="005232A9" w:rsidRDefault="006716E3" w:rsidP="004D7B9E">
            <w:pPr>
              <w:pStyle w:val="Default"/>
              <w:rPr>
                <w:sz w:val="20"/>
                <w:szCs w:val="20"/>
                <w:lang w:val="en-AU"/>
              </w:rPr>
            </w:pPr>
            <w:r w:rsidRPr="004D7B9E">
              <w:rPr>
                <w:sz w:val="20"/>
                <w:szCs w:val="20"/>
                <w:lang w:val="en-AU"/>
              </w:rPr>
              <w:t>At the time of Assessment of A1090, Standard 1.2.7</w:t>
            </w:r>
            <w:r w:rsidR="008478DA" w:rsidRPr="004D7B9E">
              <w:rPr>
                <w:sz w:val="20"/>
                <w:szCs w:val="20"/>
                <w:lang w:val="en-AU"/>
              </w:rPr>
              <w:t xml:space="preserve"> – </w:t>
            </w:r>
            <w:r w:rsidR="003B731B" w:rsidRPr="004D7B9E">
              <w:rPr>
                <w:sz w:val="20"/>
                <w:szCs w:val="20"/>
                <w:lang w:val="en-AU"/>
              </w:rPr>
              <w:t xml:space="preserve">Nutrition Health and Related Claims </w:t>
            </w:r>
            <w:r w:rsidRPr="004D7B9E">
              <w:rPr>
                <w:sz w:val="20"/>
                <w:szCs w:val="20"/>
                <w:lang w:val="en-AU"/>
              </w:rPr>
              <w:t>is in its final transition year, and coming into full effect in January 2016</w:t>
            </w:r>
            <w:r w:rsidR="003B731B" w:rsidRPr="004D7B9E">
              <w:rPr>
                <w:sz w:val="20"/>
                <w:szCs w:val="20"/>
                <w:lang w:val="en-AU"/>
              </w:rPr>
              <w:t xml:space="preserve">. </w:t>
            </w:r>
          </w:p>
          <w:p w14:paraId="0CEDBEC6" w14:textId="77777777" w:rsidR="005232A9" w:rsidRDefault="005232A9" w:rsidP="006716E3">
            <w:pPr>
              <w:rPr>
                <w:rFonts w:cs="Arial"/>
                <w:sz w:val="20"/>
                <w:szCs w:val="20"/>
                <w:lang w:val="en-AU"/>
              </w:rPr>
            </w:pPr>
          </w:p>
          <w:p w14:paraId="25B8B655" w14:textId="0E32734B" w:rsidR="00BB450E" w:rsidRPr="007E4027" w:rsidRDefault="003855FA" w:rsidP="007E4027">
            <w:pPr>
              <w:pStyle w:val="ListParagraph"/>
              <w:numPr>
                <w:ilvl w:val="0"/>
                <w:numId w:val="53"/>
              </w:numPr>
              <w:rPr>
                <w:sz w:val="20"/>
                <w:szCs w:val="20"/>
                <w:lang w:val="en-AU"/>
              </w:rPr>
            </w:pPr>
            <w:r w:rsidRPr="004D7B9E">
              <w:rPr>
                <w:sz w:val="20"/>
                <w:szCs w:val="20"/>
              </w:rPr>
              <w:t>FSANZ developed the NPSC to determine whether a food is eligible to make a health claim based on its nutrient profile. Most foods making a health claim are required to meet the NPSC (along with other criteria specified in Standard 1.2.7).</w:t>
            </w:r>
            <w:r>
              <w:rPr>
                <w:szCs w:val="22"/>
              </w:rPr>
              <w:t xml:space="preserve"> </w:t>
            </w:r>
            <w:r w:rsidR="00040545" w:rsidRPr="007E4027">
              <w:rPr>
                <w:sz w:val="20"/>
                <w:szCs w:val="20"/>
                <w:lang w:val="en-AU"/>
              </w:rPr>
              <w:t xml:space="preserve">The NPSC is a dichotomous scoring system in which a food is either eligible or ineligible to make a health claim based on its nutrient profile. FSANZ has not tested whether the NPSC could achieve </w:t>
            </w:r>
            <w:proofErr w:type="gramStart"/>
            <w:r w:rsidR="00040545" w:rsidRPr="007E4027">
              <w:rPr>
                <w:sz w:val="20"/>
                <w:szCs w:val="20"/>
                <w:lang w:val="en-AU"/>
              </w:rPr>
              <w:t>a different</w:t>
            </w:r>
            <w:proofErr w:type="gramEnd"/>
            <w:r w:rsidR="00040545" w:rsidRPr="007E4027">
              <w:rPr>
                <w:sz w:val="20"/>
                <w:szCs w:val="20"/>
                <w:lang w:val="en-AU"/>
              </w:rPr>
              <w:t xml:space="preserve"> policy intent to that of the health claims regulatory system such as eligibility to fortify foods within a food group category </w:t>
            </w:r>
            <w:r w:rsidR="009E6CFC">
              <w:rPr>
                <w:sz w:val="20"/>
                <w:szCs w:val="20"/>
                <w:lang w:val="en-AU"/>
              </w:rPr>
              <w:t xml:space="preserve">- </w:t>
            </w:r>
            <w:r w:rsidR="00040545" w:rsidRPr="007E4027">
              <w:rPr>
                <w:sz w:val="20"/>
                <w:szCs w:val="20"/>
                <w:lang w:val="en-AU"/>
              </w:rPr>
              <w:t xml:space="preserve">to do so </w:t>
            </w:r>
            <w:r w:rsidR="009E6CFC">
              <w:rPr>
                <w:sz w:val="20"/>
                <w:szCs w:val="20"/>
                <w:lang w:val="en-AU"/>
              </w:rPr>
              <w:t>would be</w:t>
            </w:r>
            <w:r w:rsidR="00040545" w:rsidRPr="007E4027">
              <w:rPr>
                <w:sz w:val="20"/>
                <w:szCs w:val="20"/>
                <w:lang w:val="en-AU"/>
              </w:rPr>
              <w:t xml:space="preserve"> outside the scope of this Application. </w:t>
            </w:r>
          </w:p>
          <w:p w14:paraId="20261F61" w14:textId="77777777" w:rsidR="004D7B9E" w:rsidRDefault="004D7B9E" w:rsidP="004D7B9E">
            <w:pPr>
              <w:rPr>
                <w:sz w:val="20"/>
                <w:szCs w:val="20"/>
              </w:rPr>
            </w:pPr>
          </w:p>
          <w:p w14:paraId="38B56359" w14:textId="2A1FCD4F" w:rsidR="00BB450E" w:rsidRPr="004028B5" w:rsidRDefault="004D7B9E" w:rsidP="004028B5">
            <w:pPr>
              <w:pStyle w:val="ListParagraph"/>
              <w:numPr>
                <w:ilvl w:val="0"/>
                <w:numId w:val="53"/>
              </w:numPr>
              <w:rPr>
                <w:rFonts w:cs="Arial"/>
                <w:sz w:val="20"/>
                <w:szCs w:val="20"/>
                <w:lang w:val="en-AU"/>
              </w:rPr>
            </w:pPr>
            <w:r w:rsidRPr="00CC3825">
              <w:rPr>
                <w:sz w:val="20"/>
                <w:szCs w:val="20"/>
              </w:rPr>
              <w:t xml:space="preserve">Analysis of the AHS shows that only 9/136 products, reported as consumed, contain greater than 30 g/100 g of sugar.  </w:t>
            </w:r>
          </w:p>
          <w:p w14:paraId="68689714" w14:textId="77777777" w:rsidR="00CC3825" w:rsidRPr="004028B5" w:rsidRDefault="00CC3825" w:rsidP="004028B5">
            <w:pPr>
              <w:pStyle w:val="ListParagraph"/>
              <w:rPr>
                <w:rFonts w:cs="Arial"/>
                <w:sz w:val="20"/>
                <w:szCs w:val="20"/>
                <w:lang w:val="en-AU"/>
              </w:rPr>
            </w:pPr>
          </w:p>
          <w:p w14:paraId="3BF96329" w14:textId="62BF083A" w:rsidR="006716E3" w:rsidRPr="007E4027" w:rsidRDefault="006716E3" w:rsidP="007E4027">
            <w:pPr>
              <w:pStyle w:val="ListParagraph"/>
              <w:numPr>
                <w:ilvl w:val="0"/>
                <w:numId w:val="53"/>
              </w:numPr>
              <w:rPr>
                <w:rFonts w:cs="Arial"/>
                <w:color w:val="333333"/>
                <w:sz w:val="20"/>
                <w:szCs w:val="20"/>
                <w:lang w:val="en-AU"/>
              </w:rPr>
            </w:pPr>
            <w:r w:rsidRPr="007E4027">
              <w:rPr>
                <w:rFonts w:cs="Arial"/>
                <w:sz w:val="20"/>
                <w:szCs w:val="20"/>
                <w:lang w:val="en-AU"/>
              </w:rPr>
              <w:t xml:space="preserve">The voluntary front of pack </w:t>
            </w:r>
            <w:r w:rsidR="004D7B9E" w:rsidRPr="007E4027">
              <w:rPr>
                <w:rFonts w:cs="Arial"/>
                <w:sz w:val="20"/>
                <w:szCs w:val="20"/>
                <w:lang w:val="en-AU"/>
              </w:rPr>
              <w:t>HSR</w:t>
            </w:r>
            <w:r w:rsidRPr="007E4027">
              <w:rPr>
                <w:rFonts w:cs="Arial"/>
                <w:sz w:val="20"/>
                <w:szCs w:val="20"/>
                <w:lang w:val="en-AU"/>
              </w:rPr>
              <w:t xml:space="preserve"> system </w:t>
            </w:r>
            <w:r w:rsidRPr="007E4027">
              <w:rPr>
                <w:rFonts w:cs="Arial"/>
                <w:color w:val="333333"/>
                <w:sz w:val="20"/>
                <w:szCs w:val="20"/>
                <w:lang w:val="en-AU"/>
              </w:rPr>
              <w:t xml:space="preserve">is being implemented over a five-year period from June 2014. In response to these initiatives, one breakfast cereal manufacturer has reformulated its range to ensure that products meet the NPSC to carry health claims, and all major manufacturers (in Australia) have publically announced implementation of the front of pack HSR system to their entire range and are reformulating some of their product lines in response to consumer demand. </w:t>
            </w:r>
          </w:p>
          <w:p w14:paraId="6510691F" w14:textId="77777777" w:rsidR="00520BA4" w:rsidRDefault="00520BA4" w:rsidP="00242029">
            <w:pPr>
              <w:rPr>
                <w:sz w:val="20"/>
                <w:szCs w:val="20"/>
                <w:lang w:val="en-AU"/>
              </w:rPr>
            </w:pPr>
          </w:p>
          <w:p w14:paraId="6EE93683" w14:textId="7870509E" w:rsidR="00B8184A" w:rsidRDefault="00B8184A" w:rsidP="00242029">
            <w:pPr>
              <w:rPr>
                <w:sz w:val="20"/>
                <w:szCs w:val="20"/>
                <w:lang w:val="en-AU"/>
              </w:rPr>
            </w:pPr>
          </w:p>
          <w:p w14:paraId="2B3DAF06" w14:textId="77777777" w:rsidR="00B8184A" w:rsidRDefault="00B8184A" w:rsidP="00242029">
            <w:pPr>
              <w:rPr>
                <w:sz w:val="20"/>
                <w:szCs w:val="20"/>
                <w:lang w:val="en-AU"/>
              </w:rPr>
            </w:pPr>
          </w:p>
          <w:p w14:paraId="2C742CF9" w14:textId="77777777" w:rsidR="00B8184A" w:rsidRDefault="00B8184A" w:rsidP="00242029">
            <w:pPr>
              <w:rPr>
                <w:sz w:val="20"/>
                <w:szCs w:val="20"/>
                <w:lang w:val="en-AU"/>
              </w:rPr>
            </w:pPr>
          </w:p>
          <w:p w14:paraId="130890AB" w14:textId="77777777" w:rsidR="00B8184A" w:rsidRDefault="00B8184A" w:rsidP="00242029">
            <w:pPr>
              <w:rPr>
                <w:sz w:val="20"/>
                <w:szCs w:val="20"/>
                <w:lang w:val="en-AU"/>
              </w:rPr>
            </w:pPr>
          </w:p>
          <w:p w14:paraId="499070F4" w14:textId="5A1C0F92" w:rsidR="006716E3" w:rsidRPr="00520BA4" w:rsidRDefault="006716E3" w:rsidP="006716E3">
            <w:pPr>
              <w:rPr>
                <w:sz w:val="20"/>
                <w:szCs w:val="20"/>
                <w:lang w:val="en-AU"/>
              </w:rPr>
            </w:pPr>
            <w:r w:rsidRPr="00520BA4">
              <w:rPr>
                <w:sz w:val="20"/>
                <w:szCs w:val="20"/>
                <w:lang w:val="en-AU"/>
              </w:rPr>
              <w:lastRenderedPageBreak/>
              <w:t xml:space="preserve">Prospective application of compositional criteria to fortification permissions for breakfast cereals </w:t>
            </w:r>
            <w:r w:rsidR="008A1BDA">
              <w:rPr>
                <w:sz w:val="20"/>
                <w:szCs w:val="20"/>
                <w:lang w:val="en-AU"/>
              </w:rPr>
              <w:t>may</w:t>
            </w:r>
            <w:r w:rsidRPr="00520BA4">
              <w:rPr>
                <w:sz w:val="20"/>
                <w:szCs w:val="20"/>
                <w:lang w:val="en-AU"/>
              </w:rPr>
              <w:t xml:space="preserve"> introduce some distortionary </w:t>
            </w:r>
            <w:r w:rsidR="008A1BDA">
              <w:rPr>
                <w:sz w:val="20"/>
                <w:szCs w:val="20"/>
                <w:lang w:val="en-AU"/>
              </w:rPr>
              <w:t xml:space="preserve">competition </w:t>
            </w:r>
            <w:r w:rsidRPr="00520BA4">
              <w:rPr>
                <w:sz w:val="20"/>
                <w:szCs w:val="20"/>
                <w:lang w:val="en-AU"/>
              </w:rPr>
              <w:t xml:space="preserve">effects </w:t>
            </w:r>
            <w:r w:rsidR="008A1BDA">
              <w:rPr>
                <w:sz w:val="20"/>
                <w:szCs w:val="20"/>
                <w:lang w:val="en-AU"/>
              </w:rPr>
              <w:t xml:space="preserve">on new market entrants </w:t>
            </w:r>
            <w:r w:rsidRPr="00520BA4">
              <w:rPr>
                <w:sz w:val="20"/>
                <w:szCs w:val="20"/>
                <w:lang w:val="en-AU"/>
              </w:rPr>
              <w:t>given current levels of fortification</w:t>
            </w:r>
            <w:r w:rsidR="008A1BDA">
              <w:rPr>
                <w:sz w:val="20"/>
                <w:szCs w:val="20"/>
                <w:lang w:val="en-AU"/>
              </w:rPr>
              <w:t xml:space="preserve"> for existing market players. </w:t>
            </w:r>
            <w:r w:rsidRPr="00520BA4">
              <w:rPr>
                <w:sz w:val="20"/>
                <w:szCs w:val="20"/>
                <w:lang w:val="en-AU"/>
              </w:rPr>
              <w:t xml:space="preserve">Such a </w:t>
            </w:r>
            <w:r w:rsidR="005232A9">
              <w:rPr>
                <w:sz w:val="20"/>
                <w:szCs w:val="20"/>
                <w:lang w:val="en-AU"/>
              </w:rPr>
              <w:t>consideration</w:t>
            </w:r>
            <w:r w:rsidRPr="00520BA4">
              <w:rPr>
                <w:sz w:val="20"/>
                <w:szCs w:val="20"/>
                <w:lang w:val="en-AU"/>
              </w:rPr>
              <w:t xml:space="preserve"> </w:t>
            </w:r>
            <w:r w:rsidR="005232A9">
              <w:rPr>
                <w:sz w:val="20"/>
                <w:szCs w:val="20"/>
                <w:lang w:val="en-AU"/>
              </w:rPr>
              <w:t xml:space="preserve">would </w:t>
            </w:r>
            <w:r w:rsidRPr="00520BA4">
              <w:rPr>
                <w:sz w:val="20"/>
                <w:szCs w:val="20"/>
                <w:lang w:val="en-AU"/>
              </w:rPr>
              <w:t xml:space="preserve">need to be equally weighted against the three lower order statutory objectives relating to consistency with international regulations, fair trade, and </w:t>
            </w:r>
            <w:r w:rsidRPr="00520BA4">
              <w:rPr>
                <w:sz w:val="20"/>
                <w:szCs w:val="20"/>
              </w:rPr>
              <w:t>efficient and internationally competitive food industry</w:t>
            </w:r>
            <w:r w:rsidRPr="00520BA4">
              <w:rPr>
                <w:sz w:val="20"/>
                <w:szCs w:val="20"/>
                <w:lang w:val="en-AU"/>
              </w:rPr>
              <w:t xml:space="preserve">.  </w:t>
            </w:r>
          </w:p>
          <w:p w14:paraId="0EA4D592" w14:textId="6491D004" w:rsidR="007F4013" w:rsidRPr="00520BA4" w:rsidRDefault="007F4013" w:rsidP="008478DA">
            <w:pPr>
              <w:rPr>
                <w:sz w:val="16"/>
                <w:szCs w:val="16"/>
              </w:rPr>
            </w:pPr>
            <w:r w:rsidRPr="00520BA4">
              <w:rPr>
                <w:rFonts w:cs="Arial"/>
                <w:color w:val="333333"/>
                <w:sz w:val="20"/>
                <w:szCs w:val="20"/>
                <w:lang w:val="en-AU"/>
              </w:rPr>
              <w:t xml:space="preserve">These considerations lead to the conclusion that imposing additional regulation to limit voluntary </w:t>
            </w:r>
            <w:r w:rsidR="00697052">
              <w:rPr>
                <w:rFonts w:cs="Arial"/>
                <w:color w:val="333333"/>
                <w:sz w:val="20"/>
                <w:szCs w:val="20"/>
                <w:lang w:val="en-AU"/>
              </w:rPr>
              <w:t xml:space="preserve">vitamin D </w:t>
            </w:r>
            <w:r w:rsidRPr="00520BA4">
              <w:rPr>
                <w:rFonts w:cs="Arial"/>
                <w:color w:val="333333"/>
                <w:sz w:val="20"/>
                <w:szCs w:val="20"/>
                <w:lang w:val="en-AU"/>
              </w:rPr>
              <w:t>fortification permissions to a small and decreasing proportion of breakfast cereals that meet stricter compositional criteria was not warranted</w:t>
            </w:r>
            <w:r w:rsidR="005232A9">
              <w:rPr>
                <w:rFonts w:cs="Arial"/>
                <w:color w:val="333333"/>
                <w:sz w:val="20"/>
                <w:szCs w:val="20"/>
                <w:lang w:val="en-AU"/>
              </w:rPr>
              <w:t xml:space="preserve"> in order to satisfy the policy guideline</w:t>
            </w:r>
            <w:r w:rsidRPr="00520BA4">
              <w:rPr>
                <w:rFonts w:cs="Arial"/>
                <w:color w:val="333333"/>
                <w:sz w:val="20"/>
                <w:szCs w:val="20"/>
                <w:lang w:val="en-AU"/>
              </w:rPr>
              <w:t>.</w:t>
            </w:r>
            <w:r w:rsidRPr="00520BA4">
              <w:rPr>
                <w:sz w:val="16"/>
                <w:szCs w:val="16"/>
                <w:lang w:val="en-AU"/>
              </w:rPr>
              <w:t xml:space="preserve"> </w:t>
            </w:r>
          </w:p>
        </w:tc>
      </w:tr>
      <w:tr w:rsidR="007F4013" w:rsidRPr="007B7422" w14:paraId="0EA4D596" w14:textId="77777777" w:rsidTr="0015387D">
        <w:trPr>
          <w:cantSplit/>
        </w:trPr>
        <w:tc>
          <w:tcPr>
            <w:tcW w:w="4685" w:type="dxa"/>
          </w:tcPr>
          <w:p w14:paraId="0EA4D594" w14:textId="3C5F9427" w:rsidR="007F4013" w:rsidRPr="007B7422" w:rsidRDefault="007F4013" w:rsidP="00242029">
            <w:pPr>
              <w:rPr>
                <w:rFonts w:cs="Arial"/>
                <w:sz w:val="20"/>
                <w:szCs w:val="20"/>
              </w:rPr>
            </w:pPr>
            <w:r w:rsidRPr="007B7422">
              <w:rPr>
                <w:rFonts w:cs="Arial"/>
                <w:sz w:val="20"/>
                <w:szCs w:val="20"/>
              </w:rPr>
              <w:lastRenderedPageBreak/>
              <w:t>Fortification will not be permitted in alcoholic beverages.</w:t>
            </w:r>
          </w:p>
        </w:tc>
        <w:tc>
          <w:tcPr>
            <w:tcW w:w="9031" w:type="dxa"/>
          </w:tcPr>
          <w:p w14:paraId="0EA4D595" w14:textId="77777777" w:rsidR="007F4013" w:rsidRPr="00D267AD" w:rsidRDefault="007F4013" w:rsidP="00242029">
            <w:pPr>
              <w:rPr>
                <w:sz w:val="20"/>
                <w:szCs w:val="20"/>
              </w:rPr>
            </w:pPr>
            <w:r w:rsidRPr="00D267AD">
              <w:rPr>
                <w:sz w:val="20"/>
                <w:szCs w:val="20"/>
              </w:rPr>
              <w:t>Not applicable to this Application</w:t>
            </w:r>
          </w:p>
        </w:tc>
      </w:tr>
      <w:tr w:rsidR="007F4013" w:rsidRPr="007B7422" w14:paraId="0EA4D599" w14:textId="77777777" w:rsidTr="0015387D">
        <w:trPr>
          <w:cantSplit/>
        </w:trPr>
        <w:tc>
          <w:tcPr>
            <w:tcW w:w="4685" w:type="dxa"/>
          </w:tcPr>
          <w:p w14:paraId="0EA4D597" w14:textId="77777777" w:rsidR="007F4013" w:rsidRPr="007B7422" w:rsidRDefault="007F4013" w:rsidP="00242029">
            <w:pPr>
              <w:autoSpaceDE w:val="0"/>
              <w:autoSpaceDN w:val="0"/>
              <w:adjustRightInd w:val="0"/>
              <w:rPr>
                <w:rFonts w:cs="Arial"/>
                <w:sz w:val="20"/>
                <w:szCs w:val="20"/>
              </w:rPr>
            </w:pPr>
            <w:r w:rsidRPr="007B7422">
              <w:rPr>
                <w:rFonts w:cs="Arial"/>
                <w:sz w:val="20"/>
                <w:szCs w:val="20"/>
              </w:rPr>
              <w:t>Permissions to fortify should ensure that the added vitamins and minerals are present in the food at levels which will not have the potential to result in detrimental excesses or imbalances of vitamins and minerals in the context of total intake across the general population</w:t>
            </w:r>
          </w:p>
        </w:tc>
        <w:tc>
          <w:tcPr>
            <w:tcW w:w="9031" w:type="dxa"/>
          </w:tcPr>
          <w:p w14:paraId="0EA4D598" w14:textId="5AA52F7F" w:rsidR="007F4013" w:rsidRPr="00906563" w:rsidRDefault="007F4013" w:rsidP="005009B4">
            <w:r>
              <w:rPr>
                <w:rFonts w:cs="Arial"/>
                <w:sz w:val="20"/>
                <w:szCs w:val="20"/>
              </w:rPr>
              <w:t xml:space="preserve">SD1 considers serum levels at 125 </w:t>
            </w:r>
            <w:proofErr w:type="spellStart"/>
            <w:r>
              <w:rPr>
                <w:rFonts w:cs="Arial"/>
                <w:sz w:val="20"/>
                <w:szCs w:val="20"/>
              </w:rPr>
              <w:t>nM</w:t>
            </w:r>
            <w:proofErr w:type="spellEnd"/>
            <w:r>
              <w:rPr>
                <w:rFonts w:cs="Arial"/>
                <w:sz w:val="20"/>
                <w:szCs w:val="20"/>
              </w:rPr>
              <w:t xml:space="preserve"> – 250 </w:t>
            </w:r>
            <w:proofErr w:type="spellStart"/>
            <w:r>
              <w:rPr>
                <w:rFonts w:cs="Arial"/>
                <w:sz w:val="20"/>
                <w:szCs w:val="20"/>
              </w:rPr>
              <w:t>nM</w:t>
            </w:r>
            <w:proofErr w:type="spellEnd"/>
            <w:r>
              <w:rPr>
                <w:rFonts w:cs="Arial"/>
                <w:sz w:val="20"/>
                <w:szCs w:val="20"/>
              </w:rPr>
              <w:t xml:space="preserve"> might cause adverse effects</w:t>
            </w:r>
            <w:r w:rsidR="007B11C0">
              <w:rPr>
                <w:rFonts w:cs="Arial"/>
                <w:sz w:val="20"/>
                <w:szCs w:val="20"/>
              </w:rPr>
              <w:t xml:space="preserve">. </w:t>
            </w:r>
            <w:r w:rsidR="005009B4">
              <w:rPr>
                <w:rFonts w:cs="Arial"/>
                <w:sz w:val="20"/>
                <w:szCs w:val="20"/>
              </w:rPr>
              <w:t>Dietary intake</w:t>
            </w:r>
            <w:r>
              <w:rPr>
                <w:rFonts w:cs="Arial"/>
                <w:sz w:val="20"/>
                <w:szCs w:val="20"/>
              </w:rPr>
              <w:t xml:space="preserve"> modelling shows that a small proportion of the population will exceed the lower bound of this range, however they remain close to that level with no-one exceeding the higher bound of 250 </w:t>
            </w:r>
            <w:proofErr w:type="spellStart"/>
            <w:r>
              <w:rPr>
                <w:rFonts w:cs="Arial"/>
                <w:sz w:val="20"/>
                <w:szCs w:val="20"/>
              </w:rPr>
              <w:t>nM</w:t>
            </w:r>
            <w:proofErr w:type="spellEnd"/>
            <w:r>
              <w:rPr>
                <w:rFonts w:cs="Arial"/>
                <w:sz w:val="20"/>
                <w:szCs w:val="20"/>
              </w:rPr>
              <w:t>.</w:t>
            </w:r>
          </w:p>
        </w:tc>
      </w:tr>
      <w:tr w:rsidR="007F4013" w:rsidRPr="007B7422" w14:paraId="0EA4D5A0" w14:textId="77777777" w:rsidTr="0015387D">
        <w:trPr>
          <w:cantSplit/>
        </w:trPr>
        <w:tc>
          <w:tcPr>
            <w:tcW w:w="4685" w:type="dxa"/>
          </w:tcPr>
          <w:p w14:paraId="0EA4D59A" w14:textId="77777777" w:rsidR="007F4013" w:rsidRPr="007B7422" w:rsidRDefault="007F4013" w:rsidP="00242029">
            <w:pPr>
              <w:autoSpaceDE w:val="0"/>
              <w:autoSpaceDN w:val="0"/>
              <w:adjustRightInd w:val="0"/>
              <w:rPr>
                <w:rFonts w:cs="Arial"/>
                <w:sz w:val="20"/>
                <w:szCs w:val="20"/>
              </w:rPr>
            </w:pPr>
            <w:r w:rsidRPr="007B7422">
              <w:rPr>
                <w:rFonts w:cs="Arial"/>
                <w:sz w:val="20"/>
                <w:szCs w:val="20"/>
              </w:rPr>
              <w:t xml:space="preserve">The fortification of a food, and the amounts of </w:t>
            </w:r>
            <w:proofErr w:type="spellStart"/>
            <w:r w:rsidRPr="007B7422">
              <w:rPr>
                <w:rFonts w:cs="Arial"/>
                <w:sz w:val="20"/>
                <w:szCs w:val="20"/>
              </w:rPr>
              <w:t>fortificant</w:t>
            </w:r>
            <w:proofErr w:type="spellEnd"/>
            <w:r w:rsidRPr="007B7422">
              <w:rPr>
                <w:rFonts w:cs="Arial"/>
                <w:sz w:val="20"/>
                <w:szCs w:val="20"/>
              </w:rPr>
              <w:t xml:space="preserve"> in the food, should not mislead the consumer as to the nutritional quality of the fortified food.</w:t>
            </w:r>
          </w:p>
        </w:tc>
        <w:tc>
          <w:tcPr>
            <w:tcW w:w="9031" w:type="dxa"/>
          </w:tcPr>
          <w:p w14:paraId="5EB3E98E" w14:textId="1605F195" w:rsidR="009F0510" w:rsidRDefault="00501B8D" w:rsidP="009F0510">
            <w:pPr>
              <w:rPr>
                <w:rFonts w:cs="Arial"/>
                <w:sz w:val="20"/>
                <w:szCs w:val="20"/>
              </w:rPr>
            </w:pPr>
            <w:r>
              <w:rPr>
                <w:sz w:val="20"/>
                <w:szCs w:val="20"/>
                <w:lang w:val="en-NZ"/>
              </w:rPr>
              <w:t xml:space="preserve">Nutrition content claims </w:t>
            </w:r>
            <w:r w:rsidR="005E06C1">
              <w:rPr>
                <w:sz w:val="20"/>
                <w:szCs w:val="20"/>
                <w:lang w:val="en-NZ"/>
              </w:rPr>
              <w:t>may</w:t>
            </w:r>
            <w:r>
              <w:rPr>
                <w:sz w:val="20"/>
                <w:szCs w:val="20"/>
                <w:lang w:val="en-NZ"/>
              </w:rPr>
              <w:t xml:space="preserve"> lead to enhanced nutritional evaluations by consumers when nutrition information is not available. </w:t>
            </w:r>
            <w:r w:rsidR="009F0510" w:rsidRPr="00440223">
              <w:rPr>
                <w:rFonts w:cs="Arial"/>
                <w:sz w:val="20"/>
                <w:szCs w:val="20"/>
              </w:rPr>
              <w:t xml:space="preserve">The requirements set out in Standard 1.2.7 were developed to mitigate the possibility of consumers being misled by nutrition content and health claims </w:t>
            </w:r>
          </w:p>
          <w:p w14:paraId="3BD2835A" w14:textId="77777777" w:rsidR="00305149" w:rsidRPr="00440223" w:rsidRDefault="00305149" w:rsidP="009F0510">
            <w:pPr>
              <w:rPr>
                <w:rFonts w:cs="Arial"/>
                <w:sz w:val="20"/>
                <w:szCs w:val="20"/>
              </w:rPr>
            </w:pPr>
          </w:p>
          <w:p w14:paraId="0EA4D59F" w14:textId="4F8C1659" w:rsidR="007F4013" w:rsidRPr="00440223" w:rsidRDefault="007F4013" w:rsidP="00305149">
            <w:pPr>
              <w:autoSpaceDE w:val="0"/>
              <w:autoSpaceDN w:val="0"/>
              <w:adjustRightInd w:val="0"/>
              <w:rPr>
                <w:sz w:val="20"/>
                <w:szCs w:val="20"/>
              </w:rPr>
            </w:pPr>
            <w:r w:rsidRPr="00440223">
              <w:rPr>
                <w:sz w:val="20"/>
                <w:szCs w:val="20"/>
                <w:lang w:val="en-NZ"/>
              </w:rPr>
              <w:t xml:space="preserve">FSANZ has no information on the marginal effect </w:t>
            </w:r>
            <w:r w:rsidR="00501B8D">
              <w:rPr>
                <w:sz w:val="20"/>
                <w:szCs w:val="20"/>
                <w:lang w:val="en-NZ"/>
              </w:rPr>
              <w:t>on consumers’ evaluations</w:t>
            </w:r>
            <w:r w:rsidR="00501B8D" w:rsidRPr="00440223">
              <w:rPr>
                <w:sz w:val="20"/>
                <w:szCs w:val="20"/>
                <w:lang w:val="en-NZ"/>
              </w:rPr>
              <w:t xml:space="preserve"> </w:t>
            </w:r>
            <w:r w:rsidRPr="00440223">
              <w:rPr>
                <w:sz w:val="20"/>
                <w:szCs w:val="20"/>
                <w:lang w:val="en-NZ"/>
              </w:rPr>
              <w:t xml:space="preserve">of </w:t>
            </w:r>
            <w:r>
              <w:rPr>
                <w:sz w:val="20"/>
                <w:szCs w:val="20"/>
                <w:lang w:val="en-NZ"/>
              </w:rPr>
              <w:t>one</w:t>
            </w:r>
            <w:r w:rsidRPr="00440223">
              <w:rPr>
                <w:sz w:val="20"/>
                <w:szCs w:val="20"/>
                <w:lang w:val="en-NZ"/>
              </w:rPr>
              <w:t xml:space="preserve"> additional claim</w:t>
            </w:r>
            <w:r w:rsidR="00501B8D">
              <w:rPr>
                <w:sz w:val="20"/>
                <w:szCs w:val="20"/>
                <w:lang w:val="en-NZ"/>
              </w:rPr>
              <w:t xml:space="preserve">. </w:t>
            </w:r>
          </w:p>
        </w:tc>
      </w:tr>
      <w:tr w:rsidR="007F4013" w:rsidRPr="007B7422" w14:paraId="0EA4D5A3" w14:textId="77777777" w:rsidTr="0015387D">
        <w:trPr>
          <w:cantSplit/>
        </w:trPr>
        <w:tc>
          <w:tcPr>
            <w:tcW w:w="4685" w:type="dxa"/>
          </w:tcPr>
          <w:p w14:paraId="0EA4D5A1" w14:textId="77777777" w:rsidR="007F4013" w:rsidRPr="007B7422" w:rsidRDefault="007F4013" w:rsidP="00242029">
            <w:pPr>
              <w:autoSpaceDE w:val="0"/>
              <w:autoSpaceDN w:val="0"/>
              <w:adjustRightInd w:val="0"/>
              <w:rPr>
                <w:rFonts w:cs="Arial"/>
                <w:sz w:val="20"/>
                <w:szCs w:val="20"/>
              </w:rPr>
            </w:pPr>
            <w:r w:rsidRPr="007B7422">
              <w:rPr>
                <w:rFonts w:cs="Arial"/>
                <w:sz w:val="20"/>
                <w:szCs w:val="20"/>
              </w:rPr>
              <w:t>Labelling – There should be no specific labelling requirements for fortified food, with the same principles applying as to non-fortified foods. An added vitamin or mineral is required to be listed in the Nutrition Information Panel only if a claim is made about it and the vitamin or mineral is present at a level for which a claim would not be misleading. An added vitamin or mineral must be listed in the ingredient list under current labelling requirements</w:t>
            </w:r>
          </w:p>
        </w:tc>
        <w:tc>
          <w:tcPr>
            <w:tcW w:w="9031" w:type="dxa"/>
          </w:tcPr>
          <w:p w14:paraId="0EA4D5A2" w14:textId="77777777" w:rsidR="007F4013" w:rsidRPr="00440223" w:rsidRDefault="007F4013" w:rsidP="00242029">
            <w:pPr>
              <w:rPr>
                <w:sz w:val="20"/>
                <w:szCs w:val="20"/>
              </w:rPr>
            </w:pPr>
            <w:r w:rsidRPr="00440223">
              <w:rPr>
                <w:sz w:val="20"/>
                <w:szCs w:val="20"/>
              </w:rPr>
              <w:t xml:space="preserve">The generic labelling requirements apply to all breakfast cereals including those with any added vitamins and minerals not just added vitamin D. This is in keeping with this Policy Guideline such that no </w:t>
            </w:r>
            <w:r w:rsidRPr="00440223">
              <w:rPr>
                <w:rFonts w:cs="Arial"/>
                <w:sz w:val="20"/>
                <w:szCs w:val="20"/>
              </w:rPr>
              <w:t>additional labelling requirements have been applied to fortified breakfast cereals including those with added vitamin D.</w:t>
            </w:r>
          </w:p>
        </w:tc>
      </w:tr>
      <w:tr w:rsidR="007F4013" w:rsidRPr="007B7422" w14:paraId="0EA4D5A8" w14:textId="77777777" w:rsidTr="0015387D">
        <w:trPr>
          <w:cantSplit/>
        </w:trPr>
        <w:tc>
          <w:tcPr>
            <w:tcW w:w="4685" w:type="dxa"/>
          </w:tcPr>
          <w:p w14:paraId="0EA4D5A4" w14:textId="77777777" w:rsidR="007F4013" w:rsidRPr="007B7422" w:rsidRDefault="007F4013" w:rsidP="00242029">
            <w:pPr>
              <w:autoSpaceDE w:val="0"/>
              <w:autoSpaceDN w:val="0"/>
              <w:adjustRightInd w:val="0"/>
              <w:rPr>
                <w:rFonts w:cs="Arial"/>
                <w:sz w:val="20"/>
                <w:szCs w:val="20"/>
              </w:rPr>
            </w:pPr>
            <w:r w:rsidRPr="007B7422">
              <w:rPr>
                <w:rFonts w:cs="Arial"/>
                <w:sz w:val="20"/>
                <w:szCs w:val="20"/>
              </w:rPr>
              <w:lastRenderedPageBreak/>
              <w:t>Monitoring/Review - A permission to voluntary fortify should require that it be monitored and formally reviewed in terms of adoption by industry and the impact on the general intake of the vitamin/mineral</w:t>
            </w:r>
          </w:p>
        </w:tc>
        <w:tc>
          <w:tcPr>
            <w:tcW w:w="9031" w:type="dxa"/>
          </w:tcPr>
          <w:p w14:paraId="0EA4D5A5" w14:textId="77777777" w:rsidR="007F4013" w:rsidRPr="00440223" w:rsidRDefault="007F4013" w:rsidP="00242029">
            <w:pPr>
              <w:rPr>
                <w:rFonts w:cs="Arial"/>
                <w:sz w:val="20"/>
                <w:szCs w:val="20"/>
              </w:rPr>
            </w:pPr>
            <w:r w:rsidRPr="00440223">
              <w:rPr>
                <w:rFonts w:cs="Arial"/>
                <w:sz w:val="20"/>
                <w:szCs w:val="20"/>
              </w:rPr>
              <w:t xml:space="preserve">Monitoring and review of the food supply is a responsibility across the entire food regulatory system. </w:t>
            </w:r>
          </w:p>
          <w:p w14:paraId="0EA4D5A6" w14:textId="77777777" w:rsidR="007F4013" w:rsidRDefault="007F4013" w:rsidP="00242029">
            <w:pPr>
              <w:rPr>
                <w:rFonts w:cs="Arial"/>
                <w:sz w:val="20"/>
                <w:szCs w:val="20"/>
              </w:rPr>
            </w:pPr>
          </w:p>
          <w:p w14:paraId="77625CF4" w14:textId="51F219A0" w:rsidR="00760ABA" w:rsidRDefault="00760ABA" w:rsidP="00242029">
            <w:pPr>
              <w:rPr>
                <w:rFonts w:cs="Arial"/>
                <w:sz w:val="20"/>
                <w:szCs w:val="20"/>
              </w:rPr>
            </w:pPr>
            <w:r>
              <w:rPr>
                <w:rFonts w:cs="Arial"/>
                <w:sz w:val="20"/>
                <w:szCs w:val="20"/>
              </w:rPr>
              <w:t xml:space="preserve">FSANZ will take a proposal to the ISFR coordinated survey plan group 2-3 years post gazettal of this variation to monitor the uptake of vitamin D fortification in breakfast cereals. </w:t>
            </w:r>
          </w:p>
          <w:p w14:paraId="64CC0709" w14:textId="77777777" w:rsidR="00760ABA" w:rsidRPr="00440223" w:rsidRDefault="00760ABA" w:rsidP="00242029">
            <w:pPr>
              <w:rPr>
                <w:rFonts w:cs="Arial"/>
                <w:sz w:val="20"/>
                <w:szCs w:val="20"/>
              </w:rPr>
            </w:pPr>
          </w:p>
          <w:p w14:paraId="0EA4D5A7" w14:textId="381C9853" w:rsidR="00760ABA" w:rsidRPr="00440223" w:rsidRDefault="007F4013">
            <w:pPr>
              <w:rPr>
                <w:sz w:val="20"/>
                <w:szCs w:val="20"/>
              </w:rPr>
            </w:pPr>
            <w:r w:rsidRPr="00440223">
              <w:rPr>
                <w:sz w:val="20"/>
                <w:szCs w:val="20"/>
              </w:rPr>
              <w:t>FSANZ is currently undertaking a small analytical program to update vitamin D food composition data – foods with higher levels of naturally occurring vitamin D have been prioritised for analysis first.</w:t>
            </w:r>
          </w:p>
        </w:tc>
      </w:tr>
    </w:tbl>
    <w:p w14:paraId="0EA4D5AA" w14:textId="77777777" w:rsidR="00D60568" w:rsidRPr="00E203C2" w:rsidRDefault="00D60568" w:rsidP="00690206"/>
    <w:sectPr w:rsidR="00D60568" w:rsidRPr="00E203C2" w:rsidSect="007F4013">
      <w:pgSz w:w="16838" w:h="11906"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DF5F3" w14:textId="77777777" w:rsidR="00A24E9F" w:rsidRDefault="00A24E9F">
      <w:r>
        <w:separator/>
      </w:r>
    </w:p>
  </w:endnote>
  <w:endnote w:type="continuationSeparator" w:id="0">
    <w:p w14:paraId="41DAD698" w14:textId="77777777" w:rsidR="00A24E9F" w:rsidRDefault="00A24E9F">
      <w:r>
        <w:continuationSeparator/>
      </w:r>
    </w:p>
  </w:endnote>
  <w:endnote w:type="continuationNotice" w:id="1">
    <w:p w14:paraId="2FE4920E" w14:textId="77777777" w:rsidR="00A24E9F" w:rsidRDefault="00A24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4D5B4" w14:textId="77777777" w:rsidR="00B85F84" w:rsidRDefault="00B85F8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A4D5B5" w14:textId="77777777" w:rsidR="00B85F84" w:rsidRDefault="00B85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4D5B6" w14:textId="77777777" w:rsidR="00B85F84" w:rsidRDefault="00B85F8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423">
      <w:rPr>
        <w:rStyle w:val="PageNumber"/>
        <w:noProof/>
      </w:rPr>
      <w:t>i</w:t>
    </w:r>
    <w:r>
      <w:rPr>
        <w:rStyle w:val="PageNumber"/>
      </w:rPr>
      <w:fldChar w:fldCharType="end"/>
    </w:r>
  </w:p>
  <w:p w14:paraId="0EA4D5B7" w14:textId="77777777" w:rsidR="00B85F84" w:rsidRDefault="00B85F8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0926F" w14:textId="77777777" w:rsidR="00917E70" w:rsidRDefault="00917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3460E" w14:textId="77777777" w:rsidR="00A24E9F" w:rsidRDefault="00A24E9F">
      <w:r>
        <w:separator/>
      </w:r>
    </w:p>
  </w:footnote>
  <w:footnote w:type="continuationSeparator" w:id="0">
    <w:p w14:paraId="69DDC1C7" w14:textId="77777777" w:rsidR="00A24E9F" w:rsidRDefault="00A24E9F">
      <w:r>
        <w:continuationSeparator/>
      </w:r>
    </w:p>
  </w:footnote>
  <w:footnote w:type="continuationNotice" w:id="1">
    <w:p w14:paraId="29544535" w14:textId="77777777" w:rsidR="00A24E9F" w:rsidRDefault="00A24E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2A36" w14:textId="77777777" w:rsidR="00917E70" w:rsidRDefault="00917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4D5B3" w14:textId="61CE7C45" w:rsidR="00B85F84" w:rsidRPr="00917E70" w:rsidRDefault="00B85F84" w:rsidP="00917E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4D5B8" w14:textId="77777777" w:rsidR="00B85F84" w:rsidRDefault="00B85F8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030E0"/>
    <w:lvl w:ilvl="0">
      <w:start w:val="1"/>
      <w:numFmt w:val="decimal"/>
      <w:lvlText w:val="%1."/>
      <w:lvlJc w:val="left"/>
      <w:pPr>
        <w:tabs>
          <w:tab w:val="num" w:pos="1492"/>
        </w:tabs>
        <w:ind w:left="1492" w:hanging="360"/>
      </w:pPr>
    </w:lvl>
  </w:abstractNum>
  <w:abstractNum w:abstractNumId="1">
    <w:nsid w:val="FFFFFF7D"/>
    <w:multiLevelType w:val="singleLevel"/>
    <w:tmpl w:val="4AF27BA6"/>
    <w:lvl w:ilvl="0">
      <w:start w:val="1"/>
      <w:numFmt w:val="decimal"/>
      <w:lvlText w:val="%1."/>
      <w:lvlJc w:val="left"/>
      <w:pPr>
        <w:tabs>
          <w:tab w:val="num" w:pos="1209"/>
        </w:tabs>
        <w:ind w:left="1209" w:hanging="360"/>
      </w:pPr>
    </w:lvl>
  </w:abstractNum>
  <w:abstractNum w:abstractNumId="2">
    <w:nsid w:val="FFFFFF7E"/>
    <w:multiLevelType w:val="singleLevel"/>
    <w:tmpl w:val="1BF4ADE8"/>
    <w:lvl w:ilvl="0">
      <w:start w:val="1"/>
      <w:numFmt w:val="decimal"/>
      <w:lvlText w:val="%1."/>
      <w:lvlJc w:val="left"/>
      <w:pPr>
        <w:tabs>
          <w:tab w:val="num" w:pos="926"/>
        </w:tabs>
        <w:ind w:left="926" w:hanging="360"/>
      </w:pPr>
    </w:lvl>
  </w:abstractNum>
  <w:abstractNum w:abstractNumId="3">
    <w:nsid w:val="FFFFFF7F"/>
    <w:multiLevelType w:val="singleLevel"/>
    <w:tmpl w:val="077091E8"/>
    <w:lvl w:ilvl="0">
      <w:start w:val="1"/>
      <w:numFmt w:val="decimal"/>
      <w:lvlText w:val="%1."/>
      <w:lvlJc w:val="left"/>
      <w:pPr>
        <w:tabs>
          <w:tab w:val="num" w:pos="643"/>
        </w:tabs>
        <w:ind w:left="643" w:hanging="360"/>
      </w:pPr>
    </w:lvl>
  </w:abstractNum>
  <w:abstractNum w:abstractNumId="4">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9A47CE"/>
    <w:lvl w:ilvl="0">
      <w:start w:val="1"/>
      <w:numFmt w:val="decimal"/>
      <w:lvlText w:val="%1."/>
      <w:lvlJc w:val="left"/>
      <w:pPr>
        <w:tabs>
          <w:tab w:val="num" w:pos="360"/>
        </w:tabs>
        <w:ind w:left="360" w:hanging="360"/>
      </w:pPr>
    </w:lvl>
  </w:abstractNum>
  <w:abstractNum w:abstractNumId="9">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DDD0351"/>
    <w:multiLevelType w:val="hybridMultilevel"/>
    <w:tmpl w:val="CB92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DE82BB7"/>
    <w:multiLevelType w:val="hybridMultilevel"/>
    <w:tmpl w:val="63425070"/>
    <w:lvl w:ilvl="0" w:tplc="0C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3">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5">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nsid w:val="46F90ACE"/>
    <w:multiLevelType w:val="hybridMultilevel"/>
    <w:tmpl w:val="625AB678"/>
    <w:lvl w:ilvl="0" w:tplc="0BECA77A">
      <w:start w:val="1"/>
      <w:numFmt w:val="lowerRoman"/>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43F1DB5"/>
    <w:multiLevelType w:val="hybridMultilevel"/>
    <w:tmpl w:val="B1C20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5"/>
  </w:num>
  <w:num w:numId="2">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44"/>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43"/>
  </w:num>
  <w:num w:numId="14">
    <w:abstractNumId w:val="29"/>
  </w:num>
  <w:num w:numId="15">
    <w:abstractNumId w:val="41"/>
  </w:num>
  <w:num w:numId="16">
    <w:abstractNumId w:val="19"/>
  </w:num>
  <w:num w:numId="17">
    <w:abstractNumId w:val="13"/>
  </w:num>
  <w:num w:numId="18">
    <w:abstractNumId w:val="10"/>
  </w:num>
  <w:num w:numId="19">
    <w:abstractNumId w:val="34"/>
  </w:num>
  <w:num w:numId="20">
    <w:abstractNumId w:val="17"/>
  </w:num>
  <w:num w:numId="21">
    <w:abstractNumId w:val="46"/>
  </w:num>
  <w:num w:numId="22">
    <w:abstractNumId w:val="40"/>
  </w:num>
  <w:num w:numId="23">
    <w:abstractNumId w:val="21"/>
  </w:num>
  <w:num w:numId="24">
    <w:abstractNumId w:val="23"/>
  </w:num>
  <w:num w:numId="25">
    <w:abstractNumId w:val="39"/>
  </w:num>
  <w:num w:numId="26">
    <w:abstractNumId w:val="39"/>
  </w:num>
  <w:num w:numId="27">
    <w:abstractNumId w:val="28"/>
  </w:num>
  <w:num w:numId="28">
    <w:abstractNumId w:val="35"/>
  </w:num>
  <w:num w:numId="29">
    <w:abstractNumId w:val="36"/>
  </w:num>
  <w:num w:numId="30">
    <w:abstractNumId w:val="26"/>
  </w:num>
  <w:num w:numId="31">
    <w:abstractNumId w:val="24"/>
  </w:num>
  <w:num w:numId="32">
    <w:abstractNumId w:val="12"/>
  </w:num>
  <w:num w:numId="33">
    <w:abstractNumId w:val="18"/>
  </w:num>
  <w:num w:numId="34">
    <w:abstractNumId w:val="14"/>
  </w:num>
  <w:num w:numId="35">
    <w:abstractNumId w:val="32"/>
  </w:num>
  <w:num w:numId="36">
    <w:abstractNumId w:val="2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37"/>
  </w:num>
  <w:num w:numId="49">
    <w:abstractNumId w:val="20"/>
  </w:num>
  <w:num w:numId="50">
    <w:abstractNumId w:val="30"/>
  </w:num>
  <w:num w:numId="51">
    <w:abstractNumId w:val="42"/>
  </w:num>
  <w:num w:numId="52">
    <w:abstractNumId w:val="31"/>
  </w:num>
  <w:num w:numId="5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40545"/>
    <w:rsid w:val="00051021"/>
    <w:rsid w:val="00051ED9"/>
    <w:rsid w:val="00057181"/>
    <w:rsid w:val="0006473A"/>
    <w:rsid w:val="00064B2D"/>
    <w:rsid w:val="00065F1F"/>
    <w:rsid w:val="00076D33"/>
    <w:rsid w:val="00092CDA"/>
    <w:rsid w:val="000A27E9"/>
    <w:rsid w:val="000A3D8B"/>
    <w:rsid w:val="000A5DF8"/>
    <w:rsid w:val="000B6AF2"/>
    <w:rsid w:val="000D6FD4"/>
    <w:rsid w:val="000E0AE4"/>
    <w:rsid w:val="000E3DBC"/>
    <w:rsid w:val="0011166B"/>
    <w:rsid w:val="00113CE3"/>
    <w:rsid w:val="00117522"/>
    <w:rsid w:val="0012722F"/>
    <w:rsid w:val="0015387D"/>
    <w:rsid w:val="001542D8"/>
    <w:rsid w:val="00177765"/>
    <w:rsid w:val="00180C41"/>
    <w:rsid w:val="00182C4C"/>
    <w:rsid w:val="00197D8D"/>
    <w:rsid w:val="001A1A75"/>
    <w:rsid w:val="001A2BD5"/>
    <w:rsid w:val="001A34F3"/>
    <w:rsid w:val="001A7E9A"/>
    <w:rsid w:val="001C27A3"/>
    <w:rsid w:val="001C5295"/>
    <w:rsid w:val="001D1192"/>
    <w:rsid w:val="001E09FA"/>
    <w:rsid w:val="00203540"/>
    <w:rsid w:val="0021612B"/>
    <w:rsid w:val="0022083A"/>
    <w:rsid w:val="00221D07"/>
    <w:rsid w:val="002223A5"/>
    <w:rsid w:val="00227E4A"/>
    <w:rsid w:val="0023168F"/>
    <w:rsid w:val="00242029"/>
    <w:rsid w:val="00243AA8"/>
    <w:rsid w:val="0024582E"/>
    <w:rsid w:val="00245C56"/>
    <w:rsid w:val="002547EF"/>
    <w:rsid w:val="00256D65"/>
    <w:rsid w:val="00271F00"/>
    <w:rsid w:val="00273A80"/>
    <w:rsid w:val="0029204E"/>
    <w:rsid w:val="0029631C"/>
    <w:rsid w:val="002A0194"/>
    <w:rsid w:val="002A5F8B"/>
    <w:rsid w:val="002A7F6C"/>
    <w:rsid w:val="002D6809"/>
    <w:rsid w:val="002F6488"/>
    <w:rsid w:val="00305149"/>
    <w:rsid w:val="00320839"/>
    <w:rsid w:val="003213F9"/>
    <w:rsid w:val="00323DBF"/>
    <w:rsid w:val="003309A8"/>
    <w:rsid w:val="00332B12"/>
    <w:rsid w:val="00351B07"/>
    <w:rsid w:val="00352CF2"/>
    <w:rsid w:val="00364841"/>
    <w:rsid w:val="00371B29"/>
    <w:rsid w:val="0037656B"/>
    <w:rsid w:val="003855FA"/>
    <w:rsid w:val="00391769"/>
    <w:rsid w:val="003953E1"/>
    <w:rsid w:val="003956B3"/>
    <w:rsid w:val="003A68BE"/>
    <w:rsid w:val="003B1805"/>
    <w:rsid w:val="003B3C9D"/>
    <w:rsid w:val="003B731B"/>
    <w:rsid w:val="003B78E0"/>
    <w:rsid w:val="003C4969"/>
    <w:rsid w:val="003C6898"/>
    <w:rsid w:val="003E283D"/>
    <w:rsid w:val="003E41D5"/>
    <w:rsid w:val="003E46BA"/>
    <w:rsid w:val="003E7D22"/>
    <w:rsid w:val="003F74C1"/>
    <w:rsid w:val="004028B5"/>
    <w:rsid w:val="00405B1A"/>
    <w:rsid w:val="00410C76"/>
    <w:rsid w:val="00411907"/>
    <w:rsid w:val="00413CA8"/>
    <w:rsid w:val="00417EE3"/>
    <w:rsid w:val="004207EB"/>
    <w:rsid w:val="00423154"/>
    <w:rsid w:val="00437276"/>
    <w:rsid w:val="0044668F"/>
    <w:rsid w:val="00456B54"/>
    <w:rsid w:val="00464643"/>
    <w:rsid w:val="004835B1"/>
    <w:rsid w:val="00486793"/>
    <w:rsid w:val="00491A07"/>
    <w:rsid w:val="004A2037"/>
    <w:rsid w:val="004C2CE7"/>
    <w:rsid w:val="004D7B9E"/>
    <w:rsid w:val="004F4F98"/>
    <w:rsid w:val="004F69F6"/>
    <w:rsid w:val="004F79AC"/>
    <w:rsid w:val="005009B4"/>
    <w:rsid w:val="005017CF"/>
    <w:rsid w:val="00501B8D"/>
    <w:rsid w:val="005207D8"/>
    <w:rsid w:val="00520BA4"/>
    <w:rsid w:val="005232A9"/>
    <w:rsid w:val="00533A9F"/>
    <w:rsid w:val="0053464E"/>
    <w:rsid w:val="00540423"/>
    <w:rsid w:val="00562917"/>
    <w:rsid w:val="00586228"/>
    <w:rsid w:val="005A1D97"/>
    <w:rsid w:val="005B6AF4"/>
    <w:rsid w:val="005B7A73"/>
    <w:rsid w:val="005C04CB"/>
    <w:rsid w:val="005D16AD"/>
    <w:rsid w:val="005D72E1"/>
    <w:rsid w:val="005E06C1"/>
    <w:rsid w:val="005E6E16"/>
    <w:rsid w:val="005F10BF"/>
    <w:rsid w:val="005F400E"/>
    <w:rsid w:val="005F5491"/>
    <w:rsid w:val="005F6361"/>
    <w:rsid w:val="005F7342"/>
    <w:rsid w:val="0060344E"/>
    <w:rsid w:val="00603A08"/>
    <w:rsid w:val="00610A3C"/>
    <w:rsid w:val="00627F48"/>
    <w:rsid w:val="00630C23"/>
    <w:rsid w:val="006460AB"/>
    <w:rsid w:val="00663FCF"/>
    <w:rsid w:val="006652A2"/>
    <w:rsid w:val="006716E3"/>
    <w:rsid w:val="00690206"/>
    <w:rsid w:val="006937FF"/>
    <w:rsid w:val="00697052"/>
    <w:rsid w:val="006A48A7"/>
    <w:rsid w:val="006A583D"/>
    <w:rsid w:val="006A649D"/>
    <w:rsid w:val="006B078B"/>
    <w:rsid w:val="006B4BA1"/>
    <w:rsid w:val="006B5EBE"/>
    <w:rsid w:val="006C5CF5"/>
    <w:rsid w:val="006F4A82"/>
    <w:rsid w:val="0070373B"/>
    <w:rsid w:val="00717AB5"/>
    <w:rsid w:val="0072222C"/>
    <w:rsid w:val="00724FA4"/>
    <w:rsid w:val="00730800"/>
    <w:rsid w:val="007602AA"/>
    <w:rsid w:val="00760ABA"/>
    <w:rsid w:val="007652EF"/>
    <w:rsid w:val="00772BDC"/>
    <w:rsid w:val="00780792"/>
    <w:rsid w:val="007914F6"/>
    <w:rsid w:val="007A44B4"/>
    <w:rsid w:val="007A7D3D"/>
    <w:rsid w:val="007B11C0"/>
    <w:rsid w:val="007B225D"/>
    <w:rsid w:val="007C174F"/>
    <w:rsid w:val="007C1C64"/>
    <w:rsid w:val="007C518E"/>
    <w:rsid w:val="007D03EA"/>
    <w:rsid w:val="007E3CB0"/>
    <w:rsid w:val="007E4027"/>
    <w:rsid w:val="007E48BC"/>
    <w:rsid w:val="007E79F7"/>
    <w:rsid w:val="007F3630"/>
    <w:rsid w:val="007F4013"/>
    <w:rsid w:val="007F5C08"/>
    <w:rsid w:val="00807559"/>
    <w:rsid w:val="008450BC"/>
    <w:rsid w:val="008478DA"/>
    <w:rsid w:val="0085334B"/>
    <w:rsid w:val="008578D6"/>
    <w:rsid w:val="00866C55"/>
    <w:rsid w:val="00870214"/>
    <w:rsid w:val="00885C51"/>
    <w:rsid w:val="00885EB0"/>
    <w:rsid w:val="00891F4B"/>
    <w:rsid w:val="0089264A"/>
    <w:rsid w:val="00896B85"/>
    <w:rsid w:val="008A1BDA"/>
    <w:rsid w:val="008A22BE"/>
    <w:rsid w:val="008C1B36"/>
    <w:rsid w:val="008D06C6"/>
    <w:rsid w:val="008E6250"/>
    <w:rsid w:val="00902AF6"/>
    <w:rsid w:val="00917E70"/>
    <w:rsid w:val="00920249"/>
    <w:rsid w:val="009214D1"/>
    <w:rsid w:val="0092205C"/>
    <w:rsid w:val="00924C80"/>
    <w:rsid w:val="00932F14"/>
    <w:rsid w:val="0094247F"/>
    <w:rsid w:val="00942D60"/>
    <w:rsid w:val="0096523B"/>
    <w:rsid w:val="00966EE3"/>
    <w:rsid w:val="00972D06"/>
    <w:rsid w:val="009A12F1"/>
    <w:rsid w:val="009A391C"/>
    <w:rsid w:val="009A50F2"/>
    <w:rsid w:val="009C2722"/>
    <w:rsid w:val="009E0A61"/>
    <w:rsid w:val="009E3010"/>
    <w:rsid w:val="009E6CFC"/>
    <w:rsid w:val="009F007E"/>
    <w:rsid w:val="009F0510"/>
    <w:rsid w:val="009F7065"/>
    <w:rsid w:val="00A24E9F"/>
    <w:rsid w:val="00A4175D"/>
    <w:rsid w:val="00A56DC7"/>
    <w:rsid w:val="00A70AB3"/>
    <w:rsid w:val="00A74FD1"/>
    <w:rsid w:val="00A80C66"/>
    <w:rsid w:val="00A84A58"/>
    <w:rsid w:val="00AB71CC"/>
    <w:rsid w:val="00AC798A"/>
    <w:rsid w:val="00AF06FC"/>
    <w:rsid w:val="00AF3391"/>
    <w:rsid w:val="00AF387F"/>
    <w:rsid w:val="00B00E7F"/>
    <w:rsid w:val="00B102C7"/>
    <w:rsid w:val="00B12F1E"/>
    <w:rsid w:val="00B173DA"/>
    <w:rsid w:val="00B21DCC"/>
    <w:rsid w:val="00B25F37"/>
    <w:rsid w:val="00B37BF0"/>
    <w:rsid w:val="00B44422"/>
    <w:rsid w:val="00B46EA0"/>
    <w:rsid w:val="00B51033"/>
    <w:rsid w:val="00B731D3"/>
    <w:rsid w:val="00B8184A"/>
    <w:rsid w:val="00B839A3"/>
    <w:rsid w:val="00B85F84"/>
    <w:rsid w:val="00B902BD"/>
    <w:rsid w:val="00BA24E2"/>
    <w:rsid w:val="00BB450E"/>
    <w:rsid w:val="00BD2A39"/>
    <w:rsid w:val="00BD2E80"/>
    <w:rsid w:val="00BE11B8"/>
    <w:rsid w:val="00BF7FF0"/>
    <w:rsid w:val="00C057F4"/>
    <w:rsid w:val="00C12502"/>
    <w:rsid w:val="00C36578"/>
    <w:rsid w:val="00C40AA5"/>
    <w:rsid w:val="00C46F70"/>
    <w:rsid w:val="00C476D0"/>
    <w:rsid w:val="00C61AC1"/>
    <w:rsid w:val="00C82EE3"/>
    <w:rsid w:val="00C836E3"/>
    <w:rsid w:val="00C86577"/>
    <w:rsid w:val="00C92E07"/>
    <w:rsid w:val="00C93885"/>
    <w:rsid w:val="00C96868"/>
    <w:rsid w:val="00CA0416"/>
    <w:rsid w:val="00CB25B7"/>
    <w:rsid w:val="00CB2746"/>
    <w:rsid w:val="00CC3825"/>
    <w:rsid w:val="00CC560B"/>
    <w:rsid w:val="00CC75E2"/>
    <w:rsid w:val="00CD46EB"/>
    <w:rsid w:val="00CD7EBF"/>
    <w:rsid w:val="00CE2491"/>
    <w:rsid w:val="00CE65D9"/>
    <w:rsid w:val="00D00113"/>
    <w:rsid w:val="00D056F1"/>
    <w:rsid w:val="00D11171"/>
    <w:rsid w:val="00D22F3C"/>
    <w:rsid w:val="00D23DB6"/>
    <w:rsid w:val="00D267AD"/>
    <w:rsid w:val="00D3047F"/>
    <w:rsid w:val="00D346A4"/>
    <w:rsid w:val="00D43FE6"/>
    <w:rsid w:val="00D51A95"/>
    <w:rsid w:val="00D60568"/>
    <w:rsid w:val="00D70C7A"/>
    <w:rsid w:val="00D81D38"/>
    <w:rsid w:val="00DA10A8"/>
    <w:rsid w:val="00DB1E08"/>
    <w:rsid w:val="00DB2973"/>
    <w:rsid w:val="00DC1B56"/>
    <w:rsid w:val="00DC2129"/>
    <w:rsid w:val="00DC6570"/>
    <w:rsid w:val="00DD3C5E"/>
    <w:rsid w:val="00DE63D6"/>
    <w:rsid w:val="00DF25C3"/>
    <w:rsid w:val="00E04062"/>
    <w:rsid w:val="00E063C6"/>
    <w:rsid w:val="00E066BA"/>
    <w:rsid w:val="00E12B7B"/>
    <w:rsid w:val="00E2003B"/>
    <w:rsid w:val="00E203C2"/>
    <w:rsid w:val="00E25ABC"/>
    <w:rsid w:val="00E279D8"/>
    <w:rsid w:val="00E319B1"/>
    <w:rsid w:val="00E44E0D"/>
    <w:rsid w:val="00E5492F"/>
    <w:rsid w:val="00E62DEF"/>
    <w:rsid w:val="00E70A86"/>
    <w:rsid w:val="00E777EC"/>
    <w:rsid w:val="00E80FCD"/>
    <w:rsid w:val="00EA7F2F"/>
    <w:rsid w:val="00EC00DE"/>
    <w:rsid w:val="00EC30E1"/>
    <w:rsid w:val="00ED172A"/>
    <w:rsid w:val="00EE7B56"/>
    <w:rsid w:val="00F02709"/>
    <w:rsid w:val="00F11F6C"/>
    <w:rsid w:val="00F12641"/>
    <w:rsid w:val="00F14BEC"/>
    <w:rsid w:val="00F225C5"/>
    <w:rsid w:val="00F2587A"/>
    <w:rsid w:val="00F3715D"/>
    <w:rsid w:val="00F420C8"/>
    <w:rsid w:val="00F42A4C"/>
    <w:rsid w:val="00F53A94"/>
    <w:rsid w:val="00F604DE"/>
    <w:rsid w:val="00FB7512"/>
    <w:rsid w:val="00FD7547"/>
    <w:rsid w:val="00FF3DE9"/>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4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Default">
    <w:name w:val="Default"/>
    <w:rsid w:val="004D7B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533A9F"/>
    <w:pPr>
      <w:ind w:left="720"/>
      <w:contextualSpacing/>
    </w:pPr>
  </w:style>
  <w:style w:type="paragraph" w:styleId="Revision">
    <w:name w:val="Revision"/>
    <w:hidden/>
    <w:uiPriority w:val="99"/>
    <w:semiHidden/>
    <w:rsid w:val="00D00113"/>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Default">
    <w:name w:val="Default"/>
    <w:rsid w:val="004D7B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533A9F"/>
    <w:pPr>
      <w:ind w:left="720"/>
      <w:contextualSpacing/>
    </w:pPr>
  </w:style>
  <w:style w:type="paragraph" w:styleId="Revision">
    <w:name w:val="Revision"/>
    <w:hidden/>
    <w:uiPriority w:val="99"/>
    <w:semiHidden/>
    <w:rsid w:val="00D00113"/>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odstandards.gov.au/code/applications/Documents/A1090-VitaminD-CFS-SD1.pdf"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4E6612-662F-46E5-9306-0CDFAA13EE84}"/>
</file>

<file path=customXml/itemProps2.xml><?xml version="1.0" encoding="utf-8"?>
<ds:datastoreItem xmlns:ds="http://schemas.openxmlformats.org/officeDocument/2006/customXml" ds:itemID="{C199746C-B4A2-4D11-8316-F15E9F2802F9}"/>
</file>

<file path=customXml/itemProps3.xml><?xml version="1.0" encoding="utf-8"?>
<ds:datastoreItem xmlns:ds="http://schemas.openxmlformats.org/officeDocument/2006/customXml" ds:itemID="{56ADE1E0-3B6A-4A71-870C-1893DE1A7796}"/>
</file>

<file path=customXml/itemProps4.xml><?xml version="1.0" encoding="utf-8"?>
<ds:datastoreItem xmlns:ds="http://schemas.openxmlformats.org/officeDocument/2006/customXml" ds:itemID="{46F8855A-0A10-4C87-84CB-97B237C8D6FE}"/>
</file>

<file path=docProps/app.xml><?xml version="1.0" encoding="utf-8"?>
<Properties xmlns="http://schemas.openxmlformats.org/officeDocument/2006/extended-properties" xmlns:vt="http://schemas.openxmlformats.org/officeDocument/2006/docPropsVTypes">
  <Template>Normal</Template>
  <TotalTime>0</TotalTime>
  <Pages>1</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A1090-AppR-SD2</dc:title>
  <dc:creator/>
  <cp:lastModifiedBy/>
  <cp:revision>1</cp:revision>
  <dcterms:created xsi:type="dcterms:W3CDTF">2015-05-26T06:18:00Z</dcterms:created>
  <dcterms:modified xsi:type="dcterms:W3CDTF">2015-05-26T06:20:00Z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