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Pr="00272E09" w:rsidRDefault="00772BDC" w:rsidP="00CA5734">
      <w:pPr>
        <w:rPr>
          <w:rFonts w:cs="Arial"/>
        </w:rPr>
      </w:pPr>
      <w:bookmarkStart w:id="0" w:name="_GoBack"/>
      <w:bookmarkEnd w:id="0"/>
      <w:r w:rsidRPr="00272E09">
        <w:rPr>
          <w:rFonts w:cs="Arial"/>
          <w:noProof/>
          <w:lang w:eastAsia="en-GB" w:bidi="ar-SA"/>
        </w:rPr>
        <w:drawing>
          <wp:inline distT="0" distB="0" distL="0" distR="0" wp14:anchorId="1ADDC193" wp14:editId="4857EB0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272E09" w:rsidRDefault="00A671E6" w:rsidP="00A671E6"/>
    <w:p w:rsidR="00737AC5" w:rsidRDefault="00737AC5" w:rsidP="00737AC5">
      <w:pPr>
        <w:widowControl/>
        <w:rPr>
          <w:b/>
          <w:sz w:val="28"/>
          <w:szCs w:val="28"/>
          <w:lang w:bidi="ar-SA"/>
        </w:rPr>
      </w:pPr>
      <w:r>
        <w:rPr>
          <w:b/>
          <w:sz w:val="28"/>
          <w:szCs w:val="28"/>
          <w:lang w:bidi="ar-SA"/>
        </w:rPr>
        <w:t>28 August 2014</w:t>
      </w:r>
    </w:p>
    <w:p w:rsidR="00737AC5" w:rsidRDefault="00737AC5" w:rsidP="00737AC5">
      <w:pPr>
        <w:widowControl/>
        <w:rPr>
          <w:b/>
          <w:sz w:val="28"/>
          <w:szCs w:val="28"/>
          <w:lang w:bidi="ar-SA"/>
        </w:rPr>
      </w:pPr>
      <w:r>
        <w:rPr>
          <w:b/>
          <w:sz w:val="28"/>
          <w:szCs w:val="28"/>
          <w:lang w:bidi="ar-SA"/>
        </w:rPr>
        <w:t>[17–14]</w:t>
      </w:r>
    </w:p>
    <w:p w:rsidR="00A671E6" w:rsidRPr="00272E09" w:rsidRDefault="00A671E6" w:rsidP="00A671E6"/>
    <w:p w:rsidR="0012388D" w:rsidRPr="00272E09" w:rsidRDefault="00B425AA" w:rsidP="00B425AA">
      <w:pPr>
        <w:pStyle w:val="FSTitle"/>
      </w:pPr>
      <w:r w:rsidRPr="00272E09">
        <w:t>A</w:t>
      </w:r>
      <w:r w:rsidR="00DD265C" w:rsidRPr="00272E09">
        <w:t>pproval</w:t>
      </w:r>
      <w:r w:rsidRPr="00272E09">
        <w:t xml:space="preserve"> R</w:t>
      </w:r>
      <w:r w:rsidR="00DD265C" w:rsidRPr="00272E09">
        <w:t>eport</w:t>
      </w:r>
      <w:r w:rsidRPr="00272E09">
        <w:t xml:space="preserve"> – </w:t>
      </w:r>
      <w:r w:rsidR="00EB6590" w:rsidRPr="00272E09">
        <w:t>A</w:t>
      </w:r>
      <w:r w:rsidR="00DD265C" w:rsidRPr="00272E09">
        <w:t>pplication</w:t>
      </w:r>
      <w:r w:rsidR="00626123">
        <w:t xml:space="preserve"> A1094</w:t>
      </w:r>
    </w:p>
    <w:p w:rsidR="003A7B84" w:rsidRPr="00272E09" w:rsidRDefault="003A7B84" w:rsidP="00A671E6"/>
    <w:p w:rsidR="009C5D87" w:rsidRPr="00626123" w:rsidRDefault="009C5D87" w:rsidP="009C5D87">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Pr>
          <w:rFonts w:cs="Arial"/>
          <w:b w:val="0"/>
          <w:caps w:val="0"/>
          <w:color w:val="000000" w:themeColor="text1"/>
          <w:sz w:val="32"/>
          <w:szCs w:val="32"/>
        </w:rPr>
        <w:t xml:space="preserve"> derived from </w:t>
      </w:r>
      <w:r w:rsidR="00626123">
        <w:rPr>
          <w:rFonts w:cs="Arial"/>
          <w:b w:val="0"/>
          <w:caps w:val="0"/>
          <w:color w:val="000000" w:themeColor="text1"/>
          <w:sz w:val="32"/>
          <w:szCs w:val="32"/>
        </w:rPr>
        <w:t>Herbicide-tolerant Cotton</w:t>
      </w:r>
      <w:r w:rsidRPr="005C18EC">
        <w:rPr>
          <w:rFonts w:cs="Arial"/>
          <w:b w:val="0"/>
          <w:caps w:val="0"/>
          <w:color w:val="000000" w:themeColor="text1"/>
          <w:sz w:val="32"/>
          <w:szCs w:val="32"/>
        </w:rPr>
        <w:t xml:space="preserve"> Line </w:t>
      </w:r>
      <w:r w:rsidR="00626123">
        <w:rPr>
          <w:rFonts w:cs="Arial"/>
          <w:b w:val="0"/>
          <w:color w:val="000000" w:themeColor="text1"/>
          <w:sz w:val="32"/>
          <w:szCs w:val="32"/>
        </w:rPr>
        <w:t>DAS-81910-7</w:t>
      </w:r>
    </w:p>
    <w:p w:rsidR="008810D9" w:rsidRPr="00272E09" w:rsidRDefault="008810D9" w:rsidP="009C5D87">
      <w:pPr>
        <w:pBdr>
          <w:bottom w:val="single" w:sz="12" w:space="1" w:color="auto"/>
        </w:pBdr>
        <w:tabs>
          <w:tab w:val="left" w:pos="870"/>
        </w:tabs>
        <w:spacing w:line="280" w:lineRule="exact"/>
        <w:rPr>
          <w:rFonts w:cs="Arial"/>
          <w:bCs/>
        </w:rPr>
      </w:pPr>
    </w:p>
    <w:p w:rsidR="008810D9" w:rsidRPr="00272E09" w:rsidRDefault="008810D9" w:rsidP="008810D9">
      <w:pPr>
        <w:rPr>
          <w:szCs w:val="22"/>
        </w:rPr>
      </w:pPr>
    </w:p>
    <w:p w:rsidR="00564790" w:rsidRPr="00272E09" w:rsidRDefault="003E6806" w:rsidP="006C2DDF">
      <w:pPr>
        <w:ind w:right="-144"/>
        <w:rPr>
          <w:color w:val="000000" w:themeColor="text1"/>
          <w:szCs w:val="22"/>
        </w:rPr>
      </w:pPr>
      <w:r w:rsidRPr="00272E09">
        <w:rPr>
          <w:color w:val="000000" w:themeColor="text1"/>
          <w:szCs w:val="22"/>
        </w:rPr>
        <w:t>Food Standards Australia New Zealand (FSANZ) has assessed an a</w:t>
      </w:r>
      <w:r w:rsidR="00564790" w:rsidRPr="00272E09">
        <w:rPr>
          <w:color w:val="000000" w:themeColor="text1"/>
          <w:szCs w:val="22"/>
        </w:rPr>
        <w:t xml:space="preserve">pplication made by </w:t>
      </w:r>
      <w:r w:rsidR="009C5D87">
        <w:rPr>
          <w:color w:val="000000" w:themeColor="text1"/>
          <w:szCs w:val="22"/>
        </w:rPr>
        <w:t>Dow AgroSciences Australia Ltd</w:t>
      </w:r>
      <w:r w:rsidR="00564790" w:rsidRPr="00272E09">
        <w:rPr>
          <w:color w:val="000000" w:themeColor="text1"/>
          <w:szCs w:val="22"/>
        </w:rPr>
        <w:t xml:space="preserve"> seeking permission for food derived </w:t>
      </w:r>
      <w:r w:rsidR="00E138A9" w:rsidRPr="00272E09">
        <w:rPr>
          <w:color w:val="000000" w:themeColor="text1"/>
          <w:szCs w:val="22"/>
        </w:rPr>
        <w:t xml:space="preserve">from </w:t>
      </w:r>
      <w:r w:rsidR="00626123">
        <w:rPr>
          <w:color w:val="000000" w:themeColor="text1"/>
          <w:szCs w:val="22"/>
        </w:rPr>
        <w:t>cotton line DAS-81910-7</w:t>
      </w:r>
      <w:r w:rsidR="00E138A9" w:rsidRPr="00272E09">
        <w:rPr>
          <w:color w:val="000000" w:themeColor="text1"/>
          <w:szCs w:val="22"/>
        </w:rPr>
        <w:t>, which is genetically modifi</w:t>
      </w:r>
      <w:r w:rsidR="009C5D87">
        <w:rPr>
          <w:color w:val="000000" w:themeColor="text1"/>
          <w:szCs w:val="22"/>
        </w:rPr>
        <w:t xml:space="preserve">ed to provide </w:t>
      </w:r>
      <w:r w:rsidR="00626123">
        <w:rPr>
          <w:color w:val="000000" w:themeColor="text1"/>
          <w:szCs w:val="22"/>
        </w:rPr>
        <w:t>tolerance to the herbicides</w:t>
      </w:r>
      <w:r w:rsidR="002D79FB">
        <w:rPr>
          <w:color w:val="000000" w:themeColor="text1"/>
          <w:szCs w:val="22"/>
        </w:rPr>
        <w:t xml:space="preserve"> </w:t>
      </w:r>
      <w:r w:rsidR="00626123">
        <w:rPr>
          <w:color w:val="000000" w:themeColor="text1"/>
          <w:szCs w:val="22"/>
        </w:rPr>
        <w:t>2,4-dichlorophenoxyacetic acid (2,4-D) and glufosinate ammonium.</w:t>
      </w:r>
    </w:p>
    <w:p w:rsidR="00E138A9" w:rsidRPr="00272E09" w:rsidRDefault="00E138A9" w:rsidP="009B52B3">
      <w:pPr>
        <w:rPr>
          <w:szCs w:val="22"/>
        </w:rPr>
      </w:pPr>
    </w:p>
    <w:p w:rsidR="009B52B3" w:rsidRPr="00272E09" w:rsidRDefault="00626123" w:rsidP="009B52B3">
      <w:r>
        <w:t>On 18 March 2014</w:t>
      </w:r>
      <w:r w:rsidR="009B52B3" w:rsidRPr="00272E09">
        <w:t>, FSANZ sought submissions on</w:t>
      </w:r>
      <w:r w:rsidR="00263E20" w:rsidRPr="00272E09">
        <w:t xml:space="preserve"> a draft variation to Standard 1.5.2</w:t>
      </w:r>
      <w:r w:rsidR="009B52B3" w:rsidRPr="00272E09">
        <w:t xml:space="preserve"> and published an associat</w:t>
      </w:r>
      <w:r w:rsidR="004D25A5" w:rsidRPr="00272E09">
        <w:t xml:space="preserve">ed report. FSANZ </w:t>
      </w:r>
      <w:r w:rsidR="004D25A5" w:rsidRPr="00C92BC7">
        <w:t xml:space="preserve">received </w:t>
      </w:r>
      <w:r w:rsidR="001A40CE" w:rsidRPr="00C92BC7">
        <w:t>12</w:t>
      </w:r>
      <w:r w:rsidR="009B52B3" w:rsidRPr="00C92BC7">
        <w:t xml:space="preserve"> submissions</w:t>
      </w:r>
      <w:r w:rsidR="009B52B3" w:rsidRPr="00272E09">
        <w:t>.</w:t>
      </w:r>
    </w:p>
    <w:p w:rsidR="009B52B3" w:rsidRPr="00272E09" w:rsidRDefault="009B52B3" w:rsidP="009B52B3"/>
    <w:p w:rsidR="009B52B3" w:rsidRPr="00737AC5" w:rsidRDefault="009B52B3" w:rsidP="009B52B3">
      <w:r w:rsidRPr="00737AC5">
        <w:t>FSANZ approved the draft variation to the Standard on</w:t>
      </w:r>
      <w:r w:rsidR="00400169" w:rsidRPr="00737AC5">
        <w:t xml:space="preserve"> </w:t>
      </w:r>
      <w:r w:rsidR="00737AC5" w:rsidRPr="00737AC5">
        <w:t>13 August</w:t>
      </w:r>
      <w:r w:rsidR="00400169" w:rsidRPr="00737AC5">
        <w:t xml:space="preserve"> 201</w:t>
      </w:r>
      <w:r w:rsidR="00E138A9" w:rsidRPr="00737AC5">
        <w:t>4</w:t>
      </w:r>
      <w:r w:rsidR="007D4F56" w:rsidRPr="00737AC5">
        <w:t>. The</w:t>
      </w:r>
      <w:r w:rsidRPr="00737AC5">
        <w:t xml:space="preserve"> </w:t>
      </w:r>
      <w:r w:rsidR="00737AC5">
        <w:t>A</w:t>
      </w:r>
      <w:r w:rsidR="00737AC5">
        <w:rPr>
          <w:rFonts w:cs="Helvetica"/>
          <w:lang w:val="en-AU"/>
        </w:rPr>
        <w:t xml:space="preserve">ustralia and New Zealand Ministerial Forum on Food </w:t>
      </w:r>
      <w:r w:rsidR="00737AC5">
        <w:rPr>
          <w:rFonts w:cs="Arial"/>
        </w:rPr>
        <w:t>Regulation</w:t>
      </w:r>
      <w:r w:rsidR="00737AC5">
        <w:rPr>
          <w:rStyle w:val="FootnoteReference"/>
          <w:rFonts w:cs="Arial"/>
        </w:rPr>
        <w:footnoteReference w:id="1"/>
      </w:r>
      <w:r w:rsidR="00737AC5">
        <w:rPr>
          <w:rFonts w:cs="Helvetica"/>
          <w:lang w:val="en-AU"/>
        </w:rPr>
        <w:t xml:space="preserve"> </w:t>
      </w:r>
      <w:r w:rsidR="00737AC5">
        <w:rPr>
          <w:rFonts w:cs="Arial"/>
        </w:rPr>
        <w:t xml:space="preserve">(Forum) </w:t>
      </w:r>
      <w:r w:rsidRPr="00737AC5">
        <w:t>was notified of FSANZ’s decision on</w:t>
      </w:r>
      <w:r w:rsidR="00400169" w:rsidRPr="00737AC5">
        <w:t xml:space="preserve"> </w:t>
      </w:r>
      <w:r w:rsidR="00737AC5" w:rsidRPr="00737AC5">
        <w:t>27 August</w:t>
      </w:r>
      <w:r w:rsidR="002D79FB" w:rsidRPr="00737AC5">
        <w:t xml:space="preserve"> </w:t>
      </w:r>
      <w:r w:rsidR="00400169" w:rsidRPr="00737AC5">
        <w:t>201</w:t>
      </w:r>
      <w:r w:rsidR="00E138A9" w:rsidRPr="00737AC5">
        <w:t>4</w:t>
      </w:r>
      <w:r w:rsidRPr="00737AC5">
        <w:t>.</w:t>
      </w:r>
    </w:p>
    <w:p w:rsidR="009B52B3" w:rsidRPr="00272E09" w:rsidRDefault="009B52B3" w:rsidP="009B52B3"/>
    <w:p w:rsidR="009B52B3" w:rsidRPr="00272E09" w:rsidRDefault="009B52B3" w:rsidP="009B52B3">
      <w:r w:rsidRPr="00272E09">
        <w:t>This Report is provided pursuant to paragraph 33(1</w:t>
      </w:r>
      <w:proofErr w:type="gramStart"/>
      <w:r w:rsidRPr="00272E09">
        <w:t>)(</w:t>
      </w:r>
      <w:proofErr w:type="gramEnd"/>
      <w:r w:rsidRPr="00272E09">
        <w:t xml:space="preserve">b) of the </w:t>
      </w:r>
      <w:r w:rsidRPr="00272E09">
        <w:rPr>
          <w:i/>
        </w:rPr>
        <w:t>Food Standards Australia New Zealand Act 1991</w:t>
      </w:r>
      <w:r w:rsidRPr="00272E09">
        <w:t xml:space="preserve"> (the FSANZ Act).</w:t>
      </w:r>
    </w:p>
    <w:p w:rsidR="00F526BD" w:rsidRPr="00272E09" w:rsidRDefault="00F526BD" w:rsidP="00A671E6"/>
    <w:p w:rsidR="00EB6590" w:rsidRPr="00272E09" w:rsidRDefault="00EB6590" w:rsidP="00F526BD"/>
    <w:p w:rsidR="00A671E6" w:rsidRPr="00272E09" w:rsidRDefault="00A671E6" w:rsidP="00CC5468">
      <w:pPr>
        <w:sectPr w:rsidR="00A671E6" w:rsidRPr="00272E09" w:rsidSect="00B90B0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272E09" w:rsidRDefault="00D15A08" w:rsidP="00EC66BB">
      <w:pPr>
        <w:jc w:val="center"/>
        <w:rPr>
          <w:sz w:val="28"/>
          <w:szCs w:val="28"/>
        </w:rPr>
      </w:pPr>
      <w:r w:rsidRPr="00272E09">
        <w:rPr>
          <w:sz w:val="28"/>
          <w:szCs w:val="28"/>
        </w:rPr>
        <w:lastRenderedPageBreak/>
        <w:t xml:space="preserve">Table of </w:t>
      </w:r>
      <w:r w:rsidR="00456B54" w:rsidRPr="00272E09">
        <w:rPr>
          <w:sz w:val="28"/>
          <w:szCs w:val="28"/>
        </w:rPr>
        <w:t>C</w:t>
      </w:r>
      <w:r w:rsidRPr="00272E09">
        <w:rPr>
          <w:sz w:val="28"/>
          <w:szCs w:val="28"/>
        </w:rPr>
        <w:t>ontents</w:t>
      </w:r>
    </w:p>
    <w:p w:rsidR="00E70FD2" w:rsidRPr="00E70FD2" w:rsidRDefault="00B55714">
      <w:pPr>
        <w:pStyle w:val="TOC1"/>
        <w:tabs>
          <w:tab w:val="right" w:leader="dot" w:pos="9060"/>
        </w:tabs>
        <w:rPr>
          <w:rFonts w:ascii="Arial" w:eastAsiaTheme="minorEastAsia" w:hAnsi="Arial" w:cs="Arial"/>
          <w:b w:val="0"/>
          <w:bCs w:val="0"/>
          <w:caps w:val="0"/>
          <w:noProof/>
          <w:lang w:eastAsia="en-GB" w:bidi="ar-SA"/>
        </w:rPr>
      </w:pPr>
      <w:r w:rsidRPr="00E70FD2">
        <w:rPr>
          <w:rFonts w:ascii="Arial" w:hAnsi="Arial" w:cs="Arial"/>
          <w:b w:val="0"/>
          <w:bCs w:val="0"/>
          <w:caps w:val="0"/>
          <w:smallCaps/>
        </w:rPr>
        <w:fldChar w:fldCharType="begin"/>
      </w:r>
      <w:r w:rsidRPr="00E70FD2">
        <w:rPr>
          <w:rFonts w:ascii="Arial" w:hAnsi="Arial" w:cs="Arial"/>
        </w:rPr>
        <w:instrText xml:space="preserve"> TOC \h \z \t "Heading 1,1,Heading 2,2,Heading 3,3" </w:instrText>
      </w:r>
      <w:r w:rsidRPr="00E70FD2">
        <w:rPr>
          <w:rFonts w:ascii="Arial" w:hAnsi="Arial" w:cs="Arial"/>
          <w:b w:val="0"/>
          <w:bCs w:val="0"/>
          <w:caps w:val="0"/>
          <w:smallCaps/>
        </w:rPr>
        <w:fldChar w:fldCharType="separate"/>
      </w:r>
      <w:hyperlink w:anchor="_Toc388276732" w:history="1">
        <w:r w:rsidR="00E70FD2" w:rsidRPr="00E70FD2">
          <w:rPr>
            <w:rStyle w:val="Hyperlink"/>
            <w:rFonts w:ascii="Arial" w:hAnsi="Arial" w:cs="Arial"/>
            <w:noProof/>
          </w:rPr>
          <w:t>Executive summary</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_Toc388276732 \h </w:instrText>
        </w:r>
        <w:r w:rsidR="00E70FD2" w:rsidRPr="00E70FD2">
          <w:rPr>
            <w:rFonts w:ascii="Arial" w:hAnsi="Arial" w:cs="Arial"/>
            <w:noProof/>
            <w:webHidden/>
          </w:rPr>
        </w:r>
        <w:r w:rsidR="00E70FD2" w:rsidRPr="00E70FD2">
          <w:rPr>
            <w:rFonts w:ascii="Arial" w:hAnsi="Arial" w:cs="Arial"/>
            <w:noProof/>
            <w:webHidden/>
          </w:rPr>
          <w:fldChar w:fldCharType="separate"/>
        </w:r>
        <w:r w:rsidR="00ED7CA7">
          <w:rPr>
            <w:rFonts w:ascii="Arial" w:hAnsi="Arial" w:cs="Arial"/>
            <w:noProof/>
            <w:webHidden/>
          </w:rPr>
          <w:t>2</w:t>
        </w:r>
        <w:r w:rsidR="00E70FD2" w:rsidRPr="00E70FD2">
          <w:rPr>
            <w:rFonts w:ascii="Arial" w:hAnsi="Arial" w:cs="Arial"/>
            <w:noProof/>
            <w:webHidden/>
          </w:rPr>
          <w:fldChar w:fldCharType="end"/>
        </w:r>
      </w:hyperlink>
    </w:p>
    <w:p w:rsidR="00E70FD2" w:rsidRPr="00E70FD2" w:rsidRDefault="00ED7CA7">
      <w:pPr>
        <w:pStyle w:val="TOC1"/>
        <w:tabs>
          <w:tab w:val="left" w:pos="440"/>
          <w:tab w:val="right" w:leader="dot" w:pos="9060"/>
        </w:tabs>
        <w:rPr>
          <w:rFonts w:ascii="Arial" w:eastAsiaTheme="minorEastAsia" w:hAnsi="Arial" w:cs="Arial"/>
          <w:b w:val="0"/>
          <w:bCs w:val="0"/>
          <w:caps w:val="0"/>
          <w:noProof/>
          <w:lang w:eastAsia="en-GB" w:bidi="ar-SA"/>
        </w:rPr>
      </w:pPr>
      <w:hyperlink w:anchor="_Toc388276733" w:history="1">
        <w:r w:rsidR="00E70FD2" w:rsidRPr="00E70FD2">
          <w:rPr>
            <w:rStyle w:val="Hyperlink"/>
            <w:rFonts w:ascii="Arial" w:hAnsi="Arial" w:cs="Arial"/>
            <w:noProof/>
          </w:rPr>
          <w:t>1</w:t>
        </w:r>
        <w:r w:rsidR="00E70FD2" w:rsidRPr="00E70FD2">
          <w:rPr>
            <w:rFonts w:ascii="Arial" w:eastAsiaTheme="minorEastAsia" w:hAnsi="Arial" w:cs="Arial"/>
            <w:b w:val="0"/>
            <w:bCs w:val="0"/>
            <w:caps w:val="0"/>
            <w:noProof/>
            <w:lang w:eastAsia="en-GB" w:bidi="ar-SA"/>
          </w:rPr>
          <w:tab/>
        </w:r>
        <w:r w:rsidR="00E70FD2" w:rsidRPr="00E70FD2">
          <w:rPr>
            <w:rStyle w:val="Hyperlink"/>
            <w:rFonts w:ascii="Arial" w:hAnsi="Arial" w:cs="Arial"/>
            <w:noProof/>
          </w:rPr>
          <w:t>Introduction</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_Toc388276733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3</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34" w:history="1">
        <w:r w:rsidR="00E70FD2" w:rsidRPr="00E70FD2">
          <w:rPr>
            <w:rStyle w:val="Hyperlink"/>
            <w:rFonts w:ascii="Arial" w:hAnsi="Arial" w:cs="Arial"/>
            <w:noProof/>
          </w:rPr>
          <w:t>1.1</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The Applicant</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_Toc388276734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3</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35" w:history="1">
        <w:r w:rsidR="00E70FD2" w:rsidRPr="00E70FD2">
          <w:rPr>
            <w:rStyle w:val="Hyperlink"/>
            <w:rFonts w:ascii="Arial" w:hAnsi="Arial" w:cs="Arial"/>
            <w:noProof/>
          </w:rPr>
          <w:t>1.2</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The Application</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_Toc388276735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3</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36" w:history="1">
        <w:r w:rsidR="00E70FD2" w:rsidRPr="00E70FD2">
          <w:rPr>
            <w:rStyle w:val="Hyperlink"/>
            <w:rFonts w:ascii="Arial" w:hAnsi="Arial" w:cs="Arial"/>
            <w:noProof/>
          </w:rPr>
          <w:t>1.3</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The current Standard</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_Toc388276736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3</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37" w:history="1">
        <w:r w:rsidR="00E70FD2" w:rsidRPr="00E70FD2">
          <w:rPr>
            <w:rStyle w:val="Hyperlink"/>
            <w:rFonts w:ascii="Arial" w:hAnsi="Arial" w:cs="Arial"/>
            <w:noProof/>
          </w:rPr>
          <w:t>1.4</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 xml:space="preserve">Reasons for accepting the </w:t>
        </w:r>
        <w:r w:rsidR="00E70FD2" w:rsidRPr="00E70FD2">
          <w:rPr>
            <w:rStyle w:val="Hyperlink"/>
            <w:rFonts w:ascii="Arial" w:hAnsi="Arial" w:cs="Arial"/>
            <w:noProof/>
            <w:u w:color="FFFF00"/>
          </w:rPr>
          <w:t>Application</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_Toc388276737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3</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38" w:history="1">
        <w:r w:rsidR="00E70FD2" w:rsidRPr="00E70FD2">
          <w:rPr>
            <w:rStyle w:val="Hyperlink"/>
            <w:rFonts w:ascii="Arial" w:hAnsi="Arial" w:cs="Arial"/>
            <w:noProof/>
          </w:rPr>
          <w:t>1.5</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Procedure for assessment</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_Toc388276738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3</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39" w:history="1">
        <w:r w:rsidR="00E70FD2" w:rsidRPr="00E70FD2">
          <w:rPr>
            <w:rStyle w:val="Hyperlink"/>
            <w:rFonts w:ascii="Arial" w:hAnsi="Arial" w:cs="Arial"/>
            <w:noProof/>
          </w:rPr>
          <w:t>1.6</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Decision</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_Toc388276739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3</w:t>
        </w:r>
        <w:r w:rsidR="00E70FD2" w:rsidRPr="00E70FD2">
          <w:rPr>
            <w:rFonts w:ascii="Arial" w:hAnsi="Arial" w:cs="Arial"/>
            <w:noProof/>
            <w:webHidden/>
          </w:rPr>
          <w:fldChar w:fldCharType="end"/>
        </w:r>
      </w:hyperlink>
    </w:p>
    <w:p w:rsidR="00E70FD2" w:rsidRPr="00E70FD2" w:rsidRDefault="00ED7CA7">
      <w:pPr>
        <w:pStyle w:val="TOC1"/>
        <w:tabs>
          <w:tab w:val="left" w:pos="440"/>
          <w:tab w:val="right" w:leader="dot" w:pos="9060"/>
        </w:tabs>
        <w:rPr>
          <w:rFonts w:ascii="Arial" w:eastAsiaTheme="minorEastAsia" w:hAnsi="Arial" w:cs="Arial"/>
          <w:b w:val="0"/>
          <w:bCs w:val="0"/>
          <w:caps w:val="0"/>
          <w:noProof/>
          <w:lang w:eastAsia="en-GB" w:bidi="ar-SA"/>
        </w:rPr>
      </w:pPr>
      <w:hyperlink w:anchor="_Toc388276740" w:history="1">
        <w:r w:rsidR="00E70FD2" w:rsidRPr="00E70FD2">
          <w:rPr>
            <w:rStyle w:val="Hyperlink"/>
            <w:rFonts w:ascii="Arial" w:hAnsi="Arial" w:cs="Arial"/>
            <w:noProof/>
          </w:rPr>
          <w:t>2</w:t>
        </w:r>
        <w:r w:rsidR="00E70FD2" w:rsidRPr="00E70FD2">
          <w:rPr>
            <w:rFonts w:ascii="Arial" w:eastAsiaTheme="minorEastAsia" w:hAnsi="Arial" w:cs="Arial"/>
            <w:b w:val="0"/>
            <w:bCs w:val="0"/>
            <w:caps w:val="0"/>
            <w:noProof/>
            <w:lang w:eastAsia="en-GB" w:bidi="ar-SA"/>
          </w:rPr>
          <w:tab/>
        </w:r>
        <w:r w:rsidR="00E70FD2" w:rsidRPr="00E70FD2">
          <w:rPr>
            <w:rStyle w:val="Hyperlink"/>
            <w:rFonts w:ascii="Arial" w:hAnsi="Arial" w:cs="Arial"/>
            <w:noProof/>
          </w:rPr>
          <w:t xml:space="preserve">Summary </w:t>
        </w:r>
        <w:r w:rsidR="00E70FD2" w:rsidRPr="00E70FD2">
          <w:rPr>
            <w:rStyle w:val="Hyperlink"/>
            <w:rFonts w:ascii="Arial" w:hAnsi="Arial" w:cs="Arial"/>
            <w:noProof/>
            <w:u w:color="FFFF00"/>
          </w:rPr>
          <w:t>of</w:t>
        </w:r>
        <w:r w:rsidR="00E70FD2" w:rsidRPr="00E70FD2">
          <w:rPr>
            <w:rStyle w:val="Hyperlink"/>
            <w:rFonts w:ascii="Arial" w:hAnsi="Arial" w:cs="Arial"/>
            <w:noProof/>
          </w:rPr>
          <w:t xml:space="preserve"> the findings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_Toc388276740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4</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41" w:history="1">
        <w:r w:rsidR="00E70FD2" w:rsidRPr="00E70FD2">
          <w:rPr>
            <w:rStyle w:val="Hyperlink"/>
            <w:rFonts w:ascii="Arial" w:hAnsi="Arial" w:cs="Arial"/>
            <w:noProof/>
          </w:rPr>
          <w:t>2.1</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Summary of issues raised in submissions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_Toc388276741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4</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42" w:history="1">
        <w:r w:rsidR="00E70FD2" w:rsidRPr="00E70FD2">
          <w:rPr>
            <w:rStyle w:val="Hyperlink"/>
            <w:rFonts w:ascii="Arial" w:hAnsi="Arial" w:cs="Arial"/>
            <w:noProof/>
          </w:rPr>
          <w:t>2.2</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Safety assessment</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_Toc388276742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9</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43" w:history="1">
        <w:r w:rsidR="00E70FD2" w:rsidRPr="00E70FD2">
          <w:rPr>
            <w:rStyle w:val="Hyperlink"/>
            <w:rFonts w:ascii="Arial" w:hAnsi="Arial" w:cs="Arial"/>
            <w:noProof/>
          </w:rPr>
          <w:t>2.3</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Risk management</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_Toc388276743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10</w:t>
        </w:r>
        <w:r w:rsidR="00E70FD2" w:rsidRPr="00E70FD2">
          <w:rPr>
            <w:rFonts w:ascii="Arial" w:hAnsi="Arial" w:cs="Arial"/>
            <w:noProof/>
            <w:webHidden/>
          </w:rPr>
          <w:fldChar w:fldCharType="end"/>
        </w:r>
      </w:hyperlink>
    </w:p>
    <w:p w:rsidR="00E70FD2" w:rsidRPr="00E70FD2" w:rsidRDefault="00ED7CA7">
      <w:pPr>
        <w:pStyle w:val="TOC3"/>
        <w:tabs>
          <w:tab w:val="left" w:pos="1100"/>
          <w:tab w:val="right" w:leader="dot" w:pos="9060"/>
        </w:tabs>
        <w:rPr>
          <w:rFonts w:ascii="Arial" w:eastAsiaTheme="minorEastAsia" w:hAnsi="Arial" w:cs="Arial"/>
          <w:i w:val="0"/>
          <w:iCs w:val="0"/>
          <w:noProof/>
          <w:lang w:eastAsia="en-GB" w:bidi="ar-SA"/>
        </w:rPr>
      </w:pPr>
      <w:hyperlink w:anchor="_Toc388276744" w:history="1">
        <w:r w:rsidR="00E70FD2" w:rsidRPr="00E70FD2">
          <w:rPr>
            <w:rStyle w:val="Hyperlink"/>
            <w:rFonts w:ascii="Arial" w:hAnsi="Arial" w:cs="Arial"/>
            <w:noProof/>
          </w:rPr>
          <w:t>2.3.1</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Labelling</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_Toc388276744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10</w:t>
        </w:r>
        <w:r w:rsidR="00E70FD2" w:rsidRPr="00E70FD2">
          <w:rPr>
            <w:rFonts w:ascii="Arial" w:hAnsi="Arial" w:cs="Arial"/>
            <w:noProof/>
            <w:webHidden/>
          </w:rPr>
          <w:fldChar w:fldCharType="end"/>
        </w:r>
      </w:hyperlink>
    </w:p>
    <w:p w:rsidR="00E70FD2" w:rsidRPr="00E70FD2" w:rsidRDefault="00ED7CA7">
      <w:pPr>
        <w:pStyle w:val="TOC3"/>
        <w:tabs>
          <w:tab w:val="left" w:pos="1100"/>
          <w:tab w:val="right" w:leader="dot" w:pos="9060"/>
        </w:tabs>
        <w:rPr>
          <w:rFonts w:ascii="Arial" w:eastAsiaTheme="minorEastAsia" w:hAnsi="Arial" w:cs="Arial"/>
          <w:i w:val="0"/>
          <w:iCs w:val="0"/>
          <w:noProof/>
          <w:lang w:eastAsia="en-GB" w:bidi="ar-SA"/>
        </w:rPr>
      </w:pPr>
      <w:hyperlink w:anchor="_Toc388276745" w:history="1">
        <w:r w:rsidR="00E70FD2" w:rsidRPr="00E70FD2">
          <w:rPr>
            <w:rStyle w:val="Hyperlink"/>
            <w:rFonts w:ascii="Arial" w:hAnsi="Arial" w:cs="Arial"/>
            <w:noProof/>
          </w:rPr>
          <w:t>2.3.2</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Detection methodology</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_Toc388276745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10</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46" w:history="1">
        <w:r w:rsidR="00E70FD2" w:rsidRPr="00E70FD2">
          <w:rPr>
            <w:rStyle w:val="Hyperlink"/>
            <w:rFonts w:ascii="Arial" w:hAnsi="Arial" w:cs="Arial"/>
            <w:noProof/>
          </w:rPr>
          <w:t>2.4</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Risk communication</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_Toc388276746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10</w:t>
        </w:r>
        <w:r w:rsidR="00E70FD2" w:rsidRPr="00E70FD2">
          <w:rPr>
            <w:rFonts w:ascii="Arial" w:hAnsi="Arial" w:cs="Arial"/>
            <w:noProof/>
            <w:webHidden/>
          </w:rPr>
          <w:fldChar w:fldCharType="end"/>
        </w:r>
      </w:hyperlink>
    </w:p>
    <w:p w:rsidR="00E70FD2" w:rsidRPr="00E70FD2" w:rsidRDefault="00ED7CA7">
      <w:pPr>
        <w:pStyle w:val="TOC2"/>
        <w:tabs>
          <w:tab w:val="left" w:pos="880"/>
          <w:tab w:val="right" w:leader="dot" w:pos="9060"/>
        </w:tabs>
        <w:rPr>
          <w:rFonts w:ascii="Arial" w:eastAsiaTheme="minorEastAsia" w:hAnsi="Arial" w:cs="Arial"/>
          <w:smallCaps w:val="0"/>
          <w:noProof/>
          <w:lang w:eastAsia="en-GB" w:bidi="ar-SA"/>
        </w:rPr>
      </w:pPr>
      <w:hyperlink w:anchor="_Toc388276747" w:history="1">
        <w:r w:rsidR="00E70FD2" w:rsidRPr="00E70FD2">
          <w:rPr>
            <w:rStyle w:val="Hyperlink"/>
            <w:rFonts w:ascii="Arial" w:hAnsi="Arial" w:cs="Arial"/>
            <w:noProof/>
          </w:rPr>
          <w:t>2.5</w:t>
        </w:r>
        <w:r w:rsidR="00E70FD2" w:rsidRPr="00E70FD2">
          <w:rPr>
            <w:rFonts w:ascii="Arial" w:eastAsiaTheme="minorEastAsia" w:hAnsi="Arial" w:cs="Arial"/>
            <w:smallCaps w:val="0"/>
            <w:noProof/>
            <w:lang w:eastAsia="en-GB" w:bidi="ar-SA"/>
          </w:rPr>
          <w:tab/>
        </w:r>
        <w:r w:rsidR="00E70FD2" w:rsidRPr="00E70FD2">
          <w:rPr>
            <w:rStyle w:val="Hyperlink"/>
            <w:rFonts w:ascii="Arial" w:hAnsi="Arial" w:cs="Arial"/>
            <w:noProof/>
          </w:rPr>
          <w:t>FSANZ Act assessment requirements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_Toc388276747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11</w:t>
        </w:r>
        <w:r w:rsidR="00E70FD2" w:rsidRPr="00E70FD2">
          <w:rPr>
            <w:rFonts w:ascii="Arial" w:hAnsi="Arial" w:cs="Arial"/>
            <w:noProof/>
            <w:webHidden/>
          </w:rPr>
          <w:fldChar w:fldCharType="end"/>
        </w:r>
      </w:hyperlink>
    </w:p>
    <w:p w:rsidR="00E70FD2" w:rsidRPr="00E70FD2" w:rsidRDefault="00ED7CA7">
      <w:pPr>
        <w:pStyle w:val="TOC3"/>
        <w:tabs>
          <w:tab w:val="left" w:pos="1100"/>
          <w:tab w:val="right" w:leader="dot" w:pos="9060"/>
        </w:tabs>
        <w:rPr>
          <w:rFonts w:ascii="Arial" w:eastAsiaTheme="minorEastAsia" w:hAnsi="Arial" w:cs="Arial"/>
          <w:i w:val="0"/>
          <w:iCs w:val="0"/>
          <w:noProof/>
          <w:lang w:eastAsia="en-GB" w:bidi="ar-SA"/>
        </w:rPr>
      </w:pPr>
      <w:hyperlink w:anchor="_Toc388276748" w:history="1">
        <w:r w:rsidR="00E70FD2" w:rsidRPr="00E70FD2">
          <w:rPr>
            <w:rStyle w:val="Hyperlink"/>
            <w:rFonts w:ascii="Arial" w:hAnsi="Arial" w:cs="Arial"/>
            <w:noProof/>
          </w:rPr>
          <w:t>2.5.1</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Section 29</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_Toc388276748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11</w:t>
        </w:r>
        <w:r w:rsidR="00E70FD2" w:rsidRPr="00E70FD2">
          <w:rPr>
            <w:rFonts w:ascii="Arial" w:hAnsi="Arial" w:cs="Arial"/>
            <w:noProof/>
            <w:webHidden/>
          </w:rPr>
          <w:fldChar w:fldCharType="end"/>
        </w:r>
      </w:hyperlink>
    </w:p>
    <w:p w:rsidR="00E70FD2" w:rsidRPr="00E70FD2" w:rsidRDefault="00ED7CA7">
      <w:pPr>
        <w:pStyle w:val="TOC3"/>
        <w:tabs>
          <w:tab w:val="left" w:pos="1320"/>
          <w:tab w:val="right" w:leader="dot" w:pos="9060"/>
        </w:tabs>
        <w:rPr>
          <w:rFonts w:ascii="Arial" w:eastAsiaTheme="minorEastAsia" w:hAnsi="Arial" w:cs="Arial"/>
          <w:i w:val="0"/>
          <w:iCs w:val="0"/>
          <w:noProof/>
          <w:lang w:eastAsia="en-GB" w:bidi="ar-SA"/>
        </w:rPr>
      </w:pPr>
      <w:hyperlink w:anchor="_Toc388276749" w:history="1">
        <w:r w:rsidR="00E70FD2" w:rsidRPr="00E70FD2">
          <w:rPr>
            <w:rStyle w:val="Hyperlink"/>
            <w:rFonts w:ascii="Arial" w:hAnsi="Arial" w:cs="Arial"/>
            <w:noProof/>
          </w:rPr>
          <w:t>2.5.1.1</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Cost benefit analysis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_Toc388276749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11</w:t>
        </w:r>
        <w:r w:rsidR="00E70FD2" w:rsidRPr="00E70FD2">
          <w:rPr>
            <w:rFonts w:ascii="Arial" w:hAnsi="Arial" w:cs="Arial"/>
            <w:noProof/>
            <w:webHidden/>
          </w:rPr>
          <w:fldChar w:fldCharType="end"/>
        </w:r>
      </w:hyperlink>
    </w:p>
    <w:p w:rsidR="00E70FD2" w:rsidRPr="00E70FD2" w:rsidRDefault="00ED7CA7">
      <w:pPr>
        <w:pStyle w:val="TOC3"/>
        <w:tabs>
          <w:tab w:val="left" w:pos="1320"/>
          <w:tab w:val="right" w:leader="dot" w:pos="9060"/>
        </w:tabs>
        <w:rPr>
          <w:rFonts w:ascii="Arial" w:eastAsiaTheme="minorEastAsia" w:hAnsi="Arial" w:cs="Arial"/>
          <w:i w:val="0"/>
          <w:iCs w:val="0"/>
          <w:noProof/>
          <w:lang w:eastAsia="en-GB" w:bidi="ar-SA"/>
        </w:rPr>
      </w:pPr>
      <w:hyperlink w:anchor="_Toc388276750" w:history="1">
        <w:r w:rsidR="00E70FD2" w:rsidRPr="00E70FD2">
          <w:rPr>
            <w:rStyle w:val="Hyperlink"/>
            <w:rFonts w:ascii="Arial" w:hAnsi="Arial" w:cs="Arial"/>
            <w:noProof/>
          </w:rPr>
          <w:t>2.5.1.2</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Other measures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_Toc388276750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12</w:t>
        </w:r>
        <w:r w:rsidR="00E70FD2" w:rsidRPr="00E70FD2">
          <w:rPr>
            <w:rFonts w:ascii="Arial" w:hAnsi="Arial" w:cs="Arial"/>
            <w:noProof/>
            <w:webHidden/>
          </w:rPr>
          <w:fldChar w:fldCharType="end"/>
        </w:r>
      </w:hyperlink>
    </w:p>
    <w:p w:rsidR="00E70FD2" w:rsidRPr="00E70FD2" w:rsidRDefault="00ED7CA7">
      <w:pPr>
        <w:pStyle w:val="TOC3"/>
        <w:tabs>
          <w:tab w:val="left" w:pos="1320"/>
          <w:tab w:val="right" w:leader="dot" w:pos="9060"/>
        </w:tabs>
        <w:rPr>
          <w:rFonts w:ascii="Arial" w:eastAsiaTheme="minorEastAsia" w:hAnsi="Arial" w:cs="Arial"/>
          <w:i w:val="0"/>
          <w:iCs w:val="0"/>
          <w:noProof/>
          <w:lang w:eastAsia="en-GB" w:bidi="ar-SA"/>
        </w:rPr>
      </w:pPr>
      <w:hyperlink w:anchor="_Toc388276751" w:history="1">
        <w:r w:rsidR="00E70FD2" w:rsidRPr="00E70FD2">
          <w:rPr>
            <w:rStyle w:val="Hyperlink"/>
            <w:rFonts w:ascii="Arial" w:hAnsi="Arial" w:cs="Arial"/>
            <w:noProof/>
          </w:rPr>
          <w:t>2.5.1.3</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Any relevant New Zealand standards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_Toc388276751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12</w:t>
        </w:r>
        <w:r w:rsidR="00E70FD2" w:rsidRPr="00E70FD2">
          <w:rPr>
            <w:rFonts w:ascii="Arial" w:hAnsi="Arial" w:cs="Arial"/>
            <w:noProof/>
            <w:webHidden/>
          </w:rPr>
          <w:fldChar w:fldCharType="end"/>
        </w:r>
      </w:hyperlink>
    </w:p>
    <w:p w:rsidR="00E70FD2" w:rsidRPr="00E70FD2" w:rsidRDefault="00ED7CA7">
      <w:pPr>
        <w:pStyle w:val="TOC3"/>
        <w:tabs>
          <w:tab w:val="left" w:pos="1320"/>
          <w:tab w:val="right" w:leader="dot" w:pos="9060"/>
        </w:tabs>
        <w:rPr>
          <w:rFonts w:ascii="Arial" w:eastAsiaTheme="minorEastAsia" w:hAnsi="Arial" w:cs="Arial"/>
          <w:i w:val="0"/>
          <w:iCs w:val="0"/>
          <w:noProof/>
          <w:lang w:eastAsia="en-GB" w:bidi="ar-SA"/>
        </w:rPr>
      </w:pPr>
      <w:hyperlink w:anchor="_Toc388276752" w:history="1">
        <w:r w:rsidR="00E70FD2" w:rsidRPr="00E70FD2">
          <w:rPr>
            <w:rStyle w:val="Hyperlink"/>
            <w:rFonts w:ascii="Arial" w:hAnsi="Arial" w:cs="Arial"/>
            <w:noProof/>
          </w:rPr>
          <w:t>2.5.1.4</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Any other relevant matters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_Toc388276752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13</w:t>
        </w:r>
        <w:r w:rsidR="00E70FD2" w:rsidRPr="00E70FD2">
          <w:rPr>
            <w:rFonts w:ascii="Arial" w:hAnsi="Arial" w:cs="Arial"/>
            <w:noProof/>
            <w:webHidden/>
          </w:rPr>
          <w:fldChar w:fldCharType="end"/>
        </w:r>
      </w:hyperlink>
    </w:p>
    <w:p w:rsidR="00E70FD2" w:rsidRPr="00E70FD2" w:rsidRDefault="00ED7CA7">
      <w:pPr>
        <w:pStyle w:val="TOC3"/>
        <w:tabs>
          <w:tab w:val="left" w:pos="1100"/>
          <w:tab w:val="right" w:leader="dot" w:pos="9060"/>
        </w:tabs>
        <w:rPr>
          <w:rFonts w:ascii="Arial" w:eastAsiaTheme="minorEastAsia" w:hAnsi="Arial" w:cs="Arial"/>
          <w:i w:val="0"/>
          <w:iCs w:val="0"/>
          <w:noProof/>
          <w:lang w:eastAsia="en-GB" w:bidi="ar-SA"/>
        </w:rPr>
      </w:pPr>
      <w:hyperlink w:anchor="_Toc388276753" w:history="1">
        <w:r w:rsidR="00E70FD2" w:rsidRPr="00E70FD2">
          <w:rPr>
            <w:rStyle w:val="Hyperlink"/>
            <w:rFonts w:ascii="Arial" w:hAnsi="Arial" w:cs="Arial"/>
            <w:noProof/>
          </w:rPr>
          <w:t>2.5.2</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Subsection 18(1)</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_Toc388276753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13</w:t>
        </w:r>
        <w:r w:rsidR="00E70FD2" w:rsidRPr="00E70FD2">
          <w:rPr>
            <w:rFonts w:ascii="Arial" w:hAnsi="Arial" w:cs="Arial"/>
            <w:noProof/>
            <w:webHidden/>
          </w:rPr>
          <w:fldChar w:fldCharType="end"/>
        </w:r>
      </w:hyperlink>
    </w:p>
    <w:p w:rsidR="00E70FD2" w:rsidRPr="00E70FD2" w:rsidRDefault="00ED7CA7">
      <w:pPr>
        <w:pStyle w:val="TOC3"/>
        <w:tabs>
          <w:tab w:val="left" w:pos="1320"/>
          <w:tab w:val="right" w:leader="dot" w:pos="9060"/>
        </w:tabs>
        <w:rPr>
          <w:rFonts w:ascii="Arial" w:eastAsiaTheme="minorEastAsia" w:hAnsi="Arial" w:cs="Arial"/>
          <w:i w:val="0"/>
          <w:iCs w:val="0"/>
          <w:noProof/>
          <w:lang w:eastAsia="en-GB" w:bidi="ar-SA"/>
        </w:rPr>
      </w:pPr>
      <w:hyperlink w:anchor="_Toc388276754" w:history="1">
        <w:r w:rsidR="00E70FD2" w:rsidRPr="00E70FD2">
          <w:rPr>
            <w:rStyle w:val="Hyperlink"/>
            <w:rFonts w:ascii="Arial" w:hAnsi="Arial" w:cs="Arial"/>
            <w:noProof/>
          </w:rPr>
          <w:t>2.5.2.1</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Protection of public health and safety</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_Toc388276754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13</w:t>
        </w:r>
        <w:r w:rsidR="00E70FD2" w:rsidRPr="00E70FD2">
          <w:rPr>
            <w:rFonts w:ascii="Arial" w:hAnsi="Arial" w:cs="Arial"/>
            <w:noProof/>
            <w:webHidden/>
          </w:rPr>
          <w:fldChar w:fldCharType="end"/>
        </w:r>
      </w:hyperlink>
    </w:p>
    <w:p w:rsidR="00E70FD2" w:rsidRPr="00E70FD2" w:rsidRDefault="00ED7CA7" w:rsidP="00033A16">
      <w:pPr>
        <w:pStyle w:val="TOC3"/>
        <w:tabs>
          <w:tab w:val="left" w:pos="1320"/>
          <w:tab w:val="right" w:leader="dot" w:pos="9060"/>
        </w:tabs>
        <w:ind w:left="1418" w:hanging="978"/>
        <w:rPr>
          <w:rFonts w:ascii="Arial" w:eastAsiaTheme="minorEastAsia" w:hAnsi="Arial" w:cs="Arial"/>
          <w:i w:val="0"/>
          <w:iCs w:val="0"/>
          <w:noProof/>
          <w:lang w:eastAsia="en-GB" w:bidi="ar-SA"/>
        </w:rPr>
      </w:pPr>
      <w:hyperlink w:anchor="_Toc388276755" w:history="1">
        <w:r w:rsidR="00E70FD2" w:rsidRPr="00E70FD2">
          <w:rPr>
            <w:rStyle w:val="Hyperlink"/>
            <w:rFonts w:ascii="Arial" w:hAnsi="Arial" w:cs="Arial"/>
            <w:noProof/>
          </w:rPr>
          <w:t>2.5.2.2</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The provision of adequate information relating to food to enable consumers to make informed choices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_Toc388276755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13</w:t>
        </w:r>
        <w:r w:rsidR="00E70FD2" w:rsidRPr="00E70FD2">
          <w:rPr>
            <w:rFonts w:ascii="Arial" w:hAnsi="Arial" w:cs="Arial"/>
            <w:noProof/>
            <w:webHidden/>
          </w:rPr>
          <w:fldChar w:fldCharType="end"/>
        </w:r>
      </w:hyperlink>
    </w:p>
    <w:p w:rsidR="00E70FD2" w:rsidRPr="00E70FD2" w:rsidRDefault="00ED7CA7">
      <w:pPr>
        <w:pStyle w:val="TOC3"/>
        <w:tabs>
          <w:tab w:val="left" w:pos="1320"/>
          <w:tab w:val="right" w:leader="dot" w:pos="9060"/>
        </w:tabs>
        <w:rPr>
          <w:rFonts w:ascii="Arial" w:eastAsiaTheme="minorEastAsia" w:hAnsi="Arial" w:cs="Arial"/>
          <w:i w:val="0"/>
          <w:iCs w:val="0"/>
          <w:noProof/>
          <w:lang w:eastAsia="en-GB" w:bidi="ar-SA"/>
        </w:rPr>
      </w:pPr>
      <w:hyperlink w:anchor="_Toc388276756" w:history="1">
        <w:r w:rsidR="00E70FD2" w:rsidRPr="00E70FD2">
          <w:rPr>
            <w:rStyle w:val="Hyperlink"/>
            <w:rFonts w:ascii="Arial" w:hAnsi="Arial" w:cs="Arial"/>
            <w:noProof/>
          </w:rPr>
          <w:t>2.5.2.3</w:t>
        </w:r>
        <w:r w:rsidR="00E70FD2" w:rsidRPr="00E70FD2">
          <w:rPr>
            <w:rFonts w:ascii="Arial" w:eastAsiaTheme="minorEastAsia" w:hAnsi="Arial" w:cs="Arial"/>
            <w:i w:val="0"/>
            <w:iCs w:val="0"/>
            <w:noProof/>
            <w:lang w:eastAsia="en-GB" w:bidi="ar-SA"/>
          </w:rPr>
          <w:tab/>
        </w:r>
        <w:r w:rsidR="00E70FD2" w:rsidRPr="00E70FD2">
          <w:rPr>
            <w:rStyle w:val="Hyperlink"/>
            <w:rFonts w:ascii="Arial" w:hAnsi="Arial" w:cs="Arial"/>
            <w:noProof/>
          </w:rPr>
          <w:t>The prevention of misleading or deceptive conduct</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_Toc388276756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13</w:t>
        </w:r>
        <w:r w:rsidR="00E70FD2" w:rsidRPr="00E70FD2">
          <w:rPr>
            <w:rFonts w:ascii="Arial" w:hAnsi="Arial" w:cs="Arial"/>
            <w:noProof/>
            <w:webHidden/>
          </w:rPr>
          <w:fldChar w:fldCharType="end"/>
        </w:r>
      </w:hyperlink>
    </w:p>
    <w:p w:rsidR="00E70FD2" w:rsidRPr="00E70FD2" w:rsidRDefault="00ED7CA7">
      <w:pPr>
        <w:pStyle w:val="TOC1"/>
        <w:tabs>
          <w:tab w:val="left" w:pos="440"/>
          <w:tab w:val="right" w:leader="dot" w:pos="9060"/>
        </w:tabs>
        <w:rPr>
          <w:rFonts w:ascii="Arial" w:eastAsiaTheme="minorEastAsia" w:hAnsi="Arial" w:cs="Arial"/>
          <w:b w:val="0"/>
          <w:bCs w:val="0"/>
          <w:caps w:val="0"/>
          <w:noProof/>
          <w:lang w:eastAsia="en-GB" w:bidi="ar-SA"/>
        </w:rPr>
      </w:pPr>
      <w:hyperlink w:anchor="_Toc388276757" w:history="1">
        <w:r w:rsidR="00E70FD2" w:rsidRPr="00E70FD2">
          <w:rPr>
            <w:rStyle w:val="Hyperlink"/>
            <w:rFonts w:ascii="Arial" w:hAnsi="Arial" w:cs="Arial"/>
            <w:noProof/>
          </w:rPr>
          <w:t>3</w:t>
        </w:r>
        <w:r w:rsidR="00E70FD2" w:rsidRPr="00E70FD2">
          <w:rPr>
            <w:rFonts w:ascii="Arial" w:eastAsiaTheme="minorEastAsia" w:hAnsi="Arial" w:cs="Arial"/>
            <w:b w:val="0"/>
            <w:bCs w:val="0"/>
            <w:caps w:val="0"/>
            <w:noProof/>
            <w:lang w:eastAsia="en-GB" w:bidi="ar-SA"/>
          </w:rPr>
          <w:tab/>
        </w:r>
        <w:r w:rsidR="00E70FD2" w:rsidRPr="00E70FD2">
          <w:rPr>
            <w:rStyle w:val="Hyperlink"/>
            <w:rFonts w:ascii="Arial" w:hAnsi="Arial" w:cs="Arial"/>
            <w:noProof/>
          </w:rPr>
          <w:t>Transitional arrangements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_Toc388276757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14</w:t>
        </w:r>
        <w:r w:rsidR="00E70FD2" w:rsidRPr="00E70FD2">
          <w:rPr>
            <w:rFonts w:ascii="Arial" w:hAnsi="Arial" w:cs="Arial"/>
            <w:noProof/>
            <w:webHidden/>
          </w:rPr>
          <w:fldChar w:fldCharType="end"/>
        </w:r>
      </w:hyperlink>
    </w:p>
    <w:p w:rsidR="00E70FD2" w:rsidRPr="00E70FD2" w:rsidRDefault="00ED7CA7">
      <w:pPr>
        <w:pStyle w:val="TOC1"/>
        <w:tabs>
          <w:tab w:val="left" w:pos="440"/>
          <w:tab w:val="right" w:leader="dot" w:pos="9060"/>
        </w:tabs>
        <w:rPr>
          <w:rFonts w:ascii="Arial" w:eastAsiaTheme="minorEastAsia" w:hAnsi="Arial" w:cs="Arial"/>
          <w:b w:val="0"/>
          <w:bCs w:val="0"/>
          <w:caps w:val="0"/>
          <w:noProof/>
          <w:lang w:eastAsia="en-GB" w:bidi="ar-SA"/>
        </w:rPr>
      </w:pPr>
      <w:hyperlink w:anchor="_Toc388276758" w:history="1">
        <w:r w:rsidR="00E70FD2" w:rsidRPr="00E70FD2">
          <w:rPr>
            <w:rStyle w:val="Hyperlink"/>
            <w:rFonts w:ascii="Arial" w:hAnsi="Arial" w:cs="Arial"/>
            <w:noProof/>
          </w:rPr>
          <w:t>4</w:t>
        </w:r>
        <w:r w:rsidR="00E70FD2" w:rsidRPr="00E70FD2">
          <w:rPr>
            <w:rFonts w:ascii="Arial" w:eastAsiaTheme="minorEastAsia" w:hAnsi="Arial" w:cs="Arial"/>
            <w:b w:val="0"/>
            <w:bCs w:val="0"/>
            <w:caps w:val="0"/>
            <w:noProof/>
            <w:lang w:eastAsia="en-GB" w:bidi="ar-SA"/>
          </w:rPr>
          <w:tab/>
        </w:r>
        <w:r w:rsidR="00E70FD2" w:rsidRPr="00E70FD2">
          <w:rPr>
            <w:rStyle w:val="Hyperlink"/>
            <w:rFonts w:ascii="Arial" w:hAnsi="Arial" w:cs="Arial"/>
            <w:noProof/>
          </w:rPr>
          <w:t>References</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_Toc388276758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14</w:t>
        </w:r>
        <w:r w:rsidR="00E70FD2" w:rsidRPr="00E70FD2">
          <w:rPr>
            <w:rFonts w:ascii="Arial" w:hAnsi="Arial" w:cs="Arial"/>
            <w:noProof/>
            <w:webHidden/>
          </w:rPr>
          <w:fldChar w:fldCharType="end"/>
        </w:r>
      </w:hyperlink>
    </w:p>
    <w:p w:rsidR="00E70FD2" w:rsidRPr="00E70FD2" w:rsidRDefault="00ED7CA7" w:rsidP="00E70FD2">
      <w:pPr>
        <w:pStyle w:val="TOC2"/>
        <w:tabs>
          <w:tab w:val="right" w:leader="dot" w:pos="9060"/>
        </w:tabs>
        <w:ind w:left="1701" w:hanging="1481"/>
        <w:rPr>
          <w:rFonts w:ascii="Arial" w:eastAsiaTheme="minorEastAsia" w:hAnsi="Arial" w:cs="Arial"/>
          <w:smallCaps w:val="0"/>
          <w:noProof/>
          <w:lang w:eastAsia="en-GB" w:bidi="ar-SA"/>
        </w:rPr>
      </w:pPr>
      <w:hyperlink w:anchor="_Toc388276759" w:history="1">
        <w:r w:rsidR="00E70FD2" w:rsidRPr="00E70FD2">
          <w:rPr>
            <w:rStyle w:val="Hyperlink"/>
            <w:rFonts w:ascii="Arial" w:hAnsi="Arial" w:cs="Arial"/>
            <w:noProof/>
          </w:rPr>
          <w:t xml:space="preserve">Attachment A – Approved draft variation to the </w:t>
        </w:r>
        <w:r w:rsidR="00E70FD2" w:rsidRPr="00E70FD2">
          <w:rPr>
            <w:rStyle w:val="Hyperlink"/>
            <w:rFonts w:ascii="Arial" w:hAnsi="Arial" w:cs="Arial"/>
            <w:i/>
            <w:noProof/>
          </w:rPr>
          <w:t>Australia New Zealand Food Standards Code</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_Toc388276759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16</w:t>
        </w:r>
        <w:r w:rsidR="00E70FD2" w:rsidRPr="00E70FD2">
          <w:rPr>
            <w:rFonts w:ascii="Arial" w:hAnsi="Arial" w:cs="Arial"/>
            <w:noProof/>
            <w:webHidden/>
          </w:rPr>
          <w:fldChar w:fldCharType="end"/>
        </w:r>
      </w:hyperlink>
    </w:p>
    <w:p w:rsidR="00E70FD2" w:rsidRPr="00E70FD2" w:rsidRDefault="00ED7CA7" w:rsidP="00E70FD2">
      <w:pPr>
        <w:pStyle w:val="TOC2"/>
        <w:tabs>
          <w:tab w:val="right" w:leader="dot" w:pos="9060"/>
        </w:tabs>
        <w:ind w:left="1701" w:hanging="1481"/>
        <w:rPr>
          <w:rFonts w:ascii="Arial" w:eastAsiaTheme="minorEastAsia" w:hAnsi="Arial" w:cs="Arial"/>
          <w:smallCaps w:val="0"/>
          <w:noProof/>
          <w:lang w:eastAsia="en-GB" w:bidi="ar-SA"/>
        </w:rPr>
      </w:pPr>
      <w:hyperlink w:anchor="_Toc388276760" w:history="1">
        <w:r w:rsidR="00E70FD2" w:rsidRPr="00E70FD2">
          <w:rPr>
            <w:rStyle w:val="Hyperlink"/>
            <w:rFonts w:ascii="Arial" w:hAnsi="Arial" w:cs="Arial"/>
            <w:noProof/>
          </w:rPr>
          <w:t>Attachment B – Explanatory Statement</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_Toc388276760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18</w:t>
        </w:r>
        <w:r w:rsidR="00E70FD2" w:rsidRPr="00E70FD2">
          <w:rPr>
            <w:rFonts w:ascii="Arial" w:hAnsi="Arial" w:cs="Arial"/>
            <w:noProof/>
            <w:webHidden/>
          </w:rPr>
          <w:fldChar w:fldCharType="end"/>
        </w:r>
      </w:hyperlink>
    </w:p>
    <w:p w:rsidR="00E70FD2" w:rsidRPr="00E70FD2" w:rsidRDefault="00ED7CA7" w:rsidP="00E70FD2">
      <w:pPr>
        <w:pStyle w:val="TOC2"/>
        <w:tabs>
          <w:tab w:val="right" w:leader="dot" w:pos="9060"/>
        </w:tabs>
        <w:ind w:left="1701" w:hanging="1481"/>
        <w:rPr>
          <w:rFonts w:ascii="Arial" w:eastAsiaTheme="minorEastAsia" w:hAnsi="Arial" w:cs="Arial"/>
          <w:smallCaps w:val="0"/>
          <w:noProof/>
          <w:lang w:eastAsia="en-GB" w:bidi="ar-SA"/>
        </w:rPr>
      </w:pPr>
      <w:hyperlink w:anchor="_Toc388276761" w:history="1">
        <w:r w:rsidR="00E70FD2" w:rsidRPr="00E70FD2">
          <w:rPr>
            <w:rStyle w:val="Hyperlink"/>
            <w:rFonts w:ascii="Arial" w:hAnsi="Arial" w:cs="Arial"/>
            <w:noProof/>
          </w:rPr>
          <w:t>Attachment C – Draft variation to the Australia New Zealand Food Standards Code in March 2015 following P1025</w:t>
        </w:r>
        <w:r w:rsidR="00E70FD2" w:rsidRPr="00E70FD2">
          <w:rPr>
            <w:rFonts w:ascii="Arial" w:hAnsi="Arial" w:cs="Arial"/>
            <w:noProof/>
            <w:webHidden/>
          </w:rPr>
          <w:tab/>
        </w:r>
        <w:r w:rsidR="00E70FD2" w:rsidRPr="00E70FD2">
          <w:rPr>
            <w:rFonts w:ascii="Arial" w:hAnsi="Arial" w:cs="Arial"/>
            <w:noProof/>
            <w:webHidden/>
          </w:rPr>
          <w:fldChar w:fldCharType="begin"/>
        </w:r>
        <w:r w:rsidR="00E70FD2" w:rsidRPr="00E70FD2">
          <w:rPr>
            <w:rFonts w:ascii="Arial" w:hAnsi="Arial" w:cs="Arial"/>
            <w:noProof/>
            <w:webHidden/>
          </w:rPr>
          <w:instrText xml:space="preserve"> PAGEREF _Toc388276761 \h </w:instrText>
        </w:r>
        <w:r w:rsidR="00E70FD2" w:rsidRPr="00E70FD2">
          <w:rPr>
            <w:rFonts w:ascii="Arial" w:hAnsi="Arial" w:cs="Arial"/>
            <w:noProof/>
            <w:webHidden/>
          </w:rPr>
        </w:r>
        <w:r w:rsidR="00E70FD2" w:rsidRPr="00E70FD2">
          <w:rPr>
            <w:rFonts w:ascii="Arial" w:hAnsi="Arial" w:cs="Arial"/>
            <w:noProof/>
            <w:webHidden/>
          </w:rPr>
          <w:fldChar w:fldCharType="separate"/>
        </w:r>
        <w:r>
          <w:rPr>
            <w:rFonts w:ascii="Arial" w:hAnsi="Arial" w:cs="Arial"/>
            <w:noProof/>
            <w:webHidden/>
          </w:rPr>
          <w:t>20</w:t>
        </w:r>
        <w:r w:rsidR="00E70FD2" w:rsidRPr="00E70FD2">
          <w:rPr>
            <w:rFonts w:ascii="Arial" w:hAnsi="Arial" w:cs="Arial"/>
            <w:noProof/>
            <w:webHidden/>
          </w:rPr>
          <w:fldChar w:fldCharType="end"/>
        </w:r>
      </w:hyperlink>
    </w:p>
    <w:p w:rsidR="0012388D" w:rsidRPr="00272E09" w:rsidRDefault="00B55714" w:rsidP="00C91C02">
      <w:r w:rsidRPr="00E70FD2">
        <w:rPr>
          <w:rFonts w:cs="Arial"/>
          <w:sz w:val="20"/>
          <w:szCs w:val="20"/>
        </w:rPr>
        <w:fldChar w:fldCharType="end"/>
      </w:r>
    </w:p>
    <w:p w:rsidR="007F7BF7" w:rsidRPr="00272E09" w:rsidRDefault="007F7BF7" w:rsidP="00CA5734"/>
    <w:p w:rsidR="00A671E6" w:rsidRPr="00272E09" w:rsidRDefault="00A671E6" w:rsidP="00A671E6">
      <w:pPr>
        <w:rPr>
          <w:b/>
          <w:bCs/>
        </w:rPr>
      </w:pPr>
      <w:r w:rsidRPr="00272E09">
        <w:rPr>
          <w:b/>
          <w:bCs/>
        </w:rPr>
        <w:t>S</w:t>
      </w:r>
      <w:r w:rsidR="007C22CB" w:rsidRPr="00272E09">
        <w:rPr>
          <w:b/>
          <w:bCs/>
        </w:rPr>
        <w:t>upporting</w:t>
      </w:r>
      <w:r w:rsidR="003E6806" w:rsidRPr="00272E09">
        <w:rPr>
          <w:b/>
          <w:bCs/>
        </w:rPr>
        <w:t xml:space="preserve"> document</w:t>
      </w:r>
      <w:r w:rsidRPr="00272E09">
        <w:rPr>
          <w:b/>
          <w:bCs/>
        </w:rPr>
        <w:t xml:space="preserve"> </w:t>
      </w:r>
    </w:p>
    <w:p w:rsidR="00A671E6" w:rsidRPr="00272E09" w:rsidRDefault="00A671E6" w:rsidP="00A671E6">
      <w:pPr>
        <w:rPr>
          <w:szCs w:val="22"/>
        </w:rPr>
      </w:pPr>
    </w:p>
    <w:p w:rsidR="00626123" w:rsidRDefault="009B52B3" w:rsidP="00626123">
      <w:r w:rsidRPr="00272E09">
        <w:t>The following document</w:t>
      </w:r>
      <w:r w:rsidR="001D7D14">
        <w:t>,</w:t>
      </w:r>
      <w:r w:rsidRPr="00272E09">
        <w:t xml:space="preserve"> </w:t>
      </w:r>
      <w:r w:rsidR="00626123">
        <w:t>which informed the assessment of this Application</w:t>
      </w:r>
      <w:r w:rsidR="001D7D14">
        <w:t>,</w:t>
      </w:r>
      <w:r w:rsidRPr="00272E09">
        <w:t xml:space="preserve"> is available on the FSANZ website at </w:t>
      </w:r>
      <w:hyperlink r:id="rId16" w:history="1">
        <w:r w:rsidR="00626123" w:rsidRPr="001441E3">
          <w:rPr>
            <w:rStyle w:val="Hyperlink"/>
          </w:rPr>
          <w:t>http://www.foodstandards.gov.au/code/applications/Pages/A1094-GM-Cotton.aspx</w:t>
        </w:r>
      </w:hyperlink>
    </w:p>
    <w:p w:rsidR="00453DEF" w:rsidRPr="00272E09" w:rsidRDefault="00453DEF" w:rsidP="00453DEF">
      <w:pPr>
        <w:rPr>
          <w:rStyle w:val="Hyperlink"/>
          <w:color w:val="000000" w:themeColor="text1"/>
        </w:rPr>
      </w:pPr>
    </w:p>
    <w:p w:rsidR="00626123" w:rsidRPr="00B5032F" w:rsidRDefault="009B52B3" w:rsidP="00626123">
      <w:pPr>
        <w:spacing w:line="280" w:lineRule="exact"/>
        <w:ind w:left="851" w:hanging="851"/>
        <w:outlineLvl w:val="3"/>
        <w:rPr>
          <w:rFonts w:cs="Arial"/>
          <w:color w:val="000000" w:themeColor="text1"/>
        </w:rPr>
      </w:pPr>
      <w:r w:rsidRPr="00272E09">
        <w:rPr>
          <w:color w:val="000000" w:themeColor="text1"/>
          <w:szCs w:val="22"/>
        </w:rPr>
        <w:t>SD1</w:t>
      </w:r>
      <w:r w:rsidRPr="00272E09">
        <w:rPr>
          <w:color w:val="000000" w:themeColor="text1"/>
          <w:szCs w:val="22"/>
        </w:rPr>
        <w:tab/>
      </w:r>
      <w:r w:rsidR="00626123" w:rsidRPr="00B5032F">
        <w:rPr>
          <w:rFonts w:cs="Arial"/>
          <w:color w:val="000000" w:themeColor="text1"/>
        </w:rPr>
        <w:t>Safety Asse</w:t>
      </w:r>
      <w:r w:rsidR="00626123">
        <w:rPr>
          <w:rFonts w:cs="Arial"/>
          <w:color w:val="000000" w:themeColor="text1"/>
        </w:rPr>
        <w:t>ssment: Application A1094</w:t>
      </w:r>
      <w:r w:rsidR="00626123" w:rsidRPr="00B5032F">
        <w:rPr>
          <w:rFonts w:cs="Arial"/>
          <w:color w:val="000000" w:themeColor="text1"/>
        </w:rPr>
        <w:t xml:space="preserve"> – Food derived fr</w:t>
      </w:r>
      <w:r w:rsidR="00626123">
        <w:rPr>
          <w:rFonts w:cs="Arial"/>
          <w:color w:val="000000" w:themeColor="text1"/>
        </w:rPr>
        <w:t>om Herbicide-tolerant Cotton Line DAS-81910-7</w:t>
      </w:r>
    </w:p>
    <w:p w:rsidR="009B52B3" w:rsidRPr="00272E09" w:rsidRDefault="009B52B3" w:rsidP="00561158">
      <w:pPr>
        <w:ind w:left="1134" w:hanging="1134"/>
        <w:rPr>
          <w:color w:val="000000" w:themeColor="text1"/>
          <w:szCs w:val="22"/>
        </w:rPr>
      </w:pPr>
    </w:p>
    <w:p w:rsidR="003C4969" w:rsidRPr="00272E09" w:rsidRDefault="00D15A08" w:rsidP="009B52B3">
      <w:pPr>
        <w:spacing w:line="280" w:lineRule="exact"/>
        <w:ind w:left="851" w:hanging="851"/>
        <w:outlineLvl w:val="3"/>
        <w:rPr>
          <w:vanish/>
          <w:color w:val="000000" w:themeColor="text1"/>
        </w:rPr>
      </w:pPr>
      <w:r w:rsidRPr="00272E09">
        <w:rPr>
          <w:color w:val="000000" w:themeColor="text1"/>
        </w:rPr>
        <w:br w:type="page"/>
      </w:r>
    </w:p>
    <w:p w:rsidR="0012388D" w:rsidRPr="00272E09" w:rsidRDefault="00D15A08" w:rsidP="00DD265C">
      <w:pPr>
        <w:pStyle w:val="Heading1"/>
        <w:rPr>
          <w:rFonts w:cs="Tahoma"/>
          <w:sz w:val="28"/>
        </w:rPr>
      </w:pPr>
      <w:bookmarkStart w:id="1" w:name="_Toc388276732"/>
      <w:bookmarkStart w:id="2" w:name="_Toc11735627"/>
      <w:bookmarkStart w:id="3" w:name="_Toc29883110"/>
      <w:bookmarkStart w:id="4" w:name="_Toc41906797"/>
      <w:bookmarkStart w:id="5" w:name="_Toc41907544"/>
      <w:bookmarkStart w:id="6" w:name="_Toc120358575"/>
      <w:r w:rsidRPr="00272E09">
        <w:t xml:space="preserve">Executive </w:t>
      </w:r>
      <w:r w:rsidR="007C22CB" w:rsidRPr="00272E09">
        <w:t>s</w:t>
      </w:r>
      <w:r w:rsidRPr="00272E09">
        <w:t>ummary</w:t>
      </w:r>
      <w:bookmarkEnd w:id="1"/>
    </w:p>
    <w:p w:rsidR="009533B1" w:rsidRPr="00B5032F" w:rsidRDefault="009533B1" w:rsidP="006C2DDF">
      <w:pPr>
        <w:ind w:right="-286"/>
      </w:pPr>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Pr>
          <w:color w:val="000000" w:themeColor="text1"/>
        </w:rPr>
        <w:t xml:space="preserve">Dow AgroSciences Australia Ltd </w:t>
      </w:r>
      <w:r>
        <w:rPr>
          <w:rFonts w:cs="Arial"/>
        </w:rPr>
        <w:t>on 15 November</w:t>
      </w:r>
      <w:r w:rsidRPr="00B5032F">
        <w:rPr>
          <w:rFonts w:cs="Arial"/>
        </w:rPr>
        <w:t xml:space="preserve"> 2013. The Applicant requested a variation to Standard 1.5.2 – Food produced using Gene Technology, </w:t>
      </w:r>
      <w:r w:rsidRPr="00B5032F">
        <w:t xml:space="preserve">in the </w:t>
      </w:r>
      <w:r w:rsidRPr="00B5032F">
        <w:rPr>
          <w:i/>
        </w:rPr>
        <w:t>Australia New Zealand Food Standards Code</w:t>
      </w:r>
      <w:r w:rsidRPr="00B5032F">
        <w:t xml:space="preserve"> (the Code), to permit the sale and use of food derived from genetically m</w:t>
      </w:r>
      <w:r>
        <w:t>odified (GM) cotton line DAS-81910-7, that is tolerant to the two herbicides 2</w:t>
      </w:r>
      <w:proofErr w:type="gramStart"/>
      <w:r>
        <w:t>,4</w:t>
      </w:r>
      <w:proofErr w:type="gramEnd"/>
      <w:r>
        <w:t>-dichlorophenoxyacetic acid and glufosinate ammonium.</w:t>
      </w:r>
    </w:p>
    <w:p w:rsidR="009533B1" w:rsidRPr="005C18EC" w:rsidRDefault="009533B1" w:rsidP="009533B1">
      <w:pPr>
        <w:rPr>
          <w:rFonts w:cs="Arial"/>
        </w:rPr>
      </w:pPr>
    </w:p>
    <w:p w:rsidR="009533B1" w:rsidRPr="005C18EC" w:rsidRDefault="009533B1" w:rsidP="009533B1">
      <w:pPr>
        <w:rPr>
          <w:rFonts w:cs="Arial"/>
        </w:rPr>
      </w:pPr>
      <w:r w:rsidRPr="005C18EC">
        <w:rPr>
          <w:rFonts w:cs="Arial"/>
        </w:rPr>
        <w:t>The primary objective of FSANZ in developing or varying a food regulato</w:t>
      </w:r>
      <w:r>
        <w:rPr>
          <w:rFonts w:cs="Arial"/>
        </w:rPr>
        <w:t>ry measure, as stated in s</w:t>
      </w:r>
      <w:r w:rsidRPr="005C18EC">
        <w:rPr>
          <w:rFonts w:cs="Arial"/>
        </w:rPr>
        <w:t xml:space="preserve"> 18 of </w:t>
      </w:r>
      <w:r>
        <w:rPr>
          <w:rFonts w:cs="Arial"/>
        </w:rPr>
        <w:t xml:space="preserve">the </w:t>
      </w:r>
      <w:r w:rsidRPr="004E330F">
        <w:rPr>
          <w:rFonts w:cs="Arial"/>
          <w:i/>
        </w:rPr>
        <w:t>Food Standards Australia New Zealand Act 1991</w:t>
      </w:r>
      <w:r>
        <w:rPr>
          <w:rFonts w:cs="Arial"/>
        </w:rPr>
        <w:t xml:space="preserve"> (FSANZ Act)</w:t>
      </w:r>
      <w:r w:rsidRPr="005C18EC">
        <w:rPr>
          <w:rFonts w:cs="Arial"/>
        </w:rPr>
        <w:t>, is the protection of public health and safety. Accordingly, the safety assessment is a central part of considering an application.</w:t>
      </w:r>
    </w:p>
    <w:p w:rsidR="009533B1" w:rsidRPr="005C18EC" w:rsidRDefault="009533B1" w:rsidP="009533B1"/>
    <w:p w:rsidR="009533B1" w:rsidRPr="008F4BDF" w:rsidRDefault="009533B1" w:rsidP="009533B1">
      <w:r w:rsidRPr="008F4BDF">
        <w:t>The safety assess</w:t>
      </w:r>
      <w:r>
        <w:t xml:space="preserve">ment of herbicide-tolerant cotton line DAS-81910-7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rPr>
          <w:rFonts w:cs="Arial"/>
        </w:rPr>
        <w:t xml:space="preserve">herbicide-tolerant </w:t>
      </w:r>
      <w:r>
        <w:t xml:space="preserve">cotton line DAS-81910-7 </w:t>
      </w:r>
      <w:r w:rsidRPr="005C18EC">
        <w:rPr>
          <w:rFonts w:cs="Arial"/>
        </w:rPr>
        <w:t xml:space="preserve">is considered to be as safe for </w:t>
      </w:r>
      <w:r w:rsidRPr="008F4BDF">
        <w:t>human consumption as food d</w:t>
      </w:r>
      <w:r>
        <w:t>erived from conventional cotton</w:t>
      </w:r>
      <w:r w:rsidRPr="008F4BDF">
        <w:t xml:space="preserve"> cultivars.</w:t>
      </w:r>
    </w:p>
    <w:p w:rsidR="009B52B3" w:rsidRPr="00272E09" w:rsidRDefault="009B52B3" w:rsidP="009B52B3"/>
    <w:p w:rsidR="009B52B3" w:rsidRPr="00272E09" w:rsidRDefault="002D79FB" w:rsidP="009B52B3">
      <w:r>
        <w:t>The FSANZ Board has</w:t>
      </w:r>
      <w:r w:rsidR="009B52B3" w:rsidRPr="00272E09">
        <w:t xml:space="preserve"> approve</w:t>
      </w:r>
      <w:r>
        <w:t>d</w:t>
      </w:r>
      <w:r w:rsidR="009B52B3" w:rsidRPr="00272E09">
        <w:t xml:space="preserve"> the draft variation to Standard 1.5.2 to include food deri</w:t>
      </w:r>
      <w:r w:rsidR="00593441" w:rsidRPr="00272E09">
        <w:t>ve</w:t>
      </w:r>
      <w:r w:rsidR="00CF15C9" w:rsidRPr="00272E09">
        <w:t xml:space="preserve">d from </w:t>
      </w:r>
      <w:r w:rsidR="009533B1">
        <w:t>herbicide-tolerant cotton line DAS-81910-7</w:t>
      </w:r>
      <w:r w:rsidR="007B629E">
        <w:t xml:space="preserve"> in the Schedule.</w:t>
      </w:r>
    </w:p>
    <w:p w:rsidR="00C836FF" w:rsidRPr="00272E09" w:rsidRDefault="00C836FF" w:rsidP="009B52B3">
      <w:r w:rsidRPr="00272E09">
        <w:br w:type="page"/>
      </w:r>
    </w:p>
    <w:p w:rsidR="00AF397D" w:rsidRPr="00272E09" w:rsidRDefault="00E138A9" w:rsidP="00AF397D">
      <w:pPr>
        <w:pStyle w:val="Heading1"/>
      </w:pPr>
      <w:bookmarkStart w:id="7" w:name="_Toc388276733"/>
      <w:r w:rsidRPr="00272E09">
        <w:lastRenderedPageBreak/>
        <w:t>1</w:t>
      </w:r>
      <w:r w:rsidR="00AC428E" w:rsidRPr="00272E09">
        <w:tab/>
      </w:r>
      <w:r w:rsidR="00AF397D" w:rsidRPr="00272E09">
        <w:t>Introduction</w:t>
      </w:r>
      <w:bookmarkEnd w:id="7"/>
    </w:p>
    <w:p w:rsidR="00AF397D" w:rsidRPr="00272E09" w:rsidRDefault="00E138A9" w:rsidP="00AF397D">
      <w:pPr>
        <w:pStyle w:val="Heading2"/>
      </w:pPr>
      <w:bookmarkStart w:id="8" w:name="_Toc388276734"/>
      <w:r w:rsidRPr="00272E09">
        <w:t>1</w:t>
      </w:r>
      <w:r w:rsidR="00AF397D" w:rsidRPr="00272E09">
        <w:t>.1</w:t>
      </w:r>
      <w:r w:rsidR="00AF397D" w:rsidRPr="00272E09">
        <w:tab/>
        <w:t>The Applicant</w:t>
      </w:r>
      <w:bookmarkEnd w:id="8"/>
      <w:r w:rsidR="00AF397D" w:rsidRPr="00272E09">
        <w:t xml:space="preserve"> </w:t>
      </w:r>
    </w:p>
    <w:p w:rsidR="009C5D87" w:rsidRPr="001D71D0" w:rsidRDefault="009C5D87" w:rsidP="009C5D87">
      <w:pPr>
        <w:rPr>
          <w:color w:val="000000" w:themeColor="text1"/>
          <w:lang w:bidi="ar-SA"/>
        </w:rPr>
      </w:pPr>
      <w:r w:rsidRPr="001D71D0">
        <w:rPr>
          <w:color w:val="000000" w:themeColor="text1"/>
          <w:lang w:bidi="ar-SA"/>
        </w:rPr>
        <w:t>Dow AgroSciences Australia Pty Ltd is a wholly</w:t>
      </w:r>
      <w:r w:rsidR="002D79FB">
        <w:rPr>
          <w:color w:val="000000" w:themeColor="text1"/>
          <w:lang w:bidi="ar-SA"/>
        </w:rPr>
        <w:t>-</w:t>
      </w:r>
      <w:r w:rsidRPr="001D71D0">
        <w:rPr>
          <w:color w:val="000000" w:themeColor="text1"/>
          <w:lang w:bidi="ar-SA"/>
        </w:rPr>
        <w:t>owned subsidiary of the Dow Chemical Company and is a technology provider to the agricultural and food industries.</w:t>
      </w:r>
    </w:p>
    <w:p w:rsidR="00AF397D" w:rsidRPr="001D71D0" w:rsidRDefault="00E138A9" w:rsidP="006D0C46">
      <w:pPr>
        <w:pStyle w:val="Heading2"/>
        <w:rPr>
          <w:color w:val="000000" w:themeColor="text1"/>
        </w:rPr>
      </w:pPr>
      <w:bookmarkStart w:id="9" w:name="_Toc388276735"/>
      <w:r w:rsidRPr="001D71D0">
        <w:rPr>
          <w:color w:val="000000" w:themeColor="text1"/>
        </w:rPr>
        <w:t>1</w:t>
      </w:r>
      <w:r w:rsidR="00AF397D" w:rsidRPr="001D71D0">
        <w:rPr>
          <w:color w:val="000000" w:themeColor="text1"/>
        </w:rPr>
        <w:t>.2</w:t>
      </w:r>
      <w:r w:rsidR="00AF397D" w:rsidRPr="001D71D0">
        <w:rPr>
          <w:color w:val="000000" w:themeColor="text1"/>
        </w:rPr>
        <w:tab/>
        <w:t>The Application</w:t>
      </w:r>
      <w:bookmarkEnd w:id="9"/>
    </w:p>
    <w:p w:rsidR="0078733D" w:rsidRDefault="0078733D" w:rsidP="0078733D">
      <w:pPr>
        <w:rPr>
          <w:color w:val="000000" w:themeColor="text1"/>
        </w:rPr>
      </w:pPr>
      <w:r>
        <w:rPr>
          <w:color w:val="000000" w:themeColor="text1"/>
        </w:rPr>
        <w:t>Application A1094</w:t>
      </w:r>
      <w:r w:rsidRPr="00B5032F">
        <w:rPr>
          <w:color w:val="000000" w:themeColor="text1"/>
        </w:rPr>
        <w:t xml:space="preserve"> was submitted by </w:t>
      </w:r>
      <w:r>
        <w:rPr>
          <w:color w:val="000000" w:themeColor="text1"/>
        </w:rPr>
        <w:t xml:space="preserve">Dow AgroSciences Australia Ltd </w:t>
      </w:r>
      <w:r>
        <w:rPr>
          <w:rFonts w:cs="Arial"/>
          <w:color w:val="000000" w:themeColor="text1"/>
        </w:rPr>
        <w:t>on 15 November</w:t>
      </w:r>
      <w:r w:rsidRPr="00B5032F">
        <w:rPr>
          <w:rFonts w:cs="Arial"/>
          <w:color w:val="000000" w:themeColor="text1"/>
        </w:rPr>
        <w:t xml:space="preserve"> 2013. </w:t>
      </w:r>
      <w:r w:rsidRPr="00B5032F">
        <w:rPr>
          <w:color w:val="000000" w:themeColor="text1"/>
        </w:rPr>
        <w:t>It sought approval fo</w:t>
      </w:r>
      <w:r>
        <w:rPr>
          <w:color w:val="000000" w:themeColor="text1"/>
        </w:rPr>
        <w:t xml:space="preserve">r food derived from </w:t>
      </w:r>
      <w:r>
        <w:t xml:space="preserve">herbicide-tolerant </w:t>
      </w:r>
      <w:r>
        <w:rPr>
          <w:color w:val="000000" w:themeColor="text1"/>
        </w:rPr>
        <w:t>cotton line DAS-81910-7</w:t>
      </w:r>
      <w:r w:rsidRPr="00B5032F">
        <w:rPr>
          <w:color w:val="000000" w:themeColor="text1"/>
        </w:rPr>
        <w:t xml:space="preserve"> </w:t>
      </w:r>
      <w:r>
        <w:t xml:space="preserve">(also referred to as cotton line 81910) </w:t>
      </w:r>
      <w:r w:rsidRPr="00B5032F">
        <w:rPr>
          <w:color w:val="000000" w:themeColor="text1"/>
        </w:rPr>
        <w:t>under Standard 1.5.2 – Food produced using Gene Technology.</w:t>
      </w:r>
    </w:p>
    <w:p w:rsidR="0078733D" w:rsidRDefault="0078733D" w:rsidP="0078733D">
      <w:pPr>
        <w:rPr>
          <w:color w:val="000000" w:themeColor="text1"/>
        </w:rPr>
      </w:pPr>
    </w:p>
    <w:p w:rsidR="0078733D" w:rsidRDefault="0078733D" w:rsidP="0078733D">
      <w:pPr>
        <w:rPr>
          <w:rFonts w:eastAsia="Batang" w:cs="Arial"/>
          <w:color w:val="000000" w:themeColor="text1"/>
        </w:rPr>
      </w:pPr>
      <w:r>
        <w:rPr>
          <w:rFonts w:cs="Arial"/>
          <w:color w:val="000000" w:themeColor="text1"/>
        </w:rPr>
        <w:t>Cotton line 81910</w:t>
      </w:r>
      <w:r w:rsidRPr="000B4425">
        <w:rPr>
          <w:rFonts w:cs="Arial"/>
          <w:color w:val="000000" w:themeColor="text1"/>
        </w:rPr>
        <w:t xml:space="preserve"> </w:t>
      </w:r>
      <w:r w:rsidRPr="00DB4599">
        <w:rPr>
          <w:rFonts w:cs="Arial"/>
          <w:color w:val="000000" w:themeColor="text1"/>
        </w:rPr>
        <w:t>is tolerant to two herbicides 2</w:t>
      </w:r>
      <w:proofErr w:type="gramStart"/>
      <w:r w:rsidRPr="00DB4599">
        <w:rPr>
          <w:rFonts w:cs="Arial"/>
          <w:color w:val="000000" w:themeColor="text1"/>
        </w:rPr>
        <w:t>,4</w:t>
      </w:r>
      <w:proofErr w:type="gramEnd"/>
      <w:r w:rsidRPr="00DB4599">
        <w:rPr>
          <w:rFonts w:cs="Arial"/>
          <w:color w:val="000000" w:themeColor="text1"/>
        </w:rPr>
        <w:t xml:space="preserve">-dichlorophenoxyacetic </w:t>
      </w:r>
      <w:r w:rsidRPr="00154E43">
        <w:rPr>
          <w:rFonts w:cs="Arial"/>
          <w:color w:val="000000" w:themeColor="text1"/>
        </w:rPr>
        <w:t>acid (2,4-D), and glufosinate ammonium. Tolerance to 2</w:t>
      </w:r>
      <w:proofErr w:type="gramStart"/>
      <w:r w:rsidRPr="00154E43">
        <w:rPr>
          <w:rFonts w:cs="Arial"/>
          <w:color w:val="000000" w:themeColor="text1"/>
        </w:rPr>
        <w:t>,4</w:t>
      </w:r>
      <w:proofErr w:type="gramEnd"/>
      <w:r w:rsidRPr="00154E43">
        <w:rPr>
          <w:rFonts w:cs="Arial"/>
          <w:color w:val="000000" w:themeColor="text1"/>
        </w:rPr>
        <w:t xml:space="preserve">-D is achieved through expression of the enzyme aryloxyalkanoatedioxygenase-12 (AAD-12) encoded by the </w:t>
      </w:r>
      <w:r w:rsidRPr="00154E43">
        <w:rPr>
          <w:rFonts w:cs="Arial"/>
          <w:i/>
          <w:iCs/>
          <w:color w:val="000000" w:themeColor="text1"/>
        </w:rPr>
        <w:t xml:space="preserve">aad-12 </w:t>
      </w:r>
      <w:r w:rsidRPr="00154E43">
        <w:rPr>
          <w:rFonts w:cs="Arial"/>
          <w:color w:val="000000" w:themeColor="text1"/>
        </w:rPr>
        <w:t xml:space="preserve">gene derived from the soil bacterium </w:t>
      </w:r>
      <w:r w:rsidRPr="00154E43">
        <w:rPr>
          <w:rFonts w:cs="Arial"/>
          <w:i/>
          <w:iCs/>
          <w:color w:val="000000" w:themeColor="text1"/>
        </w:rPr>
        <w:t xml:space="preserve">Delftia acidovorans. </w:t>
      </w:r>
      <w:r w:rsidRPr="00154E43">
        <w:rPr>
          <w:rFonts w:eastAsia="Batang" w:cs="Arial"/>
          <w:color w:val="000000" w:themeColor="text1"/>
        </w:rPr>
        <w:t xml:space="preserve">Tolerance to glufosinate ammonium is achieved through expression of the enzyme </w:t>
      </w:r>
      <w:r w:rsidRPr="00154E43">
        <w:rPr>
          <w:rFonts w:cs="Arial"/>
          <w:iCs/>
          <w:color w:val="000000" w:themeColor="text1"/>
        </w:rPr>
        <w:t>phosphinothricin acetyltransferase (PAT)</w:t>
      </w:r>
      <w:r w:rsidRPr="00154E43">
        <w:rPr>
          <w:rFonts w:eastAsia="Batang" w:cs="Arial"/>
          <w:color w:val="000000" w:themeColor="text1"/>
        </w:rPr>
        <w:t xml:space="preserve"> encoded by the </w:t>
      </w:r>
      <w:r w:rsidRPr="00154E43">
        <w:rPr>
          <w:rFonts w:eastAsia="Batang" w:cs="Arial"/>
          <w:i/>
          <w:color w:val="000000" w:themeColor="text1"/>
        </w:rPr>
        <w:t>pat</w:t>
      </w:r>
      <w:r w:rsidRPr="00154E43">
        <w:rPr>
          <w:rFonts w:eastAsia="Batang" w:cs="Arial"/>
          <w:color w:val="000000" w:themeColor="text1"/>
        </w:rPr>
        <w:t xml:space="preserve"> gene derived from another soil bacterium </w:t>
      </w:r>
      <w:r w:rsidRPr="00154E43">
        <w:rPr>
          <w:rFonts w:eastAsia="Batang" w:cs="Arial"/>
          <w:i/>
          <w:color w:val="000000" w:themeColor="text1"/>
        </w:rPr>
        <w:t>Streptomyces viridochromogenes</w:t>
      </w:r>
      <w:r w:rsidRPr="00154E43">
        <w:rPr>
          <w:rFonts w:eastAsia="Batang" w:cs="Arial"/>
          <w:color w:val="000000" w:themeColor="text1"/>
        </w:rPr>
        <w:t>.</w:t>
      </w:r>
    </w:p>
    <w:p w:rsidR="00AF397D" w:rsidRPr="001D71D0" w:rsidRDefault="00E138A9" w:rsidP="00AF397D">
      <w:pPr>
        <w:pStyle w:val="Heading2"/>
        <w:rPr>
          <w:color w:val="000000" w:themeColor="text1"/>
        </w:rPr>
      </w:pPr>
      <w:bookmarkStart w:id="10" w:name="_Toc388276736"/>
      <w:r w:rsidRPr="001D71D0">
        <w:rPr>
          <w:color w:val="000000" w:themeColor="text1"/>
        </w:rPr>
        <w:t>1</w:t>
      </w:r>
      <w:r w:rsidR="00AF397D" w:rsidRPr="001D71D0">
        <w:rPr>
          <w:color w:val="000000" w:themeColor="text1"/>
        </w:rPr>
        <w:t>.3</w:t>
      </w:r>
      <w:r w:rsidR="00AF397D" w:rsidRPr="001D71D0">
        <w:rPr>
          <w:color w:val="000000" w:themeColor="text1"/>
        </w:rPr>
        <w:tab/>
        <w:t>The current Standard</w:t>
      </w:r>
      <w:bookmarkEnd w:id="10"/>
    </w:p>
    <w:p w:rsidR="009B52B3" w:rsidRPr="001D71D0" w:rsidRDefault="009B52B3" w:rsidP="009B52B3">
      <w:pPr>
        <w:rPr>
          <w:color w:val="000000" w:themeColor="text1"/>
        </w:rPr>
      </w:pPr>
      <w:r w:rsidRPr="001D71D0">
        <w:rPr>
          <w:color w:val="000000" w:themeColor="text1"/>
        </w:rPr>
        <w:t>Pre-market approval is necessary before food derived from any genetically modified (GM) line may enter the Australian and New Zealand food supply. Approval of GM foods under Standard 1.5.2 is contingent on completion of a comprehensive pre-market safety assessment. Foods that have been assessed under the Standard, if approved, are listed in the Schedule to the Standard.</w:t>
      </w:r>
    </w:p>
    <w:p w:rsidR="009B52B3" w:rsidRPr="001D71D0" w:rsidRDefault="009B52B3" w:rsidP="009B52B3">
      <w:pPr>
        <w:rPr>
          <w:color w:val="000000" w:themeColor="text1"/>
        </w:rPr>
      </w:pPr>
    </w:p>
    <w:p w:rsidR="009B52B3" w:rsidRPr="001D71D0" w:rsidRDefault="009B52B3" w:rsidP="009B52B3">
      <w:pPr>
        <w:ind w:right="-330"/>
        <w:rPr>
          <w:color w:val="000000" w:themeColor="text1"/>
        </w:rPr>
      </w:pPr>
      <w:r w:rsidRPr="001D71D0">
        <w:rPr>
          <w:color w:val="000000" w:themeColor="text1"/>
        </w:rPr>
        <w:t>Standard 1.5.2 contains specific labelling provisions for approved GM foods. GM foods and ingredients (including food additives and processing aids from GM sources) must be identified on labels with the words ‘genetical</w:t>
      </w:r>
      <w:r w:rsidR="00593441" w:rsidRPr="001D71D0">
        <w:rPr>
          <w:color w:val="000000" w:themeColor="text1"/>
        </w:rPr>
        <w:t xml:space="preserve">ly modified’, if novel DNA </w:t>
      </w:r>
      <w:r w:rsidRPr="001D71D0">
        <w:rPr>
          <w:color w:val="000000" w:themeColor="text1"/>
        </w:rPr>
        <w:t>or novel protein from an approved GM variety is present in the final food, or the food has altered characteristics. In the latter case, the Standard also allows for additional labelling about the nature of the altered characteristics.</w:t>
      </w:r>
    </w:p>
    <w:p w:rsidR="00AF397D" w:rsidRPr="001D71D0" w:rsidRDefault="00E138A9" w:rsidP="00AF397D">
      <w:pPr>
        <w:pStyle w:val="Heading2"/>
        <w:rPr>
          <w:color w:val="000000" w:themeColor="text1"/>
        </w:rPr>
      </w:pPr>
      <w:bookmarkStart w:id="11" w:name="_Toc388276737"/>
      <w:r w:rsidRPr="001D71D0">
        <w:rPr>
          <w:color w:val="000000" w:themeColor="text1"/>
        </w:rPr>
        <w:t>1</w:t>
      </w:r>
      <w:r w:rsidR="003428FC" w:rsidRPr="001D71D0">
        <w:rPr>
          <w:color w:val="000000" w:themeColor="text1"/>
        </w:rPr>
        <w:t>.</w:t>
      </w:r>
      <w:r w:rsidR="00AF397D" w:rsidRPr="001D71D0">
        <w:rPr>
          <w:color w:val="000000" w:themeColor="text1"/>
        </w:rPr>
        <w:t>4</w:t>
      </w:r>
      <w:r w:rsidR="00AF397D" w:rsidRPr="001D71D0">
        <w:rPr>
          <w:color w:val="000000" w:themeColor="text1"/>
        </w:rPr>
        <w:tab/>
      </w:r>
      <w:bookmarkStart w:id="12" w:name="_Toc175381432"/>
      <w:r w:rsidR="00AF397D" w:rsidRPr="001D71D0">
        <w:rPr>
          <w:color w:val="000000" w:themeColor="text1"/>
        </w:rPr>
        <w:t xml:space="preserve">Reasons for accepting the </w:t>
      </w:r>
      <w:r w:rsidR="00AF397D" w:rsidRPr="001D71D0">
        <w:rPr>
          <w:color w:val="000000" w:themeColor="text1"/>
          <w:u w:color="FFFF00"/>
        </w:rPr>
        <w:t>Application</w:t>
      </w:r>
      <w:bookmarkEnd w:id="11"/>
      <w:r w:rsidR="00AF397D" w:rsidRPr="001D71D0">
        <w:rPr>
          <w:color w:val="000000" w:themeColor="text1"/>
        </w:rPr>
        <w:t xml:space="preserve"> </w:t>
      </w:r>
    </w:p>
    <w:p w:rsidR="00AF397D" w:rsidRPr="001D71D0" w:rsidRDefault="00AF397D" w:rsidP="00AF397D">
      <w:pPr>
        <w:rPr>
          <w:color w:val="000000" w:themeColor="text1"/>
        </w:rPr>
      </w:pPr>
      <w:r w:rsidRPr="001D71D0">
        <w:rPr>
          <w:color w:val="000000" w:themeColor="text1"/>
        </w:rPr>
        <w:t xml:space="preserve">The Application was accepted for assessment </w:t>
      </w:r>
      <w:r w:rsidR="001D7D14">
        <w:rPr>
          <w:color w:val="000000" w:themeColor="text1"/>
        </w:rPr>
        <w:t>because</w:t>
      </w:r>
      <w:r w:rsidRPr="001D71D0">
        <w:rPr>
          <w:color w:val="000000" w:themeColor="text1"/>
        </w:rPr>
        <w:t>:</w:t>
      </w:r>
    </w:p>
    <w:p w:rsidR="00AF397D" w:rsidRPr="001D71D0" w:rsidRDefault="00AF397D" w:rsidP="00AF397D">
      <w:pPr>
        <w:rPr>
          <w:color w:val="000000" w:themeColor="text1"/>
        </w:rPr>
      </w:pPr>
    </w:p>
    <w:bookmarkEnd w:id="12"/>
    <w:p w:rsidR="009B52B3" w:rsidRPr="001D71D0" w:rsidRDefault="009B52B3" w:rsidP="009B52B3">
      <w:pPr>
        <w:pStyle w:val="FSBullet"/>
        <w:rPr>
          <w:color w:val="000000" w:themeColor="text1"/>
        </w:rPr>
      </w:pPr>
      <w:r w:rsidRPr="001D71D0">
        <w:rPr>
          <w:color w:val="000000" w:themeColor="text1"/>
        </w:rPr>
        <w:t>it complied with the procedural requirements under subsection 22(2)</w:t>
      </w:r>
      <w:r w:rsidR="00C31B9D">
        <w:rPr>
          <w:color w:val="000000" w:themeColor="text1"/>
        </w:rPr>
        <w:t xml:space="preserve"> of the FSANZ Act</w:t>
      </w:r>
    </w:p>
    <w:p w:rsidR="009B52B3" w:rsidRPr="001D71D0" w:rsidRDefault="009B52B3" w:rsidP="009B52B3">
      <w:pPr>
        <w:pStyle w:val="FSBullet"/>
        <w:rPr>
          <w:color w:val="000000" w:themeColor="text1"/>
        </w:rPr>
      </w:pPr>
      <w:r w:rsidRPr="001D71D0">
        <w:rPr>
          <w:color w:val="000000" w:themeColor="text1"/>
        </w:rPr>
        <w:t>it related to a matter that warranted the variati</w:t>
      </w:r>
      <w:r w:rsidR="004673BE" w:rsidRPr="001D71D0">
        <w:rPr>
          <w:color w:val="000000" w:themeColor="text1"/>
        </w:rPr>
        <w:t>on of a food regulatory measure</w:t>
      </w:r>
    </w:p>
    <w:p w:rsidR="004673BE" w:rsidRPr="001D71D0" w:rsidRDefault="004673BE" w:rsidP="00AD2E76">
      <w:pPr>
        <w:pStyle w:val="FSBullet1"/>
        <w:numPr>
          <w:ilvl w:val="0"/>
          <w:numId w:val="6"/>
        </w:numPr>
        <w:ind w:left="567" w:hanging="567"/>
        <w:rPr>
          <w:color w:val="000000" w:themeColor="text1"/>
        </w:rPr>
      </w:pPr>
      <w:r w:rsidRPr="001D71D0">
        <w:rPr>
          <w:color w:val="000000" w:themeColor="text1"/>
        </w:rPr>
        <w:t xml:space="preserve">it was not so similar to a previous application for the variation of a food regulatory </w:t>
      </w:r>
    </w:p>
    <w:p w:rsidR="004673BE" w:rsidRPr="001D71D0" w:rsidRDefault="004673BE" w:rsidP="001D71D0">
      <w:pPr>
        <w:pStyle w:val="FSBullet1"/>
        <w:numPr>
          <w:ilvl w:val="0"/>
          <w:numId w:val="0"/>
        </w:numPr>
        <w:ind w:left="567"/>
        <w:rPr>
          <w:color w:val="000000" w:themeColor="text1"/>
        </w:rPr>
      </w:pPr>
      <w:proofErr w:type="gramStart"/>
      <w:r w:rsidRPr="001D71D0">
        <w:rPr>
          <w:color w:val="000000" w:themeColor="text1"/>
        </w:rPr>
        <w:t>measure</w:t>
      </w:r>
      <w:proofErr w:type="gramEnd"/>
      <w:r w:rsidRPr="001D71D0">
        <w:rPr>
          <w:color w:val="000000" w:themeColor="text1"/>
        </w:rPr>
        <w:t xml:space="preserve"> that it ought to be rejected</w:t>
      </w:r>
      <w:r w:rsidR="00451E6D" w:rsidRPr="001D71D0">
        <w:rPr>
          <w:color w:val="000000" w:themeColor="text1"/>
        </w:rPr>
        <w:t>.</w:t>
      </w:r>
    </w:p>
    <w:p w:rsidR="00AF397D" w:rsidRPr="00BD0B3A" w:rsidRDefault="00E138A9" w:rsidP="006C2DDF">
      <w:pPr>
        <w:pStyle w:val="Heading2"/>
      </w:pPr>
      <w:bookmarkStart w:id="13" w:name="_Toc388276738"/>
      <w:r w:rsidRPr="00BD0B3A">
        <w:t>1</w:t>
      </w:r>
      <w:r w:rsidR="00AF397D" w:rsidRPr="00BD0B3A">
        <w:t>.</w:t>
      </w:r>
      <w:r w:rsidR="003814F0" w:rsidRPr="00BD0B3A">
        <w:t>5</w:t>
      </w:r>
      <w:r w:rsidR="00AF397D" w:rsidRPr="00BD0B3A">
        <w:tab/>
        <w:t>Procedure for assessment</w:t>
      </w:r>
      <w:bookmarkEnd w:id="13"/>
    </w:p>
    <w:p w:rsidR="00AF397D" w:rsidRPr="00BD0B3A" w:rsidRDefault="00AF397D" w:rsidP="00AF397D">
      <w:pPr>
        <w:rPr>
          <w:color w:val="000000" w:themeColor="text1"/>
        </w:rPr>
      </w:pPr>
      <w:r w:rsidRPr="00BD0B3A">
        <w:rPr>
          <w:color w:val="000000" w:themeColor="text1"/>
        </w:rPr>
        <w:t>The Application was assessed under the General</w:t>
      </w:r>
      <w:r w:rsidR="000000FE" w:rsidRPr="00BD0B3A">
        <w:rPr>
          <w:color w:val="000000" w:themeColor="text1"/>
        </w:rPr>
        <w:t xml:space="preserve"> </w:t>
      </w:r>
      <w:r w:rsidRPr="00BD0B3A">
        <w:rPr>
          <w:color w:val="000000" w:themeColor="text1"/>
        </w:rPr>
        <w:t>Procedure.</w:t>
      </w:r>
    </w:p>
    <w:p w:rsidR="00422EC9" w:rsidRPr="00BD0B3A" w:rsidRDefault="00E138A9" w:rsidP="00422EC9">
      <w:pPr>
        <w:pStyle w:val="Heading2"/>
        <w:rPr>
          <w:color w:val="000000" w:themeColor="text1"/>
        </w:rPr>
      </w:pPr>
      <w:bookmarkStart w:id="14" w:name="_Toc388276739"/>
      <w:r w:rsidRPr="00BD0B3A">
        <w:rPr>
          <w:color w:val="000000" w:themeColor="text1"/>
        </w:rPr>
        <w:t>1</w:t>
      </w:r>
      <w:r w:rsidR="00422EC9" w:rsidRPr="00BD0B3A">
        <w:rPr>
          <w:color w:val="000000" w:themeColor="text1"/>
        </w:rPr>
        <w:t>.6</w:t>
      </w:r>
      <w:r w:rsidR="00422EC9" w:rsidRPr="00BD0B3A">
        <w:rPr>
          <w:color w:val="000000" w:themeColor="text1"/>
        </w:rPr>
        <w:tab/>
        <w:t>Decision</w:t>
      </w:r>
      <w:bookmarkEnd w:id="14"/>
    </w:p>
    <w:p w:rsidR="00737AC5" w:rsidRDefault="000000FE" w:rsidP="000000FE">
      <w:pPr>
        <w:rPr>
          <w:rFonts w:cs="Arial"/>
          <w:color w:val="000000" w:themeColor="text1"/>
        </w:rPr>
      </w:pPr>
      <w:bookmarkStart w:id="15" w:name="_Toc11735630"/>
      <w:bookmarkStart w:id="16" w:name="_Toc29883114"/>
      <w:bookmarkStart w:id="17" w:name="_Toc41906801"/>
      <w:bookmarkStart w:id="18" w:name="_Toc41907548"/>
      <w:bookmarkStart w:id="19" w:name="_Toc120358578"/>
      <w:bookmarkStart w:id="20" w:name="_Toc175381435"/>
      <w:bookmarkEnd w:id="2"/>
      <w:bookmarkEnd w:id="3"/>
      <w:bookmarkEnd w:id="4"/>
      <w:bookmarkEnd w:id="5"/>
      <w:bookmarkEnd w:id="6"/>
      <w:r w:rsidRPr="00BD0B3A">
        <w:rPr>
          <w:color w:val="000000" w:themeColor="text1"/>
        </w:rPr>
        <w:t>The draft variation to Standard 1.5.2, as proposed following assessment, was approved without change</w:t>
      </w:r>
      <w:r w:rsidRPr="00F810AD">
        <w:rPr>
          <w:color w:val="000000" w:themeColor="text1"/>
        </w:rPr>
        <w:t>.</w:t>
      </w:r>
      <w:r w:rsidR="00272E09" w:rsidRPr="00F810AD">
        <w:rPr>
          <w:color w:val="000000" w:themeColor="text1"/>
        </w:rPr>
        <w:t xml:space="preserve"> </w:t>
      </w:r>
      <w:r w:rsidR="00272E09" w:rsidRPr="00F810AD">
        <w:rPr>
          <w:rFonts w:cs="Arial"/>
          <w:color w:val="000000" w:themeColor="text1"/>
        </w:rPr>
        <w:t xml:space="preserve">The variation takes effect </w:t>
      </w:r>
      <w:r w:rsidR="00E03760" w:rsidRPr="00F810AD">
        <w:rPr>
          <w:rFonts w:cs="Arial"/>
          <w:color w:val="000000" w:themeColor="text1"/>
        </w:rPr>
        <w:t>in Australia on gazettal and in New Zealand 28 days after gazettal.</w:t>
      </w:r>
      <w:r w:rsidR="00737AC5">
        <w:rPr>
          <w:rFonts w:cs="Arial"/>
          <w:color w:val="000000" w:themeColor="text1"/>
        </w:rPr>
        <w:br w:type="page"/>
      </w:r>
    </w:p>
    <w:p w:rsidR="000000FE" w:rsidRPr="00BD0B3A" w:rsidRDefault="000000FE" w:rsidP="000000FE">
      <w:pPr>
        <w:rPr>
          <w:color w:val="000000" w:themeColor="text1"/>
        </w:rPr>
      </w:pPr>
      <w:r w:rsidRPr="00BD0B3A">
        <w:rPr>
          <w:color w:val="000000" w:themeColor="text1"/>
        </w:rPr>
        <w:lastRenderedPageBreak/>
        <w:t xml:space="preserve">The approved </w:t>
      </w:r>
      <w:r w:rsidR="00E2362E" w:rsidRPr="00BD0B3A">
        <w:rPr>
          <w:color w:val="000000" w:themeColor="text1"/>
        </w:rPr>
        <w:t xml:space="preserve">draft </w:t>
      </w:r>
      <w:r w:rsidRPr="00BD0B3A">
        <w:rPr>
          <w:color w:val="000000" w:themeColor="text1"/>
        </w:rPr>
        <w:t xml:space="preserve">variation to the Standard is at Attachment A. </w:t>
      </w:r>
      <w:r w:rsidR="00E2362E" w:rsidRPr="00BD0B3A">
        <w:rPr>
          <w:color w:val="000000" w:themeColor="text1"/>
        </w:rPr>
        <w:t xml:space="preserve">The explanatory statement is at Attachment B. An explanatory statement is required to accompany an instrument if it is lodged on the Federal Register of Legislative Instruments. </w:t>
      </w:r>
    </w:p>
    <w:p w:rsidR="0012388D" w:rsidRPr="00BD0B3A" w:rsidRDefault="00E138A9" w:rsidP="000000FE">
      <w:pPr>
        <w:pStyle w:val="Heading1"/>
        <w:rPr>
          <w:color w:val="000000" w:themeColor="text1"/>
        </w:rPr>
      </w:pPr>
      <w:bookmarkStart w:id="21" w:name="_Toc388276740"/>
      <w:r w:rsidRPr="00BD0B3A">
        <w:rPr>
          <w:color w:val="000000" w:themeColor="text1"/>
        </w:rPr>
        <w:t>2</w:t>
      </w:r>
      <w:r w:rsidR="00AC428E" w:rsidRPr="00BD0B3A">
        <w:rPr>
          <w:color w:val="000000" w:themeColor="text1"/>
        </w:rPr>
        <w:tab/>
      </w:r>
      <w:r w:rsidR="00AF387F" w:rsidRPr="00BD0B3A">
        <w:rPr>
          <w:color w:val="000000" w:themeColor="text1"/>
        </w:rPr>
        <w:t xml:space="preserve">Summary </w:t>
      </w:r>
      <w:r w:rsidR="00AF387F" w:rsidRPr="00BD0B3A">
        <w:rPr>
          <w:color w:val="000000" w:themeColor="text1"/>
          <w:u w:color="FFFF00"/>
        </w:rPr>
        <w:t>of</w:t>
      </w:r>
      <w:r w:rsidR="00AF387F" w:rsidRPr="00BD0B3A">
        <w:rPr>
          <w:color w:val="000000" w:themeColor="text1"/>
        </w:rPr>
        <w:t xml:space="preserve"> the findings</w:t>
      </w:r>
      <w:bookmarkEnd w:id="21"/>
    </w:p>
    <w:p w:rsidR="00DB5F1D" w:rsidRPr="00BD0B3A" w:rsidRDefault="00E138A9" w:rsidP="00381E07">
      <w:pPr>
        <w:pStyle w:val="Heading2"/>
        <w:rPr>
          <w:color w:val="000000" w:themeColor="text1"/>
        </w:rPr>
      </w:pPr>
      <w:bookmarkStart w:id="22" w:name="_Toc388276741"/>
      <w:bookmarkStart w:id="23" w:name="_Toc120358583"/>
      <w:bookmarkStart w:id="24" w:name="_Toc175381440"/>
      <w:r w:rsidRPr="00BD0B3A">
        <w:rPr>
          <w:color w:val="000000" w:themeColor="text1"/>
        </w:rPr>
        <w:t>2</w:t>
      </w:r>
      <w:r w:rsidR="00AC428E" w:rsidRPr="00BD0B3A">
        <w:rPr>
          <w:color w:val="000000" w:themeColor="text1"/>
        </w:rPr>
        <w:t>.1</w:t>
      </w:r>
      <w:r w:rsidR="00AC428E" w:rsidRPr="00BD0B3A">
        <w:rPr>
          <w:color w:val="000000" w:themeColor="text1"/>
        </w:rPr>
        <w:tab/>
      </w:r>
      <w:r w:rsidR="00DB5F1D" w:rsidRPr="00BD0B3A">
        <w:rPr>
          <w:color w:val="000000" w:themeColor="text1"/>
        </w:rPr>
        <w:t>Summary of issues raised in submissions</w:t>
      </w:r>
      <w:bookmarkEnd w:id="22"/>
    </w:p>
    <w:p w:rsidR="00DB5F1D" w:rsidRPr="00954B4F" w:rsidRDefault="00F071E5" w:rsidP="00DB5F1D">
      <w:pPr>
        <w:pStyle w:val="Heading4"/>
        <w:rPr>
          <w:color w:val="000000" w:themeColor="text1"/>
        </w:rPr>
      </w:pPr>
      <w:r w:rsidRPr="00954B4F">
        <w:rPr>
          <w:color w:val="000000" w:themeColor="text1"/>
        </w:rPr>
        <w:t>2.1.1</w:t>
      </w:r>
      <w:r w:rsidR="00193D1A" w:rsidRPr="00954B4F">
        <w:rPr>
          <w:color w:val="000000" w:themeColor="text1"/>
        </w:rPr>
        <w:t>.</w:t>
      </w:r>
      <w:r w:rsidR="00DB5F1D" w:rsidRPr="00954B4F">
        <w:rPr>
          <w:color w:val="000000" w:themeColor="text1"/>
        </w:rPr>
        <w:tab/>
        <w:t>General issues</w:t>
      </w:r>
    </w:p>
    <w:p w:rsidR="00272E09" w:rsidRPr="00435A76" w:rsidRDefault="00272E09" w:rsidP="00272E09">
      <w:pPr>
        <w:rPr>
          <w:color w:val="000000" w:themeColor="text1"/>
        </w:rPr>
      </w:pPr>
      <w:r w:rsidRPr="00E45CB3">
        <w:rPr>
          <w:color w:val="000000" w:themeColor="text1"/>
        </w:rPr>
        <w:t xml:space="preserve">The FSANZ safety assessment considers only the safety of GM </w:t>
      </w:r>
      <w:r w:rsidR="00ED663C" w:rsidRPr="00E45CB3">
        <w:rPr>
          <w:color w:val="000000" w:themeColor="text1"/>
        </w:rPr>
        <w:t xml:space="preserve">food for human consumption. </w:t>
      </w:r>
      <w:r w:rsidR="00D21DDB">
        <w:rPr>
          <w:color w:val="000000" w:themeColor="text1"/>
        </w:rPr>
        <w:t>Twelve</w:t>
      </w:r>
      <w:r w:rsidR="00EA6FDE" w:rsidRPr="00E45CB3">
        <w:rPr>
          <w:color w:val="000000" w:themeColor="text1"/>
        </w:rPr>
        <w:t xml:space="preserve"> submissions were received. </w:t>
      </w:r>
      <w:r w:rsidRPr="00E45CB3">
        <w:rPr>
          <w:color w:val="000000" w:themeColor="text1"/>
        </w:rPr>
        <w:t xml:space="preserve">Issues to do with the growing of GM </w:t>
      </w:r>
      <w:proofErr w:type="gramStart"/>
      <w:r w:rsidRPr="00E45CB3">
        <w:rPr>
          <w:color w:val="000000" w:themeColor="text1"/>
        </w:rPr>
        <w:t>crops</w:t>
      </w:r>
      <w:proofErr w:type="gramEnd"/>
      <w:r w:rsidRPr="00E45CB3">
        <w:rPr>
          <w:color w:val="000000" w:themeColor="text1"/>
        </w:rPr>
        <w:t xml:space="preserve"> </w:t>
      </w:r>
      <w:r w:rsidRPr="00435A76">
        <w:rPr>
          <w:color w:val="000000" w:themeColor="text1"/>
        </w:rPr>
        <w:t>and any possible effects on the environment are considered in Australia by the Office of the Gene Technology Regulator, and in New Zealand by the Environmental Protection Authority.</w:t>
      </w:r>
    </w:p>
    <w:p w:rsidR="00272E09" w:rsidRPr="00435A76" w:rsidRDefault="00272E09" w:rsidP="00272E09">
      <w:pPr>
        <w:rPr>
          <w:color w:val="000000" w:themeColor="text1"/>
        </w:rPr>
      </w:pPr>
    </w:p>
    <w:p w:rsidR="00DB5F1D" w:rsidRPr="00435A76" w:rsidRDefault="007A4D1B" w:rsidP="00DB5F1D">
      <w:pPr>
        <w:rPr>
          <w:color w:val="000000" w:themeColor="text1"/>
          <w:szCs w:val="22"/>
        </w:rPr>
      </w:pPr>
      <w:r w:rsidRPr="00435A76">
        <w:rPr>
          <w:color w:val="000000" w:themeColor="text1"/>
          <w:szCs w:val="22"/>
        </w:rPr>
        <w:t>Responses to</w:t>
      </w:r>
      <w:r w:rsidR="002B541E" w:rsidRPr="00435A76">
        <w:rPr>
          <w:color w:val="000000" w:themeColor="text1"/>
          <w:szCs w:val="22"/>
        </w:rPr>
        <w:t xml:space="preserve"> </w:t>
      </w:r>
      <w:r w:rsidR="00F35DD5">
        <w:rPr>
          <w:color w:val="000000" w:themeColor="text1"/>
          <w:szCs w:val="22"/>
        </w:rPr>
        <w:t>nine</w:t>
      </w:r>
      <w:r w:rsidR="00DB5F1D" w:rsidRPr="00435A76">
        <w:rPr>
          <w:color w:val="000000" w:themeColor="text1"/>
          <w:szCs w:val="22"/>
        </w:rPr>
        <w:t xml:space="preserve"> general issues raised or implied, are provided in Table 1</w:t>
      </w:r>
      <w:r w:rsidR="00435A76" w:rsidRPr="00435A76">
        <w:rPr>
          <w:color w:val="000000" w:themeColor="text1"/>
          <w:szCs w:val="22"/>
        </w:rPr>
        <w:t>.</w:t>
      </w:r>
      <w:r w:rsidR="007F27A3">
        <w:rPr>
          <w:color w:val="000000" w:themeColor="text1"/>
          <w:szCs w:val="22"/>
        </w:rPr>
        <w:t xml:space="preserve"> Two minor typographical errors have been corrected in the SD1.</w:t>
      </w:r>
    </w:p>
    <w:p w:rsidR="00DB5F1D" w:rsidRPr="007140EF" w:rsidRDefault="00DB5F1D" w:rsidP="00DB5F1D">
      <w:pPr>
        <w:rPr>
          <w:color w:val="000000" w:themeColor="text1"/>
          <w:lang w:bidi="ar-SA"/>
        </w:rPr>
      </w:pPr>
    </w:p>
    <w:p w:rsidR="00DB5F1D" w:rsidRPr="003B0D85" w:rsidRDefault="00DB5F1D" w:rsidP="00DB5F1D">
      <w:pPr>
        <w:keepNext/>
        <w:rPr>
          <w:rFonts w:cs="Arial"/>
          <w:b/>
          <w:color w:val="000000" w:themeColor="text1"/>
        </w:rPr>
      </w:pPr>
      <w:r w:rsidRPr="003B0D85">
        <w:rPr>
          <w:rFonts w:cs="Arial"/>
          <w:b/>
          <w:color w:val="000000" w:themeColor="text1"/>
        </w:rPr>
        <w:t xml:space="preserve">Table 1: Summary of general issues </w:t>
      </w:r>
      <w:proofErr w:type="gramStart"/>
      <w:r w:rsidRPr="003B0D85">
        <w:rPr>
          <w:rFonts w:cs="Arial"/>
          <w:b/>
          <w:color w:val="000000" w:themeColor="text1"/>
        </w:rPr>
        <w:t>raised</w:t>
      </w:r>
      <w:proofErr w:type="gramEnd"/>
      <w:r w:rsidRPr="003B0D85">
        <w:rPr>
          <w:rFonts w:cs="Arial"/>
          <w:b/>
          <w:color w:val="000000" w:themeColor="text1"/>
        </w:rPr>
        <w:t xml:space="preserve"> in submissions</w:t>
      </w:r>
    </w:p>
    <w:p w:rsidR="00DB5F1D" w:rsidRPr="003B0D85" w:rsidRDefault="00DB5F1D" w:rsidP="00DB5F1D">
      <w:pPr>
        <w:keepNext/>
        <w:rPr>
          <w:rFonts w:cs="Arial"/>
          <w:b/>
          <w:color w:val="000000" w:themeColor="text1"/>
        </w:rPr>
      </w:pP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5165"/>
      </w:tblGrid>
      <w:tr w:rsidR="003B0D85" w:rsidRPr="003B0D85" w:rsidTr="003B0D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left w:val="single" w:sz="4" w:space="0" w:color="auto"/>
              <w:bottom w:val="single" w:sz="4" w:space="0" w:color="auto"/>
              <w:right w:val="single" w:sz="4" w:space="0" w:color="auto"/>
            </w:tcBorders>
          </w:tcPr>
          <w:p w:rsidR="00DB5F1D" w:rsidRPr="003B0D85" w:rsidRDefault="00DB5F1D" w:rsidP="00810A0B">
            <w:pPr>
              <w:keepNext/>
              <w:spacing w:after="240"/>
              <w:rPr>
                <w:color w:val="000000" w:themeColor="text1"/>
              </w:rPr>
            </w:pPr>
            <w:r w:rsidRPr="003B0D85">
              <w:rPr>
                <w:color w:val="000000" w:themeColor="text1"/>
              </w:rPr>
              <w:t>Issue</w:t>
            </w:r>
          </w:p>
        </w:tc>
        <w:tc>
          <w:tcPr>
            <w:tcW w:w="2268" w:type="dxa"/>
            <w:tcBorders>
              <w:top w:val="single" w:sz="4" w:space="0" w:color="auto"/>
              <w:left w:val="single" w:sz="4" w:space="0" w:color="auto"/>
              <w:bottom w:val="single" w:sz="4" w:space="0" w:color="auto"/>
              <w:right w:val="single" w:sz="4" w:space="0" w:color="auto"/>
            </w:tcBorders>
          </w:tcPr>
          <w:p w:rsidR="00DB5F1D" w:rsidRPr="003B0D85" w:rsidRDefault="00DB5F1D" w:rsidP="00810A0B">
            <w:pPr>
              <w:keepNext/>
              <w:spacing w:after="240"/>
              <w:cnfStyle w:val="100000000000" w:firstRow="1" w:lastRow="0" w:firstColumn="0" w:lastColumn="0" w:oddVBand="0" w:evenVBand="0" w:oddHBand="0" w:evenHBand="0" w:firstRowFirstColumn="0" w:firstRowLastColumn="0" w:lastRowFirstColumn="0" w:lastRowLastColumn="0"/>
              <w:rPr>
                <w:color w:val="000000" w:themeColor="text1"/>
              </w:rPr>
            </w:pPr>
            <w:r w:rsidRPr="003B0D85">
              <w:rPr>
                <w:color w:val="000000" w:themeColor="text1"/>
              </w:rPr>
              <w:t>Raised by</w:t>
            </w:r>
          </w:p>
        </w:tc>
        <w:tc>
          <w:tcPr>
            <w:tcW w:w="5165" w:type="dxa"/>
            <w:tcBorders>
              <w:top w:val="single" w:sz="4" w:space="0" w:color="auto"/>
              <w:left w:val="single" w:sz="4" w:space="0" w:color="auto"/>
              <w:bottom w:val="single" w:sz="4" w:space="0" w:color="auto"/>
              <w:right w:val="single" w:sz="4" w:space="0" w:color="auto"/>
            </w:tcBorders>
          </w:tcPr>
          <w:p w:rsidR="00DB5F1D" w:rsidRPr="003B0D85" w:rsidRDefault="00DB5F1D" w:rsidP="00810A0B">
            <w:pPr>
              <w:keepNext/>
              <w:spacing w:after="240"/>
              <w:cnfStyle w:val="100000000000" w:firstRow="1" w:lastRow="0" w:firstColumn="0" w:lastColumn="0" w:oddVBand="0" w:evenVBand="0" w:oddHBand="0" w:evenHBand="0" w:firstRowFirstColumn="0" w:firstRowLastColumn="0" w:lastRowFirstColumn="0" w:lastRowLastColumn="0"/>
              <w:rPr>
                <w:color w:val="000000" w:themeColor="text1"/>
              </w:rPr>
            </w:pPr>
            <w:r w:rsidRPr="003B0D85">
              <w:rPr>
                <w:color w:val="000000" w:themeColor="text1"/>
              </w:rPr>
              <w:t>FSANZ Response (including any amendments to drafting)</w:t>
            </w:r>
          </w:p>
        </w:tc>
      </w:tr>
      <w:tr w:rsidR="003B0D85" w:rsidRPr="003B0D85" w:rsidTr="003B0D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bottom w:val="single" w:sz="4" w:space="0" w:color="auto"/>
              <w:right w:val="single" w:sz="4" w:space="0" w:color="auto"/>
            </w:tcBorders>
          </w:tcPr>
          <w:p w:rsidR="00DB5F1D" w:rsidRPr="006C2DDF" w:rsidRDefault="00F76CB8" w:rsidP="006C2DDF">
            <w:pPr>
              <w:pStyle w:val="Table2"/>
            </w:pPr>
            <w:r w:rsidRPr="006C2DDF">
              <w:t xml:space="preserve">Concern with the safety of </w:t>
            </w:r>
            <w:r w:rsidR="00DB5F1D" w:rsidRPr="006C2DDF">
              <w:t>GM food</w:t>
            </w:r>
          </w:p>
          <w:p w:rsidR="00DB5F1D" w:rsidRPr="006C2DDF" w:rsidRDefault="00DB5F1D" w:rsidP="002D79FB">
            <w:pPr>
              <w:pStyle w:val="Table2"/>
            </w:pPr>
          </w:p>
        </w:tc>
        <w:tc>
          <w:tcPr>
            <w:tcW w:w="2268" w:type="dxa"/>
            <w:tcBorders>
              <w:top w:val="single" w:sz="4" w:space="0" w:color="auto"/>
              <w:left w:val="single" w:sz="4" w:space="0" w:color="auto"/>
              <w:bottom w:val="single" w:sz="4" w:space="0" w:color="auto"/>
              <w:right w:val="single" w:sz="4" w:space="0" w:color="auto"/>
            </w:tcBorders>
          </w:tcPr>
          <w:p w:rsidR="00B96C90" w:rsidRPr="00BA5D9C" w:rsidRDefault="00384393" w:rsidP="00737AC5">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BA5D9C">
              <w:rPr>
                <w:color w:val="000000" w:themeColor="text1"/>
              </w:rPr>
              <w:t>FOODwatch</w:t>
            </w:r>
          </w:p>
          <w:p w:rsidR="00DB5F1D" w:rsidRDefault="00BA5D9C" w:rsidP="00737AC5">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sidRPr="00BA5D9C">
              <w:rPr>
                <w:color w:val="000000" w:themeColor="text1"/>
              </w:rPr>
              <w:t>Physicians &amp; Scientists for Global Responsibility</w:t>
            </w:r>
            <w:r w:rsidR="00591A0E">
              <w:rPr>
                <w:color w:val="000000" w:themeColor="text1"/>
              </w:rPr>
              <w:t xml:space="preserve"> (PSGR)</w:t>
            </w:r>
          </w:p>
          <w:p w:rsidR="00011550" w:rsidRDefault="00011550" w:rsidP="00737AC5">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Nina Camffermann</w:t>
            </w:r>
          </w:p>
          <w:p w:rsidR="00A62B14" w:rsidRPr="00A62B14" w:rsidRDefault="00A62B14" w:rsidP="00737AC5">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A62B14">
              <w:rPr>
                <w:rFonts w:cs="Arial"/>
                <w:szCs w:val="18"/>
                <w:lang w:eastAsia="en-GB" w:bidi="ar-SA"/>
              </w:rPr>
              <w:t>Chris Schraa</w:t>
            </w:r>
          </w:p>
        </w:tc>
        <w:tc>
          <w:tcPr>
            <w:tcW w:w="5165" w:type="dxa"/>
            <w:tcBorders>
              <w:top w:val="single" w:sz="4" w:space="0" w:color="auto"/>
              <w:left w:val="single" w:sz="4" w:space="0" w:color="auto"/>
              <w:bottom w:val="single" w:sz="4" w:space="0" w:color="auto"/>
            </w:tcBorders>
          </w:tcPr>
          <w:p w:rsidR="00227C2D" w:rsidRPr="003B0D85" w:rsidRDefault="00227C2D" w:rsidP="006C2DDF">
            <w:pPr>
              <w:pStyle w:val="Table2"/>
              <w:cnfStyle w:val="000000100000" w:firstRow="0" w:lastRow="0" w:firstColumn="0" w:lastColumn="0" w:oddVBand="0" w:evenVBand="0" w:oddHBand="1" w:evenHBand="0" w:firstRowFirstColumn="0" w:firstRowLastColumn="0" w:lastRowFirstColumn="0" w:lastRowLastColumn="0"/>
            </w:pPr>
            <w:r w:rsidRPr="003B0D85">
              <w:t>The approach used by FSANZ to assess the safety of GM food is based on core principles developed almost 20 years ago and published as guidelines by the Codex Alimentarius Commission (Codex, 2003; Codex, 2004). Over time, the assessment protocol has been the</w:t>
            </w:r>
            <w:r w:rsidR="00B43B64" w:rsidRPr="003B0D85">
              <w:t xml:space="preserve"> subject of scientific scrutiny;</w:t>
            </w:r>
            <w:r w:rsidRPr="003B0D85">
              <w:t xml:space="preserve"> however it has proved to be a robust approach for whole food safety assessments. It is widely adopted and implemented around the world. While philosophical opposition to the technology remains, consumers can be confident that GM foods assessed under the protocol and approved for food use are as safe as their conventional counterparts. </w:t>
            </w:r>
          </w:p>
          <w:p w:rsidR="00227C2D" w:rsidRPr="003B0D85" w:rsidRDefault="00227C2D"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227C2D" w:rsidRDefault="00227C2D" w:rsidP="006C2DDF">
            <w:pPr>
              <w:pStyle w:val="Table2"/>
              <w:cnfStyle w:val="000000100000" w:firstRow="0" w:lastRow="0" w:firstColumn="0" w:lastColumn="0" w:oddVBand="0" w:evenVBand="0" w:oddHBand="1" w:evenHBand="0" w:firstRowFirstColumn="0" w:firstRowLastColumn="0" w:lastRowFirstColumn="0" w:lastRowLastColumn="0"/>
            </w:pPr>
            <w:r w:rsidRPr="003B0D85">
              <w:t>Studies cited as evidence of safety concerns with certain GM foods have been examined by FSANZ and other scientific experts around the world. The studies have been subject to significant scientific criticism and generally are not supported. Responses to several recent publications are available on the FSANZ website (</w:t>
            </w:r>
            <w:hyperlink r:id="rId17" w:history="1">
              <w:r w:rsidRPr="00924690">
                <w:rPr>
                  <w:rStyle w:val="Hyperlink"/>
                  <w:color w:val="0000FF"/>
                </w:rPr>
                <w:t>http://www.foodstandards.gov.au/consumer/gmfood/adverse/Pages/default.aspx</w:t>
              </w:r>
            </w:hyperlink>
            <w:r w:rsidRPr="003B0D85">
              <w:t xml:space="preserve"> ).</w:t>
            </w:r>
          </w:p>
          <w:p w:rsidR="00A62B14" w:rsidRDefault="00A62B14" w:rsidP="00561158">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p>
          <w:p w:rsidR="00A62B14" w:rsidRPr="00A62B14" w:rsidRDefault="00A62B14" w:rsidP="006C2DDF">
            <w:pPr>
              <w:pStyle w:val="Table2"/>
              <w:cnfStyle w:val="000000100000" w:firstRow="0" w:lastRow="0" w:firstColumn="0" w:lastColumn="0" w:oddVBand="0" w:evenVBand="0" w:oddHBand="1" w:evenHBand="0" w:firstRowFirstColumn="0" w:firstRowLastColumn="0" w:lastRowFirstColumn="0" w:lastRowLastColumn="0"/>
              <w:rPr>
                <w:highlight w:val="yellow"/>
              </w:rPr>
            </w:pPr>
            <w:r w:rsidRPr="00A62B14">
              <w:rPr>
                <w:lang w:val="en-AU"/>
              </w:rPr>
              <w:t>F</w:t>
            </w:r>
            <w:r w:rsidRPr="00A62B14">
              <w:rPr>
                <w:rStyle w:val="normalchar"/>
                <w:rFonts w:cs="Arial"/>
                <w:szCs w:val="18"/>
              </w:rPr>
              <w:t>or almost two decades, government regulatory agencies around the world have continued to monitor the safety of GM foods. The scientific evidence overwhelmingly confirms that there are no health and safety issues associated with consumption of GM foods.</w:t>
            </w:r>
          </w:p>
          <w:p w:rsidR="00DB5F1D" w:rsidRPr="003B0D85" w:rsidRDefault="00DB5F1D" w:rsidP="00227C2D">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9C5D87" w:rsidRPr="009C5D87"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C31B9D" w:rsidRPr="006C2DDF" w:rsidRDefault="00B43B64" w:rsidP="006C2DDF">
            <w:pPr>
              <w:pStyle w:val="Table2"/>
            </w:pPr>
            <w:r w:rsidRPr="006C2DDF">
              <w:t>Horizontal gene transfer to gut bacteria and safety of ingesting recombinant DNA</w:t>
            </w:r>
          </w:p>
        </w:tc>
        <w:tc>
          <w:tcPr>
            <w:tcW w:w="2268" w:type="dxa"/>
            <w:tcBorders>
              <w:left w:val="single" w:sz="4" w:space="0" w:color="auto"/>
              <w:right w:val="single" w:sz="4" w:space="0" w:color="auto"/>
            </w:tcBorders>
          </w:tcPr>
          <w:p w:rsidR="00B43B64" w:rsidRPr="004E0C9B" w:rsidRDefault="00591A0E" w:rsidP="00B341B7">
            <w:pPr>
              <w:pStyle w:val="Table2"/>
              <w:numPr>
                <w:ilvl w:val="0"/>
                <w:numId w:val="19"/>
              </w:numPr>
              <w:ind w:left="318" w:hanging="318"/>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PSGR</w:t>
            </w:r>
          </w:p>
        </w:tc>
        <w:tc>
          <w:tcPr>
            <w:tcW w:w="5165" w:type="dxa"/>
            <w:tcBorders>
              <w:left w:val="single" w:sz="4" w:space="0" w:color="auto"/>
            </w:tcBorders>
          </w:tcPr>
          <w:p w:rsidR="00B43B64" w:rsidRPr="00924690" w:rsidRDefault="00B43B64" w:rsidP="006C2DDF">
            <w:pPr>
              <w:pStyle w:val="Table2"/>
              <w:cnfStyle w:val="000000010000" w:firstRow="0" w:lastRow="0" w:firstColumn="0" w:lastColumn="0" w:oddVBand="0" w:evenVBand="0" w:oddHBand="0" w:evenHBand="1" w:firstRowFirstColumn="0" w:firstRowLastColumn="0" w:lastRowFirstColumn="0" w:lastRowLastColumn="0"/>
              <w:rPr>
                <w:color w:val="0000FF"/>
              </w:rPr>
            </w:pPr>
            <w:r w:rsidRPr="003B0D85">
              <w:t>There is no indication that novel genetic material in food will have an impact on human health. This issue has been considered in detail by FSANZ and a summary is available on the FSANZ website -</w:t>
            </w:r>
            <w:hyperlink r:id="rId18" w:history="1">
              <w:r w:rsidRPr="00924690">
                <w:rPr>
                  <w:rStyle w:val="Hyperlink"/>
                  <w:color w:val="0000FF"/>
                </w:rPr>
                <w:t>http://www.foodstandards.gov.au/consumer/gmfood/recombinantdna/Pages/default.aspx</w:t>
              </w:r>
            </w:hyperlink>
          </w:p>
          <w:p w:rsidR="00B43B64" w:rsidRPr="003B0D85" w:rsidRDefault="00B43B64" w:rsidP="001541D6">
            <w:pPr>
              <w:ind w:left="113" w:hanging="113"/>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p>
        </w:tc>
      </w:tr>
      <w:tr w:rsidR="00976D32" w:rsidRPr="009C5D87" w:rsidTr="006F66B2">
        <w:trPr>
          <w:cnfStyle w:val="000000100000" w:firstRow="0" w:lastRow="0" w:firstColumn="0" w:lastColumn="0" w:oddVBand="0" w:evenVBand="0" w:oddHBand="1" w:evenHBand="0" w:firstRowFirstColumn="0" w:firstRowLastColumn="0" w:lastRowFirstColumn="0" w:lastRowLastColumn="0"/>
          <w:cantSplit/>
          <w:trHeight w:val="6884"/>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976D32" w:rsidRPr="006C2DDF" w:rsidRDefault="00976D32" w:rsidP="006C2DDF">
            <w:pPr>
              <w:pStyle w:val="Table2"/>
            </w:pPr>
            <w:r w:rsidRPr="006C2DDF">
              <w:lastRenderedPageBreak/>
              <w:t xml:space="preserve">General concern with </w:t>
            </w:r>
            <w:r w:rsidR="00D11B97" w:rsidRPr="006C2DDF">
              <w:t>the use</w:t>
            </w:r>
            <w:r w:rsidRPr="006C2DDF">
              <w:t xml:space="preserve"> of herbicides</w:t>
            </w:r>
          </w:p>
        </w:tc>
        <w:tc>
          <w:tcPr>
            <w:tcW w:w="2268" w:type="dxa"/>
            <w:tcBorders>
              <w:left w:val="single" w:sz="4" w:space="0" w:color="auto"/>
              <w:right w:val="single" w:sz="4" w:space="0" w:color="auto"/>
            </w:tcBorders>
          </w:tcPr>
          <w:p w:rsidR="00976D32" w:rsidRDefault="00976D32" w:rsidP="00737AC5">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Hugh Halliday</w:t>
            </w:r>
          </w:p>
          <w:p w:rsidR="00976D32" w:rsidRDefault="00E213C0" w:rsidP="00737AC5">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FOODwatch</w:t>
            </w:r>
          </w:p>
          <w:p w:rsidR="00D11B97" w:rsidRDefault="00D11B97" w:rsidP="00737AC5">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Kylie Tizard</w:t>
            </w:r>
          </w:p>
          <w:p w:rsidR="001A40CE" w:rsidRPr="00C228CA" w:rsidRDefault="001A40CE" w:rsidP="00737AC5">
            <w:pPr>
              <w:pStyle w:val="Table2"/>
              <w:ind w:left="113" w:hanging="113"/>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Shirley Collins</w:t>
            </w:r>
          </w:p>
        </w:tc>
        <w:tc>
          <w:tcPr>
            <w:tcW w:w="5165" w:type="dxa"/>
            <w:tcBorders>
              <w:left w:val="single" w:sz="4" w:space="0" w:color="auto"/>
            </w:tcBorders>
          </w:tcPr>
          <w:p w:rsidR="00976D32" w:rsidRPr="00976D32" w:rsidRDefault="00976D32" w:rsidP="006C2DDF">
            <w:pPr>
              <w:pStyle w:val="Table2"/>
              <w:cnfStyle w:val="000000100000" w:firstRow="0" w:lastRow="0" w:firstColumn="0" w:lastColumn="0" w:oddVBand="0" w:evenVBand="0" w:oddHBand="1" w:evenHBand="0" w:firstRowFirstColumn="0" w:firstRowLastColumn="0" w:lastRowFirstColumn="0" w:lastRowLastColumn="0"/>
            </w:pPr>
            <w:r w:rsidRPr="00976D32">
              <w:rPr>
                <w:color w:val="000000"/>
              </w:rPr>
              <w:t xml:space="preserve">FSANZ does not have responsibility for assessing the environmental impacts or safe handling/use of </w:t>
            </w:r>
            <w:proofErr w:type="gramStart"/>
            <w:r w:rsidRPr="00976D32">
              <w:rPr>
                <w:color w:val="000000"/>
              </w:rPr>
              <w:t>a</w:t>
            </w:r>
            <w:proofErr w:type="gramEnd"/>
            <w:r w:rsidRPr="00976D32">
              <w:rPr>
                <w:color w:val="000000"/>
              </w:rPr>
              <w:t xml:space="preserve"> herbicide, other </w:t>
            </w:r>
            <w:r w:rsidRPr="00976D32">
              <w:t xml:space="preserve">than in the context of a consideration of any food products that may be derived from a crop sprayed with a herbicide. </w:t>
            </w:r>
          </w:p>
          <w:p w:rsidR="00976D32" w:rsidRPr="00976D32" w:rsidRDefault="00976D32" w:rsidP="006C2DDF">
            <w:pPr>
              <w:pStyle w:val="Table2"/>
              <w:cnfStyle w:val="000000100000" w:firstRow="0" w:lastRow="0" w:firstColumn="0" w:lastColumn="0" w:oddVBand="0" w:evenVBand="0" w:oddHBand="1" w:evenHBand="0" w:firstRowFirstColumn="0" w:firstRowLastColumn="0" w:lastRowFirstColumn="0" w:lastRowLastColumn="0"/>
            </w:pPr>
          </w:p>
          <w:p w:rsidR="00976D32" w:rsidRDefault="00976D32" w:rsidP="006C2DDF">
            <w:pPr>
              <w:pStyle w:val="Table2"/>
              <w:cnfStyle w:val="000000100000" w:firstRow="0" w:lastRow="0" w:firstColumn="0" w:lastColumn="0" w:oddVBand="0" w:evenVBand="0" w:oddHBand="1" w:evenHBand="0" w:firstRowFirstColumn="0" w:firstRowLastColumn="0" w:lastRowFirstColumn="0" w:lastRowLastColumn="0"/>
            </w:pPr>
            <w:r w:rsidRPr="00976D32">
              <w:rPr>
                <w:rFonts w:cs="Arial"/>
              </w:rPr>
              <w:t>The use of agricultural and veterinary chemicals is subject to strict government regulation in most trading countries. In Australia and New Zealand, residues of agricultural and veterinary chemicals are prohibited in food (both GM and non-GM) unless they comply with specific limits referred to as Maximum Residue Limits (MRLs) - overseen in Australia by the Australian Pesticides and Veterinary Medicines Authority</w:t>
            </w:r>
            <w:r w:rsidR="00C75434">
              <w:rPr>
                <w:rFonts w:cs="Arial"/>
              </w:rPr>
              <w:t xml:space="preserve"> (APVMA)</w:t>
            </w:r>
            <w:r w:rsidRPr="00976D32">
              <w:rPr>
                <w:rFonts w:cs="Arial"/>
              </w:rPr>
              <w:t xml:space="preserve"> and in New Zealand by the Ministry for Primary Industries. The setting of MRLs ensures that residues of agricultural and veterinary chemicals are kept as low as possible and consistent with the approved use of chemical products to control pests and diseases of plants and animals. For further details see the FSANZ website at</w:t>
            </w:r>
            <w:r w:rsidR="004371F7">
              <w:rPr>
                <w:rFonts w:cs="Arial"/>
              </w:rPr>
              <w:t xml:space="preserve"> </w:t>
            </w:r>
            <w:r w:rsidR="004371F7">
              <w:t>(</w:t>
            </w:r>
            <w:hyperlink r:id="rId19" w:history="1">
              <w:r w:rsidR="004371F7" w:rsidRPr="002E743A">
                <w:rPr>
                  <w:rStyle w:val="Hyperlink"/>
                </w:rPr>
                <w:t>http://www.foodstandards.gov.au/consumer/chemicals/maxresidue/Pages/default.aspx</w:t>
              </w:r>
            </w:hyperlink>
            <w:r w:rsidR="004371F7">
              <w:t>).</w:t>
            </w:r>
          </w:p>
          <w:p w:rsidR="00625936" w:rsidRDefault="00625936" w:rsidP="006C2DDF">
            <w:pPr>
              <w:pStyle w:val="Table2"/>
              <w:cnfStyle w:val="000000100000" w:firstRow="0" w:lastRow="0" w:firstColumn="0" w:lastColumn="0" w:oddVBand="0" w:evenVBand="0" w:oddHBand="1" w:evenHBand="0" w:firstRowFirstColumn="0" w:firstRowLastColumn="0" w:lastRowFirstColumn="0" w:lastRowLastColumn="0"/>
            </w:pPr>
          </w:p>
          <w:p w:rsidR="00625936" w:rsidRPr="00625936" w:rsidRDefault="0068053E" w:rsidP="006C2DDF">
            <w:pPr>
              <w:pStyle w:val="Table2"/>
              <w:cnfStyle w:val="000000100000" w:firstRow="0" w:lastRow="0" w:firstColumn="0" w:lastColumn="0" w:oddVBand="0" w:evenVBand="0" w:oddHBand="1" w:evenHBand="0" w:firstRowFirstColumn="0" w:firstRowLastColumn="0" w:lastRowFirstColumn="0" w:lastRowLastColumn="0"/>
            </w:pPr>
            <w:r w:rsidRPr="0068053E">
              <w:rPr>
                <w:rFonts w:cs="Arial"/>
              </w:rPr>
              <w:t>In undertaking a risk-based assessment to support an MRL, the key issue is whether, in the context of the Australian/New Zealand diet, the consumption of chemical residues in a food remains below the health-based guidance values.</w:t>
            </w:r>
            <w:r w:rsidR="00625936" w:rsidRPr="0068053E">
              <w:t xml:space="preserve"> </w:t>
            </w:r>
            <w:r w:rsidRPr="0068053E">
              <w:t xml:space="preserve">Herbicide </w:t>
            </w:r>
            <w:r w:rsidR="00625936" w:rsidRPr="0068053E">
              <w:t>MRLs</w:t>
            </w:r>
            <w:r w:rsidRPr="0068053E">
              <w:t xml:space="preserve"> themselves</w:t>
            </w:r>
            <w:r w:rsidR="00625936" w:rsidRPr="0068053E">
              <w:t xml:space="preserve"> are not food safety limits. They specify the amount of permitted residue remaining in a harvested crop after the minimum amount of herbicide has been applied to control weed growth. Exceeding an established MRL is unusual but it does not necessarily make a food unsafe because the level that is set (and regularly reviewed to take into account changing usage) is designed to ensure the minimum residue level not the maximum permissible before there is a health and safety concern</w:t>
            </w:r>
            <w:r w:rsidR="00625936" w:rsidRPr="00625936">
              <w:t>.</w:t>
            </w:r>
          </w:p>
          <w:p w:rsidR="00976D32" w:rsidRPr="00263E20" w:rsidRDefault="00976D32" w:rsidP="00E213C0">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F66B2" w:rsidRPr="009C5D87" w:rsidTr="00810A0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6F66B2" w:rsidRPr="006C2DDF" w:rsidRDefault="006F66B2" w:rsidP="006C2DDF">
            <w:pPr>
              <w:pStyle w:val="Table2"/>
            </w:pPr>
            <w:r w:rsidRPr="006C2DDF">
              <w:t>Labelling of GM food</w:t>
            </w:r>
          </w:p>
        </w:tc>
        <w:tc>
          <w:tcPr>
            <w:tcW w:w="2268" w:type="dxa"/>
            <w:tcBorders>
              <w:left w:val="single" w:sz="4" w:space="0" w:color="auto"/>
              <w:right w:val="single" w:sz="4" w:space="0" w:color="auto"/>
            </w:tcBorders>
          </w:tcPr>
          <w:p w:rsidR="006F66B2" w:rsidRDefault="006F66B2" w:rsidP="00737AC5">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FOODWatch</w:t>
            </w:r>
          </w:p>
          <w:p w:rsidR="00A62B14" w:rsidRDefault="00A62B14" w:rsidP="00737AC5">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Peter St Clair-Baker</w:t>
            </w:r>
          </w:p>
          <w:p w:rsidR="00F9102C" w:rsidRDefault="00F9102C" w:rsidP="00737AC5">
            <w:pPr>
              <w:pStyle w:val="Table2"/>
              <w:ind w:left="0" w:firstLine="0"/>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PSGR</w:t>
            </w:r>
          </w:p>
        </w:tc>
        <w:tc>
          <w:tcPr>
            <w:tcW w:w="5165" w:type="dxa"/>
            <w:tcBorders>
              <w:left w:val="single" w:sz="4" w:space="0" w:color="auto"/>
            </w:tcBorders>
          </w:tcPr>
          <w:p w:rsidR="006F66B2" w:rsidRPr="002D79FB" w:rsidRDefault="006F66B2" w:rsidP="006C2DDF">
            <w:pPr>
              <w:pStyle w:val="Table2"/>
              <w:cnfStyle w:val="000000010000" w:firstRow="0" w:lastRow="0" w:firstColumn="0" w:lastColumn="0" w:oddVBand="0" w:evenVBand="0" w:oddHBand="0" w:evenHBand="1" w:firstRowFirstColumn="0" w:firstRowLastColumn="0" w:lastRowFirstColumn="0" w:lastRowLastColumn="0"/>
            </w:pPr>
            <w:r>
              <w:t>Informat</w:t>
            </w:r>
            <w:r w:rsidRPr="002D79FB">
              <w:t xml:space="preserve">ion on </w:t>
            </w:r>
            <w:r w:rsidR="0030112D" w:rsidRPr="002D79FB">
              <w:t xml:space="preserve">GM </w:t>
            </w:r>
            <w:r w:rsidRPr="002D79FB">
              <w:t>labelling requirements is available on the FSANZ website at :</w:t>
            </w:r>
          </w:p>
          <w:p w:rsidR="006F66B2" w:rsidRPr="002D79FB" w:rsidRDefault="006F66B2" w:rsidP="006C2DDF">
            <w:pPr>
              <w:pStyle w:val="Table2"/>
              <w:cnfStyle w:val="000000010000" w:firstRow="0" w:lastRow="0" w:firstColumn="0" w:lastColumn="0" w:oddVBand="0" w:evenVBand="0" w:oddHBand="0" w:evenHBand="1" w:firstRowFirstColumn="0" w:firstRowLastColumn="0" w:lastRowFirstColumn="0" w:lastRowLastColumn="0"/>
            </w:pPr>
          </w:p>
          <w:p w:rsidR="006F66B2" w:rsidRPr="002D79FB" w:rsidRDefault="006F66B2" w:rsidP="006C2DDF">
            <w:pPr>
              <w:pStyle w:val="Table2"/>
              <w:cnfStyle w:val="000000010000" w:firstRow="0" w:lastRow="0" w:firstColumn="0" w:lastColumn="0" w:oddVBand="0" w:evenVBand="0" w:oddHBand="0" w:evenHBand="1" w:firstRowFirstColumn="0" w:firstRowLastColumn="0" w:lastRowFirstColumn="0" w:lastRowLastColumn="0"/>
            </w:pPr>
            <w:r w:rsidRPr="002D79FB">
              <w:t xml:space="preserve">Labelling of GM Foods </w:t>
            </w:r>
            <w:hyperlink r:id="rId20" w:history="1">
              <w:r w:rsidRPr="006C2DDF">
                <w:rPr>
                  <w:rStyle w:val="Hyperlink"/>
                  <w:color w:val="auto"/>
                  <w:u w:val="none"/>
                </w:rPr>
                <w:t>http://www.foodstandards.gov.au/consumer/gmfood/labelling/pages/default.aspx</w:t>
              </w:r>
            </w:hyperlink>
          </w:p>
          <w:p w:rsidR="006F66B2" w:rsidRPr="002D79FB" w:rsidRDefault="006F66B2" w:rsidP="006C2DDF">
            <w:pPr>
              <w:pStyle w:val="Table2"/>
              <w:cnfStyle w:val="000000010000" w:firstRow="0" w:lastRow="0" w:firstColumn="0" w:lastColumn="0" w:oddVBand="0" w:evenVBand="0" w:oddHBand="0" w:evenHBand="1" w:firstRowFirstColumn="0" w:firstRowLastColumn="0" w:lastRowFirstColumn="0" w:lastRowLastColumn="0"/>
            </w:pPr>
          </w:p>
          <w:p w:rsidR="00925977" w:rsidRDefault="006F66B2" w:rsidP="006C2DDF">
            <w:pPr>
              <w:pStyle w:val="Table2"/>
              <w:cnfStyle w:val="000000010000" w:firstRow="0" w:lastRow="0" w:firstColumn="0" w:lastColumn="0" w:oddVBand="0" w:evenVBand="0" w:oddHBand="0" w:evenHBand="1" w:firstRowFirstColumn="0" w:firstRowLastColumn="0" w:lastRowFirstColumn="0" w:lastRowLastColumn="0"/>
              <w:rPr>
                <w:rStyle w:val="Hyperlink"/>
                <w:bCs w:val="0"/>
                <w:sz w:val="22"/>
                <w:szCs w:val="24"/>
              </w:rPr>
            </w:pPr>
            <w:r w:rsidRPr="002D79FB">
              <w:t>A</w:t>
            </w:r>
            <w:r w:rsidR="00925977" w:rsidRPr="002D79FB">
              <w:t>n independent</w:t>
            </w:r>
            <w:r w:rsidR="00A977D4" w:rsidRPr="002D79FB">
              <w:t xml:space="preserve"> </w:t>
            </w:r>
            <w:r w:rsidRPr="002D79FB">
              <w:t xml:space="preserve">Review of Food Labelling Law and Policy </w:t>
            </w:r>
            <w:r w:rsidR="00A977D4" w:rsidRPr="002D79FB">
              <w:t xml:space="preserve">was </w:t>
            </w:r>
            <w:r w:rsidRPr="002D79FB">
              <w:t xml:space="preserve">commissioned </w:t>
            </w:r>
            <w:r w:rsidR="0030112D" w:rsidRPr="002D79FB">
              <w:t xml:space="preserve">in 2009 </w:t>
            </w:r>
            <w:r w:rsidRPr="002D79FB">
              <w:t xml:space="preserve">by </w:t>
            </w:r>
            <w:r w:rsidR="00A977D4" w:rsidRPr="002D79FB">
              <w:t xml:space="preserve">Australian and New Zealand food regulation ministers. </w:t>
            </w:r>
            <w:r w:rsidR="00C77581" w:rsidRPr="002D79FB">
              <w:t xml:space="preserve">In 2011, </w:t>
            </w:r>
            <w:r w:rsidR="00925977" w:rsidRPr="002D79FB">
              <w:t xml:space="preserve">the government </w:t>
            </w:r>
            <w:r w:rsidR="0030112D" w:rsidRPr="002D79FB">
              <w:t>responded</w:t>
            </w:r>
            <w:r w:rsidR="00925977" w:rsidRPr="002D79FB">
              <w:t xml:space="preserve"> to the recommend</w:t>
            </w:r>
            <w:r w:rsidR="0030112D" w:rsidRPr="002D79FB">
              <w:t>ations contained in the review; in</w:t>
            </w:r>
            <w:r w:rsidR="00925977" w:rsidRPr="002D79FB">
              <w:t xml:space="preserve"> </w:t>
            </w:r>
            <w:r w:rsidR="00B748D3" w:rsidRPr="002D79FB">
              <w:t xml:space="preserve">its response </w:t>
            </w:r>
            <w:r w:rsidR="00925977" w:rsidRPr="002D79FB">
              <w:t xml:space="preserve">to recommendations 29-33 on GM </w:t>
            </w:r>
            <w:r w:rsidR="0030112D" w:rsidRPr="002D79FB">
              <w:t>labelling</w:t>
            </w:r>
            <w:r w:rsidR="00B748D3" w:rsidRPr="002D79FB">
              <w:t xml:space="preserve"> the government </w:t>
            </w:r>
            <w:r w:rsidR="00925977" w:rsidRPr="002D79FB">
              <w:t xml:space="preserve">supported the existing regulations in the Code and agreed not to pursue any additional regulatory requirements at this time. </w:t>
            </w:r>
            <w:r w:rsidR="0030112D" w:rsidRPr="002D79FB">
              <w:t>Further information on the r</w:t>
            </w:r>
            <w:r w:rsidR="00925977" w:rsidRPr="002D79FB">
              <w:t xml:space="preserve">eview </w:t>
            </w:r>
            <w:r w:rsidR="0030112D" w:rsidRPr="002D79FB">
              <w:t>and the gover</w:t>
            </w:r>
            <w:r w:rsidR="0030112D">
              <w:t xml:space="preserve">nment response </w:t>
            </w:r>
            <w:r w:rsidR="00925977">
              <w:t>is available on the Food Labelling Review website at:</w:t>
            </w:r>
            <w:r w:rsidR="008128C8">
              <w:t xml:space="preserve"> </w:t>
            </w:r>
            <w:hyperlink r:id="rId21" w:history="1">
              <w:r w:rsidR="003F771D" w:rsidRPr="00412B98">
                <w:rPr>
                  <w:rStyle w:val="Hyperlink"/>
                </w:rPr>
                <w:t>http://www.foodlabellingreview.gov.au/internet/foodlabelling/publishing.nsf/content/labelling-logic</w:t>
              </w:r>
            </w:hyperlink>
          </w:p>
          <w:p w:rsidR="0089386F" w:rsidRDefault="0089386F" w:rsidP="00F25920">
            <w:pPr>
              <w:pStyle w:val="Table2"/>
              <w:ind w:left="0" w:firstLine="0"/>
              <w:cnfStyle w:val="000000010000" w:firstRow="0" w:lastRow="0" w:firstColumn="0" w:lastColumn="0" w:oddVBand="0" w:evenVBand="0" w:oddHBand="0" w:evenHBand="1" w:firstRowFirstColumn="0" w:firstRowLastColumn="0" w:lastRowFirstColumn="0" w:lastRowLastColumn="0"/>
              <w:rPr>
                <w:color w:val="000000"/>
              </w:rPr>
            </w:pPr>
          </w:p>
        </w:tc>
      </w:tr>
      <w:tr w:rsidR="006F66B2" w:rsidRPr="009C5D87" w:rsidTr="00810A0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tcPr>
          <w:p w:rsidR="006F66B2" w:rsidRPr="006C2DDF" w:rsidRDefault="006F66B2" w:rsidP="006C2DDF">
            <w:pPr>
              <w:pStyle w:val="Table2"/>
            </w:pPr>
            <w:r w:rsidRPr="006C2DDF">
              <w:lastRenderedPageBreak/>
              <w:t>Lack of consideration of long term feeding studies in the safety assessment</w:t>
            </w:r>
          </w:p>
        </w:tc>
        <w:tc>
          <w:tcPr>
            <w:tcW w:w="2268" w:type="dxa"/>
            <w:tcBorders>
              <w:left w:val="single" w:sz="4" w:space="0" w:color="auto"/>
              <w:right w:val="single" w:sz="4" w:space="0" w:color="auto"/>
            </w:tcBorders>
          </w:tcPr>
          <w:p w:rsidR="006F66B2" w:rsidRPr="00061677" w:rsidRDefault="006F66B2" w:rsidP="00737AC5">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szCs w:val="18"/>
              </w:rPr>
            </w:pPr>
            <w:r w:rsidRPr="00590330">
              <w:rPr>
                <w:color w:val="000000" w:themeColor="text1"/>
              </w:rPr>
              <w:t>Kerry Beake</w:t>
            </w:r>
          </w:p>
          <w:p w:rsidR="006F66B2" w:rsidRPr="00590330" w:rsidRDefault="006F66B2" w:rsidP="00737AC5">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szCs w:val="18"/>
              </w:rPr>
            </w:pPr>
            <w:r>
              <w:rPr>
                <w:color w:val="000000" w:themeColor="text1"/>
              </w:rPr>
              <w:t>FOODwatch</w:t>
            </w:r>
          </w:p>
        </w:tc>
        <w:tc>
          <w:tcPr>
            <w:tcW w:w="5165" w:type="dxa"/>
            <w:tcBorders>
              <w:left w:val="single" w:sz="4" w:space="0" w:color="auto"/>
            </w:tcBorders>
          </w:tcPr>
          <w:p w:rsidR="00922135" w:rsidRPr="002D79FB" w:rsidRDefault="00D21483" w:rsidP="006C2DDF">
            <w:pPr>
              <w:pStyle w:val="Table2"/>
              <w:cnfStyle w:val="000000100000" w:firstRow="0" w:lastRow="0" w:firstColumn="0" w:lastColumn="0" w:oddVBand="0" w:evenVBand="0" w:oddHBand="1" w:evenHBand="0" w:firstRowFirstColumn="0" w:firstRowLastColumn="0" w:lastRowFirstColumn="0" w:lastRowLastColumn="0"/>
              <w:rPr>
                <w:bCs w:val="0"/>
              </w:rPr>
            </w:pPr>
            <w:r w:rsidRPr="002D79FB">
              <w:rPr>
                <w:bCs w:val="0"/>
              </w:rPr>
              <w:t>There is general consensus among food regulators that the key focus in determining the safety of a GM food is the comparative compositional analysis.</w:t>
            </w:r>
            <w:r w:rsidR="00922135" w:rsidRPr="002D79FB">
              <w:rPr>
                <w:bCs w:val="0"/>
              </w:rPr>
              <w:t xml:space="preserve"> This concept was first </w:t>
            </w:r>
            <w:r w:rsidR="00F71B92" w:rsidRPr="002D79FB">
              <w:rPr>
                <w:bCs w:val="0"/>
              </w:rPr>
              <w:t>considered</w:t>
            </w:r>
            <w:r w:rsidR="00922135" w:rsidRPr="002D79FB">
              <w:rPr>
                <w:bCs w:val="0"/>
              </w:rPr>
              <w:t xml:space="preserve"> in 1993 </w:t>
            </w:r>
            <w:r w:rsidR="00922135" w:rsidRPr="002D79FB">
              <w:rPr>
                <w:rFonts w:cs="Arial"/>
                <w:bCs w:val="0"/>
                <w:szCs w:val="22"/>
                <w:lang w:val="en"/>
              </w:rPr>
              <w:fldChar w:fldCharType="begin"/>
            </w:r>
            <w:r w:rsidR="00A34D65">
              <w:rPr>
                <w:rFonts w:cs="Arial"/>
                <w:bCs w:val="0"/>
                <w:szCs w:val="22"/>
                <w:lang w:val="en"/>
              </w:rPr>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principles&lt;/Title_Primary&gt;&lt;Authors_Primary&gt;OECD&lt;/Authors_Primary&gt;&lt;Date_Primary&gt;1993&lt;/Date_Primary&gt;&lt;Keywords&gt;Biotechnology&lt;/Keywords&gt;&lt;Keywords&gt;Safety&lt;/Keywords&gt;&lt;Reprint&gt;In File&lt;/Reprint&gt;&lt;Pub_Place&gt;Paris&lt;/Pub_Place&gt;&lt;Publisher&gt;Organisation for Economic Co-operation and development&lt;/Publisher&gt;&lt;Web_URL_Link2&gt;&lt;u&gt;file://F:\Risk Assessment - Chemical Safety\GMO - shared\References\GM References\OECD_1993_safety evaluation of GM foods.pdf&lt;/u&gt;&lt;/Web_URL_Link2&gt;&lt;ZZ_WorkformID&gt;24&lt;/ZZ_WorkformID&gt;&lt;/MDL&gt;&lt;/Cite&gt;&lt;/Refman&gt;</w:instrText>
            </w:r>
            <w:r w:rsidR="00922135" w:rsidRPr="002D79FB">
              <w:rPr>
                <w:rFonts w:cs="Arial"/>
                <w:bCs w:val="0"/>
                <w:szCs w:val="22"/>
                <w:lang w:val="en"/>
              </w:rPr>
              <w:fldChar w:fldCharType="separate"/>
            </w:r>
            <w:r w:rsidR="00922135" w:rsidRPr="002D79FB">
              <w:rPr>
                <w:rFonts w:cs="Arial"/>
                <w:bCs w:val="0"/>
                <w:noProof/>
                <w:szCs w:val="22"/>
                <w:lang w:val="en"/>
              </w:rPr>
              <w:t>(OECD, 1993)</w:t>
            </w:r>
            <w:r w:rsidR="00922135" w:rsidRPr="002D79FB">
              <w:rPr>
                <w:rFonts w:cs="Arial"/>
                <w:bCs w:val="0"/>
                <w:szCs w:val="22"/>
                <w:lang w:val="en"/>
              </w:rPr>
              <w:fldChar w:fldCharType="end"/>
            </w:r>
            <w:r w:rsidR="00922135" w:rsidRPr="002D79FB">
              <w:rPr>
                <w:rFonts w:cs="Arial"/>
                <w:bCs w:val="0"/>
                <w:szCs w:val="22"/>
                <w:lang w:val="en"/>
              </w:rPr>
              <w:t xml:space="preserve"> </w:t>
            </w:r>
            <w:r w:rsidR="006D176A" w:rsidRPr="002D79FB">
              <w:rPr>
                <w:bCs w:val="0"/>
              </w:rPr>
              <w:t>and there has</w:t>
            </w:r>
            <w:r w:rsidR="00922135" w:rsidRPr="002D79FB">
              <w:rPr>
                <w:bCs w:val="0"/>
              </w:rPr>
              <w:t xml:space="preserve"> not b</w:t>
            </w:r>
            <w:r w:rsidR="006D176A" w:rsidRPr="002D79FB">
              <w:rPr>
                <w:bCs w:val="0"/>
              </w:rPr>
              <w:t>een any change to this</w:t>
            </w:r>
            <w:r w:rsidR="009753AC" w:rsidRPr="002D79FB">
              <w:rPr>
                <w:bCs w:val="0"/>
              </w:rPr>
              <w:t xml:space="preserve"> thinking </w:t>
            </w:r>
            <w:r w:rsidR="00A62B14" w:rsidRPr="002D79FB">
              <w:rPr>
                <w:bCs w:val="0"/>
              </w:rPr>
              <w:fldChar w:fldCharType="begin"/>
            </w:r>
            <w:r w:rsidR="00A34D65">
              <w:rPr>
                <w:bCs w:val="0"/>
              </w:rPr>
              <w:instrText xml:space="preserve"> ADDIN REFMGR.CITE &lt;Refman&gt;&lt;Cite&gt;&lt;Author&gt;Herman&lt;/Author&gt;&lt;Year&gt;2009&lt;/Year&gt;&lt;RecNum&gt;456&lt;/RecNum&gt;&lt;IDText&gt;Compositional assessment of transgenic crops: an idea whose time has passed&lt;/IDText&gt;&lt;MDL Ref_Type="Journal"&gt;&lt;Ref_Type&gt;Journal&lt;/Ref_Type&gt;&lt;Ref_ID&gt;456&lt;/Ref_ID&gt;&lt;Title_Primary&gt;Compositional assessment of transgenic crops: an idea whose time has passed&lt;/Title_Primary&gt;&lt;Authors_Primary&gt;Herman,R.A.&lt;/Authors_Primary&gt;&lt;Authors_Primary&gt;Chassy,B.M.&lt;/Authors_Primary&gt;&lt;Authors_Primary&gt;Parrott,W.&lt;/Authors_Primary&gt;&lt;Date_Primary&gt;2009&lt;/Date_Primary&gt;&lt;Keywords&gt;Safety&lt;/Keywords&gt;&lt;Reprint&gt;In File&lt;/Reprint&gt;&lt;Start_Page&gt;555&lt;/Start_Page&gt;&lt;End_Page&gt;557&lt;/End_Page&gt;&lt;Periodical&gt;Trends in Biotechnology&lt;/Periodical&gt;&lt;Volume&gt;27&lt;/Volume&gt;&lt;Web_URL_Link2&gt;&lt;u&gt;file://F:\Risk Assessment - Chemical Safety\GMO - shared\References\GM References\Herman et al_2009_compositional analysis.pdf&lt;/u&gt;&lt;/Web_URL_Link2&gt;&lt;ZZ_JournalFull&gt;&lt;f name="System"&gt;Trends in Biotechnology&lt;/f&gt;&lt;/ZZ_JournalFull&gt;&lt;ZZ_WorkformID&gt;1&lt;/ZZ_WorkformID&gt;&lt;/MDL&gt;&lt;/Cite&gt;&lt;/Refman&gt;</w:instrText>
            </w:r>
            <w:r w:rsidR="00A62B14" w:rsidRPr="002D79FB">
              <w:rPr>
                <w:bCs w:val="0"/>
              </w:rPr>
              <w:fldChar w:fldCharType="separate"/>
            </w:r>
            <w:r w:rsidR="00A62B14" w:rsidRPr="002D79FB">
              <w:rPr>
                <w:bCs w:val="0"/>
                <w:noProof/>
              </w:rPr>
              <w:t xml:space="preserve">(Herman </w:t>
            </w:r>
            <w:r w:rsidR="00A62B14" w:rsidRPr="006C2DDF">
              <w:rPr>
                <w:bCs w:val="0"/>
                <w:noProof/>
              </w:rPr>
              <w:t>et al</w:t>
            </w:r>
            <w:r w:rsidR="00A62B14" w:rsidRPr="002D79FB">
              <w:rPr>
                <w:bCs w:val="0"/>
                <w:noProof/>
              </w:rPr>
              <w:t>., 2009)</w:t>
            </w:r>
            <w:r w:rsidR="00A62B14" w:rsidRPr="002D79FB">
              <w:rPr>
                <w:bCs w:val="0"/>
              </w:rPr>
              <w:fldChar w:fldCharType="end"/>
            </w:r>
            <w:r w:rsidR="009753AC" w:rsidRPr="002D79FB">
              <w:rPr>
                <w:bCs w:val="0"/>
              </w:rPr>
              <w:t>.</w:t>
            </w:r>
          </w:p>
          <w:p w:rsidR="00922135" w:rsidRPr="002D79FB" w:rsidRDefault="00922135" w:rsidP="006C2DDF">
            <w:pPr>
              <w:pStyle w:val="Table2"/>
              <w:cnfStyle w:val="000000100000" w:firstRow="0" w:lastRow="0" w:firstColumn="0" w:lastColumn="0" w:oddVBand="0" w:evenVBand="0" w:oddHBand="1" w:evenHBand="0" w:firstRowFirstColumn="0" w:firstRowLastColumn="0" w:lastRowFirstColumn="0" w:lastRowLastColumn="0"/>
              <w:rPr>
                <w:bCs w:val="0"/>
              </w:rPr>
            </w:pPr>
          </w:p>
          <w:p w:rsidR="006F66B2" w:rsidRPr="002D79FB" w:rsidRDefault="006F66B2" w:rsidP="006C2DDF">
            <w:pPr>
              <w:pStyle w:val="Table2"/>
              <w:cnfStyle w:val="000000100000" w:firstRow="0" w:lastRow="0" w:firstColumn="0" w:lastColumn="0" w:oddVBand="0" w:evenVBand="0" w:oddHBand="1" w:evenHBand="0" w:firstRowFirstColumn="0" w:firstRowLastColumn="0" w:lastRowFirstColumn="0" w:lastRowLastColumn="0"/>
              <w:rPr>
                <w:bCs w:val="0"/>
              </w:rPr>
            </w:pPr>
            <w:r w:rsidRPr="002D79FB">
              <w:rPr>
                <w:bCs w:val="0"/>
              </w:rPr>
              <w:t xml:space="preserve">In 2007, FSANZ convened a workshop to formally examine </w:t>
            </w:r>
            <w:r w:rsidRPr="006C2DDF">
              <w:rPr>
                <w:bCs w:val="0"/>
              </w:rPr>
              <w:t>the</w:t>
            </w:r>
            <w:r w:rsidRPr="002D79FB">
              <w:rPr>
                <w:bCs w:val="0"/>
              </w:rPr>
              <w:t xml:space="preserve"> usefulness of animal feeding studies to support the safety assessment of GM foods (</w:t>
            </w:r>
            <w:hyperlink r:id="rId22" w:history="1">
              <w:r w:rsidRPr="006C2DDF">
                <w:rPr>
                  <w:rStyle w:val="Hyperlink"/>
                  <w:bCs w:val="0"/>
                  <w:color w:val="auto"/>
                  <w:szCs w:val="18"/>
                  <w:u w:val="none"/>
                </w:rPr>
                <w:t>http://www.foodstandards.gov.au/consumer/gmfood/Pages/roleofanimalfeedings3717.aspx</w:t>
              </w:r>
            </w:hyperlink>
            <w:r w:rsidRPr="006C2DDF">
              <w:rPr>
                <w:rStyle w:val="Hyperlink"/>
                <w:bCs w:val="0"/>
                <w:color w:val="auto"/>
                <w:szCs w:val="18"/>
                <w:u w:val="none"/>
              </w:rPr>
              <w:t xml:space="preserve">). </w:t>
            </w:r>
            <w:r w:rsidRPr="002D79FB">
              <w:rPr>
                <w:bCs w:val="0"/>
              </w:rPr>
              <w:t xml:space="preserve">The conclusion was that such studies do not contribute meaningful information on the long-term safety of a GM food, with the possible exception of a food in which the modification introduced a desired nutritional change. Therefore, </w:t>
            </w:r>
            <w:r w:rsidRPr="002D79FB">
              <w:rPr>
                <w:rFonts w:cs="Arial"/>
                <w:bCs w:val="0"/>
              </w:rPr>
              <w:t xml:space="preserve">for most GM foods, feeding trials of any length are unlikely to contribute any further useful information to the safety assessment and are not warranted. </w:t>
            </w:r>
            <w:r w:rsidRPr="002D79FB">
              <w:rPr>
                <w:bCs w:val="0"/>
              </w:rPr>
              <w:t xml:space="preserve">There are also concerns about the unethical use of animals for feeding studies in the absence of any clearly identified compositional differences </w:t>
            </w:r>
            <w:r w:rsidRPr="002D79FB">
              <w:rPr>
                <w:bCs w:val="0"/>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sidR="00A34D65">
              <w:rPr>
                <w:bCs w:val="0"/>
              </w:rPr>
              <w:instrText xml:space="preserve"> ADDIN REFMGR.CITE </w:instrText>
            </w:r>
            <w:r w:rsidR="00A34D65">
              <w:rPr>
                <w:bCs w:val="0"/>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Y18yPjxXZWJfVVJMX0xpbmsyPjx1PmZpbGU6Ly9GOlxSaXNrIEFzc2Vzc21lbnQgLSBDaGVtaWNh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=
</w:fldData>
              </w:fldChar>
            </w:r>
            <w:r w:rsidR="00A34D65">
              <w:rPr>
                <w:bCs w:val="0"/>
              </w:rPr>
              <w:instrText xml:space="preserve"> ADDIN EN.CITE.DATA </w:instrText>
            </w:r>
            <w:r w:rsidR="00A34D65">
              <w:rPr>
                <w:bCs w:val="0"/>
              </w:rPr>
            </w:r>
            <w:r w:rsidR="00A34D65">
              <w:rPr>
                <w:bCs w:val="0"/>
              </w:rPr>
              <w:fldChar w:fldCharType="end"/>
            </w:r>
            <w:r w:rsidRPr="002D79FB">
              <w:rPr>
                <w:bCs w:val="0"/>
              </w:rPr>
            </w:r>
            <w:r w:rsidRPr="002D79FB">
              <w:rPr>
                <w:bCs w:val="0"/>
              </w:rPr>
              <w:fldChar w:fldCharType="separate"/>
            </w:r>
            <w:r w:rsidRPr="002D79FB">
              <w:rPr>
                <w:bCs w:val="0"/>
                <w:noProof/>
              </w:rPr>
              <w:t xml:space="preserve">(Bartholomaeus </w:t>
            </w:r>
            <w:r w:rsidRPr="006C2DDF">
              <w:rPr>
                <w:bCs w:val="0"/>
                <w:noProof/>
              </w:rPr>
              <w:t>et al</w:t>
            </w:r>
            <w:r w:rsidRPr="002D79FB">
              <w:rPr>
                <w:bCs w:val="0"/>
                <w:noProof/>
              </w:rPr>
              <w:t>., 2013; Rigaud, 2008)</w:t>
            </w:r>
            <w:r w:rsidRPr="002D79FB">
              <w:rPr>
                <w:bCs w:val="0"/>
              </w:rPr>
              <w:fldChar w:fldCharType="end"/>
            </w:r>
            <w:r w:rsidRPr="002D79FB">
              <w:rPr>
                <w:bCs w:val="0"/>
              </w:rPr>
              <w:t>.</w:t>
            </w:r>
          </w:p>
          <w:p w:rsidR="00E12BE0" w:rsidRPr="002D79FB" w:rsidRDefault="00E12BE0" w:rsidP="006C2DDF">
            <w:pPr>
              <w:pStyle w:val="Table2"/>
              <w:cnfStyle w:val="000000100000" w:firstRow="0" w:lastRow="0" w:firstColumn="0" w:lastColumn="0" w:oddVBand="0" w:evenVBand="0" w:oddHBand="1" w:evenHBand="0" w:firstRowFirstColumn="0" w:firstRowLastColumn="0" w:lastRowFirstColumn="0" w:lastRowLastColumn="0"/>
              <w:rPr>
                <w:bCs w:val="0"/>
              </w:rPr>
            </w:pPr>
          </w:p>
          <w:p w:rsidR="00E12BE0" w:rsidRPr="002D79FB" w:rsidRDefault="00E12BE0" w:rsidP="006C2DDF">
            <w:pPr>
              <w:pStyle w:val="Table2"/>
              <w:cnfStyle w:val="000000100000" w:firstRow="0" w:lastRow="0" w:firstColumn="0" w:lastColumn="0" w:oddVBand="0" w:evenVBand="0" w:oddHBand="1" w:evenHBand="0" w:firstRowFirstColumn="0" w:firstRowLastColumn="0" w:lastRowFirstColumn="0" w:lastRowLastColumn="0"/>
              <w:rPr>
                <w:rFonts w:cs="Arial"/>
                <w:lang w:eastAsia="en-GB" w:bidi="ar-SA"/>
              </w:rPr>
            </w:pPr>
            <w:r w:rsidRPr="002D79FB">
              <w:rPr>
                <w:bCs w:val="0"/>
              </w:rPr>
              <w:t>The European Food Safety Authority (EFSA) is cited by some as advocating animal feeding studies for GM food safety assess</w:t>
            </w:r>
            <w:r w:rsidR="00650A56">
              <w:rPr>
                <w:bCs w:val="0"/>
              </w:rPr>
              <w:t>ments. In the advice issued by EFSA it is</w:t>
            </w:r>
            <w:r w:rsidRPr="002D79FB">
              <w:rPr>
                <w:bCs w:val="0"/>
              </w:rPr>
              <w:t xml:space="preserve"> stated that the inclusion of a 90-day feeding study is not necessary where </w:t>
            </w:r>
            <w:r w:rsidRPr="002D79FB">
              <w:rPr>
                <w:rFonts w:cs="Arial"/>
                <w:bCs w:val="0"/>
              </w:rPr>
              <w:t xml:space="preserve">molecular, compositional, phenotypic and agronomic analyses demonstrate equivalence of the GM food to its non-GM counterpart </w:t>
            </w:r>
            <w:r w:rsidRPr="002D79FB">
              <w:rPr>
                <w:rFonts w:cs="Arial"/>
                <w:bCs w:val="0"/>
              </w:rPr>
              <w:fldChar w:fldCharType="begin">
                <w:fldData xml:space="preserve">PFJlZm1hbj48Q2l0ZT48QXV0aG9yPkVGU0E8L0F1dGhvcj48WWVhcj4yMDA4PC9ZZWFyPjxSZWNO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</w:fldData>
              </w:fldChar>
            </w:r>
            <w:r w:rsidR="00A34D65">
              <w:rPr>
                <w:rFonts w:cs="Arial"/>
                <w:bCs w:val="0"/>
              </w:rPr>
              <w:instrText xml:space="preserve"> ADDIN REFMGR.CITE </w:instrText>
            </w:r>
            <w:r w:rsidR="00A34D65">
              <w:rPr>
                <w:rFonts w:cs="Arial"/>
                <w:bCs w:val="0"/>
              </w:rPr>
              <w:fldChar w:fldCharType="begin">
                <w:fldData xml:space="preserve">PFJlZm1hbj48Q2l0ZT48QXV0aG9yPkVGU0E8L0F1dGhvcj48WWVhcj4yMDA4PC9ZZWFyPjxSZWNO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</w:fldData>
              </w:fldChar>
            </w:r>
            <w:r w:rsidR="00A34D65">
              <w:rPr>
                <w:rFonts w:cs="Arial"/>
                <w:bCs w:val="0"/>
              </w:rPr>
              <w:instrText xml:space="preserve"> ADDIN EN.CITE.DATA </w:instrText>
            </w:r>
            <w:r w:rsidR="00A34D65">
              <w:rPr>
                <w:rFonts w:cs="Arial"/>
                <w:bCs w:val="0"/>
              </w:rPr>
            </w:r>
            <w:r w:rsidR="00A34D65">
              <w:rPr>
                <w:rFonts w:cs="Arial"/>
                <w:bCs w:val="0"/>
              </w:rPr>
              <w:fldChar w:fldCharType="end"/>
            </w:r>
            <w:r w:rsidRPr="002D79FB">
              <w:rPr>
                <w:rFonts w:cs="Arial"/>
                <w:bCs w:val="0"/>
              </w:rPr>
            </w:r>
            <w:r w:rsidRPr="002D79FB">
              <w:rPr>
                <w:rFonts w:cs="Arial"/>
                <w:bCs w:val="0"/>
              </w:rPr>
              <w:fldChar w:fldCharType="separate"/>
            </w:r>
            <w:r w:rsidRPr="002D79FB">
              <w:rPr>
                <w:rFonts w:cs="Arial"/>
                <w:bCs w:val="0"/>
                <w:noProof/>
              </w:rPr>
              <w:t>(EFSA, 2008; EFSA, 2011)</w:t>
            </w:r>
            <w:r w:rsidRPr="002D79FB">
              <w:rPr>
                <w:rFonts w:cs="Arial"/>
                <w:bCs w:val="0"/>
              </w:rPr>
              <w:fldChar w:fldCharType="end"/>
            </w:r>
            <w:r w:rsidRPr="002D79FB">
              <w:rPr>
                <w:rFonts w:cs="Arial"/>
                <w:bCs w:val="0"/>
              </w:rPr>
              <w:t xml:space="preserve">. Despite this, the European Commission (EC) </w:t>
            </w:r>
            <w:r w:rsidRPr="002D79FB">
              <w:rPr>
                <w:rFonts w:cs="Arial"/>
                <w:bCs w:val="0"/>
                <w:lang w:val="en-AU" w:eastAsia="en-GB"/>
              </w:rPr>
              <w:t>decided, in December 2013, to require a 90-day study with each GM food application, pending the outcome of a European Union r</w:t>
            </w:r>
            <w:r w:rsidR="00650A56">
              <w:rPr>
                <w:rFonts w:cs="Arial"/>
                <w:bCs w:val="0"/>
                <w:lang w:val="en-AU" w:eastAsia="en-GB"/>
              </w:rPr>
              <w:t>esearch project on that issue, due at</w:t>
            </w:r>
            <w:r w:rsidRPr="002D79FB">
              <w:rPr>
                <w:rFonts w:cs="Arial"/>
                <w:bCs w:val="0"/>
                <w:lang w:val="en-AU" w:eastAsia="en-GB"/>
              </w:rPr>
              <w:t xml:space="preserve"> the end of 2015. </w:t>
            </w:r>
            <w:r w:rsidRPr="002D79FB">
              <w:rPr>
                <w:rFonts w:cs="Arial"/>
                <w:bCs w:val="0"/>
                <w:lang w:eastAsia="en-GB" w:bidi="ar-SA"/>
              </w:rPr>
              <w:t xml:space="preserve">Depending on results from the 90-day study or other available nutritional and toxicological studies, a 2-year study in rats may also be requested by the EC on a case-by-case basis </w:t>
            </w:r>
            <w:r w:rsidRPr="002D79FB">
              <w:rPr>
                <w:rFonts w:cs="Arial"/>
                <w:bCs w:val="0"/>
                <w:lang w:eastAsia="en-GB" w:bidi="ar-SA"/>
              </w:rPr>
              <w:fldChar w:fldCharType="begin"/>
            </w:r>
            <w:r w:rsidR="00A34D65">
              <w:rPr>
                <w:rFonts w:cs="Arial"/>
                <w:bCs w:val="0"/>
                <w:lang w:eastAsia="en-GB" w:bidi="ar-SA"/>
              </w:rPr>
              <w:instrText xml:space="preserve"> ADDIN REFMGR.CITE &lt;Refman&gt;&lt;Cite&gt;&lt;Author&gt;EFSA&lt;/Author&gt;&lt;Year&gt;2013&lt;/Year&gt;&lt;RecNum&gt;1571&lt;/RecNum&gt;&lt;IDText&gt;Consideration of the applicability of OECD TG 453 to whole food/feed testing&lt;/IDText&gt;&lt;MDL Ref_Type="Journal (Full)"&gt;&lt;Ref_Type&gt;Journal (Full)&lt;/Ref_Type&gt;&lt;Ref_ID&gt;1571&lt;/Ref_ID&gt;&lt;Title_Primary&gt;Consideration of the applicability of OECD TG 453 to whole food/feed testing&lt;/Title_Primary&gt;&lt;Authors_Primary&gt;EFSA&lt;/Authors_Primary&gt;&lt;Date_Primary&gt;2013&lt;/Date_Primary&gt;&lt;Keywords&gt;Safety&lt;/Keywords&gt;&lt;Keywords&gt;toxicity&lt;/Keywords&gt;&lt;Keywords&gt;GMO&lt;/Keywords&gt;&lt;Keywords&gt;Diet&lt;/Keywords&gt;&lt;Keywords&gt;GLP&lt;/Keywords&gt;&lt;Keywords&gt;standards&lt;/Keywords&gt;&lt;Keywords&gt;Animals&lt;/Keywords&gt;&lt;Keywords&gt;analysis&lt;/Keywords&gt;&lt;Reprint&gt;Not in File&lt;/Reprint&gt;&lt;Start_Page&gt;3347 (18 pp)&lt;/Start_Page&gt;&lt;Periodical&gt;EFSA Journal 2013&lt;/Periodical&gt;&lt;Volume&gt;11&lt;/Volume&gt;&lt;Issue&gt;7&lt;/Issue&gt;&lt;Misc_2&gt;&lt;f name="Times New Roman"&gt;doi:10.2903/j.efsa.2013.3347&lt;/f&gt;&lt;/Misc_2&gt;&lt;Web_URL_Link2&gt;&lt;u&gt;file://F:\Risk Assessment - Chemical Safety\GMO - shared\References\GM References\EFSA_2013_Scientific Report on applyig OECD TG453 to whole food.pdf&lt;/u&gt;&lt;/Web_URL_Link2&gt;&lt;ZZ_JournalFull&gt;&lt;f name="System"&gt;EFSA Journal 2013&lt;/f&gt;&lt;/ZZ_JournalFull&gt;&lt;ZZ_WorkformID&gt;32&lt;/ZZ_WorkformID&gt;&lt;/MDL&gt;&lt;/Cite&gt;&lt;/Refman&gt;</w:instrText>
            </w:r>
            <w:r w:rsidRPr="002D79FB">
              <w:rPr>
                <w:rFonts w:cs="Arial"/>
                <w:bCs w:val="0"/>
                <w:lang w:eastAsia="en-GB" w:bidi="ar-SA"/>
              </w:rPr>
              <w:fldChar w:fldCharType="separate"/>
            </w:r>
            <w:r w:rsidRPr="002D79FB">
              <w:rPr>
                <w:rFonts w:cs="Arial"/>
                <w:bCs w:val="0"/>
                <w:noProof/>
                <w:lang w:eastAsia="en-GB" w:bidi="ar-SA"/>
              </w:rPr>
              <w:t>(EFSA, 2013)</w:t>
            </w:r>
            <w:r w:rsidRPr="002D79FB">
              <w:rPr>
                <w:rFonts w:cs="Arial"/>
                <w:bCs w:val="0"/>
                <w:lang w:eastAsia="en-GB" w:bidi="ar-SA"/>
              </w:rPr>
              <w:fldChar w:fldCharType="end"/>
            </w:r>
            <w:r w:rsidRPr="002D79FB">
              <w:rPr>
                <w:rFonts w:cs="Arial"/>
                <w:bCs w:val="0"/>
                <w:lang w:eastAsia="en-GB" w:bidi="ar-SA"/>
              </w:rPr>
              <w:t>.</w:t>
            </w:r>
          </w:p>
          <w:p w:rsidR="00A62B14" w:rsidRPr="002D79FB" w:rsidRDefault="00A62B14" w:rsidP="006C2DDF">
            <w:pPr>
              <w:pStyle w:val="Table2"/>
              <w:cnfStyle w:val="000000100000" w:firstRow="0" w:lastRow="0" w:firstColumn="0" w:lastColumn="0" w:oddVBand="0" w:evenVBand="0" w:oddHBand="1" w:evenHBand="0" w:firstRowFirstColumn="0" w:firstRowLastColumn="0" w:lastRowFirstColumn="0" w:lastRowLastColumn="0"/>
              <w:rPr>
                <w:bCs w:val="0"/>
              </w:rPr>
            </w:pPr>
          </w:p>
        </w:tc>
      </w:tr>
      <w:tr w:rsidR="006F66B2" w:rsidRPr="009C5D87" w:rsidTr="007A1E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shd w:val="clear" w:color="auto" w:fill="auto"/>
          </w:tcPr>
          <w:p w:rsidR="006F66B2" w:rsidRPr="006C2DDF" w:rsidRDefault="006F66B2" w:rsidP="006C2DDF">
            <w:pPr>
              <w:pStyle w:val="Table2"/>
            </w:pPr>
            <w:r w:rsidRPr="006C2DDF">
              <w:t>Lack of independent research</w:t>
            </w:r>
          </w:p>
        </w:tc>
        <w:tc>
          <w:tcPr>
            <w:tcW w:w="2268" w:type="dxa"/>
            <w:tcBorders>
              <w:left w:val="single" w:sz="4" w:space="0" w:color="auto"/>
              <w:right w:val="single" w:sz="4" w:space="0" w:color="auto"/>
            </w:tcBorders>
            <w:shd w:val="clear" w:color="auto" w:fill="auto"/>
          </w:tcPr>
          <w:p w:rsidR="006F66B2" w:rsidRPr="007A1E05" w:rsidRDefault="006F66B2" w:rsidP="00737AC5">
            <w:pPr>
              <w:pStyle w:val="Table2"/>
              <w:cnfStyle w:val="000000010000" w:firstRow="0" w:lastRow="0" w:firstColumn="0" w:lastColumn="0" w:oddVBand="0" w:evenVBand="0" w:oddHBand="0" w:evenHBand="1" w:firstRowFirstColumn="0" w:firstRowLastColumn="0" w:lastRowFirstColumn="0" w:lastRowLastColumn="0"/>
              <w:rPr>
                <w:color w:val="000000" w:themeColor="text1"/>
              </w:rPr>
            </w:pPr>
            <w:r w:rsidRPr="007A1E05">
              <w:rPr>
                <w:color w:val="000000" w:themeColor="text1"/>
              </w:rPr>
              <w:t>Kerry Beake</w:t>
            </w:r>
          </w:p>
          <w:p w:rsidR="006F66B2" w:rsidRPr="007A1E05" w:rsidRDefault="006F66B2" w:rsidP="002B541E">
            <w:pPr>
              <w:pStyle w:val="Table2"/>
              <w:cnfStyle w:val="000000010000" w:firstRow="0" w:lastRow="0" w:firstColumn="0" w:lastColumn="0" w:oddVBand="0" w:evenVBand="0" w:oddHBand="0" w:evenHBand="1" w:firstRowFirstColumn="0" w:firstRowLastColumn="0" w:lastRowFirstColumn="0" w:lastRowLastColumn="0"/>
              <w:rPr>
                <w:color w:val="000000" w:themeColor="text1"/>
              </w:rPr>
            </w:pPr>
          </w:p>
        </w:tc>
        <w:tc>
          <w:tcPr>
            <w:tcW w:w="5165" w:type="dxa"/>
            <w:tcBorders>
              <w:left w:val="single" w:sz="4" w:space="0" w:color="auto"/>
            </w:tcBorders>
            <w:shd w:val="clear" w:color="auto" w:fill="auto"/>
          </w:tcPr>
          <w:p w:rsidR="006F66B2" w:rsidRDefault="006F66B2" w:rsidP="006C2DDF">
            <w:pPr>
              <w:pStyle w:val="Table2"/>
              <w:cnfStyle w:val="000000010000" w:firstRow="0" w:lastRow="0" w:firstColumn="0" w:lastColumn="0" w:oddVBand="0" w:evenVBand="0" w:oddHBand="0" w:evenHBand="1" w:firstRowFirstColumn="0" w:firstRowLastColumn="0" w:lastRowFirstColumn="0" w:lastRowLastColumn="0"/>
              <w:rPr>
                <w:rFonts w:cs="Arial"/>
                <w:lang w:val="en-US" w:eastAsia="en-GB" w:bidi="ar-SA"/>
              </w:rPr>
            </w:pPr>
            <w:r w:rsidRPr="006C2DDF">
              <w:rPr>
                <w:rFonts w:cs="Arial"/>
                <w:bCs w:val="0"/>
                <w:lang w:val="en-US" w:eastAsia="en-GB" w:bidi="ar-SA"/>
              </w:rPr>
              <w:t xml:space="preserve">FSANZ requires the developer of any new GM food to demonstrate its safety. The data required </w:t>
            </w:r>
            <w:r w:rsidR="00650A56">
              <w:rPr>
                <w:rFonts w:cs="Arial"/>
                <w:bCs w:val="0"/>
                <w:lang w:val="en-US" w:eastAsia="en-GB" w:bidi="ar-SA"/>
              </w:rPr>
              <w:t xml:space="preserve">in the </w:t>
            </w:r>
            <w:r w:rsidR="00650A56" w:rsidRPr="00650A56">
              <w:rPr>
                <w:rFonts w:cs="Arial"/>
                <w:bCs w:val="0"/>
                <w:i/>
                <w:lang w:val="en-US" w:eastAsia="en-GB" w:bidi="ar-SA"/>
              </w:rPr>
              <w:t>Application Handbook</w:t>
            </w:r>
            <w:r w:rsidR="00650A56">
              <w:rPr>
                <w:rFonts w:cs="Arial"/>
                <w:bCs w:val="0"/>
                <w:lang w:val="en-US" w:eastAsia="en-GB" w:bidi="ar-SA"/>
              </w:rPr>
              <w:t xml:space="preserve"> </w:t>
            </w:r>
            <w:r w:rsidRPr="006C2DDF">
              <w:rPr>
                <w:rFonts w:cs="Arial"/>
                <w:bCs w:val="0"/>
                <w:lang w:val="en-US" w:eastAsia="en-GB" w:bidi="ar-SA"/>
              </w:rPr>
              <w:t>are specified and must be generated according to quality assurance guidelines that are based on internationally accepted protocols and be able to withstand external scrutiny. FSANZ independently assesses the data provided by the developer to reach a conclusion about the safety of the food.</w:t>
            </w:r>
          </w:p>
          <w:p w:rsidR="002D79FB" w:rsidRPr="006C2DDF" w:rsidRDefault="002D79FB" w:rsidP="006C2DDF">
            <w:pPr>
              <w:pStyle w:val="Table2"/>
              <w:cnfStyle w:val="000000010000" w:firstRow="0" w:lastRow="0" w:firstColumn="0" w:lastColumn="0" w:oddVBand="0" w:evenVBand="0" w:oddHBand="0" w:evenHBand="1" w:firstRowFirstColumn="0" w:firstRowLastColumn="0" w:lastRowFirstColumn="0" w:lastRowLastColumn="0"/>
              <w:rPr>
                <w:rFonts w:cs="Arial"/>
                <w:lang w:val="en-US" w:eastAsia="en-GB" w:bidi="ar-SA"/>
              </w:rPr>
            </w:pPr>
          </w:p>
          <w:p w:rsidR="006F66B2" w:rsidRPr="002D79FB" w:rsidRDefault="006F66B2" w:rsidP="006C2DDF">
            <w:pPr>
              <w:pStyle w:val="Table2"/>
              <w:cnfStyle w:val="000000010000" w:firstRow="0" w:lastRow="0" w:firstColumn="0" w:lastColumn="0" w:oddVBand="0" w:evenVBand="0" w:oddHBand="0" w:evenHBand="1" w:firstRowFirstColumn="0" w:firstRowLastColumn="0" w:lastRowFirstColumn="0" w:lastRowLastColumn="0"/>
            </w:pPr>
            <w:r w:rsidRPr="006C2DDF">
              <w:rPr>
                <w:rFonts w:cs="Arial"/>
                <w:bCs w:val="0"/>
                <w:lang w:val="en-US" w:eastAsia="en-GB" w:bidi="ar-SA"/>
              </w:rPr>
              <w:t>FSANZ complements data generated by the developer with information from the scientific literature, other applications, other government agencies and the public.</w:t>
            </w:r>
          </w:p>
          <w:p w:rsidR="006F66B2" w:rsidRPr="002D79FB" w:rsidRDefault="006F66B2" w:rsidP="006C2DDF">
            <w:pPr>
              <w:pStyle w:val="Table2"/>
              <w:cnfStyle w:val="000000010000" w:firstRow="0" w:lastRow="0" w:firstColumn="0" w:lastColumn="0" w:oddVBand="0" w:evenVBand="0" w:oddHBand="0" w:evenHBand="1" w:firstRowFirstColumn="0" w:firstRowLastColumn="0" w:lastRowFirstColumn="0" w:lastRowLastColumn="0"/>
              <w:rPr>
                <w:bCs w:val="0"/>
              </w:rPr>
            </w:pPr>
          </w:p>
          <w:p w:rsidR="006F66B2" w:rsidRPr="006C2DDF" w:rsidRDefault="006F66B2" w:rsidP="006C2DDF">
            <w:pPr>
              <w:pStyle w:val="Table2"/>
              <w:cnfStyle w:val="000000010000" w:firstRow="0" w:lastRow="0" w:firstColumn="0" w:lastColumn="0" w:oddVBand="0" w:evenVBand="0" w:oddHBand="0" w:evenHBand="1" w:firstRowFirstColumn="0" w:firstRowLastColumn="0" w:lastRowFirstColumn="0" w:lastRowLastColumn="0"/>
              <w:rPr>
                <w:bCs w:val="0"/>
              </w:rPr>
            </w:pPr>
            <w:r w:rsidRPr="006C2DDF">
              <w:rPr>
                <w:bCs w:val="0"/>
              </w:rPr>
              <w:t>FSA</w:t>
            </w:r>
            <w:r w:rsidR="00E45CB3" w:rsidRPr="006C2DDF">
              <w:rPr>
                <w:bCs w:val="0"/>
              </w:rPr>
              <w:t>NZ has addressed this issue</w:t>
            </w:r>
            <w:r w:rsidRPr="006C2DDF">
              <w:rPr>
                <w:bCs w:val="0"/>
              </w:rPr>
              <w:t xml:space="preserve"> on the website at </w:t>
            </w:r>
            <w:hyperlink r:id="rId23" w:history="1">
              <w:r w:rsidRPr="006C2DDF">
                <w:rPr>
                  <w:rStyle w:val="Hyperlink"/>
                  <w:bCs w:val="0"/>
                  <w:color w:val="auto"/>
                  <w:u w:val="none"/>
                </w:rPr>
                <w:t>http://www.foodstandards.gov.au/consumer/gmfood/safety/Pages/default.aspx</w:t>
              </w:r>
            </w:hyperlink>
          </w:p>
          <w:p w:rsidR="006F66B2" w:rsidRPr="002D79FB" w:rsidRDefault="006F66B2" w:rsidP="006C2DDF">
            <w:pPr>
              <w:pStyle w:val="Table2"/>
              <w:cnfStyle w:val="000000010000" w:firstRow="0" w:lastRow="0" w:firstColumn="0" w:lastColumn="0" w:oddVBand="0" w:evenVBand="0" w:oddHBand="0" w:evenHBand="1" w:firstRowFirstColumn="0" w:firstRowLastColumn="0" w:lastRowFirstColumn="0" w:lastRowLastColumn="0"/>
              <w:rPr>
                <w:bCs w:val="0"/>
              </w:rPr>
            </w:pPr>
          </w:p>
        </w:tc>
      </w:tr>
      <w:tr w:rsidR="00CD2A03" w:rsidRPr="009C5D87" w:rsidTr="0088511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shd w:val="clear" w:color="auto" w:fill="EAF1DD" w:themeFill="accent3" w:themeFillTint="33"/>
          </w:tcPr>
          <w:p w:rsidR="00CD2A03" w:rsidRPr="00CD2A03" w:rsidRDefault="004341D9" w:rsidP="006C2DDF">
            <w:pPr>
              <w:pStyle w:val="Table2"/>
              <w:rPr>
                <w:b w:val="0"/>
                <w:bCs/>
              </w:rPr>
            </w:pPr>
            <w:r>
              <w:lastRenderedPageBreak/>
              <w:t>What</w:t>
            </w:r>
            <w:r w:rsidR="00CD2A03" w:rsidRPr="00CD2A03">
              <w:t xml:space="preserve"> procedures </w:t>
            </w:r>
            <w:r>
              <w:t>FSANZ would follow</w:t>
            </w:r>
            <w:r w:rsidR="00CD2A03" w:rsidRPr="00CD2A03">
              <w:t xml:space="preserve"> if an approved GM line was subsequently found to raise safety concerns</w:t>
            </w:r>
          </w:p>
        </w:tc>
        <w:tc>
          <w:tcPr>
            <w:tcW w:w="2268" w:type="dxa"/>
            <w:tcBorders>
              <w:left w:val="single" w:sz="4" w:space="0" w:color="auto"/>
              <w:right w:val="single" w:sz="4" w:space="0" w:color="auto"/>
            </w:tcBorders>
            <w:shd w:val="clear" w:color="auto" w:fill="EAF1DD" w:themeFill="accent3" w:themeFillTint="33"/>
          </w:tcPr>
          <w:p w:rsidR="00CD2A03" w:rsidRPr="007A1E05" w:rsidRDefault="00CD2A03" w:rsidP="00737AC5">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Kerry Beake</w:t>
            </w:r>
          </w:p>
        </w:tc>
        <w:tc>
          <w:tcPr>
            <w:tcW w:w="5165" w:type="dxa"/>
            <w:tcBorders>
              <w:left w:val="single" w:sz="4" w:space="0" w:color="auto"/>
            </w:tcBorders>
            <w:shd w:val="clear" w:color="auto" w:fill="EAF1DD" w:themeFill="accent3" w:themeFillTint="33"/>
          </w:tcPr>
          <w:p w:rsidR="00CD2A03" w:rsidRDefault="00F35DD5" w:rsidP="006C2DDF">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r w:rsidRPr="004341D9">
              <w:t xml:space="preserve">From time to time studies claiming to show adverse effects from the consumption of GM foods have been published and FSANZ has procedures in place to review these (see </w:t>
            </w:r>
            <w:hyperlink r:id="rId24" w:history="1">
              <w:r w:rsidRPr="004341D9">
                <w:rPr>
                  <w:rStyle w:val="Hyperlink"/>
                  <w:color w:val="0000FF"/>
                  <w:szCs w:val="18"/>
                </w:rPr>
                <w:t>http://www.foodstandards.gov.au/consumer/gmfood/adverse/Pages/default.aspx</w:t>
              </w:r>
            </w:hyperlink>
            <w:r>
              <w:rPr>
                <w:rStyle w:val="Hyperlink"/>
                <w:color w:val="0000FF"/>
                <w:szCs w:val="18"/>
              </w:rPr>
              <w:t>)</w:t>
            </w:r>
            <w:r w:rsidRPr="004341D9">
              <w:rPr>
                <w:color w:val="000000" w:themeColor="text1"/>
              </w:rPr>
              <w:t xml:space="preserve">. The agency also liaises with other national food regulatory agencies to maintain a watching brief on any potential safety issues with internationally traded foods whether GM or not. If </w:t>
            </w:r>
            <w:r w:rsidR="00650A56">
              <w:rPr>
                <w:color w:val="000000" w:themeColor="text1"/>
              </w:rPr>
              <w:t xml:space="preserve">it considers that a particular food raises safety concerns, </w:t>
            </w:r>
            <w:r w:rsidRPr="004341D9">
              <w:rPr>
                <w:color w:val="000000" w:themeColor="text1"/>
              </w:rPr>
              <w:t>FSANZ would have no hesitation in liaising with the relevant enforcement agencies to initiate action to prevent the food in question from entering the food supply or, if it were already present, to have the food removed.</w:t>
            </w:r>
          </w:p>
          <w:p w:rsidR="00F35DD5" w:rsidRPr="004341D9" w:rsidRDefault="00F35DD5" w:rsidP="006C2DDF">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tc>
      </w:tr>
      <w:tr w:rsidR="00CD2A03" w:rsidRPr="009C5D87" w:rsidTr="007A1E0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shd w:val="clear" w:color="auto" w:fill="auto"/>
          </w:tcPr>
          <w:p w:rsidR="00CD2A03" w:rsidRPr="00CD2A03" w:rsidRDefault="00CD2A03" w:rsidP="006C2DDF">
            <w:pPr>
              <w:pStyle w:val="Table2"/>
              <w:rPr>
                <w:b w:val="0"/>
                <w:bCs/>
              </w:rPr>
            </w:pPr>
            <w:r>
              <w:t>Lack of post-market monitoring of GM foods once they are approved</w:t>
            </w:r>
          </w:p>
        </w:tc>
        <w:tc>
          <w:tcPr>
            <w:tcW w:w="2268" w:type="dxa"/>
            <w:tcBorders>
              <w:left w:val="single" w:sz="4" w:space="0" w:color="auto"/>
              <w:right w:val="single" w:sz="4" w:space="0" w:color="auto"/>
            </w:tcBorders>
            <w:shd w:val="clear" w:color="auto" w:fill="auto"/>
          </w:tcPr>
          <w:p w:rsidR="00CD2A03" w:rsidRDefault="00CD2A03" w:rsidP="00737AC5">
            <w:pPr>
              <w:pStyle w:val="Table2"/>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PSGR</w:t>
            </w:r>
          </w:p>
        </w:tc>
        <w:tc>
          <w:tcPr>
            <w:tcW w:w="5165" w:type="dxa"/>
            <w:tcBorders>
              <w:left w:val="single" w:sz="4" w:space="0" w:color="auto"/>
            </w:tcBorders>
            <w:shd w:val="clear" w:color="auto" w:fill="auto"/>
          </w:tcPr>
          <w:p w:rsidR="00CD2A03" w:rsidRPr="00CD2A03" w:rsidRDefault="00CD2A03" w:rsidP="006C2DDF">
            <w:pPr>
              <w:pStyle w:val="Table2"/>
              <w:cnfStyle w:val="000000010000" w:firstRow="0" w:lastRow="0" w:firstColumn="0" w:lastColumn="0" w:oddVBand="0" w:evenVBand="0" w:oddHBand="0" w:evenHBand="1" w:firstRowFirstColumn="0" w:firstRowLastColumn="0" w:lastRowFirstColumn="0" w:lastRowLastColumn="0"/>
              <w:rPr>
                <w:rFonts w:cs="Arial"/>
              </w:rPr>
            </w:pPr>
            <w:r w:rsidRPr="00CD2A03">
              <w:rPr>
                <w:rFonts w:eastAsiaTheme="minorHAnsi" w:cs="Arial"/>
                <w:color w:val="000000" w:themeColor="text1"/>
              </w:rPr>
              <w:t xml:space="preserve">In the context of a GM food </w:t>
            </w:r>
            <w:r w:rsidRPr="00CD2A03">
              <w:rPr>
                <w:rFonts w:cs="Arial"/>
                <w:color w:val="000000" w:themeColor="text1"/>
              </w:rPr>
              <w:t>it has been recognised internationally that the use of pre-m</w:t>
            </w:r>
            <w:r w:rsidR="00650A56">
              <w:rPr>
                <w:rFonts w:cs="Arial"/>
                <w:color w:val="000000" w:themeColor="text1"/>
              </w:rPr>
              <w:t xml:space="preserve">arket safety assessment </w:t>
            </w:r>
            <w:r w:rsidRPr="00CD2A03">
              <w:rPr>
                <w:rFonts w:cs="Arial"/>
                <w:color w:val="000000" w:themeColor="text1"/>
              </w:rPr>
              <w:t xml:space="preserve">provides assurance that </w:t>
            </w:r>
            <w:r w:rsidRPr="00CD2A03">
              <w:rPr>
                <w:rFonts w:cs="Arial"/>
              </w:rPr>
              <w:t>a GM food is comparable to its conventional counterpart in relation to health risks and benefits, therefore the likelihood of identifying long-term effects specifically attributable to GM foods</w:t>
            </w:r>
            <w:r w:rsidR="0088511D">
              <w:rPr>
                <w:rFonts w:cs="Arial"/>
              </w:rPr>
              <w:t xml:space="preserve"> would be very low </w:t>
            </w:r>
            <w:r w:rsidR="0088511D">
              <w:rPr>
                <w:rFonts w:cs="Arial"/>
              </w:rPr>
              <w:fldChar w:fldCharType="begin"/>
            </w:r>
            <w:r w:rsidR="00A34D65">
              <w:rPr>
                <w:rFonts w:cs="Arial"/>
              </w:rPr>
              <w:instrText xml:space="preserve"> ADDIN REFMGR.CITE &lt;Refman&gt;&lt;Cite&gt;&lt;Author&gt;WHO&lt;/Author&gt;&lt;Year&gt;2000&lt;/Year&gt;&lt;RecNum&gt;1603&lt;/RecNum&gt;&lt;IDText&gt;Safety aspects of genetically modified foods of plant origin. Report of a Joint FAO/WHO Expert Consultation on foods derived frm biotechnology&lt;/IDText&gt;&lt;MDL Ref_Type="Report"&gt;&lt;Ref_Type&gt;Report&lt;/Ref_Type&gt;&lt;Ref_ID&gt;1603&lt;/Ref_ID&gt;&lt;Title_Primary&gt;Safety aspects of genetically modified foods of plant origin. Report of a Joint FAO/WHO Expert Consultation on foods derived frm biotechnology&lt;/Title_Primary&gt;&lt;Authors_Primary&gt;WHO&lt;/Authors_Primary&gt;&lt;Date_Primary&gt;2000&lt;/Date_Primary&gt;&lt;Keywords&gt;Biotechnology&lt;/Keywords&gt;&lt;Keywords&gt;Safety&lt;/Keywords&gt;&lt;Reprint&gt;Not in File&lt;/Reprint&gt;&lt;Pub_Place&gt;Geneva&lt;/Pub_Place&gt;&lt;Publisher&gt;World Health Organization&lt;/Publisher&gt;&lt;Web_URL&gt;&lt;u&gt;http://www.who.int/foodsafety/publications/biotech/en/ec_june2000_en.pdf&lt;/u&gt;&lt;/Web_URL&gt;&lt;Web_URL_Link2&gt;&lt;u&gt;file://F:\Risk Assessment - Chemical Safety\GMO - shared\References\GM References\WHO_2000_safety aspects of GM foods.pdf&lt;/u&gt;&lt;/Web_URL_Link2&gt;&lt;ZZ_WorkformID&gt;24&lt;/ZZ_WorkformID&gt;&lt;/MDL&gt;&lt;/Cite&gt;&lt;/Refman&gt;</w:instrText>
            </w:r>
            <w:r w:rsidR="0088511D">
              <w:rPr>
                <w:rFonts w:cs="Arial"/>
              </w:rPr>
              <w:fldChar w:fldCharType="separate"/>
            </w:r>
            <w:r w:rsidR="0088511D">
              <w:rPr>
                <w:rFonts w:cs="Arial"/>
                <w:noProof/>
              </w:rPr>
              <w:t>(WHO, 2000)</w:t>
            </w:r>
            <w:r w:rsidR="0088511D">
              <w:rPr>
                <w:rFonts w:cs="Arial"/>
              </w:rPr>
              <w:fldChar w:fldCharType="end"/>
            </w:r>
            <w:r w:rsidRPr="00CD2A03">
              <w:rPr>
                <w:rFonts w:cs="Arial"/>
              </w:rPr>
              <w:t>. Moreover, the practicality of using post-market monitoring (PMM) to assess the long-term human health impacts of consuming GM foods has not been established.</w:t>
            </w:r>
          </w:p>
          <w:p w:rsidR="00CD2A03" w:rsidRPr="00CD2A03" w:rsidRDefault="00CD2A03" w:rsidP="006C2DDF">
            <w:pPr>
              <w:pStyle w:val="Table2"/>
              <w:cnfStyle w:val="000000010000" w:firstRow="0" w:lastRow="0" w:firstColumn="0" w:lastColumn="0" w:oddVBand="0" w:evenVBand="0" w:oddHBand="0" w:evenHBand="1" w:firstRowFirstColumn="0" w:firstRowLastColumn="0" w:lastRowFirstColumn="0" w:lastRowLastColumn="0"/>
              <w:rPr>
                <w:rFonts w:cs="Arial"/>
              </w:rPr>
            </w:pPr>
          </w:p>
          <w:p w:rsidR="00CD2A03" w:rsidRPr="00CD2A03" w:rsidRDefault="00CD2A03" w:rsidP="006C2DDF">
            <w:pPr>
              <w:pStyle w:val="Table2"/>
              <w:cnfStyle w:val="000000010000" w:firstRow="0" w:lastRow="0" w:firstColumn="0" w:lastColumn="0" w:oddVBand="0" w:evenVBand="0" w:oddHBand="0" w:evenHBand="1" w:firstRowFirstColumn="0" w:firstRowLastColumn="0" w:lastRowFirstColumn="0" w:lastRowLastColumn="0"/>
              <w:rPr>
                <w:rFonts w:cs="Arial"/>
              </w:rPr>
            </w:pPr>
            <w:r w:rsidRPr="00CD2A03">
              <w:rPr>
                <w:rFonts w:cs="Arial"/>
              </w:rPr>
              <w:t>Many chronic health problems have complex causes and it is unlikely that observational epidemiological studies could identify such effects specifically related to GM foods. The same also applies to the identification of potential long-term beneficial health effects.</w:t>
            </w:r>
          </w:p>
          <w:p w:rsidR="00CD2A03" w:rsidRPr="00CD2A03" w:rsidRDefault="00CD2A03" w:rsidP="006C2DDF">
            <w:pPr>
              <w:pStyle w:val="Table2"/>
              <w:cnfStyle w:val="000000010000" w:firstRow="0" w:lastRow="0" w:firstColumn="0" w:lastColumn="0" w:oddVBand="0" w:evenVBand="0" w:oddHBand="0" w:evenHBand="1" w:firstRowFirstColumn="0" w:firstRowLastColumn="0" w:lastRowFirstColumn="0" w:lastRowLastColumn="0"/>
              <w:rPr>
                <w:rFonts w:cs="Arial"/>
              </w:rPr>
            </w:pPr>
          </w:p>
          <w:p w:rsidR="00CD2A03" w:rsidRPr="00CD2A03" w:rsidRDefault="00CD2A03" w:rsidP="006C2DDF">
            <w:pPr>
              <w:pStyle w:val="Table2"/>
              <w:cnfStyle w:val="000000010000" w:firstRow="0" w:lastRow="0" w:firstColumn="0" w:lastColumn="0" w:oddVBand="0" w:evenVBand="0" w:oddHBand="0" w:evenHBand="1" w:firstRowFirstColumn="0" w:firstRowLastColumn="0" w:lastRowFirstColumn="0" w:lastRowLastColumn="0"/>
              <w:rPr>
                <w:rFonts w:cs="Arial"/>
              </w:rPr>
            </w:pPr>
            <w:r w:rsidRPr="00CD2A03">
              <w:rPr>
                <w:rFonts w:cs="Arial"/>
              </w:rPr>
              <w:t>In general, therefore, FSANZ does not consider PMM to be a practical, enforceable or effective risk management option. This is particularly the case where passive monitoring or general health surveillance, which does not address a specific hypothesis, is proposed.</w:t>
            </w:r>
          </w:p>
          <w:p w:rsidR="00CD2A03" w:rsidRPr="00CD2A03" w:rsidRDefault="00CD2A03" w:rsidP="006C2DDF">
            <w:pPr>
              <w:pStyle w:val="Table2"/>
              <w:cnfStyle w:val="000000010000" w:firstRow="0" w:lastRow="0" w:firstColumn="0" w:lastColumn="0" w:oddVBand="0" w:evenVBand="0" w:oddHBand="0" w:evenHBand="1" w:firstRowFirstColumn="0" w:firstRowLastColumn="0" w:lastRowFirstColumn="0" w:lastRowLastColumn="0"/>
              <w:rPr>
                <w:rFonts w:cs="Arial"/>
              </w:rPr>
            </w:pPr>
          </w:p>
          <w:p w:rsidR="00CD2A03" w:rsidRDefault="00CD2A03" w:rsidP="006C2DDF">
            <w:pPr>
              <w:pStyle w:val="Table2"/>
              <w:cnfStyle w:val="000000010000" w:firstRow="0" w:lastRow="0" w:firstColumn="0" w:lastColumn="0" w:oddVBand="0" w:evenVBand="0" w:oddHBand="0" w:evenHBand="1" w:firstRowFirstColumn="0" w:firstRowLastColumn="0" w:lastRowFirstColumn="0" w:lastRowLastColumn="0"/>
              <w:rPr>
                <w:rFonts w:cs="Arial"/>
              </w:rPr>
            </w:pPr>
            <w:r w:rsidRPr="00CD2A03">
              <w:rPr>
                <w:rFonts w:cs="Arial"/>
              </w:rPr>
              <w:t>Nevertheless it is recognised that PMM may be an appropriate risk management measure in certain circumstances, e.g. where a GM food has been developed specifically to produce a nutritional effect in the population and it may therefore be desirable to confirm assumptions made during the risk assessment. FSANZ decides the need for PMM on a case-by-case basis, taking into account the unique characteristics of the GM food and the feasibility of undertaking such a study.</w:t>
            </w:r>
          </w:p>
          <w:p w:rsidR="00737AC5" w:rsidRPr="00CD2A03" w:rsidRDefault="00737AC5" w:rsidP="006C2DDF">
            <w:pPr>
              <w:pStyle w:val="Table2"/>
              <w:cnfStyle w:val="000000010000" w:firstRow="0" w:lastRow="0" w:firstColumn="0" w:lastColumn="0" w:oddVBand="0" w:evenVBand="0" w:oddHBand="0" w:evenHBand="1" w:firstRowFirstColumn="0" w:firstRowLastColumn="0" w:lastRowFirstColumn="0" w:lastRowLastColumn="0"/>
              <w:rPr>
                <w:color w:val="000000" w:themeColor="text1"/>
              </w:rPr>
            </w:pPr>
          </w:p>
        </w:tc>
      </w:tr>
      <w:tr w:rsidR="004341D9" w:rsidRPr="009C5D87" w:rsidTr="00F35D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9" w:type="dxa"/>
            <w:tcBorders>
              <w:right w:val="single" w:sz="4" w:space="0" w:color="auto"/>
            </w:tcBorders>
            <w:shd w:val="clear" w:color="auto" w:fill="EAF1DD" w:themeFill="accent3" w:themeFillTint="33"/>
          </w:tcPr>
          <w:p w:rsidR="00F35DD5" w:rsidRDefault="00F35DD5" w:rsidP="006C2DDF">
            <w:pPr>
              <w:pStyle w:val="Table2"/>
              <w:rPr>
                <w:b w:val="0"/>
                <w:bCs/>
                <w:lang w:eastAsia="en-GB" w:bidi="ar-SA"/>
              </w:rPr>
            </w:pPr>
            <w:r>
              <w:rPr>
                <w:lang w:eastAsia="en-GB" w:bidi="ar-SA"/>
              </w:rPr>
              <w:lastRenderedPageBreak/>
              <w:t>Substantial equivalence</w:t>
            </w:r>
          </w:p>
          <w:p w:rsidR="00F35DD5" w:rsidRDefault="00F35DD5" w:rsidP="00F35DD5">
            <w:pPr>
              <w:pStyle w:val="Table2"/>
              <w:ind w:left="0" w:firstLine="0"/>
              <w:rPr>
                <w:rFonts w:cs="Arial"/>
                <w:szCs w:val="22"/>
                <w:lang w:eastAsia="en-GB" w:bidi="ar-SA"/>
              </w:rPr>
            </w:pPr>
          </w:p>
          <w:p w:rsidR="004341D9" w:rsidRDefault="004341D9" w:rsidP="004341D9">
            <w:pPr>
              <w:pStyle w:val="Table2"/>
              <w:numPr>
                <w:ilvl w:val="0"/>
                <w:numId w:val="19"/>
              </w:numPr>
              <w:ind w:left="142" w:hanging="142"/>
              <w:rPr>
                <w:rFonts w:cs="Arial"/>
                <w:szCs w:val="22"/>
                <w:lang w:eastAsia="en-GB" w:bidi="ar-SA"/>
              </w:rPr>
            </w:pPr>
            <w:r w:rsidRPr="004341D9">
              <w:rPr>
                <w:rFonts w:cs="Arial"/>
                <w:szCs w:val="22"/>
                <w:lang w:eastAsia="en-GB" w:bidi="ar-SA"/>
              </w:rPr>
              <w:t>‘Substantially equivalent’ is not a scientific measure and should not be used to quantify the safety of any GM crop.</w:t>
            </w:r>
          </w:p>
          <w:p w:rsidR="00F35DD5" w:rsidRPr="004341D9" w:rsidRDefault="00F35DD5" w:rsidP="00F35DD5">
            <w:pPr>
              <w:pStyle w:val="Table2"/>
              <w:ind w:left="0" w:firstLine="0"/>
              <w:rPr>
                <w:rFonts w:cs="Arial"/>
                <w:szCs w:val="22"/>
                <w:lang w:eastAsia="en-GB" w:bidi="ar-SA"/>
              </w:rPr>
            </w:pPr>
          </w:p>
          <w:p w:rsidR="004341D9" w:rsidRPr="004341D9" w:rsidRDefault="004341D9" w:rsidP="004341D9">
            <w:pPr>
              <w:pStyle w:val="ListParagraph"/>
              <w:numPr>
                <w:ilvl w:val="0"/>
                <w:numId w:val="19"/>
              </w:numPr>
              <w:autoSpaceDE w:val="0"/>
              <w:autoSpaceDN w:val="0"/>
              <w:adjustRightInd w:val="0"/>
              <w:ind w:left="142" w:hanging="142"/>
              <w:rPr>
                <w:rFonts w:ascii="Arial" w:hAnsi="Arial" w:cs="Arial"/>
                <w:sz w:val="18"/>
                <w:szCs w:val="18"/>
                <w:lang w:eastAsia="en-GB"/>
              </w:rPr>
            </w:pPr>
            <w:r w:rsidRPr="004341D9">
              <w:rPr>
                <w:rFonts w:ascii="Arial" w:hAnsi="Arial" w:cs="Arial"/>
                <w:sz w:val="18"/>
                <w:szCs w:val="18"/>
                <w:lang w:eastAsia="en-GB"/>
              </w:rPr>
              <w:t>Any food plant with novel engineered DNA</w:t>
            </w:r>
            <w:r>
              <w:rPr>
                <w:rFonts w:ascii="Arial" w:hAnsi="Arial" w:cs="Arial"/>
                <w:sz w:val="18"/>
                <w:szCs w:val="18"/>
                <w:lang w:eastAsia="en-GB"/>
              </w:rPr>
              <w:t xml:space="preserve"> </w:t>
            </w:r>
            <w:r w:rsidRPr="004341D9">
              <w:rPr>
                <w:rFonts w:ascii="Arial" w:hAnsi="Arial" w:cs="Arial"/>
                <w:sz w:val="18"/>
                <w:szCs w:val="18"/>
                <w:lang w:eastAsia="en-GB"/>
              </w:rPr>
              <w:t>is not “equivalent” to a conventional food plant’.</w:t>
            </w:r>
          </w:p>
          <w:p w:rsidR="004341D9" w:rsidRDefault="004341D9" w:rsidP="002B541E">
            <w:pPr>
              <w:pStyle w:val="Table2"/>
              <w:ind w:left="0" w:firstLine="0"/>
              <w:rPr>
                <w:color w:val="000000" w:themeColor="text1"/>
                <w:szCs w:val="18"/>
              </w:rPr>
            </w:pPr>
          </w:p>
        </w:tc>
        <w:tc>
          <w:tcPr>
            <w:tcW w:w="2268" w:type="dxa"/>
            <w:tcBorders>
              <w:left w:val="single" w:sz="4" w:space="0" w:color="auto"/>
              <w:right w:val="single" w:sz="4" w:space="0" w:color="auto"/>
            </w:tcBorders>
            <w:shd w:val="clear" w:color="auto" w:fill="EAF1DD" w:themeFill="accent3" w:themeFillTint="33"/>
          </w:tcPr>
          <w:p w:rsidR="00F35DD5" w:rsidRDefault="00F35DD5" w:rsidP="00F35DD5">
            <w:pPr>
              <w:pStyle w:val="Table2"/>
              <w:ind w:left="318" w:firstLine="0"/>
              <w:cnfStyle w:val="000000100000" w:firstRow="0" w:lastRow="0" w:firstColumn="0" w:lastColumn="0" w:oddVBand="0" w:evenVBand="0" w:oddHBand="1" w:evenHBand="0" w:firstRowFirstColumn="0" w:firstRowLastColumn="0" w:lastRowFirstColumn="0" w:lastRowLastColumn="0"/>
              <w:rPr>
                <w:color w:val="000000" w:themeColor="text1"/>
              </w:rPr>
            </w:pPr>
          </w:p>
          <w:p w:rsidR="00F35DD5" w:rsidRDefault="00F35DD5" w:rsidP="00F35DD5">
            <w:pPr>
              <w:pStyle w:val="Table2"/>
              <w:ind w:left="318" w:firstLine="0"/>
              <w:cnfStyle w:val="000000100000" w:firstRow="0" w:lastRow="0" w:firstColumn="0" w:lastColumn="0" w:oddVBand="0" w:evenVBand="0" w:oddHBand="1" w:evenHBand="0" w:firstRowFirstColumn="0" w:firstRowLastColumn="0" w:lastRowFirstColumn="0" w:lastRowLastColumn="0"/>
              <w:rPr>
                <w:color w:val="000000" w:themeColor="text1"/>
              </w:rPr>
            </w:pPr>
          </w:p>
          <w:p w:rsidR="00F35DD5" w:rsidRDefault="00F35DD5" w:rsidP="00F35DD5">
            <w:pPr>
              <w:pStyle w:val="Table2"/>
              <w:ind w:left="318" w:firstLine="0"/>
              <w:cnfStyle w:val="000000100000" w:firstRow="0" w:lastRow="0" w:firstColumn="0" w:lastColumn="0" w:oddVBand="0" w:evenVBand="0" w:oddHBand="1" w:evenHBand="0" w:firstRowFirstColumn="0" w:firstRowLastColumn="0" w:lastRowFirstColumn="0" w:lastRowLastColumn="0"/>
              <w:rPr>
                <w:color w:val="000000" w:themeColor="text1"/>
              </w:rPr>
            </w:pPr>
          </w:p>
          <w:p w:rsidR="004341D9" w:rsidRDefault="004341D9" w:rsidP="00737AC5">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FOODwatch</w:t>
            </w:r>
          </w:p>
          <w:p w:rsidR="004341D9" w:rsidRDefault="004341D9" w:rsidP="004341D9">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p w:rsidR="004341D9" w:rsidRDefault="004341D9" w:rsidP="004341D9">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p w:rsidR="004341D9" w:rsidRDefault="004341D9" w:rsidP="004341D9">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p w:rsidR="004341D9" w:rsidRDefault="004341D9" w:rsidP="004341D9">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p w:rsidR="004341D9" w:rsidRDefault="004341D9" w:rsidP="004341D9">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p w:rsidR="004341D9" w:rsidRDefault="004341D9" w:rsidP="004341D9">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p w:rsidR="004341D9" w:rsidRDefault="004341D9" w:rsidP="004341D9">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p>
          <w:p w:rsidR="00F35DD5" w:rsidRDefault="00F35DD5" w:rsidP="00F35DD5">
            <w:pPr>
              <w:pStyle w:val="Table2"/>
              <w:ind w:left="0" w:firstLine="0"/>
              <w:cnfStyle w:val="000000100000" w:firstRow="0" w:lastRow="0" w:firstColumn="0" w:lastColumn="0" w:oddVBand="0" w:evenVBand="0" w:oddHBand="1" w:evenHBand="0" w:firstRowFirstColumn="0" w:firstRowLastColumn="0" w:lastRowFirstColumn="0" w:lastRowLastColumn="0"/>
              <w:rPr>
                <w:color w:val="000000" w:themeColor="text1"/>
              </w:rPr>
            </w:pPr>
          </w:p>
          <w:p w:rsidR="004341D9" w:rsidRDefault="004341D9" w:rsidP="00737AC5">
            <w:pPr>
              <w:pStyle w:val="Table2"/>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PSGR</w:t>
            </w:r>
          </w:p>
        </w:tc>
        <w:tc>
          <w:tcPr>
            <w:tcW w:w="5165" w:type="dxa"/>
            <w:tcBorders>
              <w:left w:val="single" w:sz="4" w:space="0" w:color="auto"/>
            </w:tcBorders>
            <w:shd w:val="clear" w:color="auto" w:fill="EAF1DD" w:themeFill="accent3" w:themeFillTint="33"/>
          </w:tcPr>
          <w:p w:rsidR="004341D9" w:rsidRPr="006C2DDF" w:rsidRDefault="004341D9" w:rsidP="006C2DDF">
            <w:pPr>
              <w:pStyle w:val="Table2"/>
              <w:cnfStyle w:val="000000100000" w:firstRow="0" w:lastRow="0" w:firstColumn="0" w:lastColumn="0" w:oddVBand="0" w:evenVBand="0" w:oddHBand="1" w:evenHBand="0" w:firstRowFirstColumn="0" w:firstRowLastColumn="0" w:lastRowFirstColumn="0" w:lastRowLastColumn="0"/>
            </w:pPr>
            <w:r w:rsidRPr="00551E1F">
              <w:t xml:space="preserve">The concept of ‘substantial equivalence’ was first established through a Joint FAO/WHO Consultation in 1991 </w:t>
            </w:r>
            <w:r w:rsidRPr="00551E1F">
              <w:fldChar w:fldCharType="begin"/>
            </w:r>
            <w:r w:rsidR="00A34D65">
              <w:instrText xml:space="preserve"> ADDIN REFMGR.CITE &lt;Refman&gt;&lt;Cite&gt;&lt;Author&gt;FAO/WHO&lt;/Author&gt;&lt;Year&gt;1991&lt;/Year&gt;&lt;RecNum&gt;760&lt;/RecNum&gt;&lt;IDText&gt;Report of a joint FAO/WHO consultation: strategies for assessing the safety of food processed by biotechnology&lt;/IDText&gt;&lt;MDL Ref_Type="Report"&gt;&lt;Ref_Type&gt;Report&lt;/Ref_Type&gt;&lt;Ref_ID&gt;760&lt;/Ref_ID&gt;&lt;Title_Primary&gt;Report of a joint FAO/WHO consultation: strategies for assessing the safety of food processed by biotechnology&lt;/Title_Primary&gt;&lt;Authors_Primary&gt;FAO/WHO&lt;/Authors_Primary&gt;&lt;Date_Primary&gt;1991&lt;/Date_Primary&gt;&lt;Keywords&gt;Safety&lt;/Keywords&gt;&lt;Keywords&gt;Biotechnology&lt;/Keywords&gt;&lt;Reprint&gt;Not in File&lt;/Reprint&gt;&lt;Pub_Place&gt;Geneva&lt;/Pub_Place&gt;&lt;Publisher&gt;World Health Organisation&lt;/Publisher&gt;&lt;Web_URL&gt;&lt;f name="Times New Roman"&gt;&lt;u&gt;www.who.int/foodsafety/publications/biotech/en/1990.pdf&lt;/u&gt;&lt;/f&gt;&lt;/Web_URL&gt;&lt;Web_URL_Link2&gt;&lt;u&gt;file://F:\Risk Assessment - Chemical Safety\GMO - shared\References\GM References\FAO &amp;amp; WHO_1991_strategies for assessing the safety of GM foods.pdf&lt;/u&gt;&lt;/Web_URL_Link2&gt;&lt;ZZ_WorkformID&gt;24&lt;/ZZ_WorkformID&gt;&lt;/MDL&gt;&lt;/Cite&gt;&lt;/Refman&gt;</w:instrText>
            </w:r>
            <w:r w:rsidRPr="00551E1F">
              <w:fldChar w:fldCharType="separate"/>
            </w:r>
            <w:r w:rsidRPr="00551E1F">
              <w:rPr>
                <w:noProof/>
              </w:rPr>
              <w:t>(FAO/WHO, 1991)</w:t>
            </w:r>
            <w:r w:rsidRPr="00551E1F">
              <w:fldChar w:fldCharType="end"/>
            </w:r>
            <w:r w:rsidRPr="00551E1F">
              <w:t xml:space="preserve"> and was then further elaborated by the OECD </w:t>
            </w:r>
            <w:r w:rsidRPr="00551E1F">
              <w:fldChar w:fldCharType="begin"/>
            </w:r>
            <w:r w:rsidR="00A34D65">
              <w:instrText xml:space="preserve"> ADDIN REFMGR.CITE &lt;Refman&gt;&lt;Cite&gt;&lt;Author&gt;OECD&lt;/Author&gt;&lt;Year&gt;1993&lt;/Year&gt;&lt;RecNum&gt;1352&lt;/RecNum&gt;&lt;IDText&gt;Safety evaluation of foods derived by modern biotechnology: Concepts and principles&lt;/IDText&gt;&lt;MDL Ref_Type="Report"&gt;&lt;Ref_Type&gt;Report&lt;/Ref_Type&gt;&lt;Ref_ID&gt;1352&lt;/Ref_ID&gt;&lt;Title_Primary&gt;Safety evaluation of foods derived by modern biotechnology: Concepts and principles&lt;/Title_Primary&gt;&lt;Authors_Primary&gt;OECD&lt;/Authors_Primary&gt;&lt;Date_Primary&gt;1993&lt;/Date_Primary&gt;&lt;Keywords&gt;Biotechnology&lt;/Keywords&gt;&lt;Keywords&gt;Safety&lt;/Keywords&gt;&lt;Reprint&gt;In File&lt;/Reprint&gt;&lt;Pub_Place&gt;Paris&lt;/Pub_Place&gt;&lt;Publisher&gt;Organisation for Economic Co-operation and development&lt;/Publisher&gt;&lt;Web_URL_Link2&gt;&lt;u&gt;file://F:\Risk Assessment - Chemical Safety\GMO - shared\References\GM References\OECD_1993_safety evaluation of GM foods.pdf&lt;/u&gt;&lt;/Web_URL_Link2&gt;&lt;ZZ_WorkformID&gt;24&lt;/ZZ_WorkformID&gt;&lt;/MDL&gt;&lt;/Cite&gt;&lt;/Refman&gt;</w:instrText>
            </w:r>
            <w:r w:rsidRPr="00551E1F">
              <w:fldChar w:fldCharType="separate"/>
            </w:r>
            <w:r w:rsidRPr="00551E1F">
              <w:rPr>
                <w:noProof/>
              </w:rPr>
              <w:t>(OECD, 1993)</w:t>
            </w:r>
            <w:r w:rsidRPr="00551E1F">
              <w:fldChar w:fldCharType="end"/>
            </w:r>
            <w:r w:rsidRPr="00551E1F">
              <w:t xml:space="preserve">. Implicit in its meaning is that the safety of GM foods can be assessed, to a large extent, by comparison to a conventional counterpart having a history of safe use. </w:t>
            </w:r>
            <w:r>
              <w:t>The term ‘comparative ap</w:t>
            </w:r>
            <w:r w:rsidRPr="006C2DDF">
              <w:t>proach’ has now largely superseded ‘substantial equivalence’ as it more accurately represents the assessment approach that is used.</w:t>
            </w:r>
          </w:p>
          <w:p w:rsidR="008D37DD" w:rsidRPr="006C2DDF" w:rsidRDefault="008D37DD" w:rsidP="006C2DDF">
            <w:pPr>
              <w:pStyle w:val="Table2"/>
              <w:cnfStyle w:val="000000100000" w:firstRow="0" w:lastRow="0" w:firstColumn="0" w:lastColumn="0" w:oddVBand="0" w:evenVBand="0" w:oddHBand="1" w:evenHBand="0" w:firstRowFirstColumn="0" w:firstRowLastColumn="0" w:lastRowFirstColumn="0" w:lastRowLastColumn="0"/>
            </w:pPr>
          </w:p>
          <w:p w:rsidR="0088511D" w:rsidRDefault="0088511D" w:rsidP="006C2DDF">
            <w:pPr>
              <w:pStyle w:val="Table2"/>
              <w:cnfStyle w:val="000000100000" w:firstRow="0" w:lastRow="0" w:firstColumn="0" w:lastColumn="0" w:oddVBand="0" w:evenVBand="0" w:oddHBand="1" w:evenHBand="0" w:firstRowFirstColumn="0" w:firstRowLastColumn="0" w:lastRowFirstColumn="0" w:lastRowLastColumn="0"/>
            </w:pPr>
            <w:r w:rsidRPr="002D79FB">
              <w:t>The main purpose of a GM food safety assessment is to identify new or altered hazards associated with the food as a result of the genetic modification. If a new or</w:t>
            </w:r>
            <w:r w:rsidRPr="006C2DDF">
              <w:t xml:space="preserve"> altered hazard, nutritional or other food safety concern is identified, further assessment is done to determine its relevance to human health. The first step in this assessment is to undertake a comparison between the GM food and a </w:t>
            </w:r>
            <w:r w:rsidRPr="002D79FB">
              <w:t>conventional counterpart food having an acceptable standard of safety to determine if there are any differences. In the second part of the assessment, any i</w:t>
            </w:r>
            <w:r>
              <w:t xml:space="preserve">dentified differences are subject to further scrutiny </w:t>
            </w:r>
            <w:r w:rsidRPr="00EF4F10">
              <w:t xml:space="preserve">to determine if they raise potential safety </w:t>
            </w:r>
            <w:r>
              <w:t>or</w:t>
            </w:r>
            <w:r w:rsidRPr="00EF4F10">
              <w:t xml:space="preserve"> nutritional </w:t>
            </w:r>
            <w:r>
              <w:t>concerns</w:t>
            </w:r>
            <w:r w:rsidRPr="00EF4F10">
              <w:t xml:space="preserve">. </w:t>
            </w:r>
            <w:r>
              <w:t xml:space="preserve">The expression of a novel protein, as a result of the insertion of novel DNA, constitutes a relevant difference that requires further scrutiny. If it is determined that the identified differences do not raise any safety or nutritional concerns then it can be concluded that the GM food is comparable to </w:t>
            </w:r>
            <w:r w:rsidRPr="00EF4F10">
              <w:t>the conventional counterpart food</w:t>
            </w:r>
            <w:r>
              <w:t xml:space="preserve"> in terms of its safety for human consumption. This does not mean there are no differences, only that the differences do not impact on the safety of the food.</w:t>
            </w:r>
          </w:p>
          <w:p w:rsidR="00737AC5" w:rsidRPr="00CD2A03" w:rsidRDefault="00737AC5" w:rsidP="006C2DDF">
            <w:pPr>
              <w:pStyle w:val="Table2"/>
              <w:cnfStyle w:val="000000100000" w:firstRow="0" w:lastRow="0" w:firstColumn="0" w:lastColumn="0" w:oddVBand="0" w:evenVBand="0" w:oddHBand="1" w:evenHBand="0" w:firstRowFirstColumn="0" w:firstRowLastColumn="0" w:lastRowFirstColumn="0" w:lastRowLastColumn="0"/>
              <w:rPr>
                <w:rFonts w:eastAsiaTheme="minorHAnsi"/>
                <w:szCs w:val="18"/>
              </w:rPr>
            </w:pPr>
          </w:p>
        </w:tc>
      </w:tr>
    </w:tbl>
    <w:p w:rsidR="00DB5F1D" w:rsidRPr="00924690" w:rsidRDefault="00193D1A" w:rsidP="00DB5F1D">
      <w:pPr>
        <w:pStyle w:val="Heading4"/>
        <w:rPr>
          <w:color w:val="000000" w:themeColor="text1"/>
        </w:rPr>
      </w:pPr>
      <w:r w:rsidRPr="00924690">
        <w:rPr>
          <w:color w:val="000000" w:themeColor="text1"/>
        </w:rPr>
        <w:t>2.1.</w:t>
      </w:r>
      <w:r w:rsidR="00DB5F1D" w:rsidRPr="00924690">
        <w:rPr>
          <w:color w:val="000000" w:themeColor="text1"/>
        </w:rPr>
        <w:t>2</w:t>
      </w:r>
      <w:r w:rsidR="00DB5F1D" w:rsidRPr="00924690">
        <w:rPr>
          <w:color w:val="000000" w:themeColor="text1"/>
        </w:rPr>
        <w:tab/>
        <w:t>Specific issues raised</w:t>
      </w:r>
    </w:p>
    <w:p w:rsidR="0074308A" w:rsidRPr="0074308A" w:rsidRDefault="0088511D" w:rsidP="006C2DDF">
      <w:pPr>
        <w:pStyle w:val="Heading5"/>
        <w:rPr>
          <w:lang w:val="en-US"/>
        </w:rPr>
      </w:pPr>
      <w:r>
        <w:rPr>
          <w:lang w:val="en-US"/>
        </w:rPr>
        <w:t>2.1.2.1</w:t>
      </w:r>
      <w:r w:rsidR="0074308A" w:rsidRPr="0074308A">
        <w:rPr>
          <w:lang w:val="en-US"/>
        </w:rPr>
        <w:tab/>
        <w:t>The safety of the herbicides used on DAS-81910-7</w:t>
      </w:r>
    </w:p>
    <w:p w:rsidR="0074308A" w:rsidRDefault="0074308A" w:rsidP="0074308A">
      <w:pPr>
        <w:widowControl/>
        <w:autoSpaceDE w:val="0"/>
        <w:autoSpaceDN w:val="0"/>
        <w:adjustRightInd w:val="0"/>
        <w:rPr>
          <w:lang w:val="en-US"/>
        </w:rPr>
      </w:pPr>
      <w:r>
        <w:rPr>
          <w:lang w:val="en-US"/>
        </w:rPr>
        <w:t xml:space="preserve">Several submitters (Nina Camffermann, </w:t>
      </w:r>
      <w:r w:rsidR="001A40CE">
        <w:rPr>
          <w:lang w:val="en-US"/>
        </w:rPr>
        <w:t xml:space="preserve">Shirley Collins, </w:t>
      </w:r>
      <w:r w:rsidR="00F372EF">
        <w:rPr>
          <w:lang w:val="en-US"/>
        </w:rPr>
        <w:t>FOODW</w:t>
      </w:r>
      <w:r>
        <w:rPr>
          <w:lang w:val="en-US"/>
        </w:rPr>
        <w:t xml:space="preserve">atch, </w:t>
      </w:r>
      <w:r w:rsidR="001A40CE">
        <w:rPr>
          <w:lang w:val="en-US"/>
        </w:rPr>
        <w:t xml:space="preserve">Hugh Halliday, </w:t>
      </w:r>
      <w:r>
        <w:rPr>
          <w:lang w:val="en-US"/>
        </w:rPr>
        <w:t xml:space="preserve">PSGR, Kylie Tizard) had concerns about the use of 2,4-D </w:t>
      </w:r>
      <w:r w:rsidR="00FE1EF2">
        <w:rPr>
          <w:lang w:val="en-US"/>
        </w:rPr>
        <w:t xml:space="preserve">(which, it was noted was a component of Agent Orange) </w:t>
      </w:r>
      <w:r>
        <w:rPr>
          <w:lang w:val="en-US"/>
        </w:rPr>
        <w:t xml:space="preserve">and glufosinate on a food crop. </w:t>
      </w:r>
    </w:p>
    <w:p w:rsidR="00703006" w:rsidRDefault="00703006" w:rsidP="0074308A">
      <w:pPr>
        <w:widowControl/>
        <w:autoSpaceDE w:val="0"/>
        <w:autoSpaceDN w:val="0"/>
        <w:adjustRightInd w:val="0"/>
        <w:rPr>
          <w:lang w:val="en-US"/>
        </w:rPr>
      </w:pPr>
    </w:p>
    <w:p w:rsidR="0074308A" w:rsidRPr="0074308A" w:rsidRDefault="0074308A" w:rsidP="0074308A">
      <w:pPr>
        <w:widowControl/>
        <w:autoSpaceDE w:val="0"/>
        <w:autoSpaceDN w:val="0"/>
        <w:adjustRightInd w:val="0"/>
        <w:rPr>
          <w:u w:val="single"/>
          <w:lang w:val="en-US"/>
        </w:rPr>
      </w:pPr>
      <w:r w:rsidRPr="0074308A">
        <w:rPr>
          <w:u w:val="single"/>
          <w:lang w:val="en-US"/>
        </w:rPr>
        <w:t>Response</w:t>
      </w:r>
    </w:p>
    <w:p w:rsidR="00703006" w:rsidRDefault="00703006" w:rsidP="0074308A">
      <w:pPr>
        <w:widowControl/>
        <w:autoSpaceDE w:val="0"/>
        <w:autoSpaceDN w:val="0"/>
        <w:adjustRightInd w:val="0"/>
        <w:rPr>
          <w:lang w:val="en-US"/>
        </w:rPr>
      </w:pPr>
    </w:p>
    <w:p w:rsidR="0074308A" w:rsidRDefault="0023234E" w:rsidP="00A62B14">
      <w:pPr>
        <w:widowControl/>
        <w:autoSpaceDE w:val="0"/>
        <w:autoSpaceDN w:val="0"/>
        <w:adjustRightInd w:val="0"/>
        <w:rPr>
          <w:rFonts w:cs="Arial"/>
          <w:szCs w:val="22"/>
          <w:lang w:val="en-US"/>
        </w:rPr>
      </w:pPr>
      <w:r>
        <w:rPr>
          <w:rFonts w:cs="Arial"/>
          <w:szCs w:val="22"/>
          <w:lang w:val="en-US"/>
        </w:rPr>
        <w:t>T</w:t>
      </w:r>
      <w:r w:rsidR="0074308A" w:rsidRPr="00FE1EF2">
        <w:rPr>
          <w:rFonts w:cs="Arial"/>
          <w:szCs w:val="22"/>
          <w:lang w:val="en-US"/>
        </w:rPr>
        <w:t xml:space="preserve">here are strict regulations </w:t>
      </w:r>
      <w:r w:rsidR="008D37DD">
        <w:rPr>
          <w:rFonts w:cs="Arial"/>
          <w:szCs w:val="22"/>
          <w:lang w:val="en-US"/>
        </w:rPr>
        <w:t>on</w:t>
      </w:r>
      <w:r w:rsidR="008D37DD" w:rsidRPr="00FE1EF2">
        <w:rPr>
          <w:rFonts w:cs="Arial"/>
          <w:szCs w:val="22"/>
          <w:lang w:val="en-US"/>
        </w:rPr>
        <w:t xml:space="preserve"> </w:t>
      </w:r>
      <w:r w:rsidR="0074308A" w:rsidRPr="00FE1EF2">
        <w:rPr>
          <w:rFonts w:cs="Arial"/>
          <w:szCs w:val="22"/>
          <w:lang w:val="en-US"/>
        </w:rPr>
        <w:t>t</w:t>
      </w:r>
      <w:r w:rsidR="00F9102C">
        <w:rPr>
          <w:rFonts w:cs="Arial"/>
          <w:szCs w:val="22"/>
          <w:lang w:val="en-US"/>
        </w:rPr>
        <w:t>he use</w:t>
      </w:r>
      <w:r w:rsidR="00A62B14">
        <w:rPr>
          <w:rFonts w:cs="Arial"/>
          <w:szCs w:val="22"/>
          <w:lang w:val="en-US"/>
        </w:rPr>
        <w:t xml:space="preserve"> of herbicides on food crops</w:t>
      </w:r>
      <w:r>
        <w:rPr>
          <w:rFonts w:cs="Arial"/>
          <w:szCs w:val="22"/>
          <w:lang w:val="en-US"/>
        </w:rPr>
        <w:t xml:space="preserve"> (see Table 1)</w:t>
      </w:r>
      <w:r w:rsidR="00A62B14">
        <w:rPr>
          <w:rFonts w:cs="Arial"/>
          <w:szCs w:val="22"/>
          <w:lang w:val="en-US"/>
        </w:rPr>
        <w:t xml:space="preserve">. In addition, the following points about </w:t>
      </w:r>
      <w:r w:rsidR="0074308A" w:rsidRPr="00FE1EF2">
        <w:rPr>
          <w:rFonts w:cs="Arial"/>
          <w:szCs w:val="22"/>
          <w:lang w:val="en-US"/>
        </w:rPr>
        <w:t>2</w:t>
      </w:r>
      <w:proofErr w:type="gramStart"/>
      <w:r w:rsidR="0074308A" w:rsidRPr="00FE1EF2">
        <w:rPr>
          <w:rFonts w:cs="Arial"/>
          <w:szCs w:val="22"/>
          <w:lang w:val="en-US"/>
        </w:rPr>
        <w:t>,4</w:t>
      </w:r>
      <w:proofErr w:type="gramEnd"/>
      <w:r w:rsidR="0074308A" w:rsidRPr="00FE1EF2">
        <w:rPr>
          <w:rFonts w:cs="Arial"/>
          <w:szCs w:val="22"/>
          <w:lang w:val="en-US"/>
        </w:rPr>
        <w:t>-D</w:t>
      </w:r>
      <w:r w:rsidR="00A62B14">
        <w:rPr>
          <w:rFonts w:cs="Arial"/>
          <w:szCs w:val="22"/>
          <w:lang w:val="en-US"/>
        </w:rPr>
        <w:t xml:space="preserve"> and glufosinate ammonium</w:t>
      </w:r>
      <w:r>
        <w:rPr>
          <w:rFonts w:cs="Arial"/>
          <w:szCs w:val="22"/>
          <w:lang w:val="en-US"/>
        </w:rPr>
        <w:t xml:space="preserve"> are also relevant</w:t>
      </w:r>
      <w:r w:rsidR="004B79AA">
        <w:rPr>
          <w:rFonts w:cs="Arial"/>
          <w:szCs w:val="22"/>
          <w:lang w:val="en-US"/>
        </w:rPr>
        <w:t>.</w:t>
      </w:r>
    </w:p>
    <w:p w:rsidR="00FE1EF2" w:rsidRDefault="00FE1EF2" w:rsidP="00FE1EF2">
      <w:pPr>
        <w:widowControl/>
        <w:autoSpaceDE w:val="0"/>
        <w:autoSpaceDN w:val="0"/>
        <w:adjustRightInd w:val="0"/>
        <w:ind w:left="567" w:hanging="567"/>
        <w:rPr>
          <w:rFonts w:cs="Arial"/>
          <w:szCs w:val="22"/>
          <w:lang w:val="en-US"/>
        </w:rPr>
      </w:pPr>
    </w:p>
    <w:p w:rsidR="004B79AA" w:rsidRPr="00FE1EF2" w:rsidRDefault="004B79AA" w:rsidP="00FE1EF2">
      <w:pPr>
        <w:widowControl/>
        <w:autoSpaceDE w:val="0"/>
        <w:autoSpaceDN w:val="0"/>
        <w:adjustRightInd w:val="0"/>
        <w:ind w:left="567" w:hanging="567"/>
        <w:rPr>
          <w:rFonts w:cs="Arial"/>
          <w:szCs w:val="22"/>
          <w:lang w:val="en-US"/>
        </w:rPr>
      </w:pPr>
      <w:r>
        <w:rPr>
          <w:rFonts w:cs="Arial"/>
          <w:szCs w:val="22"/>
          <w:lang w:val="en-US"/>
        </w:rPr>
        <w:t>2</w:t>
      </w:r>
      <w:proofErr w:type="gramStart"/>
      <w:r>
        <w:rPr>
          <w:rFonts w:cs="Arial"/>
          <w:szCs w:val="22"/>
          <w:lang w:val="en-US"/>
        </w:rPr>
        <w:t>,4</w:t>
      </w:r>
      <w:proofErr w:type="gramEnd"/>
      <w:r>
        <w:rPr>
          <w:rFonts w:cs="Arial"/>
          <w:szCs w:val="22"/>
          <w:lang w:val="en-US"/>
        </w:rPr>
        <w:t>-D</w:t>
      </w:r>
    </w:p>
    <w:p w:rsidR="0074308A" w:rsidRDefault="0074308A" w:rsidP="004373B9">
      <w:pPr>
        <w:pStyle w:val="FSBullet1"/>
        <w:rPr>
          <w:lang w:eastAsia="en-GB"/>
        </w:rPr>
      </w:pPr>
      <w:r w:rsidRPr="00FE1EF2">
        <w:rPr>
          <w:color w:val="000000" w:themeColor="text1"/>
        </w:rPr>
        <w:t>2</w:t>
      </w:r>
      <w:proofErr w:type="gramStart"/>
      <w:r w:rsidRPr="00FE1EF2">
        <w:rPr>
          <w:color w:val="000000" w:themeColor="text1"/>
        </w:rPr>
        <w:t>,4</w:t>
      </w:r>
      <w:proofErr w:type="gramEnd"/>
      <w:r w:rsidRPr="00FE1EF2">
        <w:rPr>
          <w:color w:val="000000" w:themeColor="text1"/>
        </w:rPr>
        <w:t xml:space="preserve">-D is widely and safely used on food crops and 2,4-D </w:t>
      </w:r>
      <w:r w:rsidRPr="00FE1EF2">
        <w:rPr>
          <w:lang w:eastAsia="en-GB"/>
        </w:rPr>
        <w:t>MRLs for a variety of plant-derived food commodities have been adopted by Codex (</w:t>
      </w:r>
      <w:hyperlink r:id="rId25" w:history="1">
        <w:r w:rsidRPr="00FE1EF2">
          <w:rPr>
            <w:rStyle w:val="Hyperlink"/>
            <w:color w:val="0000FF"/>
            <w:szCs w:val="22"/>
            <w:lang w:eastAsia="en-GB"/>
          </w:rPr>
          <w:t>http://www.codexalimentarius.net/mrls/pestdes/jsp/pest_q-e.jsp</w:t>
        </w:r>
      </w:hyperlink>
      <w:r w:rsidRPr="00FE1EF2">
        <w:rPr>
          <w:lang w:eastAsia="en-GB"/>
        </w:rPr>
        <w:t xml:space="preserve">). </w:t>
      </w:r>
      <w:r w:rsidR="00E435B3">
        <w:rPr>
          <w:lang w:eastAsia="en-GB"/>
        </w:rPr>
        <w:t>An extensive evaluation of 2,4-D was undertaken by the FAO/WHO Joint Meeting on Pesticide Residues in 199</w:t>
      </w:r>
      <w:r w:rsidR="00A34D65">
        <w:rPr>
          <w:lang w:eastAsia="en-GB"/>
        </w:rPr>
        <w:t>8</w:t>
      </w:r>
      <w:r w:rsidR="00E435B3">
        <w:rPr>
          <w:lang w:eastAsia="en-GB"/>
        </w:rPr>
        <w:t xml:space="preserve"> </w:t>
      </w:r>
      <w:r w:rsidR="00A34D65">
        <w:rPr>
          <w:lang w:eastAsia="en-GB"/>
        </w:rPr>
        <w:fldChar w:fldCharType="begin"/>
      </w:r>
      <w:r w:rsidR="00A34D65">
        <w:rPr>
          <w:lang w:eastAsia="en-GB"/>
        </w:rPr>
        <w:instrText xml:space="preserve"> ADDIN REFMGR.CITE &lt;Refman&gt;&lt;Cite&gt;&lt;Author&gt;JMPR&lt;/Author&gt;&lt;Year&gt;1999&lt;/Year&gt;&lt;RecNum&gt;1609&lt;/RecNum&gt;&lt;IDText&gt;Report of the 1998 Joint FAO/WHO Meeting on Pesticide Residues, Rome, 21 - 30 September 1998&lt;/IDText&gt;&lt;MDL Ref_Type="Report"&gt;&lt;Ref_Type&gt;Report&lt;/Ref_Type&gt;&lt;Ref_ID&gt;1609&lt;/Ref_ID&gt;&lt;Title_Primary&gt;&lt;f name="Helvetica"&gt;Report of the 1998 Joint FAO/WHO Meeting on Pesticide Residues, Rome, 21 - 30 September 1998&lt;/f&gt;&lt;/Title_Primary&gt;&lt;Authors_Primary&gt;JMPR&lt;/Authors_Primary&gt;&lt;Date_Primary&gt;1999&lt;/Date_Primary&gt;&lt;Reprint&gt;Not in File&lt;/Reprint&gt;&lt;Pub_Place&gt;Rome&lt;/Pub_Place&gt;&lt;Publisher&gt;World Health Organization. Food &amp;amp; Agriculture Organization of the United Nations&lt;/Publisher&gt;&lt;Web_URL&gt;&lt;u&gt;http://www.fao.org/fileadmin/templates/agphome/documents/Pests_Pesticides/JMPR/Evaluation98/24deval.pdf&lt;/u&gt;&lt;/Web_URL&gt;&lt;ZZ_WorkformID&gt;24&lt;/ZZ_WorkformID&gt;&lt;/MDL&gt;&lt;/Cite&gt;&lt;/Refman&gt;</w:instrText>
      </w:r>
      <w:r w:rsidR="00A34D65">
        <w:rPr>
          <w:lang w:eastAsia="en-GB"/>
        </w:rPr>
        <w:fldChar w:fldCharType="separate"/>
      </w:r>
      <w:r w:rsidR="00A34D65">
        <w:rPr>
          <w:noProof/>
          <w:lang w:eastAsia="en-GB"/>
        </w:rPr>
        <w:t>(JMPR, 1999)</w:t>
      </w:r>
      <w:r w:rsidR="00A34D65">
        <w:rPr>
          <w:lang w:eastAsia="en-GB"/>
        </w:rPr>
        <w:fldChar w:fldCharType="end"/>
      </w:r>
      <w:r w:rsidR="00E435B3">
        <w:rPr>
          <w:lang w:eastAsia="en-GB"/>
        </w:rPr>
        <w:t xml:space="preserve"> and the conclusion regarding a lack of concern with dietary intake of residues was not altered in the most recent evaluation of data </w:t>
      </w:r>
      <w:r w:rsidR="00A34D65">
        <w:rPr>
          <w:lang w:eastAsia="en-GB"/>
        </w:rPr>
        <w:fldChar w:fldCharType="begin"/>
      </w:r>
      <w:r w:rsidR="00A34D65">
        <w:rPr>
          <w:lang w:eastAsia="en-GB"/>
        </w:rPr>
        <w:instrText xml:space="preserve"> ADDIN REFMGR.CITE &lt;Refman&gt;&lt;Cite&gt;&lt;Author&gt;JMPR&lt;/Author&gt;&lt;Year&gt;2002&lt;/Year&gt;&lt;RecNum&gt;1608&lt;/RecNum&gt;&lt;IDText&gt;Report of the 2001 Joint FAO/WHO Meeting on Pesticide Residues, Geneva, 20 - 29 September 2001&lt;/IDText&gt;&lt;MDL Ref_Type="Report"&gt;&lt;Ref_Type&gt;Report&lt;/Ref_Type&gt;&lt;Ref_ID&gt;1608&lt;/Ref_ID&gt;&lt;Title_Primary&gt;&lt;f name="Helvetica"&gt;Report of the 2001 Joint FAO/WHO Meeting on Pesticide Residues, Geneva, 20 - 29 September 2001&lt;/f&gt;&lt;/Title_Primary&gt;&lt;Authors_Primary&gt;JMPR&lt;/Authors_Primary&gt;&lt;Date_Primary&gt;2002&lt;/Date_Primary&gt;&lt;Reprint&gt;Not in File&lt;/Reprint&gt;&lt;Pub_Place&gt;Rome&lt;/Pub_Place&gt;&lt;Publisher&gt;World Health Organization. Food &amp;amp; Agriculture Organization of the United Nations&lt;/Publisher&gt;&lt;Web_URL&gt;&lt;u&gt;http://www.fao.org/fileadmin/templates/agphome/documents/Pests_Pesticides/JMPR/Reports_1991-2006/REPORT2001.pdf&lt;/u&gt;&lt;/Web_URL&gt;&lt;Web_URL_Link2&gt;&lt;u&gt;file://F:\Risk Assessment - Chemical Safety\GMO - shared\References\GM References\JMPR_2002_Meeting report for 2001.pdf&lt;/u&gt;&lt;/Web_URL_Link2&gt;&lt;ZZ_WorkformID&gt;24&lt;/ZZ_WorkformID&gt;&lt;/MDL&gt;&lt;/Cite&gt;&lt;/Refman&gt;</w:instrText>
      </w:r>
      <w:r w:rsidR="00A34D65">
        <w:rPr>
          <w:lang w:eastAsia="en-GB"/>
        </w:rPr>
        <w:fldChar w:fldCharType="separate"/>
      </w:r>
      <w:r w:rsidR="00A34D65">
        <w:rPr>
          <w:noProof/>
          <w:lang w:eastAsia="en-GB"/>
        </w:rPr>
        <w:t>(JMPR, 2002)</w:t>
      </w:r>
      <w:r w:rsidR="00A34D65">
        <w:rPr>
          <w:lang w:eastAsia="en-GB"/>
        </w:rPr>
        <w:fldChar w:fldCharType="end"/>
      </w:r>
      <w:r w:rsidR="00E435B3">
        <w:rPr>
          <w:lang w:eastAsia="en-GB"/>
        </w:rPr>
        <w:t>.</w:t>
      </w:r>
    </w:p>
    <w:p w:rsidR="0093250A" w:rsidRPr="00FE1EF2" w:rsidRDefault="0093250A" w:rsidP="00C75434">
      <w:pPr>
        <w:pStyle w:val="ListParagraph"/>
        <w:autoSpaceDE w:val="0"/>
        <w:autoSpaceDN w:val="0"/>
        <w:adjustRightInd w:val="0"/>
        <w:ind w:left="567" w:hanging="709"/>
        <w:contextualSpacing/>
        <w:rPr>
          <w:rFonts w:ascii="Arial" w:hAnsi="Arial" w:cs="Arial"/>
          <w:sz w:val="22"/>
          <w:szCs w:val="22"/>
          <w:lang w:eastAsia="en-GB"/>
        </w:rPr>
      </w:pPr>
    </w:p>
    <w:p w:rsidR="00A34D65" w:rsidRDefault="00A34D65" w:rsidP="00C75434">
      <w:pPr>
        <w:widowControl/>
        <w:ind w:left="567" w:hanging="709"/>
        <w:rPr>
          <w:rFonts w:cs="Arial"/>
          <w:lang w:bidi="ar-SA"/>
        </w:rPr>
      </w:pPr>
      <w:r>
        <w:br w:type="page"/>
      </w:r>
    </w:p>
    <w:p w:rsidR="00FE1EF2" w:rsidRDefault="00FE1EF2" w:rsidP="003E02AD">
      <w:pPr>
        <w:pStyle w:val="FSBullet1"/>
        <w:rPr>
          <w:lang w:eastAsia="en-GB"/>
        </w:rPr>
      </w:pPr>
      <w:r w:rsidRPr="00FE1EF2">
        <w:lastRenderedPageBreak/>
        <w:t xml:space="preserve">The U.S. Environmental Protection Agency (EPA) concluded </w:t>
      </w:r>
      <w:r w:rsidRPr="00FE1EF2">
        <w:fldChar w:fldCharType="begin"/>
      </w:r>
      <w:r w:rsidR="00A34D65">
        <w:instrText xml:space="preserve"> ADDIN REFMGR.CITE &lt;Refman&gt;&lt;Cite&gt;&lt;Author&gt;EPA&lt;/Author&gt;&lt;Year&gt;2005&lt;/Year&gt;&lt;RecNum&gt;952&lt;/RecNum&gt;&lt;IDText&gt;Reregistration eligibility decision for 2,4-D&lt;/IDText&gt;&lt;MDL Ref_Type="Report"&gt;&lt;Ref_Type&gt;Report&lt;/Ref_Type&gt;&lt;Ref_ID&gt;952&lt;/Ref_ID&gt;&lt;Title_Primary&gt;Reregistration eligibility decision for 2,4-D&lt;/Title_Primary&gt;&lt;Authors_Primary&gt;EPA&lt;/Authors_Primary&gt;&lt;Date_Primary&gt;2005&lt;/Date_Primary&gt;&lt;Reprint&gt;Not in File&lt;/Reprint&gt;&lt;Volume&gt;EPA 738-R-05-002&lt;/Volume&gt;&lt;Publisher&gt;United States Environmental Protection Agency&lt;/Publisher&gt;&lt;Web_URL&gt;&lt;u&gt;http://www.epa.gov/oppsrrd1/REDs/24d_red.pdf&lt;/u&gt;&lt;/Web_URL&gt;&lt;Web_URL_Link2&gt;&lt;u&gt;file://F:\Risk Assessment - Chemical Safety\GMO - shared\References\GM References\EPA_2005_reregistration eligibility decision for 2&lt;/u&gt;,4-D.pdf&lt;/Web_URL_Link2&gt;&lt;ZZ_WorkformID&gt;24&lt;/ZZ_WorkformID&gt;&lt;/MDL&gt;&lt;/Cite&gt;&lt;/Refman&gt;</w:instrText>
      </w:r>
      <w:r w:rsidRPr="00FE1EF2">
        <w:fldChar w:fldCharType="separate"/>
      </w:r>
      <w:r w:rsidR="00A62B14">
        <w:rPr>
          <w:noProof/>
        </w:rPr>
        <w:t>(EPA, 2005)</w:t>
      </w:r>
      <w:r w:rsidRPr="00FE1EF2">
        <w:fldChar w:fldCharType="end"/>
      </w:r>
      <w:r w:rsidRPr="00FE1EF2">
        <w:t xml:space="preserve"> that, with regard to dietary risk from 2,4-D sprayed on crops, “</w:t>
      </w:r>
      <w:r w:rsidRPr="00FE1EF2">
        <w:rPr>
          <w:lang w:eastAsia="en-GB"/>
        </w:rPr>
        <w:t>acute and chronic dietary exposures for food and drinking water do not exceed the Agency’s level of concern; therefore, no mitigation is warranted at this time for any dietary exposure to 2,4-D”.</w:t>
      </w:r>
    </w:p>
    <w:p w:rsidR="00C75434" w:rsidRPr="00C75434" w:rsidRDefault="00C75434" w:rsidP="003E02AD">
      <w:pPr>
        <w:ind w:left="567" w:hanging="567"/>
        <w:rPr>
          <w:lang w:eastAsia="en-GB" w:bidi="ar-SA"/>
        </w:rPr>
      </w:pPr>
    </w:p>
    <w:p w:rsidR="00C75434" w:rsidRDefault="00C75434" w:rsidP="00737AC5">
      <w:pPr>
        <w:pStyle w:val="FSBullet1"/>
        <w:ind w:right="-286"/>
        <w:rPr>
          <w:lang w:eastAsia="en-GB"/>
        </w:rPr>
      </w:pPr>
      <w:r>
        <w:rPr>
          <w:lang w:eastAsia="en-GB"/>
        </w:rPr>
        <w:t>The APVMA is currently undertaking Part 2 of a review of 2</w:t>
      </w:r>
      <w:proofErr w:type="gramStart"/>
      <w:r>
        <w:rPr>
          <w:lang w:eastAsia="en-GB"/>
        </w:rPr>
        <w:t>,4</w:t>
      </w:r>
      <w:proofErr w:type="gramEnd"/>
      <w:r>
        <w:rPr>
          <w:lang w:eastAsia="en-GB"/>
        </w:rPr>
        <w:t>-D which focusses on human health, occupational health and safety, and the environment. The human health report is expected to be available at the end of 2014 (</w:t>
      </w:r>
      <w:hyperlink r:id="rId26" w:history="1">
        <w:r w:rsidRPr="000A4412">
          <w:rPr>
            <w:rStyle w:val="Hyperlink"/>
            <w:lang w:eastAsia="en-GB"/>
          </w:rPr>
          <w:t>http://apvma.gov.au/node/1608</w:t>
        </w:r>
      </w:hyperlink>
      <w:r>
        <w:rPr>
          <w:lang w:eastAsia="en-GB"/>
        </w:rPr>
        <w:t xml:space="preserve">). Currently, </w:t>
      </w:r>
      <w:r w:rsidR="0089296E">
        <w:rPr>
          <w:lang w:eastAsia="en-GB"/>
        </w:rPr>
        <w:t xml:space="preserve">the APVMA MRL Standard </w:t>
      </w:r>
      <w:r w:rsidR="003E02AD">
        <w:rPr>
          <w:lang w:eastAsia="en-GB"/>
        </w:rPr>
        <w:t>(</w:t>
      </w:r>
      <w:hyperlink r:id="rId27" w:history="1">
        <w:r w:rsidR="003E02AD" w:rsidRPr="000A4412">
          <w:rPr>
            <w:rStyle w:val="Hyperlink"/>
            <w:lang w:eastAsia="en-GB"/>
          </w:rPr>
          <w:t>http://www.comlaw.gov.au/Details/F2013C00638</w:t>
        </w:r>
      </w:hyperlink>
      <w:r w:rsidR="003E02AD">
        <w:rPr>
          <w:lang w:eastAsia="en-GB"/>
        </w:rPr>
        <w:t xml:space="preserve">) </w:t>
      </w:r>
      <w:r w:rsidR="0089296E">
        <w:rPr>
          <w:lang w:eastAsia="en-GB"/>
        </w:rPr>
        <w:t>lists MRLs for a number of food crops. This list is the same as that in Standard 1.4.2 of the Code.</w:t>
      </w:r>
    </w:p>
    <w:p w:rsidR="003E02AD" w:rsidRDefault="003E02AD" w:rsidP="003E02AD">
      <w:pPr>
        <w:ind w:left="567" w:hanging="567"/>
        <w:rPr>
          <w:lang w:eastAsia="en-GB" w:bidi="ar-SA"/>
        </w:rPr>
      </w:pPr>
    </w:p>
    <w:p w:rsidR="003E02AD" w:rsidRPr="003E02AD" w:rsidRDefault="003E02AD" w:rsidP="004373B9">
      <w:pPr>
        <w:pStyle w:val="FSBullet1"/>
        <w:rPr>
          <w:lang w:eastAsia="en-GB"/>
        </w:rPr>
      </w:pPr>
      <w:r>
        <w:rPr>
          <w:lang w:eastAsia="en-GB"/>
        </w:rPr>
        <w:t>The NZ Maximum Residue Limits of Agricultural Compounds (</w:t>
      </w:r>
      <w:hyperlink r:id="rId28" w:history="1">
        <w:r w:rsidRPr="000A4412">
          <w:rPr>
            <w:rStyle w:val="Hyperlink"/>
            <w:lang w:eastAsia="en-GB"/>
          </w:rPr>
          <w:t>http://www.foodsafety.govt.nz/elibrary/industry/nz-mrl-agricultural-compounds-food-standards-07-2014.pdf</w:t>
        </w:r>
      </w:hyperlink>
      <w:r>
        <w:rPr>
          <w:lang w:eastAsia="en-GB"/>
        </w:rPr>
        <w:t>) lists two food categories for which there are 2</w:t>
      </w:r>
      <w:proofErr w:type="gramStart"/>
      <w:r>
        <w:rPr>
          <w:lang w:eastAsia="en-GB"/>
        </w:rPr>
        <w:t>,4</w:t>
      </w:r>
      <w:proofErr w:type="gramEnd"/>
      <w:r>
        <w:rPr>
          <w:lang w:eastAsia="en-GB"/>
        </w:rPr>
        <w:t>-D MRLs.</w:t>
      </w:r>
    </w:p>
    <w:p w:rsidR="00752325" w:rsidRPr="002F2C50" w:rsidRDefault="00752325" w:rsidP="003E02AD">
      <w:pPr>
        <w:ind w:left="567" w:hanging="567"/>
        <w:rPr>
          <w:lang w:eastAsia="en-GB"/>
        </w:rPr>
      </w:pPr>
    </w:p>
    <w:p w:rsidR="00F25920" w:rsidRDefault="00FE1EF2" w:rsidP="003E02AD">
      <w:pPr>
        <w:pStyle w:val="FSBullet1"/>
      </w:pPr>
      <w:r w:rsidRPr="00FE1EF2">
        <w:t>While 2</w:t>
      </w:r>
      <w:proofErr w:type="gramStart"/>
      <w:r w:rsidRPr="00FE1EF2">
        <w:t>,4</w:t>
      </w:r>
      <w:proofErr w:type="gramEnd"/>
      <w:r w:rsidRPr="00FE1EF2">
        <w:t>-D was a component of Agent Orange</w:t>
      </w:r>
      <w:r>
        <w:t xml:space="preserve">, </w:t>
      </w:r>
      <w:r w:rsidR="0023234E">
        <w:t>it was the contaminating dioxins present in Agent Orange that</w:t>
      </w:r>
      <w:r w:rsidR="00E94E9D">
        <w:t xml:space="preserve"> were </w:t>
      </w:r>
      <w:r>
        <w:t>the main health concern</w:t>
      </w:r>
      <w:r w:rsidRPr="00FE1EF2">
        <w:t xml:space="preserve">. Dioxins are a family of around 200 chemicals which vary widely in toxicity with </w:t>
      </w:r>
      <w:r w:rsidRPr="00FE1EF2">
        <w:rPr>
          <w:color w:val="000000"/>
        </w:rPr>
        <w:t>2</w:t>
      </w:r>
      <w:proofErr w:type="gramStart"/>
      <w:r w:rsidRPr="00FE1EF2">
        <w:rPr>
          <w:color w:val="000000"/>
        </w:rPr>
        <w:t>,3,7,8</w:t>
      </w:r>
      <w:proofErr w:type="gramEnd"/>
      <w:r w:rsidRPr="00FE1EF2">
        <w:rPr>
          <w:color w:val="000000"/>
        </w:rPr>
        <w:t>-tetrachlorodibenzo-p-dioxin (</w:t>
      </w:r>
      <w:r w:rsidRPr="00FE1EF2">
        <w:t xml:space="preserve">TCDD) being considered the most toxic. </w:t>
      </w:r>
    </w:p>
    <w:p w:rsidR="00F25920" w:rsidRDefault="00F25920" w:rsidP="00C75434">
      <w:pPr>
        <w:widowControl/>
        <w:ind w:left="567" w:hanging="709"/>
        <w:rPr>
          <w:rFonts w:eastAsiaTheme="minorHAnsi" w:cs="Arial"/>
          <w:color w:val="000000" w:themeColor="text1"/>
          <w:szCs w:val="22"/>
          <w:lang w:val="en-AU" w:eastAsia="en-AU" w:bidi="ar-SA"/>
        </w:rPr>
      </w:pPr>
    </w:p>
    <w:p w:rsidR="00FE1EF2" w:rsidRPr="00FE1EF2" w:rsidRDefault="00FE1EF2" w:rsidP="00C75434">
      <w:pPr>
        <w:pStyle w:val="FSBullet1"/>
        <w:ind w:hanging="709"/>
      </w:pPr>
      <w:r w:rsidRPr="00FE1EF2">
        <w:t xml:space="preserve">While food is one source of dioxins, other common sources include the burning of municipal and industrial waste and tobacco smoke. As dioxins tend to be stored in fat, the main dietary sources are </w:t>
      </w:r>
      <w:r w:rsidRPr="00FE1EF2">
        <w:rPr>
          <w:color w:val="000000"/>
        </w:rPr>
        <w:t xml:space="preserve">meat, milk products and fish rather than fruit, vegetables and grains. While dioxins, including TCDD, were present as manufacturing contaminants in 2,4-D, since the 1990s there has been regulation </w:t>
      </w:r>
      <w:r w:rsidRPr="00FE1EF2">
        <w:rPr>
          <w:lang w:eastAsia="en-GB"/>
        </w:rPr>
        <w:t xml:space="preserve">to decrease the chance that TCDD is formed during the manufacturing process </w:t>
      </w:r>
      <w:r w:rsidRPr="00FE1EF2">
        <w:rPr>
          <w:lang w:eastAsia="en-GB"/>
        </w:rPr>
        <w:fldChar w:fldCharType="begin"/>
      </w:r>
      <w:r w:rsidR="00A34D65">
        <w:rPr>
          <w:lang w:eastAsia="en-GB"/>
        </w:rPr>
        <w:instrText xml:space="preserve"> ADDIN REFMGR.CITE &lt;Refman&gt;&lt;Cite&gt;&lt;Author&gt;EPA&lt;/Author&gt;&lt;Year&gt;2005&lt;/Year&gt;&lt;RecNum&gt;952&lt;/RecNum&gt;&lt;IDText&gt;Reregistration eligibility decision for 2,4-D&lt;/IDText&gt;&lt;MDL Ref_Type="Report"&gt;&lt;Ref_Type&gt;Report&lt;/Ref_Type&gt;&lt;Ref_ID&gt;952&lt;/Ref_ID&gt;&lt;Title_Primary&gt;Reregistration eligibility decision for 2,4-D&lt;/Title_Primary&gt;&lt;Authors_Primary&gt;EPA&lt;/Authors_Primary&gt;&lt;Date_Primary&gt;2005&lt;/Date_Primary&gt;&lt;Reprint&gt;Not in File&lt;/Reprint&gt;&lt;Volume&gt;EPA 738-R-05-002&lt;/Volume&gt;&lt;Publisher&gt;United States Environmental Protection Agency&lt;/Publisher&gt;&lt;Web_URL&gt;&lt;u&gt;http://www.epa.gov/oppsrrd1/REDs/24d_red.pdf&lt;/u&gt;&lt;/Web_URL&gt;&lt;Web_URL_Link2&gt;&lt;u&gt;file://F:\Risk Assessment - Chemical Safety\GMO - shared\References\GM References\EPA_2005_reregistration eligibility decision for 2&lt;/u&gt;,4-D.pdf&lt;/Web_URL_Link2&gt;&lt;ZZ_WorkformID&gt;24&lt;/ZZ_WorkformID&gt;&lt;/MDL&gt;&lt;/Cite&gt;&lt;/Refman&gt;</w:instrText>
      </w:r>
      <w:r w:rsidRPr="00FE1EF2">
        <w:rPr>
          <w:lang w:eastAsia="en-GB"/>
        </w:rPr>
        <w:fldChar w:fldCharType="separate"/>
      </w:r>
      <w:r w:rsidRPr="00FE1EF2">
        <w:rPr>
          <w:noProof/>
          <w:lang w:eastAsia="en-GB"/>
        </w:rPr>
        <w:t>(EPA, 2005)</w:t>
      </w:r>
      <w:r w:rsidRPr="00FE1EF2">
        <w:rPr>
          <w:lang w:eastAsia="en-GB"/>
        </w:rPr>
        <w:fldChar w:fldCharType="end"/>
      </w:r>
      <w:r w:rsidRPr="00FE1EF2">
        <w:rPr>
          <w:lang w:eastAsia="en-GB"/>
        </w:rPr>
        <w:t>.</w:t>
      </w:r>
    </w:p>
    <w:p w:rsidR="00FE1EF2" w:rsidRDefault="00FE1EF2" w:rsidP="00C75434">
      <w:pPr>
        <w:ind w:left="567" w:hanging="720"/>
        <w:contextualSpacing/>
        <w:rPr>
          <w:rFonts w:cs="Arial"/>
          <w:color w:val="000000" w:themeColor="text1"/>
          <w:szCs w:val="22"/>
        </w:rPr>
      </w:pPr>
    </w:p>
    <w:p w:rsidR="004B79AA" w:rsidRPr="004B79AA" w:rsidRDefault="004B79AA" w:rsidP="00C75434">
      <w:pPr>
        <w:ind w:left="567" w:hanging="720"/>
        <w:contextualSpacing/>
        <w:rPr>
          <w:rFonts w:cs="Arial"/>
          <w:color w:val="000000" w:themeColor="text1"/>
          <w:szCs w:val="22"/>
        </w:rPr>
      </w:pPr>
      <w:r w:rsidRPr="004B79AA">
        <w:rPr>
          <w:rFonts w:cs="Arial"/>
          <w:color w:val="000000" w:themeColor="text1"/>
          <w:szCs w:val="22"/>
        </w:rPr>
        <w:t>Glufosinate ammonium</w:t>
      </w:r>
    </w:p>
    <w:p w:rsidR="00E24969" w:rsidRDefault="004B79AA" w:rsidP="003E02AD">
      <w:pPr>
        <w:pStyle w:val="FSBullet1"/>
      </w:pPr>
      <w:r w:rsidRPr="004B79AA">
        <w:rPr>
          <w:lang w:eastAsia="en-GB"/>
        </w:rPr>
        <w:t>Glu</w:t>
      </w:r>
      <w:r w:rsidRPr="006C2DDF">
        <w:t xml:space="preserve">fosinate is a non-selective contact herbicide with uses on </w:t>
      </w:r>
      <w:r w:rsidR="00E94E9D" w:rsidRPr="006C2DDF">
        <w:t xml:space="preserve">both conventional and GM </w:t>
      </w:r>
      <w:r w:rsidRPr="006C2DDF">
        <w:t xml:space="preserve">crops </w:t>
      </w:r>
      <w:r w:rsidR="00E24969" w:rsidRPr="006C2DDF">
        <w:fldChar w:fldCharType="begin"/>
      </w:r>
      <w:r w:rsidR="00A34D65">
        <w:instrText xml:space="preserve"> ADDIN REFMGR.CITE &lt;Refman&gt;&lt;Cite&gt;&lt;Author&gt;JMPR&lt;/Author&gt;&lt;Year&gt;2013&lt;/Year&gt;&lt;RecNum&gt;1591&lt;/RecNum&gt;&lt;IDText&gt;Pesticide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&lt;f name="Helvetica"&gt;Report of the Joint Meeting of the FAO Panel of Experts on Pesticide Residues in Food and the Environment and the WHO Core Assessment Group on Pesticide Residues - Rome, Italy, 11-20 September 2012&lt;/f&gt;&lt;/Title_Primary&gt;&lt;Authors_Primary&gt;JMPR&lt;/Authors_Primary&gt;&lt;Date_Primary&gt;2013&lt;/Date_Primary&gt;&lt;Reprint&gt;Not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Paper&lt;/Title_Series&gt;&lt;Web_URL&gt;&lt;u&gt;http://www.who.int/foodsafety/chem/jmpr/publications/en/&lt;/u&gt;&lt;/Web_URL&gt;&lt;ZZ_WorkformID&gt;24&lt;/ZZ_WorkformID&gt;&lt;/MDL&gt;&lt;/Cite&gt;&lt;/Refman&gt;</w:instrText>
      </w:r>
      <w:r w:rsidR="00E24969" w:rsidRPr="006C2DDF">
        <w:fldChar w:fldCharType="separate"/>
      </w:r>
      <w:r w:rsidR="00E24969" w:rsidRPr="006C2DDF">
        <w:rPr>
          <w:noProof/>
        </w:rPr>
        <w:t>(JMPR, 2013)</w:t>
      </w:r>
      <w:r w:rsidR="00E24969" w:rsidRPr="006C2DDF">
        <w:fldChar w:fldCharType="end"/>
      </w:r>
      <w:r w:rsidRPr="006C2DDF">
        <w:t>.</w:t>
      </w:r>
    </w:p>
    <w:p w:rsidR="0093250A" w:rsidRPr="006C2DDF" w:rsidRDefault="0093250A" w:rsidP="003E02AD">
      <w:pPr>
        <w:ind w:left="567" w:hanging="567"/>
      </w:pPr>
    </w:p>
    <w:p w:rsidR="004B79AA" w:rsidRDefault="004B79AA" w:rsidP="00737AC5">
      <w:pPr>
        <w:pStyle w:val="FSBullet1"/>
        <w:ind w:right="-286"/>
      </w:pPr>
      <w:r w:rsidRPr="006C2DDF">
        <w:t>Glufosinate MRLs for a variety of plant-derived food commodities have been adopted by Codex (</w:t>
      </w:r>
      <w:hyperlink r:id="rId29" w:history="1">
        <w:r w:rsidRPr="006C2DDF">
          <w:rPr>
            <w:rStyle w:val="Hyperlink"/>
            <w:color w:val="0000FF"/>
          </w:rPr>
          <w:t>http://www.codexalimentarius.net/mrls/pestdes/jsp/pest_q-e.jsp</w:t>
        </w:r>
      </w:hyperlink>
      <w:r w:rsidR="003E02AD">
        <w:t xml:space="preserve">), NZ </w:t>
      </w:r>
      <w:r w:rsidR="003E02AD">
        <w:rPr>
          <w:lang w:eastAsia="en-GB"/>
        </w:rPr>
        <w:t>(</w:t>
      </w:r>
      <w:hyperlink r:id="rId30" w:history="1">
        <w:r w:rsidR="003E02AD" w:rsidRPr="000A4412">
          <w:rPr>
            <w:rStyle w:val="Hyperlink"/>
            <w:lang w:eastAsia="en-GB"/>
          </w:rPr>
          <w:t>http://www.foodsafety.govt.nz/elibrary/industry/nz-mrl-agricultural-compounds-food-standards-07-2014.pdf</w:t>
        </w:r>
      </w:hyperlink>
      <w:r w:rsidR="003E02AD">
        <w:rPr>
          <w:lang w:eastAsia="en-GB"/>
        </w:rPr>
        <w:t>) and Australia (</w:t>
      </w:r>
      <w:hyperlink r:id="rId31" w:history="1">
        <w:r w:rsidR="003E02AD" w:rsidRPr="000A4412">
          <w:rPr>
            <w:rStyle w:val="Hyperlink"/>
            <w:lang w:eastAsia="en-GB"/>
          </w:rPr>
          <w:t>http://www.comlaw.gov.au/Details/F2013C00638</w:t>
        </w:r>
      </w:hyperlink>
      <w:r w:rsidR="003E02AD">
        <w:rPr>
          <w:lang w:eastAsia="en-GB"/>
        </w:rPr>
        <w:t xml:space="preserve">). </w:t>
      </w:r>
    </w:p>
    <w:p w:rsidR="0093250A" w:rsidRPr="006C2DDF" w:rsidRDefault="0093250A" w:rsidP="003E02AD">
      <w:pPr>
        <w:ind w:left="567" w:hanging="567"/>
      </w:pPr>
    </w:p>
    <w:p w:rsidR="0074308A" w:rsidRPr="0088511D" w:rsidRDefault="00361539" w:rsidP="003E02AD">
      <w:pPr>
        <w:pStyle w:val="FSBullet1"/>
        <w:rPr>
          <w:lang w:eastAsia="en-GB"/>
        </w:rPr>
      </w:pPr>
      <w:r w:rsidRPr="006C2DDF">
        <w:t>The</w:t>
      </w:r>
      <w:r w:rsidRPr="004B79AA">
        <w:rPr>
          <w:color w:val="000000" w:themeColor="text1"/>
        </w:rPr>
        <w:t xml:space="preserve"> Joint FAO/WHO Meeting on Pesticide Residues concluded </w:t>
      </w:r>
      <w:r w:rsidR="00E24969">
        <w:rPr>
          <w:color w:val="000000" w:themeColor="text1"/>
        </w:rPr>
        <w:fldChar w:fldCharType="begin"/>
      </w:r>
      <w:r w:rsidR="00A34D65">
        <w:rPr>
          <w:color w:val="000000" w:themeColor="text1"/>
        </w:rPr>
        <w:instrText xml:space="preserve"> ADDIN REFMGR.CITE &lt;Refman&gt;&lt;Cite&gt;&lt;Author&gt;JMPR&lt;/Author&gt;&lt;Year&gt;2013&lt;/Year&gt;&lt;RecNum&gt;1591&lt;/RecNum&gt;&lt;IDText&gt;Pesticide residues in food 2012. Report of the Joint Meeting of the FAO Panel of Experts on Pesticide Residues in Food and the Environment and the WHO Core Assessment Group on Pesticide Residues - Rome, Italy, 11-20 September 2012&lt;/IDText&gt;&lt;MDL Ref_Type="Report"&gt;&lt;Ref_Type&gt;Report&lt;/Ref_Type&gt;&lt;Ref_ID&gt;1591&lt;/Ref_ID&gt;&lt;Title_Primary&gt;Pesticide residues in food 2012. &lt;f name="Helvetica"&gt;Report of the Joint Meeting of the FAO Panel of Experts on Pesticide Residues in Food and the Environment and the WHO Core Assessment Group on Pesticide Residues - Rome, Italy, 11-20 September 2012&lt;/f&gt;&lt;/Title_Primary&gt;&lt;Authors_Primary&gt;JMPR&lt;/Authors_Primary&gt;&lt;Date_Primary&gt;2013&lt;/Date_Primary&gt;&lt;Reprint&gt;Not in File&lt;/Reprint&gt;&lt;Volume&gt;215&lt;/Volume&gt;&lt;Pub_Place&gt;Rome&lt;/Pub_Place&gt;&lt;Publisher&gt;World Health Organization. Food &amp;amp; Agriculture Organization of the United Nations&lt;/Publisher&gt;&lt;Title_Series&gt; FAO Plant Production &amp;amp; Protection Paper&lt;/Title_Series&gt;&lt;Web_URL&gt;&lt;u&gt;http://www.who.int/foodsafety/chem/jmpr/publications/en/&lt;/u&gt;&lt;/Web_URL&gt;&lt;ZZ_WorkformID&gt;24&lt;/ZZ_WorkformID&gt;&lt;/MDL&gt;&lt;/Cite&gt;&lt;/Refman&gt;</w:instrText>
      </w:r>
      <w:r w:rsidR="00E24969">
        <w:rPr>
          <w:color w:val="000000" w:themeColor="text1"/>
        </w:rPr>
        <w:fldChar w:fldCharType="separate"/>
      </w:r>
      <w:r w:rsidR="00E24969">
        <w:rPr>
          <w:noProof/>
          <w:color w:val="000000" w:themeColor="text1"/>
        </w:rPr>
        <w:t>(JMPR, 2013)</w:t>
      </w:r>
      <w:r w:rsidR="00E24969">
        <w:rPr>
          <w:color w:val="000000" w:themeColor="text1"/>
        </w:rPr>
        <w:fldChar w:fldCharType="end"/>
      </w:r>
      <w:r w:rsidRPr="004B79AA">
        <w:rPr>
          <w:color w:val="000000" w:themeColor="text1"/>
        </w:rPr>
        <w:t xml:space="preserve"> that “</w:t>
      </w:r>
      <w:r w:rsidRPr="004B79AA">
        <w:rPr>
          <w:lang w:eastAsia="en-GB"/>
        </w:rPr>
        <w:t>the long-term intake of residues of glufosinate from uses that have been considered by the JMPR [including a consideration of residues on GM glufosinate-tolerant crops] is unlikely to present a public health concern”.</w:t>
      </w:r>
    </w:p>
    <w:p w:rsidR="00EB6590" w:rsidRPr="00BD0B3A" w:rsidRDefault="00193D1A" w:rsidP="00C75434">
      <w:pPr>
        <w:pStyle w:val="Heading2"/>
        <w:ind w:left="567" w:hanging="720"/>
        <w:rPr>
          <w:color w:val="000000" w:themeColor="text1"/>
        </w:rPr>
      </w:pPr>
      <w:bookmarkStart w:id="25" w:name="_Toc388276742"/>
      <w:r w:rsidRPr="00BD0B3A">
        <w:rPr>
          <w:color w:val="000000" w:themeColor="text1"/>
        </w:rPr>
        <w:t>2.2</w:t>
      </w:r>
      <w:r w:rsidR="00DB5F1D" w:rsidRPr="00BD0B3A">
        <w:rPr>
          <w:color w:val="000000" w:themeColor="text1"/>
        </w:rPr>
        <w:tab/>
      </w:r>
      <w:r w:rsidR="00E138A9" w:rsidRPr="00BD0B3A">
        <w:rPr>
          <w:color w:val="000000" w:themeColor="text1"/>
        </w:rPr>
        <w:t>Safety</w:t>
      </w:r>
      <w:r w:rsidR="004F69F6" w:rsidRPr="00BD0B3A">
        <w:rPr>
          <w:color w:val="000000" w:themeColor="text1"/>
        </w:rPr>
        <w:t xml:space="preserve"> </w:t>
      </w:r>
      <w:r w:rsidR="007C22CB" w:rsidRPr="00BD0B3A">
        <w:rPr>
          <w:color w:val="000000" w:themeColor="text1"/>
        </w:rPr>
        <w:t>a</w:t>
      </w:r>
      <w:r w:rsidR="004F69F6" w:rsidRPr="00BD0B3A">
        <w:rPr>
          <w:color w:val="000000" w:themeColor="text1"/>
        </w:rPr>
        <w:t>ssessment</w:t>
      </w:r>
      <w:bookmarkEnd w:id="25"/>
      <w:r w:rsidR="004F69F6" w:rsidRPr="00BD0B3A">
        <w:rPr>
          <w:color w:val="000000" w:themeColor="text1"/>
        </w:rPr>
        <w:t xml:space="preserve"> </w:t>
      </w:r>
      <w:bookmarkEnd w:id="23"/>
      <w:bookmarkEnd w:id="24"/>
    </w:p>
    <w:p w:rsidR="00093E01" w:rsidRPr="00BD0B3A" w:rsidRDefault="00093E01" w:rsidP="00093E01">
      <w:pPr>
        <w:rPr>
          <w:color w:val="000000" w:themeColor="text1"/>
        </w:rPr>
      </w:pPr>
      <w:bookmarkStart w:id="26" w:name="_Toc175381442"/>
      <w:r w:rsidRPr="00BD0B3A">
        <w:rPr>
          <w:color w:val="000000" w:themeColor="text1"/>
        </w:rPr>
        <w:t>The safety assess</w:t>
      </w:r>
      <w:r w:rsidR="00E138A9" w:rsidRPr="00BD0B3A">
        <w:rPr>
          <w:color w:val="000000" w:themeColor="text1"/>
        </w:rPr>
        <w:t xml:space="preserve">ment of </w:t>
      </w:r>
      <w:r w:rsidR="00F35DD5">
        <w:rPr>
          <w:color w:val="000000" w:themeColor="text1"/>
        </w:rPr>
        <w:t>herbicide-</w:t>
      </w:r>
      <w:r w:rsidR="00D850B7">
        <w:rPr>
          <w:color w:val="000000" w:themeColor="text1"/>
        </w:rPr>
        <w:t xml:space="preserve">tolerant </w:t>
      </w:r>
      <w:r w:rsidR="00AA4EE8">
        <w:rPr>
          <w:color w:val="000000" w:themeColor="text1"/>
        </w:rPr>
        <w:t>cotton</w:t>
      </w:r>
      <w:r w:rsidR="00810AA6">
        <w:rPr>
          <w:color w:val="000000" w:themeColor="text1"/>
        </w:rPr>
        <w:t xml:space="preserve"> line </w:t>
      </w:r>
      <w:r w:rsidR="00591A0E">
        <w:rPr>
          <w:color w:val="000000" w:themeColor="text1"/>
          <w:szCs w:val="22"/>
        </w:rPr>
        <w:t>DAS-81910-7</w:t>
      </w:r>
      <w:r w:rsidR="00F35DD5">
        <w:rPr>
          <w:color w:val="000000" w:themeColor="text1"/>
          <w:szCs w:val="22"/>
        </w:rPr>
        <w:t xml:space="preserve"> </w:t>
      </w:r>
      <w:r w:rsidRPr="00BD0B3A">
        <w:rPr>
          <w:color w:val="000000" w:themeColor="text1"/>
        </w:rPr>
        <w:t xml:space="preserve">is provided in the supporting document (SD1) and included the following key elements: </w:t>
      </w:r>
    </w:p>
    <w:p w:rsidR="00093E01" w:rsidRPr="00BD0B3A" w:rsidRDefault="00093E01" w:rsidP="00093E01">
      <w:pPr>
        <w:widowControl/>
        <w:rPr>
          <w:color w:val="000000" w:themeColor="text1"/>
        </w:rPr>
      </w:pPr>
    </w:p>
    <w:p w:rsidR="00093E01" w:rsidRPr="00BD0B3A" w:rsidRDefault="00093E01" w:rsidP="002B541E">
      <w:pPr>
        <w:pStyle w:val="FSBullet1"/>
        <w:rPr>
          <w:color w:val="000000" w:themeColor="text1"/>
        </w:rPr>
      </w:pPr>
      <w:r w:rsidRPr="00BD0B3A">
        <w:rPr>
          <w:color w:val="000000" w:themeColor="text1"/>
        </w:rPr>
        <w:t>a character</w:t>
      </w:r>
      <w:r w:rsidR="00910FA0" w:rsidRPr="00BD0B3A">
        <w:rPr>
          <w:color w:val="000000" w:themeColor="text1"/>
        </w:rPr>
        <w:t>isation of the transferred genetic elements</w:t>
      </w:r>
      <w:r w:rsidRPr="00BD0B3A">
        <w:rPr>
          <w:color w:val="000000" w:themeColor="text1"/>
        </w:rPr>
        <w:t>, their origin, funct</w:t>
      </w:r>
      <w:r w:rsidR="00AA4EE8">
        <w:rPr>
          <w:color w:val="000000" w:themeColor="text1"/>
        </w:rPr>
        <w:t>ion and stability in the cotton</w:t>
      </w:r>
      <w:r w:rsidRPr="00BD0B3A">
        <w:rPr>
          <w:color w:val="000000" w:themeColor="text1"/>
        </w:rPr>
        <w:t xml:space="preserve"> genome</w:t>
      </w:r>
    </w:p>
    <w:p w:rsidR="00093E01" w:rsidRDefault="00093E01" w:rsidP="002B541E">
      <w:pPr>
        <w:pStyle w:val="FSBullet1"/>
        <w:rPr>
          <w:color w:val="000000" w:themeColor="text1"/>
        </w:rPr>
      </w:pPr>
      <w:r w:rsidRPr="00BD0B3A">
        <w:rPr>
          <w:color w:val="000000" w:themeColor="text1"/>
        </w:rPr>
        <w:t>the changes</w:t>
      </w:r>
      <w:r w:rsidR="002B541E">
        <w:rPr>
          <w:color w:val="000000" w:themeColor="text1"/>
        </w:rPr>
        <w:t xml:space="preserve"> at the level of DNA and protein</w:t>
      </w:r>
      <w:r w:rsidRPr="00BD0B3A">
        <w:rPr>
          <w:color w:val="000000" w:themeColor="text1"/>
        </w:rPr>
        <w:t xml:space="preserve"> in the whole food</w:t>
      </w:r>
    </w:p>
    <w:p w:rsidR="002B541E" w:rsidRPr="002B541E" w:rsidRDefault="002B541E" w:rsidP="002B541E">
      <w:pPr>
        <w:pStyle w:val="FSBullet1"/>
      </w:pPr>
      <w:r>
        <w:t>the potential for newly-expressed proteins to be either allergenic or toxic in humans</w:t>
      </w:r>
    </w:p>
    <w:p w:rsidR="00093E01" w:rsidRPr="00BD0B3A" w:rsidRDefault="00AA4EE8" w:rsidP="002B541E">
      <w:pPr>
        <w:pStyle w:val="FSBullet1"/>
        <w:rPr>
          <w:color w:val="000000" w:themeColor="text1"/>
        </w:rPr>
      </w:pPr>
      <w:r>
        <w:rPr>
          <w:color w:val="000000" w:themeColor="text1"/>
        </w:rPr>
        <w:t>detailed compositional analysi</w:t>
      </w:r>
      <w:r w:rsidR="00093E01" w:rsidRPr="00BD0B3A">
        <w:rPr>
          <w:color w:val="000000" w:themeColor="text1"/>
        </w:rPr>
        <w:t>s</w:t>
      </w:r>
    </w:p>
    <w:p w:rsidR="00093E01" w:rsidRDefault="00093E01" w:rsidP="002B541E">
      <w:pPr>
        <w:pStyle w:val="FSBullet1"/>
        <w:rPr>
          <w:color w:val="000000" w:themeColor="text1"/>
        </w:rPr>
      </w:pPr>
      <w:r w:rsidRPr="00BD0B3A">
        <w:rPr>
          <w:color w:val="000000" w:themeColor="text1"/>
        </w:rPr>
        <w:t>evaluation of intended and unintended changes</w:t>
      </w:r>
    </w:p>
    <w:p w:rsidR="00737AC5" w:rsidRDefault="00737AC5" w:rsidP="00E138A9">
      <w:pPr>
        <w:rPr>
          <w:color w:val="000000" w:themeColor="text1"/>
        </w:rPr>
      </w:pPr>
    </w:p>
    <w:p w:rsidR="00737AC5" w:rsidRDefault="00E138A9" w:rsidP="00E138A9">
      <w:pPr>
        <w:rPr>
          <w:color w:val="000000" w:themeColor="text1"/>
        </w:rPr>
      </w:pPr>
      <w:r w:rsidRPr="00BD0B3A">
        <w:rPr>
          <w:color w:val="000000" w:themeColor="text1"/>
        </w:rPr>
        <w:t xml:space="preserve">The assessment of </w:t>
      </w:r>
      <w:r w:rsidR="00AA4EE8">
        <w:rPr>
          <w:color w:val="000000" w:themeColor="text1"/>
        </w:rPr>
        <w:t>cotton</w:t>
      </w:r>
      <w:r w:rsidR="00810AA6">
        <w:rPr>
          <w:color w:val="000000" w:themeColor="text1"/>
        </w:rPr>
        <w:t xml:space="preserve"> line </w:t>
      </w:r>
      <w:r w:rsidR="00AA4EE8">
        <w:rPr>
          <w:color w:val="000000" w:themeColor="text1"/>
        </w:rPr>
        <w:t>81</w:t>
      </w:r>
      <w:r w:rsidR="00810AA6">
        <w:rPr>
          <w:color w:val="000000" w:themeColor="text1"/>
        </w:rPr>
        <w:t>910</w:t>
      </w:r>
      <w:r w:rsidRPr="00BD0B3A">
        <w:rPr>
          <w:color w:val="000000" w:themeColor="text1"/>
        </w:rPr>
        <w:t xml:space="preserve"> was restricted to food safety and nutritional issues. </w:t>
      </w:r>
      <w:r w:rsidR="00737AC5">
        <w:rPr>
          <w:color w:val="000000" w:themeColor="text1"/>
        </w:rPr>
        <w:br w:type="page"/>
      </w:r>
    </w:p>
    <w:p w:rsidR="00E138A9" w:rsidRPr="00BD0B3A" w:rsidRDefault="00E138A9" w:rsidP="00E138A9">
      <w:pPr>
        <w:rPr>
          <w:color w:val="000000" w:themeColor="text1"/>
        </w:rPr>
      </w:pPr>
      <w:r w:rsidRPr="00BD0B3A">
        <w:rPr>
          <w:color w:val="000000" w:themeColor="text1"/>
        </w:rPr>
        <w:lastRenderedPageBreak/>
        <w:t xml:space="preserve">Any risks related to the release into the environment of GM plants used in food production, or </w:t>
      </w:r>
      <w:r w:rsidR="009F38D1" w:rsidRPr="00BD0B3A">
        <w:rPr>
          <w:color w:val="000000" w:themeColor="text1"/>
        </w:rPr>
        <w:t>risks to</w:t>
      </w:r>
      <w:r w:rsidRPr="00BD0B3A">
        <w:rPr>
          <w:color w:val="000000" w:themeColor="text1"/>
        </w:rPr>
        <w:t xml:space="preserve"> animals consuming feed derived from GM plants have not been addressed in this assessment.</w:t>
      </w:r>
    </w:p>
    <w:p w:rsidR="00093E01" w:rsidRPr="00BD0B3A" w:rsidRDefault="00093E01" w:rsidP="00093E01">
      <w:pPr>
        <w:rPr>
          <w:color w:val="000000" w:themeColor="text1"/>
        </w:rPr>
      </w:pPr>
    </w:p>
    <w:p w:rsidR="009F38D1" w:rsidRDefault="00AA4EE8" w:rsidP="00093E01">
      <w:pPr>
        <w:rPr>
          <w:color w:val="000000" w:themeColor="text1"/>
        </w:rPr>
      </w:pPr>
      <w:r>
        <w:rPr>
          <w:color w:val="000000" w:themeColor="text1"/>
        </w:rPr>
        <w:t>The Applicant for A1094</w:t>
      </w:r>
      <w:r w:rsidR="009F38D1" w:rsidRPr="00BD0B3A">
        <w:rPr>
          <w:color w:val="000000" w:themeColor="text1"/>
        </w:rPr>
        <w:t xml:space="preserve"> met all of the data requirements stipulated in the </w:t>
      </w:r>
      <w:r w:rsidR="009F38D1" w:rsidRPr="00BD0B3A">
        <w:rPr>
          <w:i/>
          <w:color w:val="000000" w:themeColor="text1"/>
        </w:rPr>
        <w:t>Application Handbook</w:t>
      </w:r>
      <w:r w:rsidR="009F38D1" w:rsidRPr="00BD0B3A">
        <w:rPr>
          <w:color w:val="000000" w:themeColor="text1"/>
        </w:rPr>
        <w:t xml:space="preserve"> </w:t>
      </w:r>
      <w:r w:rsidR="009F38D1" w:rsidRPr="00BD0B3A">
        <w:rPr>
          <w:color w:val="000000" w:themeColor="text1"/>
        </w:rPr>
        <w:fldChar w:fldCharType="begin"/>
      </w:r>
      <w:r w:rsidR="00A34D65">
        <w:rPr>
          <w:color w:val="000000" w:themeColor="text1"/>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9F38D1" w:rsidRPr="00BD0B3A">
        <w:rPr>
          <w:color w:val="000000" w:themeColor="text1"/>
        </w:rPr>
        <w:fldChar w:fldCharType="separate"/>
      </w:r>
      <w:r w:rsidR="009F38D1" w:rsidRPr="00BD0B3A">
        <w:rPr>
          <w:noProof/>
          <w:color w:val="000000" w:themeColor="text1"/>
        </w:rPr>
        <w:t>(FSANZ, 2011)</w:t>
      </w:r>
      <w:r w:rsidR="009F38D1" w:rsidRPr="00BD0B3A">
        <w:rPr>
          <w:color w:val="000000" w:themeColor="text1"/>
        </w:rPr>
        <w:fldChar w:fldCharType="end"/>
      </w:r>
      <w:r w:rsidR="009F38D1" w:rsidRPr="00BD0B3A">
        <w:rPr>
          <w:color w:val="000000" w:themeColor="text1"/>
        </w:rPr>
        <w:t xml:space="preserve"> for the safety assessment of GM food and, </w:t>
      </w:r>
      <w:r w:rsidR="00D03929">
        <w:rPr>
          <w:color w:val="000000" w:themeColor="text1"/>
        </w:rPr>
        <w:t xml:space="preserve">after assessing </w:t>
      </w:r>
      <w:r w:rsidR="009F38D1" w:rsidRPr="00BD0B3A">
        <w:rPr>
          <w:color w:val="000000" w:themeColor="text1"/>
        </w:rPr>
        <w:t xml:space="preserve">these data, FSANZ is satisfied that sufficient evidence has been provided to demonstrate the safety of the food. </w:t>
      </w:r>
    </w:p>
    <w:p w:rsidR="002B541E" w:rsidRDefault="002B541E" w:rsidP="00093E01">
      <w:pPr>
        <w:rPr>
          <w:color w:val="000000" w:themeColor="text1"/>
        </w:rPr>
      </w:pPr>
    </w:p>
    <w:p w:rsidR="00E959CF" w:rsidRDefault="002B541E" w:rsidP="00093E01">
      <w:r w:rsidRPr="00272E09">
        <w:t xml:space="preserve">Based on the scientific data provided in the present Application, and other available information, food derived from </w:t>
      </w:r>
      <w:r w:rsidR="00810AA6">
        <w:t xml:space="preserve">herbicide-tolerant </w:t>
      </w:r>
      <w:r w:rsidR="00AA4EE8">
        <w:t>cotton line DAS-81910-7</w:t>
      </w:r>
      <w:r w:rsidRPr="00272E09">
        <w:t xml:space="preserve"> is considered to be as safe for human consumption as food derived from conventional </w:t>
      </w:r>
      <w:r w:rsidR="00AA4EE8">
        <w:t>cotton</w:t>
      </w:r>
      <w:r w:rsidRPr="00272E09">
        <w:t xml:space="preserve"> cultivars</w:t>
      </w:r>
      <w:r>
        <w:t>.</w:t>
      </w:r>
    </w:p>
    <w:p w:rsidR="0012388D" w:rsidRPr="00BD0B3A" w:rsidRDefault="008A7D76" w:rsidP="000000FE">
      <w:pPr>
        <w:pStyle w:val="Heading2"/>
        <w:rPr>
          <w:color w:val="000000" w:themeColor="text1"/>
        </w:rPr>
      </w:pPr>
      <w:bookmarkStart w:id="27" w:name="_Toc388276743"/>
      <w:r w:rsidRPr="00BD0B3A">
        <w:rPr>
          <w:color w:val="000000" w:themeColor="text1"/>
        </w:rPr>
        <w:t>2</w:t>
      </w:r>
      <w:r w:rsidR="00DB5F1D" w:rsidRPr="00BD0B3A">
        <w:rPr>
          <w:color w:val="000000" w:themeColor="text1"/>
        </w:rPr>
        <w:t>.3</w:t>
      </w:r>
      <w:r w:rsidR="00AC428E" w:rsidRPr="00BD0B3A">
        <w:rPr>
          <w:color w:val="000000" w:themeColor="text1"/>
        </w:rPr>
        <w:tab/>
      </w:r>
      <w:r w:rsidR="004F69F6" w:rsidRPr="00BD0B3A">
        <w:rPr>
          <w:color w:val="000000" w:themeColor="text1"/>
        </w:rPr>
        <w:t xml:space="preserve">Risk </w:t>
      </w:r>
      <w:r w:rsidR="007C22CB" w:rsidRPr="00BD0B3A">
        <w:rPr>
          <w:color w:val="000000" w:themeColor="text1"/>
        </w:rPr>
        <w:t>m</w:t>
      </w:r>
      <w:r w:rsidR="004F69F6" w:rsidRPr="00BD0B3A">
        <w:rPr>
          <w:color w:val="000000" w:themeColor="text1"/>
        </w:rPr>
        <w:t>anagement</w:t>
      </w:r>
      <w:bookmarkEnd w:id="26"/>
      <w:bookmarkEnd w:id="27"/>
    </w:p>
    <w:p w:rsidR="000000FE" w:rsidRPr="00BD0B3A" w:rsidRDefault="008A7D76" w:rsidP="00307958">
      <w:pPr>
        <w:pStyle w:val="Heading3"/>
        <w:rPr>
          <w:color w:val="000000" w:themeColor="text1"/>
        </w:rPr>
      </w:pPr>
      <w:bookmarkStart w:id="28" w:name="_Toc309742824"/>
      <w:bookmarkStart w:id="29" w:name="_Toc318448799"/>
      <w:bookmarkStart w:id="30" w:name="_Toc388276744"/>
      <w:bookmarkStart w:id="31" w:name="_Toc175381450"/>
      <w:r w:rsidRPr="00BD0B3A">
        <w:rPr>
          <w:color w:val="000000" w:themeColor="text1"/>
        </w:rPr>
        <w:t>2</w:t>
      </w:r>
      <w:r w:rsidR="00DB5F1D" w:rsidRPr="00BD0B3A">
        <w:rPr>
          <w:color w:val="000000" w:themeColor="text1"/>
        </w:rPr>
        <w:t>.3</w:t>
      </w:r>
      <w:r w:rsidR="000000FE" w:rsidRPr="00BD0B3A">
        <w:rPr>
          <w:color w:val="000000" w:themeColor="text1"/>
        </w:rPr>
        <w:t>.1</w:t>
      </w:r>
      <w:r w:rsidR="000000FE" w:rsidRPr="00BD0B3A">
        <w:rPr>
          <w:color w:val="000000" w:themeColor="text1"/>
        </w:rPr>
        <w:tab/>
        <w:t>Labelling</w:t>
      </w:r>
      <w:bookmarkEnd w:id="28"/>
      <w:bookmarkEnd w:id="29"/>
      <w:bookmarkEnd w:id="30"/>
    </w:p>
    <w:p w:rsidR="00BD0B3A" w:rsidRPr="00BD0B3A" w:rsidRDefault="00BD0B3A" w:rsidP="00BD0B3A">
      <w:pPr>
        <w:rPr>
          <w:color w:val="000000" w:themeColor="text1"/>
        </w:rPr>
      </w:pPr>
      <w:r w:rsidRPr="00BD0B3A">
        <w:rPr>
          <w:color w:val="000000" w:themeColor="text1"/>
        </w:rPr>
        <w:t xml:space="preserve">In accordance with the labelling provisions in Standard </w:t>
      </w:r>
      <w:r w:rsidR="00AA4EE8">
        <w:rPr>
          <w:color w:val="000000" w:themeColor="text1"/>
        </w:rPr>
        <w:t>1.5.2, food derived from cotton</w:t>
      </w:r>
      <w:r w:rsidR="00810AA6">
        <w:rPr>
          <w:color w:val="000000" w:themeColor="text1"/>
        </w:rPr>
        <w:t xml:space="preserve"> line </w:t>
      </w:r>
      <w:r w:rsidR="00AA4EE8">
        <w:rPr>
          <w:color w:val="000000" w:themeColor="text1"/>
        </w:rPr>
        <w:t>81</w:t>
      </w:r>
      <w:r w:rsidR="00810AA6">
        <w:rPr>
          <w:color w:val="000000" w:themeColor="text1"/>
        </w:rPr>
        <w:t>910</w:t>
      </w:r>
      <w:r w:rsidRPr="00BD0B3A">
        <w:rPr>
          <w:color w:val="000000" w:themeColor="text1"/>
        </w:rPr>
        <w:t xml:space="preserve"> would have to be labelled as ‘genetically modified’ if it contains novel DNA or novel protein, or has altered characteris</w:t>
      </w:r>
      <w:r w:rsidR="00AA4EE8">
        <w:rPr>
          <w:color w:val="000000" w:themeColor="text1"/>
        </w:rPr>
        <w:t xml:space="preserve">tics. Food from </w:t>
      </w:r>
      <w:r w:rsidR="00810AA6">
        <w:rPr>
          <w:color w:val="000000" w:themeColor="text1"/>
        </w:rPr>
        <w:t xml:space="preserve">cotton line </w:t>
      </w:r>
      <w:r w:rsidR="00AA4EE8">
        <w:rPr>
          <w:color w:val="000000" w:themeColor="text1"/>
        </w:rPr>
        <w:t>81</w:t>
      </w:r>
      <w:r w:rsidR="00810AA6">
        <w:rPr>
          <w:color w:val="000000" w:themeColor="text1"/>
        </w:rPr>
        <w:t>910</w:t>
      </w:r>
      <w:r w:rsidRPr="00BD0B3A">
        <w:rPr>
          <w:color w:val="000000" w:themeColor="text1"/>
        </w:rPr>
        <w:t xml:space="preserve"> does not have altered characteristics.</w:t>
      </w:r>
    </w:p>
    <w:p w:rsidR="00BD0B3A" w:rsidRPr="00BD0B3A" w:rsidRDefault="00BD0B3A" w:rsidP="00BD0B3A">
      <w:pPr>
        <w:rPr>
          <w:color w:val="000000" w:themeColor="text1"/>
        </w:rPr>
      </w:pPr>
    </w:p>
    <w:p w:rsidR="00EF4773" w:rsidRDefault="00EF4773" w:rsidP="006C2DDF">
      <w:pPr>
        <w:widowControl/>
      </w:pPr>
      <w:r w:rsidRPr="00400169">
        <w:t xml:space="preserve">The main food product from </w:t>
      </w:r>
      <w:r>
        <w:t xml:space="preserve">cotton plants is </w:t>
      </w:r>
      <w:r w:rsidRPr="00400169">
        <w:t xml:space="preserve">refined </w:t>
      </w:r>
      <w:r>
        <w:t xml:space="preserve">cottonseed </w:t>
      </w:r>
      <w:r w:rsidRPr="00400169">
        <w:t xml:space="preserve">oil. </w:t>
      </w:r>
      <w:r>
        <w:t xml:space="preserve">Extensive processing of cottonseed to produce food-grade oil </w:t>
      </w:r>
      <w:r w:rsidRPr="00400169">
        <w:t>means novel protein and novel DNA are not likely to be present in the oil</w:t>
      </w:r>
      <w:r>
        <w:t xml:space="preserve">. In the absence of novel protein and novel DNA, refined cottonseed oil from </w:t>
      </w:r>
      <w:r w:rsidR="00810AA6">
        <w:t>cotton line 81910</w:t>
      </w:r>
      <w:r>
        <w:t xml:space="preserve"> would be exempt from labelling under paragraph 4(1)(c) of Standard 1.5.2. Cotton linters, a minor food product, are almost pure cellulose and therefore do not contain novel protein or novel DNA and would also be exempt from labelling.</w:t>
      </w:r>
    </w:p>
    <w:p w:rsidR="000000FE" w:rsidRPr="00BD0B3A" w:rsidRDefault="008A7D76" w:rsidP="000000FE">
      <w:pPr>
        <w:pStyle w:val="Heading3"/>
        <w:rPr>
          <w:color w:val="000000" w:themeColor="text1"/>
        </w:rPr>
      </w:pPr>
      <w:bookmarkStart w:id="32" w:name="_Toc388276745"/>
      <w:r w:rsidRPr="00BD0B3A">
        <w:rPr>
          <w:color w:val="000000" w:themeColor="text1"/>
        </w:rPr>
        <w:t>2</w:t>
      </w:r>
      <w:r w:rsidR="00DB5F1D" w:rsidRPr="00BD0B3A">
        <w:rPr>
          <w:color w:val="000000" w:themeColor="text1"/>
        </w:rPr>
        <w:t>.3</w:t>
      </w:r>
      <w:r w:rsidR="000000FE" w:rsidRPr="00BD0B3A">
        <w:rPr>
          <w:color w:val="000000" w:themeColor="text1"/>
        </w:rPr>
        <w:t>.2</w:t>
      </w:r>
      <w:r w:rsidR="000000FE" w:rsidRPr="00BD0B3A">
        <w:rPr>
          <w:color w:val="000000" w:themeColor="text1"/>
        </w:rPr>
        <w:tab/>
        <w:t>Detection methodology</w:t>
      </w:r>
      <w:bookmarkEnd w:id="32"/>
    </w:p>
    <w:p w:rsidR="00173BB9" w:rsidRPr="00BD0B3A" w:rsidRDefault="00173BB9" w:rsidP="00173BB9">
      <w:pPr>
        <w:rPr>
          <w:color w:val="000000" w:themeColor="text1"/>
        </w:rPr>
      </w:pPr>
      <w:r w:rsidRPr="00BD0B3A">
        <w:rPr>
          <w:color w:val="000000" w:themeColor="text1"/>
        </w:rPr>
        <w:t>An Expert Advisory Group (EAG), involving laboratory personnel and representatives of the Australian and Ne</w:t>
      </w:r>
      <w:r w:rsidR="00093E01" w:rsidRPr="00BD0B3A">
        <w:rPr>
          <w:color w:val="000000" w:themeColor="text1"/>
        </w:rPr>
        <w:t>w Zealand jurisdictions was</w:t>
      </w:r>
      <w:r w:rsidRPr="00BD0B3A">
        <w:rPr>
          <w:color w:val="000000" w:themeColor="text1"/>
        </w:rPr>
        <w:t xml:space="preserve"> formed by the Food Regulation Standing Committee</w:t>
      </w:r>
      <w:r w:rsidR="00272E09" w:rsidRPr="00BD0B3A">
        <w:rPr>
          <w:color w:val="000000" w:themeColor="text1"/>
        </w:rPr>
        <w:t>’s</w:t>
      </w:r>
      <w:r w:rsidRPr="00BD0B3A">
        <w:rPr>
          <w:color w:val="000000" w:themeColor="text1"/>
        </w:rPr>
        <w:t xml:space="preserve"> Implementation Sub-Committee</w:t>
      </w:r>
      <w:r w:rsidR="00093E01" w:rsidRPr="00BD0B3A">
        <w:rPr>
          <w:rStyle w:val="FootnoteReference"/>
          <w:color w:val="000000" w:themeColor="text1"/>
        </w:rPr>
        <w:footnoteReference w:id="2"/>
      </w:r>
      <w:r w:rsidRPr="00BD0B3A">
        <w:rPr>
          <w:color w:val="000000" w:themeColor="text1"/>
        </w:rPr>
        <w:t xml:space="preserve"> to identify and evaluate appropriate methods of analysis associated with all applications to FSANZ, including GM applications. </w:t>
      </w:r>
    </w:p>
    <w:p w:rsidR="00272E09" w:rsidRPr="00BD0B3A" w:rsidRDefault="00272E09" w:rsidP="00173BB9">
      <w:pPr>
        <w:rPr>
          <w:color w:val="000000" w:themeColor="text1"/>
        </w:rPr>
      </w:pPr>
    </w:p>
    <w:p w:rsidR="00435A76" w:rsidRDefault="00EF4773" w:rsidP="00173BB9">
      <w:pPr>
        <w:rPr>
          <w:color w:val="000000" w:themeColor="text1"/>
        </w:rPr>
      </w:pPr>
      <w:r>
        <w:rPr>
          <w:color w:val="000000" w:themeColor="text1"/>
        </w:rPr>
        <w:t>The EAG</w:t>
      </w:r>
      <w:r w:rsidR="00173BB9" w:rsidRPr="00BD0B3A">
        <w:rPr>
          <w:color w:val="000000" w:themeColor="text1"/>
        </w:rPr>
        <w:t xml:space="preserve"> indicated that for GM applications, the full DNA sequence of the insert and adjacent genomic DNA is sufficient data to be provided</w:t>
      </w:r>
      <w:r w:rsidR="00E01715" w:rsidRPr="00BD0B3A">
        <w:rPr>
          <w:color w:val="000000" w:themeColor="text1"/>
        </w:rPr>
        <w:t xml:space="preserve"> for analytica</w:t>
      </w:r>
      <w:r w:rsidR="005F64F3" w:rsidRPr="00BD0B3A">
        <w:rPr>
          <w:color w:val="000000" w:themeColor="text1"/>
        </w:rPr>
        <w:t>l purpo</w:t>
      </w:r>
      <w:r w:rsidR="00E01715" w:rsidRPr="00BD0B3A">
        <w:rPr>
          <w:color w:val="000000" w:themeColor="text1"/>
        </w:rPr>
        <w:t>ses</w:t>
      </w:r>
      <w:r w:rsidR="00173BB9" w:rsidRPr="00BD0B3A">
        <w:rPr>
          <w:color w:val="000000" w:themeColor="text1"/>
        </w:rPr>
        <w:t xml:space="preserve">. </w:t>
      </w:r>
    </w:p>
    <w:p w:rsidR="00173BB9" w:rsidRPr="00BD0B3A" w:rsidRDefault="00173BB9" w:rsidP="00173BB9">
      <w:pPr>
        <w:rPr>
          <w:color w:val="000000" w:themeColor="text1"/>
        </w:rPr>
      </w:pPr>
      <w:r w:rsidRPr="00BD0B3A">
        <w:rPr>
          <w:color w:val="000000" w:themeColor="text1"/>
        </w:rPr>
        <w:t>Using this information, any</w:t>
      </w:r>
      <w:r w:rsidR="00E01715" w:rsidRPr="00BD0B3A">
        <w:rPr>
          <w:color w:val="000000" w:themeColor="text1"/>
        </w:rPr>
        <w:t xml:space="preserve"> DNA</w:t>
      </w:r>
      <w:r w:rsidRPr="00BD0B3A">
        <w:rPr>
          <w:color w:val="000000" w:themeColor="text1"/>
        </w:rPr>
        <w:t xml:space="preserve"> analytical laboratory would have the capability to develop a </w:t>
      </w:r>
      <w:r w:rsidR="00D03929">
        <w:rPr>
          <w:color w:val="000000" w:themeColor="text1"/>
        </w:rPr>
        <w:br/>
      </w:r>
      <w:r w:rsidRPr="00BD0B3A">
        <w:rPr>
          <w:color w:val="000000" w:themeColor="text1"/>
        </w:rPr>
        <w:t>PCR-based detection method. This sequence information was suppli</w:t>
      </w:r>
      <w:r w:rsidR="00CF15C9" w:rsidRPr="00BD0B3A">
        <w:rPr>
          <w:color w:val="000000" w:themeColor="text1"/>
        </w:rPr>
        <w:t>ed b</w:t>
      </w:r>
      <w:r w:rsidR="00EF4773">
        <w:rPr>
          <w:color w:val="000000" w:themeColor="text1"/>
        </w:rPr>
        <w:t>y the Applicant for DAS-81910-7</w:t>
      </w:r>
      <w:r w:rsidRPr="00BD0B3A">
        <w:rPr>
          <w:color w:val="000000" w:themeColor="text1"/>
        </w:rPr>
        <w:t xml:space="preserve"> to satisfy the requirement for detection methodology in the FSANZ </w:t>
      </w:r>
      <w:r w:rsidRPr="00BD0B3A">
        <w:rPr>
          <w:i/>
          <w:color w:val="000000" w:themeColor="text1"/>
        </w:rPr>
        <w:t>Application Handbook</w:t>
      </w:r>
      <w:r w:rsidRPr="00BD0B3A">
        <w:rPr>
          <w:color w:val="000000" w:themeColor="text1"/>
        </w:rPr>
        <w:t xml:space="preserve"> </w:t>
      </w:r>
      <w:r w:rsidRPr="00BD0B3A">
        <w:rPr>
          <w:color w:val="000000" w:themeColor="text1"/>
        </w:rPr>
        <w:fldChar w:fldCharType="begin"/>
      </w:r>
      <w:r w:rsidR="00A34D65">
        <w:rPr>
          <w:color w:val="000000" w:themeColor="text1"/>
        </w:rPr>
        <w:instrText xml:space="preserve"> ADDIN REFMGR.CITE &lt;Refman&gt;&lt;Cite&gt;&lt;Author&gt;FSANZ&lt;/Author&gt;&lt;Year&gt;2011&lt;/Year&gt;&lt;RecNum&gt;1304&lt;/RecNum&gt;&lt;IDText&gt;Application handbook&lt;/IDText&gt;&lt;MDL Ref_Type="Report"&gt;&lt;Ref_Type&gt;Report&lt;/Ref_Type&gt;&lt;Ref_ID&gt;1304&lt;/Ref_ID&gt;&lt;Title_Primary&gt;Application handbook&lt;/Title_Primary&gt;&lt;Authors_Primary&gt;FSANZ&lt;/Authors_Primary&gt;&lt;Date_Primary&gt;2011&lt;/Date_Primary&gt;&lt;Keywords&gt;standards&lt;/Keywords&gt;&lt;Reprint&gt;Not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Pr="00BD0B3A">
        <w:rPr>
          <w:color w:val="000000" w:themeColor="text1"/>
        </w:rPr>
        <w:fldChar w:fldCharType="separate"/>
      </w:r>
      <w:r w:rsidR="00036E4B" w:rsidRPr="00BD0B3A">
        <w:rPr>
          <w:noProof/>
          <w:color w:val="000000" w:themeColor="text1"/>
        </w:rPr>
        <w:t>(FSANZ, 2011)</w:t>
      </w:r>
      <w:r w:rsidRPr="00BD0B3A">
        <w:rPr>
          <w:color w:val="000000" w:themeColor="text1"/>
        </w:rPr>
        <w:fldChar w:fldCharType="end"/>
      </w:r>
      <w:r w:rsidRPr="00BD0B3A">
        <w:rPr>
          <w:color w:val="000000" w:themeColor="text1"/>
        </w:rPr>
        <w:t>.</w:t>
      </w:r>
    </w:p>
    <w:p w:rsidR="00674FE5" w:rsidRPr="00BD0B3A" w:rsidRDefault="008A7D76" w:rsidP="00674FE5">
      <w:pPr>
        <w:pStyle w:val="Heading2"/>
        <w:rPr>
          <w:color w:val="000000" w:themeColor="text1"/>
        </w:rPr>
      </w:pPr>
      <w:bookmarkStart w:id="33" w:name="_Toc388276746"/>
      <w:bookmarkStart w:id="34" w:name="_Toc175381455"/>
      <w:bookmarkEnd w:id="15"/>
      <w:bookmarkEnd w:id="16"/>
      <w:bookmarkEnd w:id="17"/>
      <w:bookmarkEnd w:id="18"/>
      <w:bookmarkEnd w:id="19"/>
      <w:bookmarkEnd w:id="20"/>
      <w:bookmarkEnd w:id="31"/>
      <w:r w:rsidRPr="00BD0B3A">
        <w:rPr>
          <w:color w:val="000000" w:themeColor="text1"/>
        </w:rPr>
        <w:t>2</w:t>
      </w:r>
      <w:r w:rsidR="00DB5F1D" w:rsidRPr="00BD0B3A">
        <w:rPr>
          <w:color w:val="000000" w:themeColor="text1"/>
        </w:rPr>
        <w:t>.4</w:t>
      </w:r>
      <w:r w:rsidR="00674FE5" w:rsidRPr="00BD0B3A">
        <w:rPr>
          <w:color w:val="000000" w:themeColor="text1"/>
        </w:rPr>
        <w:tab/>
        <w:t>Risk communication</w:t>
      </w:r>
      <w:bookmarkEnd w:id="33"/>
      <w:r w:rsidR="00674FE5" w:rsidRPr="00BD0B3A">
        <w:rPr>
          <w:color w:val="000000" w:themeColor="text1"/>
        </w:rPr>
        <w:t xml:space="preserve"> </w:t>
      </w:r>
    </w:p>
    <w:p w:rsidR="00FD52BA" w:rsidRPr="00BD0B3A" w:rsidRDefault="00E2362E" w:rsidP="00E2362E">
      <w:pPr>
        <w:rPr>
          <w:color w:val="000000" w:themeColor="text1"/>
          <w:szCs w:val="22"/>
        </w:rPr>
      </w:pPr>
      <w:r w:rsidRPr="00BD0B3A">
        <w:rPr>
          <w:color w:val="000000" w:themeColor="text1"/>
          <w:szCs w:val="22"/>
        </w:rPr>
        <w:t>Consult</w:t>
      </w:r>
      <w:r w:rsidR="00666466">
        <w:rPr>
          <w:color w:val="000000" w:themeColor="text1"/>
          <w:szCs w:val="22"/>
        </w:rPr>
        <w:t>ation is a key part of FSANZ’s S</w:t>
      </w:r>
      <w:r w:rsidRPr="00BD0B3A">
        <w:rPr>
          <w:color w:val="000000" w:themeColor="text1"/>
          <w:szCs w:val="22"/>
        </w:rPr>
        <w:t xml:space="preserve">tandards development process. </w:t>
      </w:r>
    </w:p>
    <w:p w:rsidR="00FD52BA" w:rsidRPr="00BD0B3A" w:rsidRDefault="00FD52BA" w:rsidP="00E2362E">
      <w:pPr>
        <w:rPr>
          <w:color w:val="000000" w:themeColor="text1"/>
          <w:szCs w:val="22"/>
        </w:rPr>
      </w:pPr>
    </w:p>
    <w:p w:rsidR="00DE46EA" w:rsidRPr="00BD0B3A" w:rsidRDefault="00DE46EA" w:rsidP="00DE46EA">
      <w:pPr>
        <w:rPr>
          <w:color w:val="000000" w:themeColor="text1"/>
          <w:lang w:bidi="ar-SA"/>
        </w:rPr>
      </w:pPr>
      <w:r w:rsidRPr="00BD0B3A">
        <w:rPr>
          <w:color w:val="000000" w:themeColor="text1"/>
          <w:lang w:bidi="ar-SA"/>
        </w:rPr>
        <w:t xml:space="preserve">The process by which FSANZ </w:t>
      </w:r>
      <w:r w:rsidR="00666466">
        <w:rPr>
          <w:color w:val="000000" w:themeColor="text1"/>
          <w:lang w:bidi="ar-SA"/>
        </w:rPr>
        <w:t>considers S</w:t>
      </w:r>
      <w:r w:rsidRPr="00BD0B3A">
        <w:rPr>
          <w:color w:val="000000" w:themeColor="text1"/>
          <w:lang w:bidi="ar-SA"/>
        </w:rPr>
        <w:t>tandard</w:t>
      </w:r>
      <w:r w:rsidR="00666466">
        <w:rPr>
          <w:color w:val="000000" w:themeColor="text1"/>
          <w:lang w:bidi="ar-SA"/>
        </w:rPr>
        <w:t>s</w:t>
      </w:r>
      <w:r w:rsidRPr="00BD0B3A">
        <w:rPr>
          <w:color w:val="000000" w:themeColor="text1"/>
          <w:lang w:bidi="ar-SA"/>
        </w:rPr>
        <w:t xml:space="preserve"> matters is open, accountable, consultative and transparent. Public submissions are called to obtain the views of interested parties on issues raised by the application and the impacts of regulatory options.</w:t>
      </w:r>
    </w:p>
    <w:p w:rsidR="00DE46EA" w:rsidRPr="00BD0B3A" w:rsidRDefault="00DE46EA" w:rsidP="00DE46EA">
      <w:pPr>
        <w:rPr>
          <w:color w:val="000000" w:themeColor="text1"/>
          <w:szCs w:val="22"/>
        </w:rPr>
      </w:pPr>
    </w:p>
    <w:p w:rsidR="00737AC5" w:rsidRDefault="00FD52BA" w:rsidP="00954B4F">
      <w:pPr>
        <w:rPr>
          <w:color w:val="000000" w:themeColor="text1"/>
          <w:szCs w:val="22"/>
        </w:rPr>
      </w:pPr>
      <w:r w:rsidRPr="00BD0B3A">
        <w:rPr>
          <w:color w:val="000000" w:themeColor="text1"/>
          <w:szCs w:val="22"/>
        </w:rPr>
        <w:t xml:space="preserve">Public submissions were invited on a draft variation which was released for public comment between </w:t>
      </w:r>
      <w:r w:rsidR="00EF4773">
        <w:rPr>
          <w:color w:val="000000" w:themeColor="text1"/>
          <w:szCs w:val="22"/>
        </w:rPr>
        <w:t>18 March and 29 April 2014</w:t>
      </w:r>
      <w:r w:rsidRPr="00BD0B3A">
        <w:rPr>
          <w:color w:val="000000" w:themeColor="text1"/>
          <w:szCs w:val="22"/>
        </w:rPr>
        <w:t xml:space="preserve">. </w:t>
      </w:r>
      <w:r w:rsidR="00737AC5">
        <w:rPr>
          <w:color w:val="000000" w:themeColor="text1"/>
          <w:szCs w:val="22"/>
        </w:rPr>
        <w:br w:type="page"/>
      </w:r>
    </w:p>
    <w:p w:rsidR="00AF765C" w:rsidRDefault="00DE46EA" w:rsidP="00954B4F">
      <w:pPr>
        <w:rPr>
          <w:color w:val="000000" w:themeColor="text1"/>
          <w:lang w:bidi="ar-SA"/>
        </w:rPr>
      </w:pPr>
      <w:r w:rsidRPr="00BD0B3A">
        <w:rPr>
          <w:color w:val="000000" w:themeColor="text1"/>
          <w:lang w:bidi="ar-SA"/>
        </w:rPr>
        <w:lastRenderedPageBreak/>
        <w:t xml:space="preserve">The call for submissions was notified via the Notification Circular, media release and through FSANZ’s social media tools and the </w:t>
      </w:r>
      <w:r w:rsidRPr="007140EF">
        <w:rPr>
          <w:color w:val="000000" w:themeColor="text1"/>
          <w:lang w:bidi="ar-SA"/>
        </w:rPr>
        <w:t xml:space="preserve">publication, </w:t>
      </w:r>
      <w:r w:rsidRPr="00561158">
        <w:rPr>
          <w:color w:val="000000" w:themeColor="text1"/>
          <w:lang w:bidi="ar-SA"/>
        </w:rPr>
        <w:t>Food Standards News</w:t>
      </w:r>
      <w:r w:rsidRPr="001541D6">
        <w:rPr>
          <w:color w:val="000000" w:themeColor="text1"/>
          <w:lang w:bidi="ar-SA"/>
        </w:rPr>
        <w:t>.</w:t>
      </w:r>
      <w:r w:rsidRPr="007140EF">
        <w:rPr>
          <w:color w:val="000000" w:themeColor="text1"/>
          <w:lang w:bidi="ar-SA"/>
        </w:rPr>
        <w:t xml:space="preserve"> Subscribers and interested parties were also notified.</w:t>
      </w:r>
      <w:r w:rsidR="00954B4F" w:rsidRPr="007140EF">
        <w:rPr>
          <w:color w:val="000000" w:themeColor="text1"/>
          <w:lang w:bidi="ar-SA"/>
        </w:rPr>
        <w:t xml:space="preserve"> </w:t>
      </w:r>
    </w:p>
    <w:p w:rsidR="00AF765C" w:rsidRDefault="00AF765C" w:rsidP="00954B4F">
      <w:pPr>
        <w:rPr>
          <w:color w:val="000000" w:themeColor="text1"/>
          <w:lang w:bidi="ar-SA"/>
        </w:rPr>
      </w:pPr>
    </w:p>
    <w:p w:rsidR="00FD52BA" w:rsidRPr="00435A76" w:rsidRDefault="00435A76" w:rsidP="00954B4F">
      <w:pPr>
        <w:rPr>
          <w:color w:val="000000" w:themeColor="text1"/>
          <w:szCs w:val="22"/>
        </w:rPr>
      </w:pPr>
      <w:r>
        <w:rPr>
          <w:color w:val="000000" w:themeColor="text1"/>
          <w:szCs w:val="22"/>
        </w:rPr>
        <w:t>Twelve</w:t>
      </w:r>
      <w:r w:rsidR="00FD52BA" w:rsidRPr="007140EF">
        <w:rPr>
          <w:color w:val="000000" w:themeColor="text1"/>
          <w:szCs w:val="22"/>
        </w:rPr>
        <w:t xml:space="preserve"> submissions were </w:t>
      </w:r>
      <w:r w:rsidR="00FD52BA" w:rsidRPr="00435A76">
        <w:rPr>
          <w:color w:val="000000" w:themeColor="text1"/>
          <w:szCs w:val="22"/>
        </w:rPr>
        <w:t xml:space="preserve">received, of which </w:t>
      </w:r>
      <w:r w:rsidRPr="00435A76">
        <w:rPr>
          <w:color w:val="000000" w:themeColor="text1"/>
          <w:szCs w:val="22"/>
        </w:rPr>
        <w:t>10</w:t>
      </w:r>
      <w:r w:rsidR="00954B4F" w:rsidRPr="00435A76">
        <w:rPr>
          <w:color w:val="000000" w:themeColor="text1"/>
          <w:szCs w:val="22"/>
        </w:rPr>
        <w:t xml:space="preserve"> objected to</w:t>
      </w:r>
      <w:r w:rsidR="00FD52BA" w:rsidRPr="00435A76">
        <w:rPr>
          <w:color w:val="000000" w:themeColor="text1"/>
          <w:szCs w:val="22"/>
        </w:rPr>
        <w:t xml:space="preserve"> the proposed variation. </w:t>
      </w:r>
    </w:p>
    <w:p w:rsidR="00E2362E" w:rsidRPr="00BD0B3A" w:rsidRDefault="00E2362E" w:rsidP="00E2362E">
      <w:pPr>
        <w:rPr>
          <w:color w:val="000000" w:themeColor="text1"/>
          <w:szCs w:val="22"/>
        </w:rPr>
      </w:pPr>
      <w:r w:rsidRPr="007140EF">
        <w:rPr>
          <w:color w:val="000000" w:themeColor="text1"/>
          <w:szCs w:val="22"/>
        </w:rPr>
        <w:t>FSANZ acknowledges the time taken by individuals and organisations to make submissions</w:t>
      </w:r>
      <w:r w:rsidR="00DE46EA" w:rsidRPr="007140EF">
        <w:rPr>
          <w:color w:val="000000" w:themeColor="text1"/>
          <w:szCs w:val="22"/>
        </w:rPr>
        <w:t xml:space="preserve"> on this </w:t>
      </w:r>
      <w:r w:rsidR="00DE46EA" w:rsidRPr="00BD0B3A">
        <w:rPr>
          <w:color w:val="000000" w:themeColor="text1"/>
          <w:szCs w:val="22"/>
        </w:rPr>
        <w:t>Application.</w:t>
      </w:r>
      <w:r w:rsidR="00EF4773">
        <w:rPr>
          <w:color w:val="000000" w:themeColor="text1"/>
          <w:szCs w:val="22"/>
        </w:rPr>
        <w:t xml:space="preserve"> All comments are valued and contribute to the rigour of the safety assessment.</w:t>
      </w:r>
      <w:r w:rsidR="00F810AD">
        <w:rPr>
          <w:color w:val="000000" w:themeColor="text1"/>
          <w:szCs w:val="22"/>
        </w:rPr>
        <w:t xml:space="preserve"> </w:t>
      </w:r>
      <w:r w:rsidR="00EF4773">
        <w:rPr>
          <w:color w:val="000000" w:themeColor="text1"/>
          <w:szCs w:val="22"/>
        </w:rPr>
        <w:t>Every submission on this application was considered by the FS</w:t>
      </w:r>
      <w:r w:rsidR="00435A76">
        <w:rPr>
          <w:color w:val="000000" w:themeColor="text1"/>
          <w:szCs w:val="22"/>
        </w:rPr>
        <w:t>A</w:t>
      </w:r>
      <w:r w:rsidR="00EF4773">
        <w:rPr>
          <w:color w:val="000000" w:themeColor="text1"/>
          <w:szCs w:val="22"/>
        </w:rPr>
        <w:t xml:space="preserve">NZ Board. </w:t>
      </w:r>
    </w:p>
    <w:p w:rsidR="00F808D1" w:rsidRPr="00BD0B3A" w:rsidRDefault="00F808D1" w:rsidP="00F808D1">
      <w:pPr>
        <w:rPr>
          <w:color w:val="000000" w:themeColor="text1"/>
          <w:lang w:bidi="ar-SA"/>
        </w:rPr>
      </w:pPr>
    </w:p>
    <w:p w:rsidR="00220151" w:rsidRPr="00BD0B3A" w:rsidRDefault="00AF765C" w:rsidP="0049385C">
      <w:pPr>
        <w:rPr>
          <w:color w:val="000000" w:themeColor="text1"/>
          <w:lang w:bidi="ar-SA"/>
        </w:rPr>
      </w:pPr>
      <w:r>
        <w:rPr>
          <w:color w:val="000000" w:themeColor="text1"/>
          <w:lang w:bidi="ar-SA"/>
        </w:rPr>
        <w:t>D</w:t>
      </w:r>
      <w:r w:rsidR="001541D6">
        <w:rPr>
          <w:color w:val="000000" w:themeColor="text1"/>
          <w:lang w:bidi="ar-SA"/>
        </w:rPr>
        <w:t xml:space="preserve">ocuments relating to </w:t>
      </w:r>
      <w:r>
        <w:rPr>
          <w:color w:val="000000" w:themeColor="text1"/>
          <w:lang w:bidi="ar-SA"/>
        </w:rPr>
        <w:t xml:space="preserve">Application </w:t>
      </w:r>
      <w:r w:rsidR="00F808D1" w:rsidRPr="00BD0B3A">
        <w:rPr>
          <w:color w:val="000000" w:themeColor="text1"/>
          <w:lang w:bidi="ar-SA"/>
        </w:rPr>
        <w:t>A</w:t>
      </w:r>
      <w:r w:rsidR="00EF4773">
        <w:rPr>
          <w:color w:val="000000" w:themeColor="text1"/>
          <w:lang w:bidi="ar-SA"/>
        </w:rPr>
        <w:t>1094</w:t>
      </w:r>
      <w:r w:rsidR="004673BE" w:rsidRPr="00BD0B3A">
        <w:rPr>
          <w:color w:val="000000" w:themeColor="text1"/>
          <w:lang w:bidi="ar-SA"/>
        </w:rPr>
        <w:t>,</w:t>
      </w:r>
      <w:r w:rsidR="00F808D1" w:rsidRPr="00BD0B3A">
        <w:rPr>
          <w:color w:val="000000" w:themeColor="text1"/>
          <w:lang w:bidi="ar-SA"/>
        </w:rPr>
        <w:t xml:space="preserve"> </w:t>
      </w:r>
      <w:r w:rsidR="004673BE" w:rsidRPr="00BD0B3A">
        <w:rPr>
          <w:color w:val="000000" w:themeColor="text1"/>
          <w:lang w:bidi="ar-SA"/>
        </w:rPr>
        <w:t xml:space="preserve">including submissions received, </w:t>
      </w:r>
      <w:r w:rsidR="001541D6">
        <w:rPr>
          <w:color w:val="000000" w:themeColor="text1"/>
          <w:lang w:bidi="ar-SA"/>
        </w:rPr>
        <w:t>are</w:t>
      </w:r>
      <w:r w:rsidR="001541D6" w:rsidRPr="00BD0B3A">
        <w:rPr>
          <w:color w:val="000000" w:themeColor="text1"/>
          <w:lang w:bidi="ar-SA"/>
        </w:rPr>
        <w:t xml:space="preserve"> </w:t>
      </w:r>
      <w:r w:rsidR="00F808D1" w:rsidRPr="00BD0B3A">
        <w:rPr>
          <w:color w:val="000000" w:themeColor="text1"/>
          <w:lang w:bidi="ar-SA"/>
        </w:rPr>
        <w:t xml:space="preserve">available on the </w:t>
      </w:r>
      <w:r w:rsidR="004673BE" w:rsidRPr="00BD0B3A">
        <w:rPr>
          <w:color w:val="000000" w:themeColor="text1"/>
          <w:lang w:bidi="ar-SA"/>
        </w:rPr>
        <w:t xml:space="preserve">FSANZ </w:t>
      </w:r>
      <w:r w:rsidR="00F808D1" w:rsidRPr="00BD0B3A">
        <w:rPr>
          <w:color w:val="000000" w:themeColor="text1"/>
          <w:lang w:bidi="ar-SA"/>
        </w:rPr>
        <w:t>website</w:t>
      </w:r>
      <w:r w:rsidR="004673BE" w:rsidRPr="00BD0B3A">
        <w:rPr>
          <w:color w:val="000000" w:themeColor="text1"/>
          <w:lang w:bidi="ar-SA"/>
        </w:rPr>
        <w:t>.</w:t>
      </w:r>
    </w:p>
    <w:p w:rsidR="00DB5F1D" w:rsidRPr="00BD0B3A" w:rsidRDefault="00DB5F1D" w:rsidP="00DB5F1D">
      <w:pPr>
        <w:pStyle w:val="Heading2"/>
        <w:rPr>
          <w:color w:val="000000" w:themeColor="text1"/>
        </w:rPr>
      </w:pPr>
      <w:bookmarkStart w:id="35" w:name="_Toc388276747"/>
      <w:r w:rsidRPr="00BD0B3A">
        <w:rPr>
          <w:color w:val="000000" w:themeColor="text1"/>
        </w:rPr>
        <w:t>2.5</w:t>
      </w:r>
      <w:r w:rsidRPr="00BD0B3A">
        <w:rPr>
          <w:color w:val="000000" w:themeColor="text1"/>
        </w:rPr>
        <w:tab/>
        <w:t>FSANZ Act assessment requirements</w:t>
      </w:r>
      <w:bookmarkEnd w:id="35"/>
      <w:r w:rsidRPr="00BD0B3A">
        <w:rPr>
          <w:color w:val="000000" w:themeColor="text1"/>
        </w:rPr>
        <w:t xml:space="preserve"> </w:t>
      </w:r>
    </w:p>
    <w:p w:rsidR="00DB5F1D" w:rsidRPr="00BD0B3A" w:rsidRDefault="00DB5F1D" w:rsidP="00DA392F">
      <w:pPr>
        <w:pStyle w:val="Heading3"/>
        <w:rPr>
          <w:color w:val="000000" w:themeColor="text1"/>
        </w:rPr>
      </w:pPr>
      <w:bookmarkStart w:id="36" w:name="_Toc388276748"/>
      <w:r w:rsidRPr="00BD0B3A">
        <w:rPr>
          <w:color w:val="000000" w:themeColor="text1"/>
        </w:rPr>
        <w:t>2.5.1</w:t>
      </w:r>
      <w:r w:rsidRPr="00BD0B3A">
        <w:rPr>
          <w:color w:val="000000" w:themeColor="text1"/>
        </w:rPr>
        <w:tab/>
        <w:t>Section 29</w:t>
      </w:r>
      <w:bookmarkEnd w:id="36"/>
    </w:p>
    <w:p w:rsidR="00DB5F1D" w:rsidRPr="00BD0B3A" w:rsidRDefault="00DA392F" w:rsidP="00DB5F1D">
      <w:pPr>
        <w:pStyle w:val="Heading3"/>
        <w:rPr>
          <w:i/>
          <w:color w:val="000000" w:themeColor="text1"/>
        </w:rPr>
      </w:pPr>
      <w:bookmarkStart w:id="37" w:name="_Toc388276749"/>
      <w:r w:rsidRPr="00BD0B3A">
        <w:rPr>
          <w:i/>
          <w:color w:val="000000" w:themeColor="text1"/>
        </w:rPr>
        <w:t>2.5.1.1</w:t>
      </w:r>
      <w:r w:rsidR="00DB5F1D" w:rsidRPr="00BD0B3A">
        <w:rPr>
          <w:i/>
          <w:color w:val="000000" w:themeColor="text1"/>
        </w:rPr>
        <w:tab/>
        <w:t>Cost</w:t>
      </w:r>
      <w:r w:rsidR="001541D6">
        <w:rPr>
          <w:i/>
          <w:color w:val="000000" w:themeColor="text1"/>
        </w:rPr>
        <w:t xml:space="preserve"> </w:t>
      </w:r>
      <w:r w:rsidR="00DB5F1D" w:rsidRPr="00BD0B3A">
        <w:rPr>
          <w:i/>
          <w:color w:val="000000" w:themeColor="text1"/>
        </w:rPr>
        <w:t>benefit analysis</w:t>
      </w:r>
      <w:bookmarkEnd w:id="37"/>
    </w:p>
    <w:p w:rsidR="00F25920" w:rsidRDefault="002627C1" w:rsidP="00F25920">
      <w:pPr>
        <w:rPr>
          <w:rFonts w:cs="Arial"/>
          <w:szCs w:val="22"/>
        </w:rPr>
      </w:pPr>
      <w:r>
        <w:rPr>
          <w:rFonts w:cs="Arial"/>
          <w:szCs w:val="22"/>
        </w:rPr>
        <w:t xml:space="preserve">The Office of Best Practice Regulation (OBPR), in a letter to FSANZ dated 24 November 2010, granted a standing exemption from the need of the OBPR to assess if a Regulatory Impact Statement is required for the approval of additional genetically modified foods (reference 12065). </w:t>
      </w:r>
      <w:r w:rsidR="00B71064">
        <w:rPr>
          <w:rFonts w:cs="Arial"/>
          <w:szCs w:val="22"/>
        </w:rPr>
        <w:t>The exemption was provided as applications relating to genetically modified food</w:t>
      </w:r>
      <w:r>
        <w:rPr>
          <w:rFonts w:cs="Arial"/>
          <w:szCs w:val="22"/>
        </w:rPr>
        <w:t xml:space="preserve"> are considered as minor, machine</w:t>
      </w:r>
      <w:r w:rsidR="00EF4773">
        <w:rPr>
          <w:rFonts w:cs="Arial"/>
          <w:szCs w:val="22"/>
        </w:rPr>
        <w:t xml:space="preserve">ry and deregulatory in nature. </w:t>
      </w:r>
    </w:p>
    <w:p w:rsidR="00DA392F" w:rsidRPr="00BD0B3A" w:rsidRDefault="00DA392F" w:rsidP="00DA392F">
      <w:pPr>
        <w:rPr>
          <w:color w:val="000000" w:themeColor="text1"/>
          <w:lang w:eastAsia="en-AU" w:bidi="ar-SA"/>
        </w:rPr>
      </w:pPr>
    </w:p>
    <w:p w:rsidR="000F3C04" w:rsidRDefault="000F3C04" w:rsidP="00DA392F">
      <w:pPr>
        <w:rPr>
          <w:color w:val="000000" w:themeColor="text1"/>
        </w:rPr>
      </w:pPr>
      <w:r>
        <w:rPr>
          <w:color w:val="000000" w:themeColor="text1"/>
        </w:rPr>
        <w:t xml:space="preserve">FSANZ undertook a cost benefit analysis (see below). </w:t>
      </w:r>
      <w:r w:rsidR="00B132FE">
        <w:rPr>
          <w:color w:val="000000" w:themeColor="text1"/>
        </w:rPr>
        <w:t>The analysis concluded</w:t>
      </w:r>
      <w:r>
        <w:rPr>
          <w:color w:val="000000" w:themeColor="text1"/>
        </w:rPr>
        <w:t xml:space="preserve"> that the</w:t>
      </w:r>
      <w:r w:rsidRPr="00BD0B3A">
        <w:rPr>
          <w:color w:val="000000" w:themeColor="text1"/>
        </w:rPr>
        <w:t xml:space="preserve"> </w:t>
      </w:r>
      <w:r w:rsidR="00DA392F" w:rsidRPr="00BD0B3A">
        <w:rPr>
          <w:color w:val="000000" w:themeColor="text1"/>
        </w:rPr>
        <w:t xml:space="preserve">costs </w:t>
      </w:r>
      <w:r w:rsidR="00B132FE">
        <w:rPr>
          <w:color w:val="000000" w:themeColor="text1"/>
        </w:rPr>
        <w:t>arising</w:t>
      </w:r>
      <w:r w:rsidR="00810AA6">
        <w:rPr>
          <w:color w:val="000000" w:themeColor="text1"/>
        </w:rPr>
        <w:t xml:space="preserve"> from the</w:t>
      </w:r>
      <w:r w:rsidR="00DA392F" w:rsidRPr="00BD0B3A">
        <w:rPr>
          <w:color w:val="000000" w:themeColor="text1"/>
        </w:rPr>
        <w:t xml:space="preserve"> food</w:t>
      </w:r>
      <w:r w:rsidR="00810AA6">
        <w:rPr>
          <w:color w:val="000000" w:themeColor="text1"/>
        </w:rPr>
        <w:t xml:space="preserve"> regulatory measure</w:t>
      </w:r>
      <w:r w:rsidR="00DA392F" w:rsidRPr="00BD0B3A">
        <w:rPr>
          <w:color w:val="000000" w:themeColor="text1"/>
        </w:rPr>
        <w:t xml:space="preserve"> varied as a result of the application </w:t>
      </w:r>
      <w:r>
        <w:rPr>
          <w:color w:val="000000" w:themeColor="text1"/>
        </w:rPr>
        <w:t xml:space="preserve">would not </w:t>
      </w:r>
      <w:r w:rsidR="00DA392F" w:rsidRPr="00BD0B3A">
        <w:rPr>
          <w:color w:val="000000" w:themeColor="text1"/>
        </w:rPr>
        <w:t>outweigh the direct and indirect benefits to the community, Government or industry that woul</w:t>
      </w:r>
      <w:r w:rsidR="00EF4773">
        <w:rPr>
          <w:color w:val="000000" w:themeColor="text1"/>
        </w:rPr>
        <w:t>d arise from the</w:t>
      </w:r>
      <w:r w:rsidR="00DA392F" w:rsidRPr="00BD0B3A">
        <w:rPr>
          <w:color w:val="000000" w:themeColor="text1"/>
        </w:rPr>
        <w:t xml:space="preserve"> variation of the food regulatory</w:t>
      </w:r>
      <w:r w:rsidR="00B132FE">
        <w:rPr>
          <w:color w:val="000000" w:themeColor="text1"/>
        </w:rPr>
        <w:t xml:space="preserve"> </w:t>
      </w:r>
      <w:r w:rsidR="00DA392F" w:rsidRPr="00BD0B3A">
        <w:rPr>
          <w:color w:val="000000" w:themeColor="text1"/>
        </w:rPr>
        <w:t>measure.</w:t>
      </w:r>
    </w:p>
    <w:p w:rsidR="00810AA6" w:rsidRDefault="00810AA6" w:rsidP="00DA392F">
      <w:pPr>
        <w:rPr>
          <w:color w:val="000000" w:themeColor="text1"/>
        </w:rPr>
      </w:pPr>
    </w:p>
    <w:p w:rsidR="00DB5F1D" w:rsidRPr="00BD0B3A" w:rsidRDefault="00DB5F1D" w:rsidP="00B132FE">
      <w:pPr>
        <w:widowControl/>
        <w:rPr>
          <w:color w:val="000000" w:themeColor="text1"/>
        </w:rPr>
      </w:pPr>
      <w:r w:rsidRPr="00BD0B3A">
        <w:rPr>
          <w:color w:val="000000" w:themeColor="text1"/>
        </w:rPr>
        <w:t xml:space="preserve">A consideration of the cost/benefit of approving the draft variation is not intended to be an exhaustive, quantitative dollar analysis of the options and, in fact,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rsidR="00DB5F1D" w:rsidRPr="00BD0B3A" w:rsidRDefault="00DB5F1D" w:rsidP="00DB5F1D">
      <w:pPr>
        <w:rPr>
          <w:color w:val="000000" w:themeColor="text1"/>
        </w:rPr>
      </w:pPr>
    </w:p>
    <w:p w:rsidR="00BD0B3A" w:rsidRPr="00F810AD" w:rsidRDefault="00BD0B3A" w:rsidP="00BD0B3A">
      <w:pPr>
        <w:rPr>
          <w:color w:val="000000" w:themeColor="text1"/>
        </w:rPr>
      </w:pPr>
      <w:r w:rsidRPr="00400169">
        <w:t xml:space="preserve">The points below list the effect that approving the draft would be expected to have on various </w:t>
      </w:r>
      <w:r w:rsidRPr="00F810AD">
        <w:rPr>
          <w:color w:val="000000" w:themeColor="text1"/>
        </w:rPr>
        <w:t>sectors.</w:t>
      </w:r>
      <w:r w:rsidR="00FC43C6" w:rsidRPr="00F810AD">
        <w:rPr>
          <w:color w:val="000000" w:themeColor="text1"/>
        </w:rPr>
        <w:t xml:space="preserve"> It is noted that the cost/ben</w:t>
      </w:r>
      <w:r w:rsidR="00CA7B3B">
        <w:rPr>
          <w:color w:val="000000" w:themeColor="text1"/>
        </w:rPr>
        <w:t>efit analysis</w:t>
      </w:r>
      <w:r w:rsidR="00FC43C6" w:rsidRPr="00F810AD">
        <w:rPr>
          <w:color w:val="000000" w:themeColor="text1"/>
        </w:rPr>
        <w:t xml:space="preserve"> is base</w:t>
      </w:r>
      <w:r w:rsidR="00810AA6" w:rsidRPr="00F810AD">
        <w:rPr>
          <w:color w:val="000000" w:themeColor="text1"/>
        </w:rPr>
        <w:t>d on the assumption that cotton line 81910</w:t>
      </w:r>
      <w:r w:rsidR="00FC43C6" w:rsidRPr="00F810AD">
        <w:rPr>
          <w:color w:val="000000" w:themeColor="text1"/>
        </w:rPr>
        <w:t xml:space="preserve"> will be approved for growing in other countries</w:t>
      </w:r>
      <w:r w:rsidR="005C0B0B" w:rsidRPr="00F810AD">
        <w:rPr>
          <w:color w:val="000000" w:themeColor="text1"/>
        </w:rPr>
        <w:t xml:space="preserve"> (see section 2.5.1.4 below)</w:t>
      </w:r>
      <w:r w:rsidR="00FC43C6" w:rsidRPr="00F810AD">
        <w:rPr>
          <w:color w:val="000000" w:themeColor="text1"/>
        </w:rPr>
        <w:t>.</w:t>
      </w:r>
    </w:p>
    <w:p w:rsidR="00BD0B3A" w:rsidRPr="00400169" w:rsidRDefault="00BD0B3A" w:rsidP="00BD0B3A"/>
    <w:p w:rsidR="00BD0B3A" w:rsidRDefault="00BD0B3A" w:rsidP="00BD0B3A">
      <w:pPr>
        <w:ind w:left="1418" w:hanging="1418"/>
      </w:pPr>
      <w:r w:rsidRPr="00400169">
        <w:rPr>
          <w:i/>
        </w:rPr>
        <w:t>Consumers:</w:t>
      </w:r>
      <w:r w:rsidRPr="00400169">
        <w:tab/>
        <w:t xml:space="preserve">Broader </w:t>
      </w:r>
      <w:r w:rsidR="00810AA6">
        <w:t>availability of imported cotton</w:t>
      </w:r>
      <w:r w:rsidRPr="00400169">
        <w:t xml:space="preserve"> products as</w:t>
      </w:r>
      <w:r w:rsidR="00810AA6">
        <w:t>, if cotton line 81910</w:t>
      </w:r>
      <w:r w:rsidR="00954B4F">
        <w:t xml:space="preserve"> is approved for commercial growing,</w:t>
      </w:r>
      <w:r w:rsidRPr="00400169">
        <w:t xml:space="preserve"> there would be no restriction on imported foods con</w:t>
      </w:r>
      <w:r>
        <w:t xml:space="preserve">taining </w:t>
      </w:r>
      <w:r w:rsidR="00954B4F">
        <w:t>this line.</w:t>
      </w:r>
    </w:p>
    <w:p w:rsidR="00BD0B3A" w:rsidRPr="00400169" w:rsidRDefault="00BD0B3A" w:rsidP="00BD0B3A">
      <w:pPr>
        <w:ind w:left="1418" w:hanging="1418"/>
      </w:pPr>
    </w:p>
    <w:p w:rsidR="00BD0B3A" w:rsidRDefault="00810AA6" w:rsidP="00BD0B3A">
      <w:pPr>
        <w:ind w:left="1418"/>
      </w:pPr>
      <w:r>
        <w:t>For those cotton line 81910</w:t>
      </w:r>
      <w:r w:rsidR="00BD0B3A" w:rsidRPr="00A57AC9">
        <w:t xml:space="preserve"> products containing novel DNA or novel protein, appropriate labelling would allow</w:t>
      </w:r>
      <w:r w:rsidR="00954B4F">
        <w:t xml:space="preserve"> consumers wishing to avoid these products</w:t>
      </w:r>
      <w:r w:rsidR="00BD0B3A" w:rsidRPr="00A57AC9">
        <w:t xml:space="preserve"> to do so.</w:t>
      </w:r>
    </w:p>
    <w:p w:rsidR="00810AA6" w:rsidRPr="00F810AD" w:rsidRDefault="00810AA6" w:rsidP="00BD0B3A">
      <w:pPr>
        <w:ind w:left="1418"/>
        <w:rPr>
          <w:color w:val="000000" w:themeColor="text1"/>
        </w:rPr>
      </w:pPr>
    </w:p>
    <w:p w:rsidR="00F35DD5" w:rsidRDefault="00810AA6" w:rsidP="00BD0B3A">
      <w:pPr>
        <w:ind w:left="1418"/>
        <w:rPr>
          <w:color w:val="000000" w:themeColor="text1"/>
        </w:rPr>
      </w:pPr>
      <w:r w:rsidRPr="00F810AD">
        <w:rPr>
          <w:color w:val="000000" w:themeColor="text1"/>
        </w:rPr>
        <w:t>If cotton line 81910</w:t>
      </w:r>
      <w:r w:rsidR="00BD0B3A" w:rsidRPr="00F810AD">
        <w:rPr>
          <w:color w:val="000000" w:themeColor="text1"/>
        </w:rPr>
        <w:t xml:space="preserve"> is approved for commercial growing in overseas countries</w:t>
      </w:r>
      <w:r w:rsidR="005C0B0B" w:rsidRPr="00F810AD">
        <w:rPr>
          <w:color w:val="000000" w:themeColor="text1"/>
        </w:rPr>
        <w:t>,</w:t>
      </w:r>
      <w:r w:rsidR="00BD0B3A" w:rsidRPr="00F810AD">
        <w:rPr>
          <w:color w:val="000000" w:themeColor="text1"/>
        </w:rPr>
        <w:t xml:space="preserve"> it can be used in the manufacture of p</w:t>
      </w:r>
      <w:r w:rsidRPr="00F810AD">
        <w:rPr>
          <w:color w:val="000000" w:themeColor="text1"/>
        </w:rPr>
        <w:t>roducts using co-mingled cotton</w:t>
      </w:r>
      <w:r w:rsidR="00BD0B3A" w:rsidRPr="00F810AD">
        <w:rPr>
          <w:color w:val="000000" w:themeColor="text1"/>
        </w:rPr>
        <w:t xml:space="preserve">. </w:t>
      </w:r>
    </w:p>
    <w:p w:rsidR="00F35DD5" w:rsidRDefault="00F35DD5">
      <w:pPr>
        <w:widowControl/>
        <w:rPr>
          <w:color w:val="000000" w:themeColor="text1"/>
        </w:rPr>
      </w:pPr>
    </w:p>
    <w:p w:rsidR="00BD0B3A" w:rsidRPr="005C18EC" w:rsidRDefault="00BD0B3A" w:rsidP="00BD0B3A">
      <w:pPr>
        <w:ind w:left="1418"/>
      </w:pPr>
      <w:r w:rsidRPr="00F810AD">
        <w:rPr>
          <w:color w:val="000000" w:themeColor="text1"/>
        </w:rPr>
        <w:t xml:space="preserve">This </w:t>
      </w:r>
      <w:r w:rsidRPr="00BD7235">
        <w:t>means that there would be no cost invol</w:t>
      </w:r>
      <w:r w:rsidR="00FC43C6">
        <w:t xml:space="preserve">ved in having to exclude </w:t>
      </w:r>
      <w:r w:rsidR="00810AA6">
        <w:t>cotton line 81910</w:t>
      </w:r>
      <w:r w:rsidRPr="00BD7235">
        <w:t xml:space="preserve"> from co-mingling and hence that there would be no consequential need to increase the prices of imported foods that are manufactured using </w:t>
      </w:r>
      <w:r w:rsidR="00810AA6">
        <w:t>comingled cotton</w:t>
      </w:r>
      <w:r w:rsidRPr="00BD7235">
        <w:t xml:space="preserve"> products.</w:t>
      </w:r>
    </w:p>
    <w:p w:rsidR="00737AC5" w:rsidRDefault="00737AC5">
      <w:pPr>
        <w:widowControl/>
        <w:rPr>
          <w:i/>
        </w:rPr>
      </w:pPr>
      <w:r>
        <w:rPr>
          <w:i/>
        </w:rPr>
        <w:br w:type="page"/>
      </w:r>
    </w:p>
    <w:p w:rsidR="00BD0B3A" w:rsidRDefault="00BD0B3A" w:rsidP="00BD0B3A">
      <w:pPr>
        <w:ind w:left="1418" w:hanging="1418"/>
      </w:pPr>
      <w:r w:rsidRPr="00400169">
        <w:rPr>
          <w:i/>
        </w:rPr>
        <w:lastRenderedPageBreak/>
        <w:t>Government:</w:t>
      </w:r>
      <w:r w:rsidRPr="00400169">
        <w:tab/>
        <w:t>Benefit that i</w:t>
      </w:r>
      <w:r w:rsidR="00810AA6">
        <w:t>f cotton</w:t>
      </w:r>
      <w:r w:rsidR="004A625B">
        <w:t xml:space="preserve"> line</w:t>
      </w:r>
      <w:r w:rsidR="00810AA6">
        <w:t xml:space="preserve"> 81910</w:t>
      </w:r>
      <w:r w:rsidR="002B2844">
        <w:t xml:space="preserve"> was detected in food</w:t>
      </w:r>
      <w:r w:rsidRPr="00400169">
        <w:t xml:space="preserve"> imports, approval would ensure compliance of those products with the Code. This would ensure no potential for trade </w:t>
      </w:r>
      <w:r w:rsidRPr="004A625B">
        <w:t>disruption</w:t>
      </w:r>
      <w:r w:rsidRPr="00400169">
        <w:t xml:space="preserve"> on regulatory grounds. </w:t>
      </w:r>
    </w:p>
    <w:p w:rsidR="00BD0B3A" w:rsidRPr="00400169" w:rsidRDefault="00BD0B3A" w:rsidP="00BD0B3A"/>
    <w:p w:rsidR="00BD0B3A" w:rsidRPr="00F810AD" w:rsidRDefault="00BD0B3A" w:rsidP="00BD0B3A">
      <w:pPr>
        <w:ind w:left="1418"/>
        <w:rPr>
          <w:color w:val="000000" w:themeColor="text1"/>
        </w:rPr>
      </w:pPr>
      <w:r w:rsidRPr="00F810AD">
        <w:rPr>
          <w:color w:val="000000" w:themeColor="text1"/>
        </w:rPr>
        <w:t>Appr</w:t>
      </w:r>
      <w:r w:rsidR="00810AA6" w:rsidRPr="00F810AD">
        <w:rPr>
          <w:color w:val="000000" w:themeColor="text1"/>
        </w:rPr>
        <w:t>oval of cotton line 81910</w:t>
      </w:r>
      <w:r w:rsidRPr="00F810AD">
        <w:rPr>
          <w:color w:val="000000" w:themeColor="text1"/>
        </w:rPr>
        <w:t xml:space="preserve"> would ensure no con</w:t>
      </w:r>
      <w:r w:rsidR="00FC43C6" w:rsidRPr="00F810AD">
        <w:rPr>
          <w:color w:val="000000" w:themeColor="text1"/>
        </w:rPr>
        <w:t>flict with WTO responsibilities if the line is approved for commercial growing in overseas countries.</w:t>
      </w:r>
    </w:p>
    <w:p w:rsidR="0093250A" w:rsidRDefault="0093250A" w:rsidP="008E52EA"/>
    <w:p w:rsidR="00BD0B3A" w:rsidRPr="00400169" w:rsidRDefault="00BD0B3A" w:rsidP="00BD0B3A">
      <w:pPr>
        <w:ind w:left="1418"/>
      </w:pPr>
      <w:r w:rsidRPr="00400169">
        <w:t xml:space="preserve">In the case of approved GM foods, monitoring is required to ensure compliance with the labelling requirements, and in the case of GM foods that have not been approved, monitoring is required to ensure they are not illegally entering the food supply. The costs of monitoring are thus expected to be comparable, whether a GM food is approved or not. </w:t>
      </w:r>
    </w:p>
    <w:p w:rsidR="00BD0B3A" w:rsidRPr="00400169" w:rsidRDefault="00BD0B3A" w:rsidP="00BD0B3A"/>
    <w:p w:rsidR="00BD0B3A" w:rsidRPr="00400169" w:rsidRDefault="00BD0B3A" w:rsidP="00BD0B3A">
      <w:pPr>
        <w:ind w:left="1418" w:hanging="1418"/>
      </w:pPr>
      <w:r w:rsidRPr="00400169">
        <w:rPr>
          <w:i/>
        </w:rPr>
        <w:t>Industry:</w:t>
      </w:r>
      <w:r w:rsidRPr="00400169">
        <w:tab/>
        <w:t>Importers of pr</w:t>
      </w:r>
      <w:r w:rsidR="00810AA6">
        <w:t>ocessed foods containing cotton</w:t>
      </w:r>
      <w:r w:rsidRPr="00400169">
        <w:t xml:space="preserve"> derivatives would benefit as foods </w:t>
      </w:r>
      <w:r>
        <w:t>d</w:t>
      </w:r>
      <w:r w:rsidR="00810AA6">
        <w:t>erived from cotton line 81910</w:t>
      </w:r>
      <w:r w:rsidRPr="00400169">
        <w:t xml:space="preserve"> would be compliant with the Code, allowing broader market access and increased choice in raw materials. </w:t>
      </w:r>
    </w:p>
    <w:p w:rsidR="00BD0B3A" w:rsidRPr="00400169" w:rsidRDefault="00BD0B3A" w:rsidP="00BD0B3A">
      <w:pPr>
        <w:ind w:left="1418"/>
      </w:pPr>
    </w:p>
    <w:p w:rsidR="00BD0B3A" w:rsidRPr="00400169" w:rsidRDefault="00BD0B3A" w:rsidP="00BD0B3A">
      <w:pPr>
        <w:ind w:left="1418"/>
      </w:pPr>
      <w:r w:rsidRPr="00400169">
        <w:t xml:space="preserve">Retailers may be able to </w:t>
      </w:r>
      <w:r w:rsidR="00280C31">
        <w:t>offer a broader range of cotton</w:t>
      </w:r>
      <w:r w:rsidRPr="00400169">
        <w:t xml:space="preserve"> products or imported </w:t>
      </w:r>
      <w:r w:rsidR="00280C31">
        <w:t>foods manufactured using cotton</w:t>
      </w:r>
      <w:r w:rsidRPr="00400169">
        <w:t xml:space="preserve"> derivatives.</w:t>
      </w:r>
    </w:p>
    <w:p w:rsidR="00BD0B3A" w:rsidRDefault="00BD0B3A" w:rsidP="00BD0B3A">
      <w:pPr>
        <w:ind w:left="1418"/>
      </w:pPr>
      <w:r w:rsidRPr="00400169">
        <w:t>Possib</w:t>
      </w:r>
      <w:r w:rsidR="00FC43C6">
        <w:t>le cost to food industry as</w:t>
      </w:r>
      <w:r w:rsidRPr="00400169">
        <w:t xml:space="preserve"> food ingredients deriv</w:t>
      </w:r>
      <w:r w:rsidR="00280C31">
        <w:t>ed from cotton line 81910</w:t>
      </w:r>
      <w:r w:rsidR="00FC43C6">
        <w:t xml:space="preserve"> would be required to be labelled if they contain novel DNA or novel protein.</w:t>
      </w:r>
    </w:p>
    <w:p w:rsidR="009673E8" w:rsidRDefault="009673E8" w:rsidP="00BD0B3A">
      <w:pPr>
        <w:ind w:left="1418"/>
      </w:pPr>
    </w:p>
    <w:p w:rsidR="009673E8" w:rsidRPr="00272E09" w:rsidRDefault="009673E8" w:rsidP="009673E8">
      <w:pPr>
        <w:ind w:left="1418"/>
      </w:pPr>
      <w:r w:rsidRPr="00C75EF3">
        <w:t>The segregation of raw agricultural commodit</w:t>
      </w:r>
      <w:r w:rsidR="00FE6F60">
        <w:t>ies</w:t>
      </w:r>
      <w:r w:rsidR="00280C31">
        <w:t xml:space="preserve"> of cotton line 81917</w:t>
      </w:r>
      <w:r w:rsidRPr="00C75EF3">
        <w:t>, as for any GM crop, will be driven by industry, based on market preferences. Implicit in this will be a due regard to the costs of maintaining various levels of purity.</w:t>
      </w:r>
    </w:p>
    <w:p w:rsidR="00BD0B3A" w:rsidRPr="00400169" w:rsidRDefault="00BD0B3A" w:rsidP="00BD0B3A">
      <w:pPr>
        <w:rPr>
          <w:szCs w:val="22"/>
        </w:rPr>
      </w:pPr>
    </w:p>
    <w:p w:rsidR="00BD0B3A" w:rsidRPr="00400169" w:rsidRDefault="00BD0B3A" w:rsidP="00BD0B3A">
      <w:pPr>
        <w:rPr>
          <w:rFonts w:cs="Arial"/>
          <w:szCs w:val="22"/>
        </w:rPr>
      </w:pPr>
      <w:r w:rsidRPr="00400169">
        <w:rPr>
          <w:rFonts w:cs="Arial"/>
          <w:szCs w:val="22"/>
        </w:rPr>
        <w:t xml:space="preserve">As food from </w:t>
      </w:r>
      <w:r w:rsidR="00280C31">
        <w:rPr>
          <w:szCs w:val="22"/>
        </w:rPr>
        <w:t xml:space="preserve">cotton line 81910 </w:t>
      </w:r>
      <w:r w:rsidRPr="00400169">
        <w:rPr>
          <w:rFonts w:cs="Arial"/>
          <w:szCs w:val="22"/>
        </w:rPr>
        <w:t>has been found to be as safe as food from c</w:t>
      </w:r>
      <w:r w:rsidR="00280C31">
        <w:rPr>
          <w:rFonts w:cs="Arial"/>
          <w:szCs w:val="22"/>
        </w:rPr>
        <w:t>onventional cultivars of cotton</w:t>
      </w:r>
      <w:r w:rsidRPr="00400169">
        <w:rPr>
          <w:rFonts w:cs="Arial"/>
          <w:szCs w:val="22"/>
        </w:rPr>
        <w:t xml:space="preserve">, not preparing a draft variation would offer little benefit to consumers, as approval of </w:t>
      </w:r>
      <w:r w:rsidR="00280C31">
        <w:rPr>
          <w:szCs w:val="22"/>
        </w:rPr>
        <w:t xml:space="preserve">cotton line </w:t>
      </w:r>
      <w:r w:rsidR="00FC43C6">
        <w:rPr>
          <w:szCs w:val="22"/>
        </w:rPr>
        <w:t>81</w:t>
      </w:r>
      <w:r w:rsidR="00280C31">
        <w:rPr>
          <w:szCs w:val="22"/>
        </w:rPr>
        <w:t>910</w:t>
      </w:r>
      <w:r w:rsidRPr="00400169">
        <w:rPr>
          <w:szCs w:val="22"/>
        </w:rPr>
        <w:t xml:space="preserve"> </w:t>
      </w:r>
      <w:r w:rsidRPr="00400169">
        <w:rPr>
          <w:rFonts w:cs="Arial"/>
          <w:szCs w:val="22"/>
        </w:rPr>
        <w:t xml:space="preserve">by other countries could limit the </w:t>
      </w:r>
      <w:r w:rsidR="00280C31">
        <w:rPr>
          <w:rFonts w:cs="Arial"/>
          <w:szCs w:val="22"/>
        </w:rPr>
        <w:t>availability of imported cotton</w:t>
      </w:r>
      <w:r w:rsidRPr="00400169">
        <w:rPr>
          <w:rFonts w:cs="Arial"/>
          <w:szCs w:val="22"/>
        </w:rPr>
        <w:t xml:space="preserve"> products in the Australian and New Zealand markets.</w:t>
      </w:r>
    </w:p>
    <w:p w:rsidR="00BD0B3A" w:rsidRPr="00400169" w:rsidRDefault="00BD0B3A" w:rsidP="00BD0B3A">
      <w:pPr>
        <w:widowControl/>
        <w:rPr>
          <w:rFonts w:cs="Arial"/>
          <w:szCs w:val="22"/>
        </w:rPr>
      </w:pPr>
    </w:p>
    <w:p w:rsidR="00BD0B3A" w:rsidRPr="00400169" w:rsidRDefault="00BD0B3A" w:rsidP="00BD0B3A">
      <w:pPr>
        <w:rPr>
          <w:rFonts w:cs="Arial"/>
          <w:szCs w:val="22"/>
        </w:rPr>
      </w:pPr>
      <w:r w:rsidRPr="00400169">
        <w:rPr>
          <w:rFonts w:cs="Arial"/>
          <w:szCs w:val="22"/>
        </w:rPr>
        <w:t xml:space="preserve">In addition, this option would result in the requirement for segregation of any products containing </w:t>
      </w:r>
      <w:r w:rsidR="00280C31">
        <w:rPr>
          <w:szCs w:val="22"/>
        </w:rPr>
        <w:t>cotton line 81910</w:t>
      </w:r>
      <w:r w:rsidRPr="00400169">
        <w:rPr>
          <w:szCs w:val="22"/>
        </w:rPr>
        <w:t xml:space="preserve"> </w:t>
      </w:r>
      <w:r w:rsidRPr="00400169">
        <w:rPr>
          <w:rFonts w:cs="Arial"/>
          <w:szCs w:val="22"/>
        </w:rPr>
        <w:t>from t</w:t>
      </w:r>
      <w:r w:rsidR="00280C31">
        <w:rPr>
          <w:rFonts w:cs="Arial"/>
          <w:szCs w:val="22"/>
        </w:rPr>
        <w:t>hose containing approved cotton</w:t>
      </w:r>
      <w:r w:rsidRPr="00400169">
        <w:rPr>
          <w:rFonts w:cs="Arial"/>
          <w:szCs w:val="22"/>
        </w:rPr>
        <w:t xml:space="preserve"> lines which would be likely to increa</w:t>
      </w:r>
      <w:r w:rsidR="00280C31">
        <w:rPr>
          <w:rFonts w:cs="Arial"/>
          <w:szCs w:val="22"/>
        </w:rPr>
        <w:t>se the costs of imported cotton</w:t>
      </w:r>
      <w:r w:rsidRPr="00400169">
        <w:rPr>
          <w:rFonts w:cs="Arial"/>
          <w:szCs w:val="22"/>
        </w:rPr>
        <w:t xml:space="preserve">-derived foods. </w:t>
      </w:r>
    </w:p>
    <w:p w:rsidR="00BD0B3A" w:rsidRPr="00400169" w:rsidRDefault="00BD0B3A" w:rsidP="00BD0B3A">
      <w:pPr>
        <w:widowControl/>
        <w:rPr>
          <w:rFonts w:cs="Arial"/>
          <w:szCs w:val="22"/>
        </w:rPr>
      </w:pPr>
    </w:p>
    <w:p w:rsidR="00BD0B3A" w:rsidRPr="00F810AD" w:rsidRDefault="00BD0B3A" w:rsidP="00BD0B3A">
      <w:pPr>
        <w:rPr>
          <w:rFonts w:cs="Arial"/>
          <w:color w:val="000000" w:themeColor="text1"/>
          <w:szCs w:val="22"/>
        </w:rPr>
      </w:pPr>
      <w:r w:rsidRPr="00F810AD">
        <w:rPr>
          <w:rFonts w:cs="Arial"/>
          <w:color w:val="000000" w:themeColor="text1"/>
          <w:szCs w:val="22"/>
        </w:rPr>
        <w:t xml:space="preserve">Also, not preparing a draft variation is likely to be inconsistent with Australia’s and New Zealand’s WTO </w:t>
      </w:r>
      <w:r w:rsidR="00280C31" w:rsidRPr="00F810AD">
        <w:rPr>
          <w:rFonts w:cs="Arial"/>
          <w:color w:val="000000" w:themeColor="text1"/>
          <w:szCs w:val="22"/>
        </w:rPr>
        <w:t xml:space="preserve">obligations if cotton line </w:t>
      </w:r>
      <w:r w:rsidR="00FC43C6" w:rsidRPr="00F810AD">
        <w:rPr>
          <w:rFonts w:cs="Arial"/>
          <w:color w:val="000000" w:themeColor="text1"/>
          <w:szCs w:val="22"/>
        </w:rPr>
        <w:t>8</w:t>
      </w:r>
      <w:r w:rsidR="00280C31" w:rsidRPr="00F810AD">
        <w:rPr>
          <w:rFonts w:cs="Arial"/>
          <w:color w:val="000000" w:themeColor="text1"/>
          <w:szCs w:val="22"/>
        </w:rPr>
        <w:t>1910</w:t>
      </w:r>
      <w:r w:rsidRPr="00F810AD">
        <w:rPr>
          <w:rFonts w:cs="Arial"/>
          <w:color w:val="000000" w:themeColor="text1"/>
          <w:szCs w:val="22"/>
        </w:rPr>
        <w:t xml:space="preserve"> is approved for commercial growing in other countries</w:t>
      </w:r>
      <w:r w:rsidR="005C0B0B" w:rsidRPr="00F810AD">
        <w:rPr>
          <w:rFonts w:cs="Arial"/>
          <w:color w:val="000000" w:themeColor="text1"/>
          <w:szCs w:val="22"/>
        </w:rPr>
        <w:t xml:space="preserve"> (see below)</w:t>
      </w:r>
      <w:r w:rsidRPr="00F810AD">
        <w:rPr>
          <w:rFonts w:cs="Arial"/>
          <w:color w:val="000000" w:themeColor="text1"/>
          <w:szCs w:val="22"/>
        </w:rPr>
        <w:t>.</w:t>
      </w:r>
    </w:p>
    <w:p w:rsidR="00BD0B3A" w:rsidRPr="00F810AD" w:rsidRDefault="00BD0B3A" w:rsidP="00BD0B3A">
      <w:pPr>
        <w:rPr>
          <w:rFonts w:cs="Arial"/>
          <w:color w:val="000000" w:themeColor="text1"/>
          <w:szCs w:val="22"/>
        </w:rPr>
      </w:pPr>
    </w:p>
    <w:p w:rsidR="00AF765C" w:rsidRDefault="00BD0B3A" w:rsidP="00435A76">
      <w:pPr>
        <w:rPr>
          <w:b/>
          <w:bCs/>
          <w:i/>
          <w:color w:val="000000" w:themeColor="text1"/>
          <w:lang w:eastAsia="en-AU" w:bidi="ar-SA"/>
        </w:rPr>
      </w:pPr>
      <w:r w:rsidRPr="00400169">
        <w:rPr>
          <w:rFonts w:cs="Arial"/>
          <w:szCs w:val="22"/>
        </w:rPr>
        <w:t xml:space="preserve">Based on the conclusions of the safety assessments, the potential benefits of approving the </w:t>
      </w:r>
      <w:r w:rsidRPr="006F53A8">
        <w:rPr>
          <w:rFonts w:cs="Arial"/>
          <w:color w:val="000000" w:themeColor="text1"/>
          <w:szCs w:val="22"/>
        </w:rPr>
        <w:t>variation outweighed the potential costs.</w:t>
      </w:r>
    </w:p>
    <w:p w:rsidR="00AE4EA8" w:rsidRPr="006F53A8" w:rsidRDefault="00AE4EA8" w:rsidP="00AE4EA8">
      <w:pPr>
        <w:pStyle w:val="Heading3"/>
        <w:rPr>
          <w:i/>
          <w:color w:val="000000" w:themeColor="text1"/>
        </w:rPr>
      </w:pPr>
      <w:bookmarkStart w:id="38" w:name="_Toc388276750"/>
      <w:r w:rsidRPr="006F53A8">
        <w:rPr>
          <w:i/>
          <w:color w:val="000000" w:themeColor="text1"/>
        </w:rPr>
        <w:t>2.5.1.2</w:t>
      </w:r>
      <w:r w:rsidRPr="006F53A8">
        <w:rPr>
          <w:i/>
          <w:color w:val="000000" w:themeColor="text1"/>
        </w:rPr>
        <w:tab/>
        <w:t>Other measures</w:t>
      </w:r>
      <w:bookmarkEnd w:id="38"/>
    </w:p>
    <w:p w:rsidR="00AE4EA8" w:rsidRPr="006F53A8" w:rsidRDefault="00AE4EA8" w:rsidP="00AE4EA8">
      <w:pPr>
        <w:rPr>
          <w:color w:val="000000" w:themeColor="text1"/>
        </w:rPr>
      </w:pPr>
      <w:r w:rsidRPr="006F53A8">
        <w:rPr>
          <w:color w:val="000000" w:themeColor="text1"/>
        </w:rPr>
        <w:t>There were no measures that could achieve the same result other than an amendment to Standard 1.5.2.</w:t>
      </w:r>
    </w:p>
    <w:p w:rsidR="00AE4EA8" w:rsidRPr="006F53A8" w:rsidRDefault="00AE4EA8" w:rsidP="00AE4EA8">
      <w:pPr>
        <w:pStyle w:val="Heading3"/>
        <w:rPr>
          <w:i/>
          <w:color w:val="000000" w:themeColor="text1"/>
        </w:rPr>
      </w:pPr>
      <w:bookmarkStart w:id="39" w:name="_Toc388276751"/>
      <w:r w:rsidRPr="006F53A8">
        <w:rPr>
          <w:i/>
          <w:color w:val="000000" w:themeColor="text1"/>
        </w:rPr>
        <w:t>2.5.1.3</w:t>
      </w:r>
      <w:r w:rsidRPr="006F53A8">
        <w:rPr>
          <w:i/>
          <w:color w:val="000000" w:themeColor="text1"/>
        </w:rPr>
        <w:tab/>
        <w:t>Any relevant New Zealand standards</w:t>
      </w:r>
      <w:bookmarkEnd w:id="39"/>
    </w:p>
    <w:p w:rsidR="00AE4EA8" w:rsidRDefault="00AE4EA8" w:rsidP="00AE4EA8">
      <w:pPr>
        <w:rPr>
          <w:color w:val="000000" w:themeColor="text1"/>
        </w:rPr>
      </w:pPr>
      <w:r w:rsidRPr="006F53A8">
        <w:rPr>
          <w:color w:val="000000" w:themeColor="text1"/>
        </w:rPr>
        <w:t>Standard 1.5.2 applies in New Zealand.</w:t>
      </w:r>
    </w:p>
    <w:p w:rsidR="00737AC5" w:rsidRDefault="00737AC5" w:rsidP="00AE4EA8">
      <w:pPr>
        <w:rPr>
          <w:color w:val="000000" w:themeColor="text1"/>
        </w:rPr>
      </w:pPr>
      <w:r>
        <w:rPr>
          <w:color w:val="000000" w:themeColor="text1"/>
        </w:rPr>
        <w:br w:type="page"/>
      </w:r>
    </w:p>
    <w:p w:rsidR="00AE4EA8" w:rsidRPr="00F810AD" w:rsidRDefault="00AE4EA8" w:rsidP="00AE4EA8">
      <w:pPr>
        <w:pStyle w:val="Heading3"/>
        <w:rPr>
          <w:i/>
          <w:color w:val="000000" w:themeColor="text1"/>
        </w:rPr>
      </w:pPr>
      <w:bookmarkStart w:id="40" w:name="_Toc388276752"/>
      <w:r w:rsidRPr="00F810AD">
        <w:rPr>
          <w:i/>
          <w:color w:val="000000" w:themeColor="text1"/>
        </w:rPr>
        <w:lastRenderedPageBreak/>
        <w:t>2.5.1.4</w:t>
      </w:r>
      <w:r w:rsidRPr="00F810AD">
        <w:rPr>
          <w:i/>
          <w:color w:val="000000" w:themeColor="text1"/>
        </w:rPr>
        <w:tab/>
        <w:t>Any other relevant matters</w:t>
      </w:r>
      <w:bookmarkEnd w:id="40"/>
    </w:p>
    <w:p w:rsidR="006F53A8" w:rsidRPr="00F810AD" w:rsidRDefault="006F53A8" w:rsidP="006F53A8">
      <w:pPr>
        <w:rPr>
          <w:color w:val="000000" w:themeColor="text1"/>
          <w:lang w:val="en-AU"/>
        </w:rPr>
      </w:pPr>
      <w:r w:rsidRPr="00F810AD">
        <w:rPr>
          <w:color w:val="000000" w:themeColor="text1"/>
          <w:lang w:val="en-AU"/>
        </w:rPr>
        <w:t xml:space="preserve">The Applicant has submitted applications for regulatory approval of </w:t>
      </w:r>
      <w:r w:rsidR="00280C31" w:rsidRPr="00F810AD">
        <w:rPr>
          <w:color w:val="000000" w:themeColor="text1"/>
          <w:lang w:val="en-AU"/>
        </w:rPr>
        <w:t xml:space="preserve">cotton line 81910 </w:t>
      </w:r>
      <w:r w:rsidRPr="00F810AD">
        <w:rPr>
          <w:color w:val="000000" w:themeColor="text1"/>
          <w:lang w:val="en-AU"/>
        </w:rPr>
        <w:t xml:space="preserve">to a number of other countries, as listed in Table </w:t>
      </w:r>
      <w:r w:rsidR="001541D6" w:rsidRPr="00F810AD">
        <w:rPr>
          <w:color w:val="000000" w:themeColor="text1"/>
          <w:lang w:val="en-AU"/>
        </w:rPr>
        <w:t>2</w:t>
      </w:r>
      <w:r w:rsidRPr="00F810AD">
        <w:rPr>
          <w:color w:val="000000" w:themeColor="text1"/>
          <w:lang w:val="en-AU"/>
        </w:rPr>
        <w:t>. To date, none has been finalised.</w:t>
      </w:r>
    </w:p>
    <w:p w:rsidR="006F53A8" w:rsidRPr="00F810AD" w:rsidRDefault="006F53A8" w:rsidP="006F53A8">
      <w:pPr>
        <w:rPr>
          <w:color w:val="000000" w:themeColor="text1"/>
          <w:lang w:val="en-AU"/>
        </w:rPr>
      </w:pPr>
    </w:p>
    <w:p w:rsidR="00280C31" w:rsidRPr="00737AC5" w:rsidRDefault="00280C31" w:rsidP="00737AC5">
      <w:pPr>
        <w:rPr>
          <w:b/>
          <w:bCs/>
          <w:iCs/>
          <w:color w:val="000000" w:themeColor="text1"/>
          <w:lang w:val="en-AU"/>
        </w:rPr>
      </w:pPr>
      <w:r w:rsidRPr="00737AC5">
        <w:rPr>
          <w:b/>
          <w:bCs/>
          <w:iCs/>
          <w:color w:val="000000" w:themeColor="text1"/>
          <w:lang w:val="en-AU"/>
        </w:rPr>
        <w:t>Table 2: List of countries to whom applications for food/feed regulatory approval of herbicide-tolerant cotton line DAS-81910-7 have been submitted</w:t>
      </w:r>
    </w:p>
    <w:p w:rsidR="00280C31" w:rsidRPr="00F810AD" w:rsidRDefault="00280C31" w:rsidP="00280C31">
      <w:pPr>
        <w:rPr>
          <w:i/>
          <w:iCs/>
          <w:color w:val="000000" w:themeColor="text1"/>
          <w:lang w:val="en-AU"/>
        </w:rPr>
      </w:pPr>
    </w:p>
    <w:tbl>
      <w:tblPr>
        <w:tblW w:w="9012" w:type="dxa"/>
        <w:tblInd w:w="-15" w:type="dxa"/>
        <w:tblCellMar>
          <w:left w:w="0" w:type="dxa"/>
          <w:right w:w="0" w:type="dxa"/>
        </w:tblCellMar>
        <w:tblLook w:val="04A0" w:firstRow="1" w:lastRow="0" w:firstColumn="1" w:lastColumn="0" w:noHBand="0" w:noVBand="1"/>
      </w:tblPr>
      <w:tblGrid>
        <w:gridCol w:w="1407"/>
        <w:gridCol w:w="4998"/>
        <w:gridCol w:w="2607"/>
      </w:tblGrid>
      <w:tr w:rsidR="00280C31" w:rsidRPr="00F810AD" w:rsidTr="00E213C0">
        <w:trPr>
          <w:trHeight w:val="327"/>
          <w:tblHeader/>
        </w:trPr>
        <w:tc>
          <w:tcPr>
            <w:tcW w:w="1407" w:type="dxa"/>
            <w:tcBorders>
              <w:top w:val="nil"/>
              <w:left w:val="nil"/>
              <w:bottom w:val="single" w:sz="8" w:space="0" w:color="auto"/>
              <w:right w:val="nil"/>
            </w:tcBorders>
            <w:noWrap/>
            <w:tcMar>
              <w:top w:w="0" w:type="dxa"/>
              <w:left w:w="108" w:type="dxa"/>
              <w:bottom w:w="0" w:type="dxa"/>
              <w:right w:w="108" w:type="dxa"/>
            </w:tcMar>
            <w:vAlign w:val="center"/>
            <w:hideMark/>
          </w:tcPr>
          <w:p w:rsidR="00280C31" w:rsidRPr="00F810AD" w:rsidRDefault="00280C31" w:rsidP="00E213C0">
            <w:pPr>
              <w:rPr>
                <w:rFonts w:cs="Arial"/>
                <w:color w:val="000000" w:themeColor="text1"/>
              </w:rPr>
            </w:pPr>
            <w:r w:rsidRPr="00F810AD">
              <w:rPr>
                <w:b/>
                <w:bCs/>
                <w:color w:val="000000" w:themeColor="text1"/>
              </w:rPr>
              <w:t>Country</w:t>
            </w:r>
          </w:p>
        </w:tc>
        <w:tc>
          <w:tcPr>
            <w:tcW w:w="4998" w:type="dxa"/>
            <w:tcBorders>
              <w:top w:val="nil"/>
              <w:left w:val="nil"/>
              <w:bottom w:val="single" w:sz="8" w:space="0" w:color="auto"/>
              <w:right w:val="nil"/>
            </w:tcBorders>
            <w:noWrap/>
            <w:tcMar>
              <w:top w:w="0" w:type="dxa"/>
              <w:left w:w="108" w:type="dxa"/>
              <w:bottom w:w="0" w:type="dxa"/>
              <w:right w:w="108" w:type="dxa"/>
            </w:tcMar>
            <w:vAlign w:val="center"/>
            <w:hideMark/>
          </w:tcPr>
          <w:p w:rsidR="00280C31" w:rsidRPr="00F810AD" w:rsidRDefault="00280C31" w:rsidP="00E213C0">
            <w:pPr>
              <w:jc w:val="center"/>
              <w:rPr>
                <w:rFonts w:cs="Arial"/>
                <w:color w:val="000000" w:themeColor="text1"/>
              </w:rPr>
            </w:pPr>
            <w:r w:rsidRPr="00F810AD">
              <w:rPr>
                <w:b/>
                <w:bCs/>
                <w:color w:val="000000" w:themeColor="text1"/>
              </w:rPr>
              <w:t>Agency</w:t>
            </w:r>
          </w:p>
        </w:tc>
        <w:tc>
          <w:tcPr>
            <w:tcW w:w="2607" w:type="dxa"/>
            <w:tcBorders>
              <w:top w:val="nil"/>
              <w:left w:val="nil"/>
              <w:bottom w:val="single" w:sz="8" w:space="0" w:color="auto"/>
              <w:right w:val="nil"/>
            </w:tcBorders>
            <w:hideMark/>
          </w:tcPr>
          <w:p w:rsidR="00280C31" w:rsidRPr="00F810AD" w:rsidRDefault="00280C31" w:rsidP="00E213C0">
            <w:pPr>
              <w:jc w:val="center"/>
              <w:rPr>
                <w:rFonts w:cs="Arial"/>
                <w:b/>
                <w:bCs/>
                <w:color w:val="000000" w:themeColor="text1"/>
              </w:rPr>
            </w:pPr>
            <w:r w:rsidRPr="00F810AD">
              <w:rPr>
                <w:b/>
                <w:bCs/>
                <w:color w:val="000000" w:themeColor="text1"/>
              </w:rPr>
              <w:t>Type of approval sought</w:t>
            </w:r>
          </w:p>
        </w:tc>
      </w:tr>
      <w:tr w:rsidR="00280C31" w:rsidRPr="00F810AD" w:rsidTr="00E213C0">
        <w:trPr>
          <w:trHeight w:val="312"/>
        </w:trPr>
        <w:tc>
          <w:tcPr>
            <w:tcW w:w="0" w:type="auto"/>
            <w:vMerge w:val="restart"/>
            <w:tcBorders>
              <w:top w:val="nil"/>
              <w:left w:val="nil"/>
              <w:bottom w:val="single" w:sz="8" w:space="0" w:color="626469"/>
              <w:right w:val="nil"/>
            </w:tcBorders>
            <w:shd w:val="clear" w:color="auto" w:fill="D9D9D9"/>
            <w:vAlign w:val="center"/>
            <w:hideMark/>
          </w:tcPr>
          <w:p w:rsidR="00280C31" w:rsidRPr="00F810AD" w:rsidRDefault="00280C31" w:rsidP="00E213C0">
            <w:pPr>
              <w:rPr>
                <w:rFonts w:cs="Arial"/>
                <w:color w:val="000000" w:themeColor="text1"/>
                <w:sz w:val="20"/>
                <w:szCs w:val="20"/>
              </w:rPr>
            </w:pPr>
            <w:r w:rsidRPr="00F810AD">
              <w:rPr>
                <w:color w:val="000000" w:themeColor="text1"/>
                <w:sz w:val="20"/>
                <w:szCs w:val="20"/>
              </w:rPr>
              <w:t>USA</w:t>
            </w: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80C31" w:rsidRPr="00F810AD" w:rsidRDefault="00280C31" w:rsidP="00E213C0">
            <w:pPr>
              <w:rPr>
                <w:rFonts w:cs="Arial"/>
                <w:color w:val="000000" w:themeColor="text1"/>
                <w:sz w:val="20"/>
                <w:szCs w:val="20"/>
              </w:rPr>
            </w:pPr>
            <w:r w:rsidRPr="00F810AD">
              <w:rPr>
                <w:color w:val="000000" w:themeColor="text1"/>
                <w:sz w:val="20"/>
                <w:szCs w:val="20"/>
              </w:rPr>
              <w:t>Department of Agriculture</w:t>
            </w:r>
          </w:p>
        </w:tc>
        <w:tc>
          <w:tcPr>
            <w:tcW w:w="2607" w:type="dxa"/>
            <w:tcBorders>
              <w:top w:val="nil"/>
              <w:left w:val="nil"/>
              <w:bottom w:val="single" w:sz="8" w:space="0" w:color="626469"/>
              <w:right w:val="nil"/>
            </w:tcBorders>
            <w:shd w:val="clear" w:color="auto" w:fill="D9D9D9"/>
            <w:hideMark/>
          </w:tcPr>
          <w:p w:rsidR="00280C31" w:rsidRPr="00F810AD" w:rsidRDefault="00280C31" w:rsidP="00E213C0">
            <w:pPr>
              <w:jc w:val="center"/>
              <w:rPr>
                <w:rFonts w:cs="Arial"/>
                <w:color w:val="000000" w:themeColor="text1"/>
                <w:sz w:val="20"/>
                <w:szCs w:val="20"/>
              </w:rPr>
            </w:pPr>
            <w:r w:rsidRPr="00F810AD">
              <w:rPr>
                <w:color w:val="000000" w:themeColor="text1"/>
                <w:sz w:val="20"/>
                <w:szCs w:val="20"/>
              </w:rPr>
              <w:t>environment</w:t>
            </w:r>
          </w:p>
        </w:tc>
      </w:tr>
      <w:tr w:rsidR="00280C31" w:rsidRPr="00F810AD" w:rsidTr="00E213C0">
        <w:trPr>
          <w:trHeight w:val="312"/>
        </w:trPr>
        <w:tc>
          <w:tcPr>
            <w:tcW w:w="0" w:type="auto"/>
            <w:vMerge/>
            <w:tcBorders>
              <w:top w:val="nil"/>
              <w:left w:val="nil"/>
              <w:bottom w:val="single" w:sz="8" w:space="0" w:color="626469"/>
              <w:right w:val="nil"/>
            </w:tcBorders>
            <w:vAlign w:val="center"/>
            <w:hideMark/>
          </w:tcPr>
          <w:p w:rsidR="00280C31" w:rsidRPr="00F810AD" w:rsidRDefault="00280C31" w:rsidP="00E213C0">
            <w:pPr>
              <w:rPr>
                <w:rFonts w:cs="Arial"/>
                <w:color w:val="000000" w:themeColor="text1"/>
                <w:sz w:val="20"/>
                <w:szCs w:val="20"/>
              </w:rPr>
            </w:pPr>
          </w:p>
        </w:tc>
        <w:tc>
          <w:tcPr>
            <w:tcW w:w="4998" w:type="dxa"/>
            <w:tcBorders>
              <w:top w:val="nil"/>
              <w:left w:val="nil"/>
              <w:bottom w:val="single" w:sz="8" w:space="0" w:color="626469"/>
              <w:right w:val="nil"/>
            </w:tcBorders>
            <w:shd w:val="clear" w:color="auto" w:fill="D9D9D9"/>
            <w:tcMar>
              <w:top w:w="0" w:type="dxa"/>
              <w:left w:w="108" w:type="dxa"/>
              <w:bottom w:w="0" w:type="dxa"/>
              <w:right w:w="108" w:type="dxa"/>
            </w:tcMar>
            <w:vAlign w:val="center"/>
            <w:hideMark/>
          </w:tcPr>
          <w:p w:rsidR="00280C31" w:rsidRPr="00F810AD" w:rsidRDefault="00280C31" w:rsidP="00E213C0">
            <w:pPr>
              <w:rPr>
                <w:rFonts w:cs="Arial"/>
                <w:color w:val="000000" w:themeColor="text1"/>
                <w:sz w:val="20"/>
                <w:szCs w:val="20"/>
              </w:rPr>
            </w:pPr>
            <w:r w:rsidRPr="00F810AD">
              <w:rPr>
                <w:color w:val="000000" w:themeColor="text1"/>
                <w:sz w:val="20"/>
                <w:szCs w:val="20"/>
              </w:rPr>
              <w:t>Food &amp; Drug Administration</w:t>
            </w:r>
          </w:p>
        </w:tc>
        <w:tc>
          <w:tcPr>
            <w:tcW w:w="2607" w:type="dxa"/>
            <w:tcBorders>
              <w:top w:val="nil"/>
              <w:left w:val="nil"/>
              <w:bottom w:val="single" w:sz="8" w:space="0" w:color="626469"/>
              <w:right w:val="nil"/>
            </w:tcBorders>
            <w:shd w:val="clear" w:color="auto" w:fill="D9D9D9"/>
            <w:hideMark/>
          </w:tcPr>
          <w:p w:rsidR="00280C31" w:rsidRPr="00F810AD" w:rsidRDefault="00280C31" w:rsidP="00E213C0">
            <w:pPr>
              <w:jc w:val="center"/>
              <w:rPr>
                <w:rFonts w:cs="Arial"/>
                <w:color w:val="000000" w:themeColor="text1"/>
                <w:sz w:val="20"/>
                <w:szCs w:val="20"/>
              </w:rPr>
            </w:pPr>
            <w:r w:rsidRPr="00F810AD">
              <w:rPr>
                <w:color w:val="000000" w:themeColor="text1"/>
                <w:sz w:val="20"/>
                <w:szCs w:val="20"/>
              </w:rPr>
              <w:t>food/feed</w:t>
            </w:r>
          </w:p>
        </w:tc>
      </w:tr>
      <w:tr w:rsidR="00280C31" w:rsidRPr="00F810AD" w:rsidTr="00E213C0">
        <w:trPr>
          <w:trHeight w:val="312"/>
        </w:trPr>
        <w:tc>
          <w:tcPr>
            <w:tcW w:w="0" w:type="auto"/>
            <w:vMerge w:val="restart"/>
            <w:tcBorders>
              <w:top w:val="nil"/>
              <w:left w:val="nil"/>
              <w:bottom w:val="single" w:sz="8" w:space="0" w:color="626469"/>
              <w:right w:val="nil"/>
            </w:tcBorders>
            <w:vAlign w:val="center"/>
            <w:hideMark/>
          </w:tcPr>
          <w:p w:rsidR="00280C31" w:rsidRPr="00F810AD" w:rsidRDefault="00280C31" w:rsidP="00E213C0">
            <w:pPr>
              <w:rPr>
                <w:rFonts w:cs="Arial"/>
                <w:color w:val="000000" w:themeColor="text1"/>
                <w:sz w:val="20"/>
                <w:szCs w:val="20"/>
              </w:rPr>
            </w:pPr>
            <w:r w:rsidRPr="00F810AD">
              <w:rPr>
                <w:color w:val="000000" w:themeColor="text1"/>
                <w:sz w:val="20"/>
                <w:szCs w:val="20"/>
              </w:rPr>
              <w:t>Canada</w:t>
            </w: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280C31" w:rsidRPr="00F810AD" w:rsidRDefault="00280C31" w:rsidP="00E213C0">
            <w:pPr>
              <w:rPr>
                <w:rFonts w:cs="Arial"/>
                <w:color w:val="000000" w:themeColor="text1"/>
                <w:sz w:val="20"/>
                <w:szCs w:val="20"/>
              </w:rPr>
            </w:pPr>
            <w:r w:rsidRPr="00F810AD">
              <w:rPr>
                <w:color w:val="000000" w:themeColor="text1"/>
                <w:sz w:val="20"/>
                <w:szCs w:val="20"/>
              </w:rPr>
              <w:t xml:space="preserve">Food Inspection Agency </w:t>
            </w:r>
          </w:p>
        </w:tc>
        <w:tc>
          <w:tcPr>
            <w:tcW w:w="2607" w:type="dxa"/>
            <w:tcBorders>
              <w:top w:val="nil"/>
              <w:left w:val="nil"/>
              <w:bottom w:val="single" w:sz="8" w:space="0" w:color="626469"/>
              <w:right w:val="nil"/>
            </w:tcBorders>
            <w:hideMark/>
          </w:tcPr>
          <w:p w:rsidR="00280C31" w:rsidRPr="00F810AD" w:rsidRDefault="00280C31" w:rsidP="00E213C0">
            <w:pPr>
              <w:jc w:val="center"/>
              <w:rPr>
                <w:rFonts w:cs="Arial"/>
                <w:color w:val="000000" w:themeColor="text1"/>
                <w:sz w:val="20"/>
                <w:szCs w:val="20"/>
              </w:rPr>
            </w:pPr>
            <w:r w:rsidRPr="00F810AD">
              <w:rPr>
                <w:color w:val="000000" w:themeColor="text1"/>
                <w:sz w:val="20"/>
                <w:szCs w:val="20"/>
              </w:rPr>
              <w:t>feed</w:t>
            </w:r>
          </w:p>
        </w:tc>
      </w:tr>
      <w:tr w:rsidR="00280C31" w:rsidRPr="00F810AD" w:rsidTr="00F810AD">
        <w:trPr>
          <w:trHeight w:val="312"/>
        </w:trPr>
        <w:tc>
          <w:tcPr>
            <w:tcW w:w="0" w:type="auto"/>
            <w:vMerge/>
            <w:tcBorders>
              <w:top w:val="nil"/>
              <w:left w:val="nil"/>
              <w:bottom w:val="single" w:sz="8" w:space="0" w:color="626469"/>
              <w:right w:val="nil"/>
            </w:tcBorders>
            <w:vAlign w:val="center"/>
            <w:hideMark/>
          </w:tcPr>
          <w:p w:rsidR="00280C31" w:rsidRPr="00F810AD" w:rsidRDefault="00280C31" w:rsidP="00E213C0">
            <w:pPr>
              <w:rPr>
                <w:rFonts w:cs="Arial"/>
                <w:color w:val="000000" w:themeColor="text1"/>
                <w:sz w:val="20"/>
                <w:szCs w:val="20"/>
              </w:rPr>
            </w:pPr>
          </w:p>
        </w:tc>
        <w:tc>
          <w:tcPr>
            <w:tcW w:w="4998" w:type="dxa"/>
            <w:tcBorders>
              <w:top w:val="nil"/>
              <w:left w:val="nil"/>
              <w:bottom w:val="single" w:sz="8" w:space="0" w:color="626469"/>
              <w:right w:val="nil"/>
            </w:tcBorders>
            <w:tcMar>
              <w:top w:w="0" w:type="dxa"/>
              <w:left w:w="108" w:type="dxa"/>
              <w:bottom w:w="0" w:type="dxa"/>
              <w:right w:w="108" w:type="dxa"/>
            </w:tcMar>
            <w:vAlign w:val="center"/>
            <w:hideMark/>
          </w:tcPr>
          <w:p w:rsidR="00280C31" w:rsidRPr="00F810AD" w:rsidRDefault="00280C31" w:rsidP="00E213C0">
            <w:pPr>
              <w:rPr>
                <w:rFonts w:cs="Arial"/>
                <w:color w:val="000000" w:themeColor="text1"/>
                <w:sz w:val="20"/>
                <w:szCs w:val="20"/>
              </w:rPr>
            </w:pPr>
            <w:r w:rsidRPr="00F810AD">
              <w:rPr>
                <w:color w:val="000000" w:themeColor="text1"/>
                <w:sz w:val="20"/>
                <w:szCs w:val="20"/>
              </w:rPr>
              <w:t xml:space="preserve">Health Canada </w:t>
            </w:r>
          </w:p>
        </w:tc>
        <w:tc>
          <w:tcPr>
            <w:tcW w:w="2607" w:type="dxa"/>
            <w:tcBorders>
              <w:top w:val="nil"/>
              <w:left w:val="nil"/>
              <w:bottom w:val="single" w:sz="8" w:space="0" w:color="626469"/>
              <w:right w:val="nil"/>
            </w:tcBorders>
            <w:hideMark/>
          </w:tcPr>
          <w:p w:rsidR="00280C31" w:rsidRPr="00F810AD" w:rsidRDefault="00280C31" w:rsidP="00E213C0">
            <w:pPr>
              <w:jc w:val="center"/>
              <w:rPr>
                <w:rFonts w:cs="Arial"/>
                <w:color w:val="000000" w:themeColor="text1"/>
                <w:sz w:val="20"/>
                <w:szCs w:val="20"/>
              </w:rPr>
            </w:pPr>
            <w:r w:rsidRPr="00F810AD">
              <w:rPr>
                <w:color w:val="000000" w:themeColor="text1"/>
                <w:sz w:val="20"/>
                <w:szCs w:val="20"/>
              </w:rPr>
              <w:t>food</w:t>
            </w:r>
          </w:p>
        </w:tc>
      </w:tr>
      <w:tr w:rsidR="00280C31" w:rsidRPr="00F810AD" w:rsidTr="00F810AD">
        <w:trPr>
          <w:trHeight w:val="312"/>
        </w:trPr>
        <w:tc>
          <w:tcPr>
            <w:tcW w:w="1407" w:type="dxa"/>
            <w:tcBorders>
              <w:top w:val="nil"/>
              <w:left w:val="nil"/>
              <w:bottom w:val="nil"/>
              <w:right w:val="nil"/>
            </w:tcBorders>
            <w:shd w:val="clear" w:color="auto" w:fill="D9D9D9"/>
            <w:tcMar>
              <w:top w:w="0" w:type="dxa"/>
              <w:left w:w="108" w:type="dxa"/>
              <w:bottom w:w="0" w:type="dxa"/>
              <w:right w:w="108" w:type="dxa"/>
            </w:tcMar>
            <w:vAlign w:val="center"/>
            <w:hideMark/>
          </w:tcPr>
          <w:p w:rsidR="00280C31" w:rsidRPr="00F810AD" w:rsidRDefault="00280C31" w:rsidP="00E213C0">
            <w:pPr>
              <w:rPr>
                <w:rFonts w:cs="Arial"/>
                <w:color w:val="000000" w:themeColor="text1"/>
                <w:sz w:val="20"/>
                <w:szCs w:val="20"/>
              </w:rPr>
            </w:pPr>
            <w:r w:rsidRPr="00F810AD">
              <w:rPr>
                <w:color w:val="000000" w:themeColor="text1"/>
                <w:sz w:val="20"/>
                <w:szCs w:val="20"/>
              </w:rPr>
              <w:t>Japan</w:t>
            </w:r>
          </w:p>
        </w:tc>
        <w:tc>
          <w:tcPr>
            <w:tcW w:w="4998" w:type="dxa"/>
            <w:tcBorders>
              <w:top w:val="single" w:sz="8" w:space="0" w:color="626469"/>
              <w:left w:val="nil"/>
              <w:bottom w:val="single" w:sz="4" w:space="0" w:color="auto"/>
              <w:right w:val="nil"/>
            </w:tcBorders>
            <w:shd w:val="clear" w:color="auto" w:fill="D9D9D9"/>
            <w:tcMar>
              <w:top w:w="0" w:type="dxa"/>
              <w:left w:w="108" w:type="dxa"/>
              <w:bottom w:w="0" w:type="dxa"/>
              <w:right w:w="108" w:type="dxa"/>
            </w:tcMar>
            <w:vAlign w:val="center"/>
            <w:hideMark/>
          </w:tcPr>
          <w:p w:rsidR="00280C31" w:rsidRPr="00F810AD" w:rsidRDefault="00280C31" w:rsidP="00E213C0">
            <w:pPr>
              <w:rPr>
                <w:rFonts w:cs="Arial"/>
                <w:color w:val="000000" w:themeColor="text1"/>
                <w:sz w:val="20"/>
                <w:szCs w:val="20"/>
              </w:rPr>
            </w:pPr>
            <w:r w:rsidRPr="00F810AD">
              <w:rPr>
                <w:color w:val="000000" w:themeColor="text1"/>
                <w:sz w:val="20"/>
                <w:szCs w:val="20"/>
              </w:rPr>
              <w:t>Ministry of Agriculture, Forestry &amp; Fisheries</w:t>
            </w:r>
          </w:p>
        </w:tc>
        <w:tc>
          <w:tcPr>
            <w:tcW w:w="2607" w:type="dxa"/>
            <w:tcBorders>
              <w:top w:val="single" w:sz="8" w:space="0" w:color="626469"/>
              <w:left w:val="nil"/>
              <w:bottom w:val="single" w:sz="4" w:space="0" w:color="auto"/>
              <w:right w:val="nil"/>
            </w:tcBorders>
            <w:shd w:val="clear" w:color="auto" w:fill="D9D9D9"/>
            <w:hideMark/>
          </w:tcPr>
          <w:p w:rsidR="00280C31" w:rsidRPr="00F810AD" w:rsidRDefault="00280C31" w:rsidP="00E213C0">
            <w:pPr>
              <w:jc w:val="center"/>
              <w:rPr>
                <w:rFonts w:cs="Arial"/>
                <w:color w:val="000000" w:themeColor="text1"/>
                <w:sz w:val="20"/>
                <w:szCs w:val="20"/>
              </w:rPr>
            </w:pPr>
            <w:r w:rsidRPr="00F810AD">
              <w:rPr>
                <w:color w:val="000000" w:themeColor="text1"/>
                <w:sz w:val="20"/>
                <w:szCs w:val="20"/>
              </w:rPr>
              <w:t>environment</w:t>
            </w:r>
          </w:p>
        </w:tc>
      </w:tr>
      <w:tr w:rsidR="00F810AD" w:rsidRPr="00F810AD" w:rsidTr="00F810AD">
        <w:trPr>
          <w:trHeight w:val="312"/>
        </w:trPr>
        <w:tc>
          <w:tcPr>
            <w:tcW w:w="1407" w:type="dxa"/>
            <w:tcBorders>
              <w:top w:val="nil"/>
              <w:left w:val="nil"/>
              <w:bottom w:val="single" w:sz="8" w:space="0" w:color="626469"/>
              <w:right w:val="nil"/>
            </w:tcBorders>
            <w:shd w:val="clear" w:color="auto" w:fill="D9D9D9"/>
            <w:tcMar>
              <w:top w:w="0" w:type="dxa"/>
              <w:left w:w="108" w:type="dxa"/>
              <w:bottom w:w="0" w:type="dxa"/>
              <w:right w:w="108" w:type="dxa"/>
            </w:tcMar>
            <w:vAlign w:val="center"/>
          </w:tcPr>
          <w:p w:rsidR="00F810AD" w:rsidRPr="00F810AD" w:rsidRDefault="00F810AD" w:rsidP="00E213C0">
            <w:pPr>
              <w:rPr>
                <w:color w:val="000000" w:themeColor="text1"/>
                <w:sz w:val="20"/>
                <w:szCs w:val="20"/>
              </w:rPr>
            </w:pPr>
          </w:p>
        </w:tc>
        <w:tc>
          <w:tcPr>
            <w:tcW w:w="4998" w:type="dxa"/>
            <w:tcBorders>
              <w:top w:val="single" w:sz="4" w:space="0" w:color="auto"/>
              <w:left w:val="nil"/>
              <w:bottom w:val="single" w:sz="4" w:space="0" w:color="auto"/>
              <w:right w:val="nil"/>
            </w:tcBorders>
            <w:shd w:val="clear" w:color="auto" w:fill="D9D9D9"/>
            <w:tcMar>
              <w:top w:w="0" w:type="dxa"/>
              <w:left w:w="108" w:type="dxa"/>
              <w:bottom w:w="0" w:type="dxa"/>
              <w:right w:w="108" w:type="dxa"/>
            </w:tcMar>
            <w:vAlign w:val="center"/>
          </w:tcPr>
          <w:p w:rsidR="00F810AD" w:rsidRPr="00F810AD" w:rsidRDefault="00F810AD" w:rsidP="00E213C0">
            <w:pPr>
              <w:rPr>
                <w:color w:val="000000" w:themeColor="text1"/>
                <w:sz w:val="20"/>
                <w:szCs w:val="20"/>
              </w:rPr>
            </w:pPr>
            <w:r>
              <w:rPr>
                <w:color w:val="000000" w:themeColor="text1"/>
                <w:sz w:val="20"/>
                <w:szCs w:val="20"/>
              </w:rPr>
              <w:t>Ministry of Health, Labor and Welfare</w:t>
            </w:r>
          </w:p>
        </w:tc>
        <w:tc>
          <w:tcPr>
            <w:tcW w:w="2607" w:type="dxa"/>
            <w:tcBorders>
              <w:top w:val="single" w:sz="4" w:space="0" w:color="auto"/>
              <w:left w:val="nil"/>
              <w:bottom w:val="single" w:sz="4" w:space="0" w:color="auto"/>
              <w:right w:val="nil"/>
            </w:tcBorders>
            <w:shd w:val="clear" w:color="auto" w:fill="D9D9D9"/>
          </w:tcPr>
          <w:p w:rsidR="00F810AD" w:rsidRPr="00F810AD" w:rsidRDefault="00F810AD" w:rsidP="00E213C0">
            <w:pPr>
              <w:jc w:val="center"/>
              <w:rPr>
                <w:color w:val="000000" w:themeColor="text1"/>
                <w:sz w:val="20"/>
                <w:szCs w:val="20"/>
              </w:rPr>
            </w:pPr>
            <w:r>
              <w:rPr>
                <w:color w:val="000000" w:themeColor="text1"/>
                <w:sz w:val="20"/>
                <w:szCs w:val="20"/>
              </w:rPr>
              <w:t>food</w:t>
            </w:r>
          </w:p>
        </w:tc>
      </w:tr>
    </w:tbl>
    <w:p w:rsidR="00280C31" w:rsidRPr="00F810AD" w:rsidRDefault="00280C31" w:rsidP="00280C31">
      <w:pPr>
        <w:rPr>
          <w:color w:val="000000" w:themeColor="text1"/>
          <w:lang w:val="en-AU"/>
        </w:rPr>
      </w:pPr>
    </w:p>
    <w:p w:rsidR="00280C31" w:rsidRPr="000B1B4C" w:rsidRDefault="00280C31" w:rsidP="00280C31">
      <w:pPr>
        <w:rPr>
          <w:color w:val="000000" w:themeColor="text1"/>
          <w:sz w:val="20"/>
          <w:szCs w:val="20"/>
          <w:lang w:val="en-AU"/>
        </w:rPr>
      </w:pPr>
      <w:r w:rsidRPr="00F810AD">
        <w:rPr>
          <w:color w:val="000000" w:themeColor="text1"/>
          <w:lang w:val="en-AU"/>
        </w:rPr>
        <w:t>It is the Applicant’s intention to submit applications to a number of other countries such as Mexico, Korea and EU for food/feed regulatory approvals.</w:t>
      </w:r>
    </w:p>
    <w:p w:rsidR="006F53A8" w:rsidRPr="007140EF" w:rsidRDefault="006F53A8" w:rsidP="006F53A8">
      <w:pPr>
        <w:widowControl/>
        <w:rPr>
          <w:rFonts w:eastAsia="Batang"/>
          <w:color w:val="000000" w:themeColor="text1"/>
        </w:rPr>
      </w:pPr>
    </w:p>
    <w:p w:rsidR="00280C31" w:rsidRPr="002D13C2" w:rsidRDefault="00280C31" w:rsidP="006C2DDF">
      <w:pPr>
        <w:widowControl/>
        <w:rPr>
          <w:rFonts w:eastAsia="Batang"/>
          <w:color w:val="000000" w:themeColor="text1"/>
        </w:rPr>
      </w:pPr>
      <w:r w:rsidRPr="000B1B4C">
        <w:rPr>
          <w:rFonts w:eastAsia="Batang"/>
          <w:color w:val="000000" w:themeColor="text1"/>
        </w:rPr>
        <w:t xml:space="preserve">It is the Applicant’s intention that </w:t>
      </w:r>
      <w:r>
        <w:rPr>
          <w:rFonts w:eastAsia="Batang"/>
          <w:color w:val="000000" w:themeColor="text1"/>
        </w:rPr>
        <w:t>cotton line 81910</w:t>
      </w:r>
      <w:r w:rsidRPr="000B1B4C">
        <w:rPr>
          <w:rFonts w:eastAsia="Batang"/>
          <w:color w:val="000000" w:themeColor="text1"/>
        </w:rPr>
        <w:t xml:space="preserve"> be commercially cultivated</w:t>
      </w:r>
      <w:r>
        <w:rPr>
          <w:rFonts w:eastAsia="Batang"/>
          <w:color w:val="000000" w:themeColor="text1"/>
        </w:rPr>
        <w:t xml:space="preserve"> predominantly in North</w:t>
      </w:r>
      <w:r w:rsidRPr="002D13C2">
        <w:rPr>
          <w:rFonts w:eastAsia="Batang"/>
          <w:color w:val="000000" w:themeColor="text1"/>
        </w:rPr>
        <w:t xml:space="preserve"> America. There is currently no intention to apply for approval to cultivate this line in either Australia or New Zealand. </w:t>
      </w:r>
      <w:r>
        <w:rPr>
          <w:color w:val="000000" w:themeColor="text1"/>
        </w:rPr>
        <w:t>C</w:t>
      </w:r>
      <w:r w:rsidRPr="002D13C2">
        <w:rPr>
          <w:color w:val="000000" w:themeColor="text1"/>
        </w:rPr>
        <w:t xml:space="preserve">ultivation in Australia or New Zealand would </w:t>
      </w:r>
      <w:r>
        <w:rPr>
          <w:color w:val="000000" w:themeColor="text1"/>
        </w:rPr>
        <w:t xml:space="preserve">require </w:t>
      </w:r>
      <w:r w:rsidRPr="002D13C2">
        <w:rPr>
          <w:color w:val="000000" w:themeColor="text1"/>
        </w:rPr>
        <w:t>independent assess</w:t>
      </w:r>
      <w:r>
        <w:rPr>
          <w:color w:val="000000" w:themeColor="text1"/>
        </w:rPr>
        <w:t>ment and approval</w:t>
      </w:r>
      <w:r w:rsidRPr="002D13C2">
        <w:rPr>
          <w:color w:val="000000" w:themeColor="text1"/>
        </w:rPr>
        <w:t xml:space="preserve"> by the Office of the Gene Technology Regulator in Australia and </w:t>
      </w:r>
      <w:r>
        <w:rPr>
          <w:color w:val="000000" w:themeColor="text1"/>
        </w:rPr>
        <w:t xml:space="preserve">by </w:t>
      </w:r>
      <w:r w:rsidRPr="002D13C2">
        <w:rPr>
          <w:color w:val="000000" w:themeColor="text1"/>
        </w:rPr>
        <w:t>the Environm</w:t>
      </w:r>
      <w:r>
        <w:rPr>
          <w:color w:val="000000" w:themeColor="text1"/>
        </w:rPr>
        <w:t>ental Protection Authority</w:t>
      </w:r>
      <w:r w:rsidRPr="002D13C2">
        <w:rPr>
          <w:color w:val="000000" w:themeColor="text1"/>
        </w:rPr>
        <w:t xml:space="preserve"> in New Zealand. </w:t>
      </w:r>
    </w:p>
    <w:p w:rsidR="00AE4EA8" w:rsidRPr="006F53A8" w:rsidRDefault="00AE4EA8" w:rsidP="00AE4EA8">
      <w:pPr>
        <w:pStyle w:val="Heading3"/>
        <w:rPr>
          <w:color w:val="000000" w:themeColor="text1"/>
        </w:rPr>
      </w:pPr>
      <w:bookmarkStart w:id="41" w:name="_Toc388276753"/>
      <w:r w:rsidRPr="006F53A8">
        <w:rPr>
          <w:color w:val="000000" w:themeColor="text1"/>
        </w:rPr>
        <w:t>2.5.2</w:t>
      </w:r>
      <w:r w:rsidRPr="006F53A8">
        <w:rPr>
          <w:color w:val="000000" w:themeColor="text1"/>
        </w:rPr>
        <w:tab/>
        <w:t>Subsection 18(1)</w:t>
      </w:r>
      <w:bookmarkEnd w:id="41"/>
    </w:p>
    <w:p w:rsidR="00AE4EA8" w:rsidRPr="006F53A8" w:rsidRDefault="00AE4EA8" w:rsidP="00AE4EA8">
      <w:pPr>
        <w:rPr>
          <w:color w:val="000000" w:themeColor="text1"/>
        </w:rPr>
      </w:pPr>
      <w:r w:rsidRPr="006F53A8">
        <w:rPr>
          <w:rFonts w:cs="Arial"/>
          <w:color w:val="000000" w:themeColor="text1"/>
        </w:rPr>
        <w:t xml:space="preserve">FSANZ has also </w:t>
      </w:r>
      <w:r w:rsidRPr="006F53A8">
        <w:rPr>
          <w:color w:val="000000" w:themeColor="text1"/>
        </w:rPr>
        <w:t>considered the three objectives in subsection 18(1) of the FSANZ Act during the assessment.</w:t>
      </w:r>
    </w:p>
    <w:p w:rsidR="007009C6" w:rsidRPr="006F53A8" w:rsidRDefault="007009C6" w:rsidP="007009C6">
      <w:pPr>
        <w:pStyle w:val="Heading3"/>
        <w:rPr>
          <w:i/>
          <w:color w:val="000000" w:themeColor="text1"/>
        </w:rPr>
      </w:pPr>
      <w:bookmarkStart w:id="42" w:name="_Toc297029117"/>
      <w:bookmarkStart w:id="43" w:name="_Toc388276754"/>
      <w:r w:rsidRPr="006F53A8">
        <w:rPr>
          <w:i/>
          <w:color w:val="000000" w:themeColor="text1"/>
        </w:rPr>
        <w:t>2.5.2.1</w:t>
      </w:r>
      <w:r w:rsidRPr="006F53A8">
        <w:rPr>
          <w:i/>
          <w:color w:val="000000" w:themeColor="text1"/>
        </w:rPr>
        <w:tab/>
        <w:t>Protection of public health and safety</w:t>
      </w:r>
      <w:bookmarkEnd w:id="42"/>
      <w:bookmarkEnd w:id="43"/>
    </w:p>
    <w:p w:rsidR="007009C6" w:rsidRPr="006F53A8" w:rsidRDefault="007009C6" w:rsidP="007009C6">
      <w:pPr>
        <w:rPr>
          <w:color w:val="000000" w:themeColor="text1"/>
        </w:rPr>
      </w:pPr>
      <w:r w:rsidRPr="006F53A8">
        <w:rPr>
          <w:color w:val="000000" w:themeColor="text1"/>
        </w:rPr>
        <w:t xml:space="preserve">Food derived from </w:t>
      </w:r>
      <w:r w:rsidR="00DF2EB8">
        <w:rPr>
          <w:color w:val="000000" w:themeColor="text1"/>
        </w:rPr>
        <w:t>cotton line 81910</w:t>
      </w:r>
      <w:r w:rsidRPr="006F53A8">
        <w:rPr>
          <w:rFonts w:cs="Arial"/>
          <w:color w:val="000000" w:themeColor="text1"/>
        </w:rPr>
        <w:t xml:space="preserve"> </w:t>
      </w:r>
      <w:r w:rsidRPr="006F53A8">
        <w:rPr>
          <w:color w:val="000000" w:themeColor="text1"/>
        </w:rPr>
        <w:t xml:space="preserve">has been assessed according to the safety assessment guidelines prepared by FSANZ </w:t>
      </w:r>
      <w:r w:rsidRPr="006F53A8">
        <w:rPr>
          <w:color w:val="000000" w:themeColor="text1"/>
        </w:rPr>
        <w:fldChar w:fldCharType="begin"/>
      </w:r>
      <w:r w:rsidR="00A34D65">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Pr="006F53A8">
        <w:rPr>
          <w:color w:val="000000" w:themeColor="text1"/>
        </w:rPr>
        <w:fldChar w:fldCharType="separate"/>
      </w:r>
      <w:r w:rsidR="00954B4F">
        <w:rPr>
          <w:noProof/>
          <w:color w:val="000000" w:themeColor="text1"/>
        </w:rPr>
        <w:t>(2007)</w:t>
      </w:r>
      <w:r w:rsidRPr="006F53A8">
        <w:rPr>
          <w:color w:val="000000" w:themeColor="text1"/>
        </w:rPr>
        <w:fldChar w:fldCharType="end"/>
      </w:r>
      <w:r w:rsidRPr="006F53A8">
        <w:rPr>
          <w:color w:val="000000" w:themeColor="text1"/>
        </w:rPr>
        <w:t>.</w:t>
      </w:r>
    </w:p>
    <w:p w:rsidR="007009C6" w:rsidRPr="006F53A8" w:rsidRDefault="007009C6" w:rsidP="007009C6">
      <w:pPr>
        <w:rPr>
          <w:color w:val="000000" w:themeColor="text1"/>
        </w:rPr>
      </w:pPr>
    </w:p>
    <w:p w:rsidR="00F810AD" w:rsidRDefault="007009C6" w:rsidP="004D4B8B">
      <w:pPr>
        <w:rPr>
          <w:color w:val="000000" w:themeColor="text1"/>
        </w:rPr>
      </w:pPr>
      <w:r w:rsidRPr="006F53A8">
        <w:rPr>
          <w:color w:val="000000" w:themeColor="text1"/>
        </w:rPr>
        <w:t xml:space="preserve">No public health and safety concerns were identified in this assessment. </w:t>
      </w:r>
    </w:p>
    <w:p w:rsidR="00F810AD" w:rsidRDefault="00F810AD">
      <w:pPr>
        <w:widowControl/>
        <w:rPr>
          <w:color w:val="000000" w:themeColor="text1"/>
        </w:rPr>
      </w:pPr>
    </w:p>
    <w:p w:rsidR="002627C1" w:rsidRPr="004D4B8B" w:rsidRDefault="007009C6" w:rsidP="004D4B8B">
      <w:pPr>
        <w:rPr>
          <w:color w:val="000000" w:themeColor="text1"/>
        </w:rPr>
      </w:pPr>
      <w:r w:rsidRPr="006F53A8">
        <w:rPr>
          <w:color w:val="000000" w:themeColor="text1"/>
        </w:rPr>
        <w:t xml:space="preserve">Based on the available evidence, including detailed studies provided by the Applicant, food derived from </w:t>
      </w:r>
      <w:r w:rsidR="00DF2EB8">
        <w:rPr>
          <w:color w:val="000000" w:themeColor="text1"/>
        </w:rPr>
        <w:t>cotton line 81910</w:t>
      </w:r>
      <w:r w:rsidRPr="006F53A8">
        <w:rPr>
          <w:color w:val="000000" w:themeColor="text1"/>
        </w:rPr>
        <w:t xml:space="preserve"> is considered as safe and wholesome as food deriv</w:t>
      </w:r>
      <w:r w:rsidR="00DF2EB8">
        <w:rPr>
          <w:color w:val="000000" w:themeColor="text1"/>
        </w:rPr>
        <w:t>ed from other commercial cotton</w:t>
      </w:r>
      <w:r w:rsidRPr="006F53A8">
        <w:rPr>
          <w:color w:val="000000" w:themeColor="text1"/>
        </w:rPr>
        <w:t xml:space="preserve"> cultivars.</w:t>
      </w:r>
    </w:p>
    <w:p w:rsidR="007009C6" w:rsidRPr="006F53A8" w:rsidRDefault="007009C6" w:rsidP="007009C6">
      <w:pPr>
        <w:pStyle w:val="Heading3"/>
        <w:ind w:left="1134" w:hanging="1134"/>
        <w:rPr>
          <w:i/>
          <w:color w:val="000000" w:themeColor="text1"/>
        </w:rPr>
      </w:pPr>
      <w:bookmarkStart w:id="44" w:name="_Toc388276755"/>
      <w:r w:rsidRPr="006F53A8">
        <w:rPr>
          <w:i/>
          <w:color w:val="000000" w:themeColor="text1"/>
        </w:rPr>
        <w:t>2.5.2.2</w:t>
      </w:r>
      <w:r w:rsidRPr="006F53A8">
        <w:rPr>
          <w:i/>
          <w:color w:val="000000" w:themeColor="text1"/>
        </w:rPr>
        <w:tab/>
        <w:t>The provision of adequate information relating to food to enable consumers to make informed choices</w:t>
      </w:r>
      <w:bookmarkEnd w:id="44"/>
    </w:p>
    <w:p w:rsidR="007009C6" w:rsidRPr="006F53A8" w:rsidRDefault="007009C6" w:rsidP="007009C6">
      <w:pPr>
        <w:rPr>
          <w:b/>
          <w:bCs/>
          <w:color w:val="000000" w:themeColor="text1"/>
        </w:rPr>
      </w:pPr>
      <w:r w:rsidRPr="006F53A8">
        <w:rPr>
          <w:color w:val="000000" w:themeColor="text1"/>
        </w:rPr>
        <w:t>In accordance with existing labelling provisions, food</w:t>
      </w:r>
      <w:r w:rsidR="00DF2EB8">
        <w:rPr>
          <w:color w:val="000000" w:themeColor="text1"/>
        </w:rPr>
        <w:t xml:space="preserve"> derived from cotton line 81910</w:t>
      </w:r>
      <w:r w:rsidRPr="006F53A8">
        <w:rPr>
          <w:color w:val="000000" w:themeColor="text1"/>
        </w:rPr>
        <w:t xml:space="preserve"> would have to be labelled as ‘genetically modified’ if it contains novel DNA or novel protein (see Section 2.3.1).</w:t>
      </w:r>
      <w:r w:rsidR="000C6E69">
        <w:rPr>
          <w:color w:val="000000" w:themeColor="text1"/>
        </w:rPr>
        <w:t xml:space="preserve"> The main f</w:t>
      </w:r>
      <w:r w:rsidR="0008250A">
        <w:rPr>
          <w:color w:val="000000" w:themeColor="text1"/>
        </w:rPr>
        <w:t>ood product</w:t>
      </w:r>
      <w:r w:rsidR="000C6E69">
        <w:rPr>
          <w:color w:val="000000" w:themeColor="text1"/>
        </w:rPr>
        <w:t xml:space="preserve"> from this line is unlikely to contain novel DNA or protein and therefore is unlikely to require labelling.</w:t>
      </w:r>
    </w:p>
    <w:p w:rsidR="007009C6" w:rsidRPr="006F53A8" w:rsidRDefault="007009C6" w:rsidP="007009C6">
      <w:pPr>
        <w:pStyle w:val="Heading3"/>
        <w:rPr>
          <w:i/>
          <w:color w:val="000000" w:themeColor="text1"/>
        </w:rPr>
      </w:pPr>
      <w:bookmarkStart w:id="45" w:name="_Toc388276756"/>
      <w:r w:rsidRPr="006F53A8">
        <w:rPr>
          <w:i/>
          <w:color w:val="000000" w:themeColor="text1"/>
        </w:rPr>
        <w:t>2.5.2.3</w:t>
      </w:r>
      <w:r w:rsidRPr="006F53A8">
        <w:rPr>
          <w:i/>
          <w:color w:val="000000" w:themeColor="text1"/>
        </w:rPr>
        <w:tab/>
        <w:t>The prevention of misleading or deceptive conduct</w:t>
      </w:r>
      <w:bookmarkEnd w:id="45"/>
    </w:p>
    <w:p w:rsidR="00737AC5" w:rsidRDefault="007009C6" w:rsidP="007009C6">
      <w:pPr>
        <w:rPr>
          <w:color w:val="000000" w:themeColor="text1"/>
          <w:lang w:eastAsia="en-AU" w:bidi="ar-SA"/>
        </w:rPr>
      </w:pPr>
      <w:r w:rsidRPr="006F53A8">
        <w:rPr>
          <w:color w:val="000000" w:themeColor="text1"/>
          <w:lang w:eastAsia="en-AU" w:bidi="ar-SA"/>
        </w:rPr>
        <w:t>The requirement for detection methodology (see Section 2.3.2) is designed to address this objective.</w:t>
      </w:r>
      <w:r w:rsidR="00737AC5">
        <w:rPr>
          <w:color w:val="000000" w:themeColor="text1"/>
          <w:lang w:eastAsia="en-AU" w:bidi="ar-SA"/>
        </w:rPr>
        <w:br w:type="page"/>
      </w:r>
    </w:p>
    <w:p w:rsidR="007009C6" w:rsidRPr="006F53A8" w:rsidRDefault="007009C6" w:rsidP="007009C6">
      <w:pPr>
        <w:pStyle w:val="Heading4"/>
        <w:rPr>
          <w:i w:val="0"/>
          <w:color w:val="000000" w:themeColor="text1"/>
        </w:rPr>
      </w:pPr>
      <w:r w:rsidRPr="006F53A8">
        <w:rPr>
          <w:i w:val="0"/>
          <w:color w:val="000000" w:themeColor="text1"/>
        </w:rPr>
        <w:lastRenderedPageBreak/>
        <w:t>2.5.3</w:t>
      </w:r>
      <w:r w:rsidRPr="006F53A8">
        <w:rPr>
          <w:i w:val="0"/>
          <w:color w:val="000000" w:themeColor="text1"/>
        </w:rPr>
        <w:tab/>
        <w:t>Subsection 18(2) considerations</w:t>
      </w:r>
    </w:p>
    <w:p w:rsidR="007009C6" w:rsidRPr="006F53A8" w:rsidRDefault="007009C6" w:rsidP="007009C6">
      <w:pPr>
        <w:rPr>
          <w:rFonts w:cs="Arial"/>
          <w:color w:val="000000" w:themeColor="text1"/>
        </w:rPr>
      </w:pPr>
      <w:r w:rsidRPr="006F53A8">
        <w:rPr>
          <w:rFonts w:cs="Arial"/>
          <w:color w:val="000000" w:themeColor="text1"/>
        </w:rPr>
        <w:t>FSANZ has also had regard to:</w:t>
      </w:r>
    </w:p>
    <w:p w:rsidR="007009C6" w:rsidRPr="006F53A8" w:rsidRDefault="007009C6" w:rsidP="007009C6">
      <w:pPr>
        <w:rPr>
          <w:rFonts w:cs="Arial"/>
          <w:color w:val="000000" w:themeColor="text1"/>
        </w:rPr>
      </w:pPr>
    </w:p>
    <w:p w:rsidR="007009C6" w:rsidRPr="006F53A8" w:rsidRDefault="007009C6" w:rsidP="007009C6">
      <w:pPr>
        <w:pStyle w:val="FSBullet1"/>
        <w:rPr>
          <w:b/>
          <w:color w:val="000000" w:themeColor="text1"/>
        </w:rPr>
      </w:pPr>
      <w:r w:rsidRPr="006F53A8">
        <w:rPr>
          <w:b/>
          <w:color w:val="000000" w:themeColor="text1"/>
        </w:rPr>
        <w:t>The need for standards to be based on risk analysis using the best available scientific evidence</w:t>
      </w:r>
    </w:p>
    <w:p w:rsidR="007009C6" w:rsidRPr="006F53A8" w:rsidRDefault="007009C6" w:rsidP="007009C6">
      <w:pPr>
        <w:pStyle w:val="FSBullet1"/>
        <w:numPr>
          <w:ilvl w:val="0"/>
          <w:numId w:val="0"/>
        </w:numPr>
        <w:ind w:left="567"/>
        <w:rPr>
          <w:color w:val="000000" w:themeColor="text1"/>
        </w:rPr>
      </w:pPr>
    </w:p>
    <w:p w:rsidR="007009C6" w:rsidRPr="006F53A8" w:rsidRDefault="007009C6" w:rsidP="005047D6">
      <w:pPr>
        <w:rPr>
          <w:color w:val="000000" w:themeColor="text1"/>
          <w:szCs w:val="22"/>
        </w:rPr>
      </w:pPr>
      <w:r w:rsidRPr="006F53A8">
        <w:rPr>
          <w:color w:val="000000" w:themeColor="text1"/>
        </w:rPr>
        <w:t xml:space="preserve">FSANZ’s approach to the safety assessment of all GM foods applies concepts and principles outlined in the Codex General Principles for the Risk Analysis of Foods derived from Biotechnology </w:t>
      </w:r>
      <w:r w:rsidRPr="006F53A8">
        <w:rPr>
          <w:color w:val="000000" w:themeColor="text1"/>
        </w:rPr>
        <w:fldChar w:fldCharType="begin"/>
      </w:r>
      <w:r w:rsidR="00A34D65">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Pr="006F53A8">
        <w:rPr>
          <w:color w:val="000000" w:themeColor="text1"/>
        </w:rPr>
        <w:fldChar w:fldCharType="separate"/>
      </w:r>
      <w:r w:rsidRPr="006F53A8">
        <w:rPr>
          <w:noProof/>
          <w:color w:val="000000" w:themeColor="text1"/>
        </w:rPr>
        <w:t>(Codex, 2004)</w:t>
      </w:r>
      <w:r w:rsidRPr="006F53A8">
        <w:rPr>
          <w:color w:val="000000" w:themeColor="text1"/>
        </w:rPr>
        <w:fldChar w:fldCharType="end"/>
      </w:r>
      <w:r w:rsidRPr="006F53A8">
        <w:rPr>
          <w:color w:val="000000" w:themeColor="text1"/>
        </w:rPr>
        <w:t>. Based on these principles, the risk analysis u</w:t>
      </w:r>
      <w:r w:rsidR="00DF2EB8">
        <w:rPr>
          <w:color w:val="000000" w:themeColor="text1"/>
        </w:rPr>
        <w:t>ndertaken for cotton line 81910</w:t>
      </w:r>
      <w:r w:rsidRPr="006F53A8">
        <w:rPr>
          <w:color w:val="000000" w:themeColor="text1"/>
        </w:rPr>
        <w:t xml:space="preserve"> used the best scientific evidence available. The Applicant submitted to FSANZ, a comprehensive dossier of quality-assured raw experimental data. </w:t>
      </w:r>
      <w:r w:rsidRPr="006F53A8">
        <w:rPr>
          <w:color w:val="000000" w:themeColor="text1"/>
          <w:szCs w:val="22"/>
        </w:rPr>
        <w:t>In addition to the information supplied by the Applicant, other available resource material including published scientific literature and general technical information was used in the safety assessment.</w:t>
      </w:r>
    </w:p>
    <w:p w:rsidR="007009C6" w:rsidRPr="006F53A8" w:rsidRDefault="007009C6" w:rsidP="007009C6">
      <w:pPr>
        <w:rPr>
          <w:color w:val="000000" w:themeColor="text1"/>
          <w:lang w:bidi="ar-SA"/>
        </w:rPr>
      </w:pPr>
    </w:p>
    <w:p w:rsidR="007009C6" w:rsidRPr="006F53A8" w:rsidRDefault="007009C6" w:rsidP="007009C6">
      <w:pPr>
        <w:pStyle w:val="FSBullet1"/>
        <w:rPr>
          <w:b/>
          <w:color w:val="000000" w:themeColor="text1"/>
        </w:rPr>
      </w:pPr>
      <w:r w:rsidRPr="006F53A8">
        <w:rPr>
          <w:b/>
          <w:color w:val="000000" w:themeColor="text1"/>
        </w:rPr>
        <w:t>The promotion of consistency between domestic and international food standards</w:t>
      </w:r>
    </w:p>
    <w:p w:rsidR="007009C6" w:rsidRPr="006F53A8" w:rsidRDefault="007009C6" w:rsidP="007009C6">
      <w:pPr>
        <w:rPr>
          <w:color w:val="000000" w:themeColor="text1"/>
          <w:lang w:bidi="ar-SA"/>
        </w:rPr>
      </w:pPr>
    </w:p>
    <w:p w:rsidR="007009C6" w:rsidRPr="006F53A8" w:rsidRDefault="007009C6" w:rsidP="005047D6">
      <w:pPr>
        <w:rPr>
          <w:color w:val="000000" w:themeColor="text1"/>
        </w:rPr>
      </w:pPr>
      <w:r w:rsidRPr="006F53A8">
        <w:rPr>
          <w:color w:val="000000" w:themeColor="text1"/>
        </w:rPr>
        <w:t>This is not a consideration as there are no relevant international standards.</w:t>
      </w:r>
    </w:p>
    <w:p w:rsidR="00D32733" w:rsidRPr="006F53A8" w:rsidRDefault="00D32733">
      <w:pPr>
        <w:widowControl/>
        <w:rPr>
          <w:rFonts w:cs="Arial"/>
          <w:b/>
          <w:color w:val="000000" w:themeColor="text1"/>
          <w:lang w:bidi="ar-SA"/>
        </w:rPr>
      </w:pPr>
    </w:p>
    <w:p w:rsidR="007009C6" w:rsidRPr="00737AC5" w:rsidRDefault="007009C6" w:rsidP="00737AC5">
      <w:pPr>
        <w:pStyle w:val="FSBullet1"/>
        <w:rPr>
          <w:b/>
        </w:rPr>
      </w:pPr>
      <w:r w:rsidRPr="00737AC5">
        <w:rPr>
          <w:b/>
        </w:rPr>
        <w:t>The desirability of an efficient and internationally competitive food industry</w:t>
      </w:r>
    </w:p>
    <w:p w:rsidR="007009C6" w:rsidRPr="006F53A8" w:rsidRDefault="007009C6" w:rsidP="007009C6">
      <w:pPr>
        <w:ind w:left="567"/>
        <w:rPr>
          <w:color w:val="000000" w:themeColor="text1"/>
          <w:lang w:bidi="ar-SA"/>
        </w:rPr>
      </w:pPr>
    </w:p>
    <w:p w:rsidR="007009C6" w:rsidRDefault="007009C6" w:rsidP="005047D6">
      <w:pPr>
        <w:rPr>
          <w:color w:val="000000" w:themeColor="text1"/>
          <w:lang w:bidi="ar-SA"/>
        </w:rPr>
      </w:pPr>
      <w:r w:rsidRPr="006F53A8">
        <w:rPr>
          <w:color w:val="000000" w:themeColor="text1"/>
          <w:lang w:bidi="ar-SA"/>
        </w:rPr>
        <w:t>The inclusion of genetically modified foods in the food supply, where there are no safety concerns, generally allows for innovation by developers and a widening of the technological base for the production of foods</w:t>
      </w:r>
      <w:r w:rsidR="006F53A8" w:rsidRPr="006F53A8">
        <w:rPr>
          <w:color w:val="000000" w:themeColor="text1"/>
          <w:lang w:bidi="ar-SA"/>
        </w:rPr>
        <w:t>.</w:t>
      </w:r>
      <w:r w:rsidR="00CE3F82" w:rsidRPr="006F53A8">
        <w:rPr>
          <w:color w:val="000000" w:themeColor="text1"/>
          <w:lang w:bidi="ar-SA"/>
        </w:rPr>
        <w:t xml:space="preserve"> </w:t>
      </w:r>
    </w:p>
    <w:p w:rsidR="004D4B8B" w:rsidRPr="006F53A8" w:rsidRDefault="004D4B8B" w:rsidP="005047D6">
      <w:pPr>
        <w:rPr>
          <w:color w:val="000000" w:themeColor="text1"/>
          <w:lang w:bidi="ar-SA"/>
        </w:rPr>
      </w:pPr>
    </w:p>
    <w:p w:rsidR="007009C6" w:rsidRPr="006F53A8" w:rsidRDefault="007009C6" w:rsidP="007009C6">
      <w:pPr>
        <w:pStyle w:val="FSBullet1"/>
        <w:rPr>
          <w:b/>
          <w:color w:val="000000" w:themeColor="text1"/>
        </w:rPr>
      </w:pPr>
      <w:r w:rsidRPr="006F53A8">
        <w:rPr>
          <w:b/>
          <w:color w:val="000000" w:themeColor="text1"/>
        </w:rPr>
        <w:t>The promotion of fair trading in food</w:t>
      </w:r>
    </w:p>
    <w:p w:rsidR="007009C6" w:rsidRPr="006F53A8" w:rsidRDefault="007009C6" w:rsidP="007009C6">
      <w:pPr>
        <w:rPr>
          <w:color w:val="000000" w:themeColor="text1"/>
          <w:lang w:bidi="ar-SA"/>
        </w:rPr>
      </w:pPr>
    </w:p>
    <w:p w:rsidR="007009C6" w:rsidRPr="006F53A8" w:rsidRDefault="007009C6" w:rsidP="005047D6">
      <w:pPr>
        <w:rPr>
          <w:color w:val="000000" w:themeColor="text1"/>
          <w:lang w:bidi="ar-SA"/>
        </w:rPr>
      </w:pPr>
      <w:r w:rsidRPr="006F53A8">
        <w:rPr>
          <w:color w:val="000000" w:themeColor="text1"/>
          <w:lang w:bidi="ar-SA"/>
        </w:rPr>
        <w:t xml:space="preserve">The cost/benefit analysis in Section 2.5.1.1 lists a number of considerations that address fair trading with respect to </w:t>
      </w:r>
      <w:r w:rsidR="00A25D14" w:rsidRPr="006F53A8">
        <w:rPr>
          <w:color w:val="000000" w:themeColor="text1"/>
          <w:lang w:bidi="ar-SA"/>
        </w:rPr>
        <w:t xml:space="preserve">food derived from </w:t>
      </w:r>
      <w:r w:rsidR="00DF2EB8">
        <w:rPr>
          <w:color w:val="000000" w:themeColor="text1"/>
          <w:lang w:bidi="ar-SA"/>
        </w:rPr>
        <w:t>cotton line 81910</w:t>
      </w:r>
    </w:p>
    <w:p w:rsidR="007009C6" w:rsidRPr="006F53A8" w:rsidRDefault="007009C6" w:rsidP="007009C6">
      <w:pPr>
        <w:rPr>
          <w:color w:val="000000" w:themeColor="text1"/>
          <w:lang w:bidi="ar-SA"/>
        </w:rPr>
      </w:pPr>
    </w:p>
    <w:p w:rsidR="007009C6" w:rsidRPr="006F53A8" w:rsidRDefault="007009C6" w:rsidP="007009C6">
      <w:pPr>
        <w:pStyle w:val="FSBullet1"/>
        <w:rPr>
          <w:b/>
          <w:color w:val="000000" w:themeColor="text1"/>
        </w:rPr>
      </w:pPr>
      <w:r w:rsidRPr="006F53A8">
        <w:rPr>
          <w:b/>
          <w:color w:val="000000" w:themeColor="text1"/>
        </w:rPr>
        <w:t xml:space="preserve">Any written policy guidelines formulated by the Ministerial </w:t>
      </w:r>
      <w:r w:rsidR="00737AC5" w:rsidRPr="00737AC5">
        <w:rPr>
          <w:rFonts w:cs="Times New Roman"/>
          <w:b/>
          <w:lang w:bidi="en-US"/>
        </w:rPr>
        <w:t>Council</w:t>
      </w:r>
      <w:r w:rsidR="00737AC5" w:rsidRPr="00737AC5">
        <w:rPr>
          <w:rFonts w:cs="Times New Roman"/>
          <w:b/>
          <w:vertAlign w:val="superscript"/>
          <w:lang w:bidi="en-US"/>
        </w:rPr>
        <w:footnoteReference w:id="3"/>
      </w:r>
    </w:p>
    <w:p w:rsidR="007009C6" w:rsidRPr="006F53A8" w:rsidRDefault="007009C6" w:rsidP="007009C6">
      <w:pPr>
        <w:rPr>
          <w:color w:val="000000" w:themeColor="text1"/>
          <w:lang w:bidi="ar-SA"/>
        </w:rPr>
      </w:pPr>
    </w:p>
    <w:p w:rsidR="007009C6" w:rsidRDefault="007009C6" w:rsidP="005047D6">
      <w:pPr>
        <w:rPr>
          <w:i/>
          <w:color w:val="000000" w:themeColor="text1"/>
        </w:rPr>
      </w:pPr>
      <w:r w:rsidRPr="006F53A8">
        <w:rPr>
          <w:color w:val="000000" w:themeColor="text1"/>
        </w:rPr>
        <w:t>No specific policy guidelines have been developed since Standard 1.5.2 commenced</w:t>
      </w:r>
      <w:r w:rsidRPr="006F53A8">
        <w:rPr>
          <w:i/>
          <w:color w:val="000000" w:themeColor="text1"/>
        </w:rPr>
        <w:t>.</w:t>
      </w:r>
    </w:p>
    <w:p w:rsidR="002D79FB" w:rsidRPr="00B71064" w:rsidRDefault="002D79FB" w:rsidP="002D79FB">
      <w:pPr>
        <w:pStyle w:val="Heading1"/>
      </w:pPr>
      <w:bookmarkStart w:id="46" w:name="_Toc387066163"/>
      <w:bookmarkStart w:id="47" w:name="_Toc388276757"/>
      <w:r w:rsidRPr="00B71064">
        <w:t>3</w:t>
      </w:r>
      <w:r w:rsidRPr="00B71064">
        <w:tab/>
        <w:t>Transitional arrangements</w:t>
      </w:r>
      <w:bookmarkEnd w:id="46"/>
      <w:bookmarkEnd w:id="47"/>
    </w:p>
    <w:p w:rsidR="002D79FB" w:rsidRPr="008E52EA" w:rsidRDefault="00DE00F6" w:rsidP="002D79FB">
      <w:pPr>
        <w:rPr>
          <w:rFonts w:cs="Arial"/>
          <w:color w:val="000000" w:themeColor="text1"/>
        </w:rPr>
      </w:pPr>
      <w:r w:rsidRPr="008E52EA">
        <w:rPr>
          <w:color w:val="000000" w:themeColor="text1"/>
          <w:lang w:val="en-AU"/>
        </w:rPr>
        <w:t>Attachment C explains the transitional arrangements that will be required for Proposal P1025.</w:t>
      </w:r>
    </w:p>
    <w:p w:rsidR="001122EC" w:rsidRPr="008E52EA" w:rsidRDefault="002D79FB" w:rsidP="00272E09">
      <w:pPr>
        <w:pStyle w:val="Heading1"/>
        <w:rPr>
          <w:color w:val="000000" w:themeColor="text1"/>
        </w:rPr>
      </w:pPr>
      <w:bookmarkStart w:id="48" w:name="_Toc388276758"/>
      <w:bookmarkEnd w:id="34"/>
      <w:r w:rsidRPr="008E52EA">
        <w:rPr>
          <w:color w:val="000000" w:themeColor="text1"/>
        </w:rPr>
        <w:t>4</w:t>
      </w:r>
      <w:r w:rsidR="00200BE6" w:rsidRPr="008E52EA">
        <w:rPr>
          <w:color w:val="000000" w:themeColor="text1"/>
        </w:rPr>
        <w:tab/>
      </w:r>
      <w:bookmarkStart w:id="49" w:name="_Toc11735643"/>
      <w:bookmarkStart w:id="50" w:name="_Toc29883130"/>
      <w:bookmarkStart w:id="51" w:name="_Toc41906817"/>
      <w:bookmarkStart w:id="52" w:name="_Toc41907564"/>
      <w:bookmarkStart w:id="53" w:name="_Toc43112360"/>
      <w:r w:rsidR="001122EC" w:rsidRPr="008E52EA">
        <w:rPr>
          <w:color w:val="000000" w:themeColor="text1"/>
        </w:rPr>
        <w:t>R</w:t>
      </w:r>
      <w:r w:rsidR="000B427A" w:rsidRPr="008E52EA">
        <w:rPr>
          <w:color w:val="000000" w:themeColor="text1"/>
        </w:rPr>
        <w:t>eferences</w:t>
      </w:r>
      <w:bookmarkEnd w:id="48"/>
    </w:p>
    <w:bookmarkEnd w:id="49"/>
    <w:bookmarkEnd w:id="50"/>
    <w:bookmarkEnd w:id="51"/>
    <w:bookmarkEnd w:id="52"/>
    <w:bookmarkEnd w:id="53"/>
    <w:p w:rsidR="00A34D65" w:rsidRPr="00A34D65" w:rsidRDefault="00643BA9" w:rsidP="00A34D65">
      <w:pPr>
        <w:tabs>
          <w:tab w:val="left" w:pos="0"/>
        </w:tabs>
        <w:spacing w:after="240"/>
        <w:rPr>
          <w:rFonts w:cs="Arial"/>
          <w:noProof/>
          <w:color w:val="000000" w:themeColor="text1"/>
          <w:sz w:val="20"/>
          <w:szCs w:val="20"/>
        </w:rPr>
      </w:pPr>
      <w:r w:rsidRPr="00A34D65">
        <w:rPr>
          <w:rFonts w:cs="Arial"/>
          <w:color w:val="000000" w:themeColor="text1"/>
          <w:sz w:val="20"/>
          <w:szCs w:val="20"/>
        </w:rPr>
        <w:fldChar w:fldCharType="begin"/>
      </w:r>
      <w:r w:rsidRPr="00A34D65">
        <w:rPr>
          <w:rFonts w:cs="Arial"/>
          <w:color w:val="000000" w:themeColor="text1"/>
          <w:sz w:val="20"/>
          <w:szCs w:val="20"/>
        </w:rPr>
        <w:instrText xml:space="preserve"> ADDIN REFMGR.REFLIST </w:instrText>
      </w:r>
      <w:r w:rsidRPr="00A34D65">
        <w:rPr>
          <w:rFonts w:cs="Arial"/>
          <w:color w:val="000000" w:themeColor="text1"/>
          <w:sz w:val="20"/>
          <w:szCs w:val="20"/>
        </w:rPr>
        <w:fldChar w:fldCharType="separate"/>
      </w:r>
      <w:r w:rsidR="00A34D65" w:rsidRPr="00A34D65">
        <w:rPr>
          <w:rFonts w:cs="Arial"/>
          <w:noProof/>
          <w:color w:val="000000" w:themeColor="text1"/>
          <w:sz w:val="20"/>
          <w:szCs w:val="20"/>
        </w:rPr>
        <w:t xml:space="preserve">Bartholomaeus, A., Parrott, W., Bondy, G. and Walker, K. (2013) The use of whole food animal studies in the safety assessment of genetically modified crops: Limitations and recommendations. </w:t>
      </w:r>
      <w:r w:rsidR="00A34D65" w:rsidRPr="00A34D65">
        <w:rPr>
          <w:rFonts w:cs="Arial"/>
          <w:i/>
          <w:noProof/>
          <w:color w:val="000000" w:themeColor="text1"/>
          <w:sz w:val="20"/>
          <w:szCs w:val="20"/>
        </w:rPr>
        <w:t xml:space="preserve">Critical Reviews in Toxicology </w:t>
      </w:r>
      <w:r w:rsidR="00A34D65" w:rsidRPr="00A34D65">
        <w:rPr>
          <w:rFonts w:cs="Arial"/>
          <w:noProof/>
          <w:color w:val="000000" w:themeColor="text1"/>
          <w:sz w:val="20"/>
          <w:szCs w:val="20"/>
        </w:rPr>
        <w:t>43(S2):1-24.</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Codex (2004) </w:t>
      </w:r>
      <w:r w:rsidRPr="00A34D65">
        <w:rPr>
          <w:rFonts w:cs="Arial"/>
          <w:i/>
          <w:noProof/>
          <w:color w:val="000000" w:themeColor="text1"/>
          <w:sz w:val="20"/>
          <w:szCs w:val="20"/>
        </w:rPr>
        <w:t>Principles for the risk analysis of foods derived from modern biotechnology</w:t>
      </w:r>
      <w:r w:rsidRPr="00A34D65">
        <w:rPr>
          <w:rFonts w:cs="Arial"/>
          <w:noProof/>
          <w:color w:val="000000" w:themeColor="text1"/>
          <w:sz w:val="20"/>
          <w:szCs w:val="20"/>
        </w:rPr>
        <w:t xml:space="preserve">. Report No. CAC/GL 44-2003, Codex Alimentarius Commission, Rome. </w:t>
      </w:r>
      <w:hyperlink r:id="rId32" w:history="1">
        <w:r w:rsidRPr="00A34D65">
          <w:rPr>
            <w:rStyle w:val="Hyperlink"/>
            <w:rFonts w:cs="Arial"/>
            <w:noProof/>
            <w:sz w:val="20"/>
            <w:szCs w:val="20"/>
          </w:rPr>
          <w:t>http://www.codexalimentarius.net/web/standard_list.do?lang=en</w:t>
        </w:r>
      </w:hyperlink>
      <w:r w:rsidRPr="00A34D65">
        <w:rPr>
          <w:rFonts w:cs="Arial"/>
          <w:noProof/>
          <w:color w:val="000000" w:themeColor="text1"/>
          <w:sz w:val="20"/>
          <w:szCs w:val="20"/>
        </w:rPr>
        <w:t xml:space="preserve">. </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EFSA. (2008) Safety and nutritional assessment of GM plants and derived food and feed: The role of animal feeding trials. </w:t>
      </w:r>
      <w:r w:rsidRPr="00A34D65">
        <w:rPr>
          <w:rFonts w:cs="Arial"/>
          <w:i/>
          <w:noProof/>
          <w:color w:val="000000" w:themeColor="text1"/>
          <w:sz w:val="20"/>
          <w:szCs w:val="20"/>
        </w:rPr>
        <w:t xml:space="preserve">Food and Chemical Toxicology </w:t>
      </w:r>
      <w:r w:rsidRPr="00A34D65">
        <w:rPr>
          <w:rFonts w:cs="Arial"/>
          <w:noProof/>
          <w:color w:val="000000" w:themeColor="text1"/>
          <w:sz w:val="20"/>
          <w:szCs w:val="20"/>
        </w:rPr>
        <w:t>46:S1-S70, doi:10.1016/j.fct.2008.02.008.</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lastRenderedPageBreak/>
        <w:t xml:space="preserve">EFSA. (2011) Guidance for risk assessment of food and feed from genetically modified plants. </w:t>
      </w:r>
      <w:r w:rsidRPr="00A34D65">
        <w:rPr>
          <w:rFonts w:cs="Arial"/>
          <w:i/>
          <w:noProof/>
          <w:color w:val="000000" w:themeColor="text1"/>
          <w:sz w:val="20"/>
          <w:szCs w:val="20"/>
        </w:rPr>
        <w:t xml:space="preserve">EFSA Journal 2011 </w:t>
      </w:r>
      <w:r w:rsidRPr="00A34D65">
        <w:rPr>
          <w:rFonts w:cs="Arial"/>
          <w:noProof/>
          <w:color w:val="000000" w:themeColor="text1"/>
          <w:sz w:val="20"/>
          <w:szCs w:val="20"/>
        </w:rPr>
        <w:t>9(5):2150.</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EFSA. (2013) Consideration of the applicability of OECD TG 453 to whole food/feed testing. </w:t>
      </w:r>
      <w:r w:rsidRPr="00A34D65">
        <w:rPr>
          <w:rFonts w:cs="Arial"/>
          <w:i/>
          <w:noProof/>
          <w:color w:val="000000" w:themeColor="text1"/>
          <w:sz w:val="20"/>
          <w:szCs w:val="20"/>
        </w:rPr>
        <w:t xml:space="preserve">EFSA Journal 2013 </w:t>
      </w:r>
      <w:r w:rsidRPr="00A34D65">
        <w:rPr>
          <w:rFonts w:cs="Arial"/>
          <w:noProof/>
          <w:color w:val="000000" w:themeColor="text1"/>
          <w:sz w:val="20"/>
          <w:szCs w:val="20"/>
        </w:rPr>
        <w:t>11(7):3347 (18 pp).</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EPA (2005) </w:t>
      </w:r>
      <w:r w:rsidRPr="00A34D65">
        <w:rPr>
          <w:rFonts w:cs="Arial"/>
          <w:i/>
          <w:noProof/>
          <w:color w:val="000000" w:themeColor="text1"/>
          <w:sz w:val="20"/>
          <w:szCs w:val="20"/>
        </w:rPr>
        <w:t>Reregistration eligibility decision for 2,4-D</w:t>
      </w:r>
      <w:r w:rsidRPr="00A34D65">
        <w:rPr>
          <w:rFonts w:cs="Arial"/>
          <w:noProof/>
          <w:color w:val="000000" w:themeColor="text1"/>
          <w:sz w:val="20"/>
          <w:szCs w:val="20"/>
        </w:rPr>
        <w:t xml:space="preserve">. Report No. EPA 738-R-05-002, United States Environmental Protection Agency. </w:t>
      </w:r>
      <w:hyperlink r:id="rId33" w:history="1">
        <w:r w:rsidRPr="00A34D65">
          <w:rPr>
            <w:rStyle w:val="Hyperlink"/>
            <w:rFonts w:cs="Arial"/>
            <w:noProof/>
            <w:sz w:val="20"/>
            <w:szCs w:val="20"/>
          </w:rPr>
          <w:t>http://www.epa.gov/oppsrrd1/REDs/24d_red.pdf</w:t>
        </w:r>
      </w:hyperlink>
      <w:r w:rsidRPr="00A34D65">
        <w:rPr>
          <w:rFonts w:cs="Arial"/>
          <w:noProof/>
          <w:color w:val="000000" w:themeColor="text1"/>
          <w:sz w:val="20"/>
          <w:szCs w:val="20"/>
        </w:rPr>
        <w:t xml:space="preserve">. </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FAO/WHO (1991) </w:t>
      </w:r>
      <w:r w:rsidRPr="00A34D65">
        <w:rPr>
          <w:rFonts w:cs="Arial"/>
          <w:i/>
          <w:noProof/>
          <w:color w:val="000000" w:themeColor="text1"/>
          <w:sz w:val="20"/>
          <w:szCs w:val="20"/>
        </w:rPr>
        <w:t>Report of a joint FAO/WHO consultation: strategies for assessing the safety of food processed by biotechnology</w:t>
      </w:r>
      <w:r w:rsidRPr="00A34D65">
        <w:rPr>
          <w:rFonts w:cs="Arial"/>
          <w:noProof/>
          <w:color w:val="000000" w:themeColor="text1"/>
          <w:sz w:val="20"/>
          <w:szCs w:val="20"/>
        </w:rPr>
        <w:t xml:space="preserve">. World Health Organisation, Geneva. </w:t>
      </w:r>
      <w:hyperlink r:id="rId34" w:history="1">
        <w:r w:rsidRPr="00A34D65">
          <w:rPr>
            <w:rStyle w:val="Hyperlink"/>
            <w:rFonts w:cs="Arial"/>
            <w:noProof/>
            <w:sz w:val="20"/>
            <w:szCs w:val="20"/>
          </w:rPr>
          <w:t>www.who.int/foodsafety/publications/biotech/en/1990.pdf</w:t>
        </w:r>
      </w:hyperlink>
      <w:r w:rsidRPr="00A34D65">
        <w:rPr>
          <w:rFonts w:cs="Arial"/>
          <w:noProof/>
          <w:color w:val="000000" w:themeColor="text1"/>
          <w:sz w:val="20"/>
          <w:szCs w:val="20"/>
        </w:rPr>
        <w:t xml:space="preserve">. </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FSANZ (2007) </w:t>
      </w:r>
      <w:r w:rsidRPr="00A34D65">
        <w:rPr>
          <w:rFonts w:cs="Arial"/>
          <w:i/>
          <w:noProof/>
          <w:color w:val="000000" w:themeColor="text1"/>
          <w:sz w:val="20"/>
          <w:szCs w:val="20"/>
        </w:rPr>
        <w:t>Safety assessment of genetically modified foods – Guidance document</w:t>
      </w:r>
      <w:r w:rsidRPr="00A34D65">
        <w:rPr>
          <w:rFonts w:cs="Arial"/>
          <w:noProof/>
          <w:color w:val="000000" w:themeColor="text1"/>
          <w:sz w:val="20"/>
          <w:szCs w:val="20"/>
        </w:rPr>
        <w:t xml:space="preserve">. Document prepared by Food Standards Australia New Zealand. </w:t>
      </w:r>
      <w:hyperlink r:id="rId35" w:history="1">
        <w:r w:rsidRPr="00A34D65">
          <w:rPr>
            <w:rStyle w:val="Hyperlink"/>
            <w:rFonts w:cs="Arial"/>
            <w:noProof/>
            <w:sz w:val="20"/>
            <w:szCs w:val="20"/>
          </w:rPr>
          <w:t>http://www.foodstandards.gov.au/_srcfiles/GM%20FINAL%20Sept%2007L%20_2_.pdf</w:t>
        </w:r>
      </w:hyperlink>
      <w:r w:rsidRPr="00A34D65">
        <w:rPr>
          <w:rFonts w:cs="Arial"/>
          <w:noProof/>
          <w:color w:val="000000" w:themeColor="text1"/>
          <w:sz w:val="20"/>
          <w:szCs w:val="20"/>
        </w:rPr>
        <w:t xml:space="preserve">. </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FSANZ (2011) </w:t>
      </w:r>
      <w:r w:rsidRPr="00A34D65">
        <w:rPr>
          <w:rFonts w:cs="Arial"/>
          <w:i/>
          <w:noProof/>
          <w:color w:val="000000" w:themeColor="text1"/>
          <w:sz w:val="20"/>
          <w:szCs w:val="20"/>
        </w:rPr>
        <w:t>Application handbook</w:t>
      </w:r>
      <w:r w:rsidRPr="00A34D65">
        <w:rPr>
          <w:rFonts w:cs="Arial"/>
          <w:noProof/>
          <w:color w:val="000000" w:themeColor="text1"/>
          <w:sz w:val="20"/>
          <w:szCs w:val="20"/>
        </w:rPr>
        <w:t xml:space="preserve">. Prepared by Food Standards Australia New Zealand. </w:t>
      </w:r>
      <w:hyperlink r:id="rId36" w:history="1">
        <w:r w:rsidRPr="00A34D65">
          <w:rPr>
            <w:rStyle w:val="Hyperlink"/>
            <w:rFonts w:cs="Arial"/>
            <w:noProof/>
            <w:sz w:val="20"/>
            <w:szCs w:val="20"/>
          </w:rPr>
          <w:t>http://www.foodstandards.gov.au/foodstandards/changingthecode/applicationshandbook.cfm</w:t>
        </w:r>
      </w:hyperlink>
      <w:r w:rsidRPr="00A34D65">
        <w:rPr>
          <w:rFonts w:cs="Arial"/>
          <w:noProof/>
          <w:color w:val="000000" w:themeColor="text1"/>
          <w:sz w:val="20"/>
          <w:szCs w:val="20"/>
        </w:rPr>
        <w:t xml:space="preserve">. </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Herman, R.A., Chassy, B.M. and Parrott, W. (2009) Compositional assessment of transgenic crops: an idea whose time has passed. </w:t>
      </w:r>
      <w:r w:rsidRPr="00A34D65">
        <w:rPr>
          <w:rFonts w:cs="Arial"/>
          <w:i/>
          <w:noProof/>
          <w:color w:val="000000" w:themeColor="text1"/>
          <w:sz w:val="20"/>
          <w:szCs w:val="20"/>
        </w:rPr>
        <w:t xml:space="preserve">Trends in Biotechnology </w:t>
      </w:r>
      <w:r w:rsidRPr="00A34D65">
        <w:rPr>
          <w:rFonts w:cs="Arial"/>
          <w:noProof/>
          <w:color w:val="000000" w:themeColor="text1"/>
          <w:sz w:val="20"/>
          <w:szCs w:val="20"/>
        </w:rPr>
        <w:t>27:555-557.</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JMPR (1999) </w:t>
      </w:r>
      <w:r w:rsidRPr="00A34D65">
        <w:rPr>
          <w:rFonts w:cs="Arial"/>
          <w:i/>
          <w:noProof/>
          <w:color w:val="000000" w:themeColor="text1"/>
          <w:sz w:val="20"/>
          <w:szCs w:val="20"/>
        </w:rPr>
        <w:t>Report of the 1998 Joint FAO/WHO Meeting on Pesticide Residues, Rome, 21 - 30 September 1998</w:t>
      </w:r>
      <w:r w:rsidRPr="00A34D65">
        <w:rPr>
          <w:rFonts w:cs="Arial"/>
          <w:noProof/>
          <w:color w:val="000000" w:themeColor="text1"/>
          <w:sz w:val="20"/>
          <w:szCs w:val="20"/>
        </w:rPr>
        <w:t xml:space="preserve">. World Health Organization. Food &amp; Agriculture Organization of the United Nations, Rome. </w:t>
      </w:r>
      <w:hyperlink r:id="rId37" w:history="1">
        <w:r w:rsidRPr="00A34D65">
          <w:rPr>
            <w:rStyle w:val="Hyperlink"/>
            <w:rFonts w:cs="Arial"/>
            <w:noProof/>
            <w:sz w:val="20"/>
            <w:szCs w:val="20"/>
          </w:rPr>
          <w:t>http://www.fao.org/fileadmin/templates/agphome/documents/Pests_Pesticides/JMPR/Evaluation98/24deval.pdf</w:t>
        </w:r>
      </w:hyperlink>
      <w:r w:rsidRPr="00A34D65">
        <w:rPr>
          <w:rFonts w:cs="Arial"/>
          <w:noProof/>
          <w:color w:val="000000" w:themeColor="text1"/>
          <w:sz w:val="20"/>
          <w:szCs w:val="20"/>
        </w:rPr>
        <w:t xml:space="preserve">. </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JMPR (2002) </w:t>
      </w:r>
      <w:r w:rsidRPr="00A34D65">
        <w:rPr>
          <w:rFonts w:cs="Arial"/>
          <w:i/>
          <w:noProof/>
          <w:color w:val="000000" w:themeColor="text1"/>
          <w:sz w:val="20"/>
          <w:szCs w:val="20"/>
        </w:rPr>
        <w:t>Report of the 2001 Joint FAO/WHO Meeting on Pesticide Residues, Geneva, 20 - 29 September 2001</w:t>
      </w:r>
      <w:r w:rsidRPr="00A34D65">
        <w:rPr>
          <w:rFonts w:cs="Arial"/>
          <w:noProof/>
          <w:color w:val="000000" w:themeColor="text1"/>
          <w:sz w:val="20"/>
          <w:szCs w:val="20"/>
        </w:rPr>
        <w:t xml:space="preserve">. World Health Organization. Food &amp; Agriculture Organization of the United Nations, Rome. </w:t>
      </w:r>
      <w:hyperlink r:id="rId38" w:history="1">
        <w:r w:rsidRPr="00A34D65">
          <w:rPr>
            <w:rStyle w:val="Hyperlink"/>
            <w:rFonts w:cs="Arial"/>
            <w:noProof/>
            <w:sz w:val="20"/>
            <w:szCs w:val="20"/>
          </w:rPr>
          <w:t>http://www.fao.org/fileadmin/templates/agphome/documents/Pests_Pesticides/JMPR/Reports_1991-2006/REPORT2001.pdf</w:t>
        </w:r>
      </w:hyperlink>
      <w:r w:rsidRPr="00A34D65">
        <w:rPr>
          <w:rFonts w:cs="Arial"/>
          <w:noProof/>
          <w:color w:val="000000" w:themeColor="text1"/>
          <w:sz w:val="20"/>
          <w:szCs w:val="20"/>
        </w:rPr>
        <w:t xml:space="preserve">. </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JMPR (2013) </w:t>
      </w:r>
      <w:r w:rsidRPr="00A34D65">
        <w:rPr>
          <w:rFonts w:cs="Arial"/>
          <w:i/>
          <w:noProof/>
          <w:color w:val="000000" w:themeColor="text1"/>
          <w:sz w:val="20"/>
          <w:szCs w:val="20"/>
        </w:rPr>
        <w:t>Pesticide residues in food 2012. Report of the Joint Meeting of the FAO Panel of Experts on Pesticide Residues in Food and the Environment and the WHO Core Assessment Group on Pesticide Residues - Rome, Italy, 11-20 September 2012</w:t>
      </w:r>
      <w:r w:rsidRPr="00A34D65">
        <w:rPr>
          <w:rFonts w:cs="Arial"/>
          <w:noProof/>
          <w:color w:val="000000" w:themeColor="text1"/>
          <w:sz w:val="20"/>
          <w:szCs w:val="20"/>
        </w:rPr>
        <w:t xml:space="preserve">.  FAO Plant Production &amp; Protection Paper. Report No. 215, World Health Organization. Food &amp; Agriculture Organization of the United Nations, Rome. </w:t>
      </w:r>
      <w:hyperlink r:id="rId39" w:history="1">
        <w:r w:rsidRPr="00A34D65">
          <w:rPr>
            <w:rStyle w:val="Hyperlink"/>
            <w:rFonts w:cs="Arial"/>
            <w:noProof/>
            <w:sz w:val="20"/>
            <w:szCs w:val="20"/>
          </w:rPr>
          <w:t>http://www.who.int/foodsafety/chem/jmpr/publications/en/</w:t>
        </w:r>
      </w:hyperlink>
      <w:r w:rsidRPr="00A34D65">
        <w:rPr>
          <w:rFonts w:cs="Arial"/>
          <w:noProof/>
          <w:color w:val="000000" w:themeColor="text1"/>
          <w:sz w:val="20"/>
          <w:szCs w:val="20"/>
        </w:rPr>
        <w:t xml:space="preserve">. </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OECD (1993) </w:t>
      </w:r>
      <w:r w:rsidRPr="00A34D65">
        <w:rPr>
          <w:rFonts w:cs="Arial"/>
          <w:i/>
          <w:noProof/>
          <w:color w:val="000000" w:themeColor="text1"/>
          <w:sz w:val="20"/>
          <w:szCs w:val="20"/>
        </w:rPr>
        <w:t>Safety evaluation of foods derived by modern biotechnology: Concepts and principles</w:t>
      </w:r>
      <w:r w:rsidRPr="00A34D65">
        <w:rPr>
          <w:rFonts w:cs="Arial"/>
          <w:noProof/>
          <w:color w:val="000000" w:themeColor="text1"/>
          <w:sz w:val="20"/>
          <w:szCs w:val="20"/>
        </w:rPr>
        <w:t>. Organisation for Economic Co-operation and development, Paris.</w:t>
      </w:r>
    </w:p>
    <w:p w:rsidR="00A34D65" w:rsidRPr="00A34D65" w:rsidRDefault="00A34D65" w:rsidP="00A34D65">
      <w:pPr>
        <w:tabs>
          <w:tab w:val="left" w:pos="0"/>
        </w:tabs>
        <w:spacing w:after="240"/>
        <w:rPr>
          <w:rFonts w:cs="Arial"/>
          <w:noProof/>
          <w:color w:val="000000" w:themeColor="text1"/>
          <w:sz w:val="20"/>
          <w:szCs w:val="20"/>
        </w:rPr>
      </w:pPr>
      <w:r w:rsidRPr="00A34D65">
        <w:rPr>
          <w:rFonts w:cs="Arial"/>
          <w:noProof/>
          <w:color w:val="000000" w:themeColor="text1"/>
          <w:sz w:val="20"/>
          <w:szCs w:val="20"/>
        </w:rPr>
        <w:t xml:space="preserve">Rigaud, N. (2008) </w:t>
      </w:r>
      <w:r w:rsidRPr="00A34D65">
        <w:rPr>
          <w:rFonts w:cs="Arial"/>
          <w:i/>
          <w:noProof/>
          <w:color w:val="000000" w:themeColor="text1"/>
          <w:sz w:val="20"/>
          <w:szCs w:val="20"/>
        </w:rPr>
        <w:t>Biotechnology: ethical and social debates</w:t>
      </w:r>
      <w:r w:rsidRPr="00A34D65">
        <w:rPr>
          <w:rFonts w:cs="Arial"/>
          <w:noProof/>
          <w:color w:val="000000" w:themeColor="text1"/>
          <w:sz w:val="20"/>
          <w:szCs w:val="20"/>
        </w:rPr>
        <w:t xml:space="preserve">. OECD International Futures Project on "The Bioeconomy to 2030: Designing a Policy Agenda". </w:t>
      </w:r>
      <w:hyperlink r:id="rId40" w:history="1">
        <w:r w:rsidRPr="00A34D65">
          <w:rPr>
            <w:rStyle w:val="Hyperlink"/>
            <w:rFonts w:cs="Arial"/>
            <w:noProof/>
            <w:sz w:val="20"/>
            <w:szCs w:val="20"/>
          </w:rPr>
          <w:t>http://www.oecd.org/futures/long-termtechnologicalsocietalchallenges/40926844.pdf</w:t>
        </w:r>
      </w:hyperlink>
      <w:r w:rsidRPr="00A34D65">
        <w:rPr>
          <w:rFonts w:cs="Arial"/>
          <w:noProof/>
          <w:color w:val="000000" w:themeColor="text1"/>
          <w:sz w:val="20"/>
          <w:szCs w:val="20"/>
        </w:rPr>
        <w:t xml:space="preserve">. </w:t>
      </w:r>
    </w:p>
    <w:p w:rsidR="00A34D65" w:rsidRPr="00A34D65" w:rsidRDefault="00A34D65" w:rsidP="00A34D65">
      <w:pPr>
        <w:tabs>
          <w:tab w:val="left" w:pos="0"/>
        </w:tabs>
        <w:rPr>
          <w:rFonts w:cs="Arial"/>
          <w:noProof/>
          <w:color w:val="000000" w:themeColor="text1"/>
          <w:sz w:val="20"/>
          <w:szCs w:val="20"/>
        </w:rPr>
      </w:pPr>
      <w:r w:rsidRPr="00A34D65">
        <w:rPr>
          <w:rFonts w:cs="Arial"/>
          <w:noProof/>
          <w:color w:val="000000" w:themeColor="text1"/>
          <w:sz w:val="20"/>
          <w:szCs w:val="20"/>
        </w:rPr>
        <w:t xml:space="preserve">WHO (2000) </w:t>
      </w:r>
      <w:r w:rsidRPr="00A34D65">
        <w:rPr>
          <w:rFonts w:cs="Arial"/>
          <w:i/>
          <w:noProof/>
          <w:color w:val="000000" w:themeColor="text1"/>
          <w:sz w:val="20"/>
          <w:szCs w:val="20"/>
        </w:rPr>
        <w:t>Safety aspects of genetically modified foods of plant origin. Report of a Joint FAO/WHO Expert Consultation on foods derived frm biotechnology</w:t>
      </w:r>
      <w:r w:rsidRPr="00A34D65">
        <w:rPr>
          <w:rFonts w:cs="Arial"/>
          <w:noProof/>
          <w:color w:val="000000" w:themeColor="text1"/>
          <w:sz w:val="20"/>
          <w:szCs w:val="20"/>
        </w:rPr>
        <w:t xml:space="preserve">. World Health Organization, Geneva. </w:t>
      </w:r>
      <w:hyperlink r:id="rId41" w:history="1">
        <w:r w:rsidRPr="00A34D65">
          <w:rPr>
            <w:rStyle w:val="Hyperlink"/>
            <w:rFonts w:cs="Arial"/>
            <w:noProof/>
            <w:sz w:val="20"/>
            <w:szCs w:val="20"/>
          </w:rPr>
          <w:t>http://www.who.int/foodsafety/publications/biotech/en/ec_june2000_en.pdf</w:t>
        </w:r>
      </w:hyperlink>
      <w:r w:rsidRPr="00A34D65">
        <w:rPr>
          <w:rFonts w:cs="Arial"/>
          <w:noProof/>
          <w:color w:val="000000" w:themeColor="text1"/>
          <w:sz w:val="20"/>
          <w:szCs w:val="20"/>
        </w:rPr>
        <w:t xml:space="preserve">. </w:t>
      </w:r>
    </w:p>
    <w:p w:rsidR="00F20964" w:rsidRPr="00561158" w:rsidRDefault="00643BA9" w:rsidP="00643BA9">
      <w:pPr>
        <w:spacing w:before="240"/>
        <w:rPr>
          <w:rFonts w:cs="Arial"/>
          <w:color w:val="000000" w:themeColor="text1"/>
          <w:sz w:val="28"/>
          <w:szCs w:val="20"/>
        </w:rPr>
      </w:pPr>
      <w:r w:rsidRPr="00A34D65">
        <w:rPr>
          <w:rFonts w:cs="Arial"/>
          <w:color w:val="000000" w:themeColor="text1"/>
          <w:sz w:val="20"/>
          <w:szCs w:val="20"/>
        </w:rPr>
        <w:fldChar w:fldCharType="end"/>
      </w:r>
      <w:r w:rsidR="00F20964" w:rsidRPr="00561158">
        <w:rPr>
          <w:b/>
          <w:color w:val="000000" w:themeColor="text1"/>
          <w:sz w:val="28"/>
          <w:szCs w:val="20"/>
        </w:rPr>
        <w:t>Attachments</w:t>
      </w:r>
    </w:p>
    <w:p w:rsidR="00F20964" w:rsidRPr="006F53A8" w:rsidRDefault="00F20964" w:rsidP="00755F02">
      <w:pPr>
        <w:rPr>
          <w:color w:val="000000" w:themeColor="text1"/>
        </w:rPr>
      </w:pPr>
    </w:p>
    <w:p w:rsidR="0012388D" w:rsidRPr="006F53A8" w:rsidRDefault="00755F02" w:rsidP="009A2699">
      <w:pPr>
        <w:ind w:left="567" w:hanging="567"/>
        <w:rPr>
          <w:color w:val="000000" w:themeColor="text1"/>
        </w:rPr>
      </w:pPr>
      <w:r w:rsidRPr="006F53A8">
        <w:rPr>
          <w:color w:val="000000" w:themeColor="text1"/>
        </w:rPr>
        <w:t>A.</w:t>
      </w:r>
      <w:r w:rsidRPr="006F53A8">
        <w:rPr>
          <w:color w:val="000000" w:themeColor="text1"/>
        </w:rPr>
        <w:tab/>
      </w:r>
      <w:r w:rsidR="009A2699" w:rsidRPr="006F53A8">
        <w:rPr>
          <w:color w:val="000000" w:themeColor="text1"/>
        </w:rPr>
        <w:t xml:space="preserve">Approved </w:t>
      </w:r>
      <w:r w:rsidR="00272E09" w:rsidRPr="006F53A8">
        <w:rPr>
          <w:color w:val="000000" w:themeColor="text1"/>
        </w:rPr>
        <w:t xml:space="preserve">draft </w:t>
      </w:r>
      <w:r w:rsidR="000576EB" w:rsidRPr="006F53A8">
        <w:rPr>
          <w:color w:val="000000" w:themeColor="text1"/>
        </w:rPr>
        <w:t xml:space="preserve">variation to the </w:t>
      </w:r>
      <w:r w:rsidR="000576EB" w:rsidRPr="006F53A8">
        <w:rPr>
          <w:i/>
          <w:color w:val="000000" w:themeColor="text1"/>
        </w:rPr>
        <w:t>Australia New Zealand Food Standards Code</w:t>
      </w:r>
      <w:r w:rsidR="00486C66" w:rsidRPr="006F53A8">
        <w:rPr>
          <w:color w:val="000000" w:themeColor="text1"/>
        </w:rPr>
        <w:t xml:space="preserve"> </w:t>
      </w:r>
    </w:p>
    <w:p w:rsidR="00795D86" w:rsidRDefault="00795D86" w:rsidP="00755F02">
      <w:pPr>
        <w:rPr>
          <w:color w:val="000000" w:themeColor="text1"/>
        </w:rPr>
      </w:pPr>
      <w:r w:rsidRPr="006F53A8">
        <w:rPr>
          <w:color w:val="000000" w:themeColor="text1"/>
        </w:rPr>
        <w:t>B.</w:t>
      </w:r>
      <w:r w:rsidRPr="006F53A8">
        <w:rPr>
          <w:color w:val="000000" w:themeColor="text1"/>
        </w:rPr>
        <w:tab/>
        <w:t>Explanatory Statement</w:t>
      </w:r>
    </w:p>
    <w:p w:rsidR="00DE00F6" w:rsidRDefault="00DE00F6" w:rsidP="00755F02">
      <w:pPr>
        <w:rPr>
          <w:color w:val="000000" w:themeColor="text1"/>
        </w:rPr>
      </w:pPr>
      <w:r>
        <w:rPr>
          <w:color w:val="000000" w:themeColor="text1"/>
        </w:rPr>
        <w:t>C.</w:t>
      </w:r>
      <w:r>
        <w:rPr>
          <w:color w:val="000000" w:themeColor="text1"/>
        </w:rPr>
        <w:tab/>
      </w:r>
      <w:r>
        <w:rPr>
          <w:lang w:val="en-AU"/>
        </w:rPr>
        <w:t>Transitional arrangements required for Proposal P1025</w:t>
      </w:r>
    </w:p>
    <w:p w:rsidR="0093250A" w:rsidRPr="006F53A8" w:rsidRDefault="0093250A" w:rsidP="00755F02">
      <w:pPr>
        <w:rPr>
          <w:color w:val="000000" w:themeColor="text1"/>
        </w:rPr>
      </w:pPr>
    </w:p>
    <w:p w:rsidR="0012388D" w:rsidRPr="00272E09" w:rsidRDefault="003C4969" w:rsidP="007D0189">
      <w:pPr>
        <w:pStyle w:val="Heading2"/>
        <w:ind w:left="0" w:firstLine="0"/>
      </w:pPr>
      <w:r w:rsidRPr="006F53A8">
        <w:rPr>
          <w:color w:val="000000" w:themeColor="text1"/>
        </w:rPr>
        <w:br w:type="page"/>
      </w:r>
      <w:bookmarkStart w:id="54" w:name="_Toc29883131"/>
      <w:bookmarkStart w:id="55" w:name="_Toc41906818"/>
      <w:bookmarkStart w:id="56" w:name="_Toc41907565"/>
      <w:bookmarkStart w:id="57" w:name="_Toc120358596"/>
      <w:bookmarkStart w:id="58" w:name="_Toc175381458"/>
      <w:bookmarkStart w:id="59" w:name="_Toc11735644"/>
      <w:bookmarkStart w:id="60" w:name="_Toc388276759"/>
      <w:r w:rsidRPr="00272E09">
        <w:lastRenderedPageBreak/>
        <w:t xml:space="preserve">Attachment </w:t>
      </w:r>
      <w:bookmarkEnd w:id="54"/>
      <w:bookmarkEnd w:id="55"/>
      <w:bookmarkEnd w:id="56"/>
      <w:bookmarkEnd w:id="57"/>
      <w:bookmarkEnd w:id="58"/>
      <w:r w:rsidR="00456B54" w:rsidRPr="00272E09">
        <w:t>A</w:t>
      </w:r>
      <w:bookmarkStart w:id="61" w:name="_Toc120358597"/>
      <w:bookmarkStart w:id="62" w:name="_Toc175381459"/>
      <w:bookmarkEnd w:id="59"/>
      <w:r w:rsidR="00755F02" w:rsidRPr="00272E09">
        <w:t xml:space="preserve"> – </w:t>
      </w:r>
      <w:r w:rsidR="009A2699" w:rsidRPr="00272E09">
        <w:t>Approved</w:t>
      </w:r>
      <w:r w:rsidRPr="00272E09">
        <w:t xml:space="preserve"> </w:t>
      </w:r>
      <w:r w:rsidR="00272E09" w:rsidRPr="00272E09">
        <w:t xml:space="preserve">draft </w:t>
      </w:r>
      <w:r w:rsidRPr="00272E09">
        <w:t xml:space="preserve">variation to the </w:t>
      </w:r>
      <w:r w:rsidR="00D15A08" w:rsidRPr="00272E09">
        <w:rPr>
          <w:i/>
        </w:rPr>
        <w:t>Australia New Zealand Food Standards Code</w:t>
      </w:r>
      <w:bookmarkEnd w:id="61"/>
      <w:bookmarkEnd w:id="62"/>
      <w:bookmarkEnd w:id="60"/>
    </w:p>
    <w:p w:rsidR="00E03760" w:rsidRPr="00C0014E" w:rsidRDefault="00E03760" w:rsidP="00E03760">
      <w:pPr>
        <w:rPr>
          <w:noProof/>
          <w:sz w:val="20"/>
          <w:lang w:val="en-AU" w:eastAsia="en-AU"/>
        </w:rPr>
      </w:pPr>
      <w:bookmarkStart w:id="63" w:name="_Toc120358598"/>
      <w:bookmarkStart w:id="64" w:name="_Toc175381460"/>
      <w:r w:rsidRPr="00C0014E">
        <w:rPr>
          <w:noProof/>
          <w:sz w:val="20"/>
          <w:lang w:eastAsia="en-GB" w:bidi="ar-SA"/>
        </w:rPr>
        <w:drawing>
          <wp:inline distT="0" distB="0" distL="0" distR="0" wp14:anchorId="6EAD567F" wp14:editId="0ADC2693">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03760" w:rsidRPr="006153A1" w:rsidRDefault="00E03760" w:rsidP="00E03760">
      <w:pPr>
        <w:pStyle w:val="Title"/>
        <w:pBdr>
          <w:bottom w:val="single" w:sz="4" w:space="1" w:color="auto"/>
        </w:pBdr>
        <w:rPr>
          <w:b w:val="0"/>
          <w:bCs w:val="0"/>
          <w:szCs w:val="20"/>
          <w:lang w:val="en-GB"/>
        </w:rPr>
      </w:pPr>
    </w:p>
    <w:p w:rsidR="00E03760" w:rsidRDefault="00E03760" w:rsidP="00E03760">
      <w:pPr>
        <w:pBdr>
          <w:bottom w:val="single" w:sz="4" w:space="1" w:color="auto"/>
        </w:pBdr>
        <w:rPr>
          <w:b/>
          <w:sz w:val="20"/>
        </w:rPr>
      </w:pPr>
      <w:r w:rsidRPr="006153A1">
        <w:rPr>
          <w:b/>
          <w:sz w:val="20"/>
        </w:rPr>
        <w:t>Food Standards (</w:t>
      </w:r>
      <w:r w:rsidRPr="00F618DF">
        <w:rPr>
          <w:b/>
          <w:sz w:val="20"/>
        </w:rPr>
        <w:t>Application A</w:t>
      </w:r>
      <w:r>
        <w:rPr>
          <w:b/>
          <w:sz w:val="20"/>
        </w:rPr>
        <w:t xml:space="preserve">1094 </w:t>
      </w:r>
      <w:r w:rsidRPr="00A32232">
        <w:rPr>
          <w:b/>
          <w:sz w:val="20"/>
        </w:rPr>
        <w:t>–</w:t>
      </w:r>
      <w:r>
        <w:rPr>
          <w:b/>
          <w:sz w:val="20"/>
        </w:rPr>
        <w:t xml:space="preserve"> Food derived from Herbicide-tolerant Cotton Line DAS</w:t>
      </w:r>
      <w:r>
        <w:rPr>
          <w:b/>
          <w:sz w:val="20"/>
        </w:rPr>
        <w:noBreakHyphen/>
        <w:t>81910</w:t>
      </w:r>
      <w:r>
        <w:rPr>
          <w:b/>
          <w:sz w:val="20"/>
        </w:rPr>
        <w:noBreakHyphen/>
        <w:t>7)</w:t>
      </w:r>
      <w:r w:rsidRPr="00C0014E">
        <w:rPr>
          <w:b/>
          <w:sz w:val="20"/>
        </w:rPr>
        <w:t xml:space="preserve"> Variation</w:t>
      </w:r>
    </w:p>
    <w:p w:rsidR="00E03760" w:rsidRPr="00C0014E" w:rsidRDefault="00E03760" w:rsidP="00E03760">
      <w:pPr>
        <w:pBdr>
          <w:bottom w:val="single" w:sz="4" w:space="1" w:color="auto"/>
        </w:pBdr>
        <w:rPr>
          <w:b/>
          <w:sz w:val="20"/>
        </w:rPr>
      </w:pPr>
    </w:p>
    <w:p w:rsidR="00E03760" w:rsidRPr="008F2616" w:rsidRDefault="00E03760" w:rsidP="00E03760">
      <w:pPr>
        <w:rPr>
          <w:sz w:val="20"/>
        </w:rPr>
      </w:pPr>
    </w:p>
    <w:p w:rsidR="00E03760" w:rsidRPr="008F2616" w:rsidRDefault="00E03760" w:rsidP="00E03760">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E03760" w:rsidRPr="008F2616" w:rsidRDefault="00E03760" w:rsidP="00E03760">
      <w:pPr>
        <w:rPr>
          <w:sz w:val="20"/>
        </w:rPr>
      </w:pPr>
    </w:p>
    <w:p w:rsidR="00E03760" w:rsidRPr="008F2616" w:rsidRDefault="00E03760" w:rsidP="00E03760">
      <w:pPr>
        <w:rPr>
          <w:sz w:val="20"/>
        </w:rPr>
      </w:pPr>
      <w:r w:rsidRPr="008F2616">
        <w:rPr>
          <w:sz w:val="20"/>
        </w:rPr>
        <w:t xml:space="preserve">Dated </w:t>
      </w:r>
      <w:r>
        <w:rPr>
          <w:sz w:val="20"/>
        </w:rPr>
        <w:t>[To be completed by Standards Management Officer]</w:t>
      </w:r>
    </w:p>
    <w:p w:rsidR="00E03760" w:rsidRPr="008F2616" w:rsidRDefault="00E03760" w:rsidP="00E03760">
      <w:pPr>
        <w:rPr>
          <w:sz w:val="20"/>
        </w:rPr>
      </w:pPr>
    </w:p>
    <w:p w:rsidR="00E03760" w:rsidRDefault="00E03760" w:rsidP="00E03760">
      <w:pPr>
        <w:rPr>
          <w:sz w:val="20"/>
        </w:rPr>
      </w:pPr>
    </w:p>
    <w:p w:rsidR="00E03760" w:rsidRDefault="00E03760" w:rsidP="00E03760">
      <w:pPr>
        <w:rPr>
          <w:sz w:val="20"/>
        </w:rPr>
      </w:pPr>
    </w:p>
    <w:p w:rsidR="00E03760" w:rsidRPr="008F2616" w:rsidRDefault="00E03760" w:rsidP="00E03760">
      <w:pPr>
        <w:rPr>
          <w:sz w:val="20"/>
        </w:rPr>
      </w:pPr>
    </w:p>
    <w:p w:rsidR="00E03760" w:rsidRPr="008F2616" w:rsidRDefault="00E03760" w:rsidP="00E03760">
      <w:pPr>
        <w:rPr>
          <w:sz w:val="20"/>
        </w:rPr>
      </w:pPr>
    </w:p>
    <w:p w:rsidR="00E03760" w:rsidRPr="008F2616" w:rsidRDefault="00E03760" w:rsidP="00E03760">
      <w:pPr>
        <w:rPr>
          <w:sz w:val="20"/>
        </w:rPr>
      </w:pPr>
      <w:r w:rsidRPr="008F2616">
        <w:rPr>
          <w:sz w:val="20"/>
        </w:rPr>
        <w:t>Standards Management Officer</w:t>
      </w:r>
    </w:p>
    <w:p w:rsidR="00E03760" w:rsidRPr="008F2616" w:rsidRDefault="00E03760" w:rsidP="00E03760">
      <w:pPr>
        <w:rPr>
          <w:sz w:val="20"/>
        </w:rPr>
      </w:pPr>
      <w:r w:rsidRPr="008F2616">
        <w:rPr>
          <w:sz w:val="20"/>
        </w:rPr>
        <w:t>Delegate of the Board of Food Standards Australia New Zealand</w:t>
      </w:r>
    </w:p>
    <w:p w:rsidR="00E03760" w:rsidRDefault="00E03760" w:rsidP="00E03760">
      <w:pPr>
        <w:rPr>
          <w:sz w:val="20"/>
        </w:rPr>
      </w:pPr>
    </w:p>
    <w:p w:rsidR="00E03760" w:rsidRDefault="00E03760" w:rsidP="00E03760">
      <w:pPr>
        <w:rPr>
          <w:sz w:val="20"/>
        </w:rPr>
      </w:pPr>
    </w:p>
    <w:p w:rsidR="00E03760" w:rsidRDefault="00E03760" w:rsidP="00E03760">
      <w:pPr>
        <w:rPr>
          <w:sz w:val="20"/>
        </w:rPr>
      </w:pPr>
    </w:p>
    <w:p w:rsidR="00E03760" w:rsidRDefault="00E03760" w:rsidP="00E03760">
      <w:pPr>
        <w:rPr>
          <w:sz w:val="20"/>
        </w:rPr>
      </w:pPr>
    </w:p>
    <w:p w:rsidR="00E03760" w:rsidRDefault="00E03760" w:rsidP="00E03760">
      <w:pPr>
        <w:rPr>
          <w:sz w:val="20"/>
        </w:rPr>
      </w:pPr>
    </w:p>
    <w:p w:rsidR="00E03760" w:rsidRPr="00574DE1" w:rsidRDefault="00E03760" w:rsidP="00E03760">
      <w:pPr>
        <w:pStyle w:val="EditorialNoteLine1"/>
        <w:rPr>
          <w:lang w:val="en-AU"/>
        </w:rPr>
      </w:pPr>
      <w:r w:rsidRPr="00574DE1">
        <w:rPr>
          <w:lang w:val="en-AU"/>
        </w:rPr>
        <w:t xml:space="preserve">Note:  </w:t>
      </w:r>
    </w:p>
    <w:p w:rsidR="00E03760" w:rsidRPr="00574DE1" w:rsidRDefault="00E03760" w:rsidP="00E03760">
      <w:pPr>
        <w:pStyle w:val="EditorialNotetext"/>
        <w:rPr>
          <w:lang w:val="en-AU"/>
        </w:rPr>
      </w:pPr>
    </w:p>
    <w:p w:rsidR="00E03760" w:rsidRDefault="00E03760" w:rsidP="00E03760">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E03760" w:rsidRDefault="00E03760" w:rsidP="00E03760">
      <w:pPr>
        <w:rPr>
          <w:sz w:val="20"/>
        </w:rPr>
      </w:pPr>
    </w:p>
    <w:p w:rsidR="00435A76" w:rsidRDefault="00435A76">
      <w:pPr>
        <w:widowControl/>
        <w:rPr>
          <w:b/>
          <w:sz w:val="20"/>
          <w:szCs w:val="20"/>
        </w:rPr>
      </w:pPr>
      <w:r>
        <w:br w:type="page"/>
      </w:r>
    </w:p>
    <w:p w:rsidR="00E03760" w:rsidRDefault="00E03760" w:rsidP="00E03760">
      <w:pPr>
        <w:pStyle w:val="Clauseheading"/>
      </w:pPr>
      <w:r>
        <w:lastRenderedPageBreak/>
        <w:t>1</w:t>
      </w:r>
      <w:r>
        <w:tab/>
        <w:t>Name</w:t>
      </w:r>
    </w:p>
    <w:p w:rsidR="00E03760" w:rsidRDefault="00E03760" w:rsidP="00E03760">
      <w:pPr>
        <w:pStyle w:val="Clause"/>
      </w:pPr>
    </w:p>
    <w:p w:rsidR="00E03760" w:rsidRPr="00F618DF" w:rsidRDefault="00E03760" w:rsidP="00E03760">
      <w:pPr>
        <w:pStyle w:val="Clause"/>
      </w:pPr>
      <w:r w:rsidRPr="00DB170D">
        <w:t xml:space="preserve">This instrument is the </w:t>
      </w:r>
      <w:r>
        <w:rPr>
          <w:i/>
        </w:rPr>
        <w:t xml:space="preserve">Food Standards </w:t>
      </w:r>
      <w:r w:rsidRPr="00F634F1">
        <w:rPr>
          <w:i/>
        </w:rPr>
        <w:t xml:space="preserve">(Application A1094 – Food derived from Herbicide-tolerant </w:t>
      </w:r>
      <w:r>
        <w:rPr>
          <w:i/>
        </w:rPr>
        <w:t>C</w:t>
      </w:r>
      <w:r w:rsidRPr="00F634F1">
        <w:rPr>
          <w:i/>
        </w:rPr>
        <w:t>otton</w:t>
      </w:r>
      <w:r>
        <w:rPr>
          <w:i/>
        </w:rPr>
        <w:t xml:space="preserve"> Line</w:t>
      </w:r>
      <w:r w:rsidRPr="00F634F1">
        <w:rPr>
          <w:i/>
        </w:rPr>
        <w:t xml:space="preserve"> DAS</w:t>
      </w:r>
      <w:r w:rsidRPr="00F634F1">
        <w:rPr>
          <w:i/>
        </w:rPr>
        <w:noBreakHyphen/>
        <w:t>819</w:t>
      </w:r>
      <w:r>
        <w:rPr>
          <w:i/>
        </w:rPr>
        <w:t>1</w:t>
      </w:r>
      <w:r w:rsidRPr="00F634F1">
        <w:rPr>
          <w:i/>
        </w:rPr>
        <w:t>0</w:t>
      </w:r>
      <w:r w:rsidRPr="00F634F1">
        <w:rPr>
          <w:i/>
        </w:rPr>
        <w:noBreakHyphen/>
        <w:t>7</w:t>
      </w:r>
      <w:r>
        <w:rPr>
          <w:i/>
        </w:rPr>
        <w:t xml:space="preserve">) </w:t>
      </w:r>
      <w:r w:rsidRPr="00F618DF">
        <w:rPr>
          <w:i/>
        </w:rPr>
        <w:t>Variation</w:t>
      </w:r>
      <w:r w:rsidRPr="00F618DF">
        <w:t>.</w:t>
      </w:r>
    </w:p>
    <w:p w:rsidR="00E03760" w:rsidRDefault="00E03760" w:rsidP="00E03760">
      <w:pPr>
        <w:pStyle w:val="Clause"/>
      </w:pPr>
    </w:p>
    <w:p w:rsidR="00E03760" w:rsidRPr="0036244B" w:rsidRDefault="00E03760" w:rsidP="00E03760">
      <w:pPr>
        <w:pStyle w:val="Clauseheading"/>
        <w:tabs>
          <w:tab w:val="clear" w:pos="851"/>
        </w:tabs>
        <w:ind w:left="851" w:hanging="851"/>
      </w:pPr>
      <w:r w:rsidRPr="0036244B">
        <w:t>2</w:t>
      </w:r>
      <w:r w:rsidRPr="0036244B">
        <w:tab/>
      </w:r>
      <w:r>
        <w:t>V</w:t>
      </w:r>
      <w:r w:rsidRPr="0036244B">
        <w:t xml:space="preserve">ariation to </w:t>
      </w:r>
      <w:r>
        <w:t xml:space="preserve">a </w:t>
      </w:r>
      <w:r w:rsidRPr="0036244B">
        <w:t xml:space="preserve">Standard in the </w:t>
      </w:r>
      <w:r w:rsidRPr="0072638F">
        <w:rPr>
          <w:i/>
        </w:rPr>
        <w:t>Australia New Zealand Food Standards Code</w:t>
      </w:r>
    </w:p>
    <w:p w:rsidR="00E03760" w:rsidRDefault="00E03760" w:rsidP="00E03760">
      <w:pPr>
        <w:pStyle w:val="Clause"/>
      </w:pPr>
    </w:p>
    <w:p w:rsidR="00E03760" w:rsidRDefault="00E03760" w:rsidP="00E03760">
      <w:pPr>
        <w:pStyle w:val="Clause"/>
      </w:pPr>
      <w:r>
        <w:t xml:space="preserve">The Schedule varies a Standard in the </w:t>
      </w:r>
      <w:r w:rsidRPr="00FF1C11">
        <w:rPr>
          <w:i/>
        </w:rPr>
        <w:t>Australia New Zealand Food Standards Code</w:t>
      </w:r>
      <w:r>
        <w:t>.</w:t>
      </w:r>
    </w:p>
    <w:p w:rsidR="00E03760" w:rsidRDefault="00E03760" w:rsidP="00E03760">
      <w:pPr>
        <w:rPr>
          <w:sz w:val="20"/>
        </w:rPr>
      </w:pPr>
    </w:p>
    <w:p w:rsidR="00E03760" w:rsidRDefault="00E03760" w:rsidP="00E03760">
      <w:pPr>
        <w:pStyle w:val="Clauseheading"/>
      </w:pPr>
      <w:r>
        <w:t>3</w:t>
      </w:r>
      <w:r>
        <w:tab/>
        <w:t>Commencement</w:t>
      </w:r>
    </w:p>
    <w:p w:rsidR="00E03760" w:rsidRDefault="00E03760" w:rsidP="00E03760">
      <w:pPr>
        <w:pStyle w:val="Clause"/>
      </w:pPr>
    </w:p>
    <w:p w:rsidR="00E03760" w:rsidRDefault="00E03760" w:rsidP="00E03760">
      <w:pPr>
        <w:pStyle w:val="Clause"/>
      </w:pPr>
      <w:r>
        <w:t>The variation commenc</w:t>
      </w:r>
      <w:r w:rsidRPr="000055C4">
        <w:t>e</w:t>
      </w:r>
      <w:r>
        <w:t>s</w:t>
      </w:r>
      <w:r w:rsidRPr="000055C4">
        <w:t xml:space="preserve"> on</w:t>
      </w:r>
      <w:r>
        <w:t xml:space="preserve"> the date of gazettal.</w:t>
      </w:r>
    </w:p>
    <w:p w:rsidR="00E03760" w:rsidRDefault="00E03760" w:rsidP="00E03760">
      <w:pPr>
        <w:pStyle w:val="ScheduleHeading"/>
      </w:pPr>
    </w:p>
    <w:p w:rsidR="00E03760" w:rsidRDefault="00E03760" w:rsidP="00E03760">
      <w:pPr>
        <w:pStyle w:val="ScheduleHeading"/>
      </w:pPr>
      <w:r>
        <w:t>SCHEDULE</w:t>
      </w:r>
    </w:p>
    <w:p w:rsidR="00E03760" w:rsidRPr="0036244B" w:rsidRDefault="00E03760" w:rsidP="00E03760">
      <w:pPr>
        <w:rPr>
          <w:sz w:val="20"/>
        </w:rPr>
      </w:pPr>
    </w:p>
    <w:p w:rsidR="00E03760" w:rsidRPr="00CC2E5B" w:rsidRDefault="00E03760" w:rsidP="00B71064">
      <w:pPr>
        <w:pStyle w:val="Clause"/>
        <w:rPr>
          <w:iCs/>
        </w:rPr>
      </w:pPr>
      <w:r w:rsidRPr="00CC2E5B">
        <w:rPr>
          <w:b/>
          <w:bCs/>
        </w:rPr>
        <w:t>[1]</w:t>
      </w:r>
      <w:r w:rsidRPr="00CC2E5B">
        <w:tab/>
      </w:r>
      <w:r w:rsidRPr="00CC2E5B">
        <w:rPr>
          <w:b/>
          <w:bCs/>
          <w:iCs/>
        </w:rPr>
        <w:t>Standard 1.5.2</w:t>
      </w:r>
      <w:r w:rsidRPr="00CC2E5B">
        <w:rPr>
          <w:iCs/>
        </w:rPr>
        <w:t xml:space="preserve"> is varied by </w:t>
      </w:r>
      <w:r w:rsidRPr="00CC2E5B">
        <w:t xml:space="preserve">inserting in </w:t>
      </w:r>
      <w:r>
        <w:t xml:space="preserve">Item </w:t>
      </w:r>
      <w:r w:rsidRPr="00CC2E5B">
        <w:t xml:space="preserve">numerical order in the Schedule </w:t>
      </w:r>
    </w:p>
    <w:p w:rsidR="00E03760" w:rsidRPr="00CC2E5B" w:rsidRDefault="00E03760" w:rsidP="00E03760">
      <w:pPr>
        <w:rPr>
          <w:sz w:val="20"/>
        </w:rPr>
      </w:pPr>
    </w:p>
    <w:p w:rsidR="00E03760" w:rsidRPr="00CC2E5B" w:rsidRDefault="00E03760" w:rsidP="00E03760">
      <w:pPr>
        <w:rPr>
          <w:sz w:val="20"/>
        </w:rPr>
      </w:pPr>
      <w:r w:rsidRPr="00CC2E5B">
        <w:rPr>
          <w:sz w:val="20"/>
        </w:rP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E03760" w:rsidRPr="00CB44BD" w:rsidTr="00E213C0">
        <w:trPr>
          <w:cantSplit/>
          <w:trHeight w:val="465"/>
        </w:trPr>
        <w:tc>
          <w:tcPr>
            <w:tcW w:w="1364" w:type="dxa"/>
          </w:tcPr>
          <w:p w:rsidR="00E03760" w:rsidRPr="00CB44BD" w:rsidRDefault="00E03760" w:rsidP="00E213C0">
            <w:pPr>
              <w:pStyle w:val="Table2"/>
              <w:rPr>
                <w:color w:val="000000" w:themeColor="text1"/>
              </w:rPr>
            </w:pPr>
          </w:p>
        </w:tc>
        <w:tc>
          <w:tcPr>
            <w:tcW w:w="1443" w:type="dxa"/>
          </w:tcPr>
          <w:p w:rsidR="00E03760" w:rsidRPr="00CB44BD" w:rsidRDefault="00E03760" w:rsidP="00E213C0">
            <w:pPr>
              <w:pStyle w:val="Table2"/>
              <w:rPr>
                <w:color w:val="000000" w:themeColor="text1"/>
              </w:rPr>
            </w:pPr>
            <w:r w:rsidRPr="00CB44BD">
              <w:rPr>
                <w:color w:val="000000" w:themeColor="text1"/>
              </w:rPr>
              <w:t>3.14</w:t>
            </w:r>
          </w:p>
        </w:tc>
        <w:tc>
          <w:tcPr>
            <w:tcW w:w="3516" w:type="dxa"/>
          </w:tcPr>
          <w:p w:rsidR="00E03760" w:rsidRPr="00CB44BD" w:rsidRDefault="00E03760" w:rsidP="00E213C0">
            <w:pPr>
              <w:pStyle w:val="Table2"/>
              <w:rPr>
                <w:color w:val="000000" w:themeColor="text1"/>
              </w:rPr>
            </w:pPr>
            <w:r w:rsidRPr="00CB44BD">
              <w:rPr>
                <w:color w:val="000000" w:themeColor="text1"/>
              </w:rPr>
              <w:t>Food derived from herbicide-tolerant cotton line DAS-81910-7</w:t>
            </w:r>
          </w:p>
        </w:tc>
        <w:tc>
          <w:tcPr>
            <w:tcW w:w="2466" w:type="dxa"/>
          </w:tcPr>
          <w:p w:rsidR="00E03760" w:rsidRPr="00CB44BD" w:rsidRDefault="00E03760" w:rsidP="00E213C0">
            <w:pPr>
              <w:pStyle w:val="Table2"/>
              <w:rPr>
                <w:color w:val="000000" w:themeColor="text1"/>
              </w:rPr>
            </w:pPr>
          </w:p>
        </w:tc>
      </w:tr>
    </w:tbl>
    <w:p w:rsidR="00E03760" w:rsidRPr="00CB44BD" w:rsidRDefault="00E03760" w:rsidP="00E03760">
      <w:pPr>
        <w:jc w:val="right"/>
        <w:rPr>
          <w:color w:val="000000" w:themeColor="text1"/>
          <w:sz w:val="20"/>
        </w:rPr>
      </w:pPr>
      <w:r w:rsidRPr="00CB44BD">
        <w:rPr>
          <w:color w:val="000000" w:themeColor="text1"/>
          <w:sz w:val="20"/>
        </w:rPr>
        <w:t>”</w:t>
      </w:r>
    </w:p>
    <w:p w:rsidR="00E03760" w:rsidRPr="00C846AB" w:rsidRDefault="00E03760" w:rsidP="00E03760"/>
    <w:p w:rsidR="00E03760" w:rsidRDefault="00E03760" w:rsidP="00E03760">
      <w:pPr>
        <w:rPr>
          <w:sz w:val="20"/>
        </w:rPr>
      </w:pPr>
      <w:r>
        <w:rPr>
          <w:sz w:val="20"/>
        </w:rPr>
        <w:br w:type="page"/>
      </w:r>
    </w:p>
    <w:p w:rsidR="007D0189" w:rsidRPr="00272E09" w:rsidRDefault="007D0189" w:rsidP="007D0189">
      <w:pPr>
        <w:pStyle w:val="Heading2"/>
        <w:ind w:left="0" w:firstLine="0"/>
      </w:pPr>
      <w:bookmarkStart w:id="65" w:name="_Toc388276760"/>
      <w:r w:rsidRPr="00272E09">
        <w:lastRenderedPageBreak/>
        <w:t>Attachment B – Explanatory Statement</w:t>
      </w:r>
      <w:bookmarkEnd w:id="65"/>
    </w:p>
    <w:bookmarkEnd w:id="63"/>
    <w:bookmarkEnd w:id="64"/>
    <w:p w:rsidR="00F20964" w:rsidRPr="00272E09" w:rsidRDefault="00F20964" w:rsidP="00F20964">
      <w:pPr>
        <w:rPr>
          <w:b/>
          <w:lang w:eastAsia="en-GB" w:bidi="ar-SA"/>
        </w:rPr>
      </w:pPr>
      <w:r w:rsidRPr="00272E09">
        <w:rPr>
          <w:b/>
          <w:lang w:eastAsia="en-GB" w:bidi="ar-SA"/>
        </w:rPr>
        <w:t>1.</w:t>
      </w:r>
      <w:r w:rsidRPr="00272E09">
        <w:rPr>
          <w:b/>
          <w:lang w:eastAsia="en-GB" w:bidi="ar-SA"/>
        </w:rPr>
        <w:tab/>
        <w:t>Authority</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Section 13 of the </w:t>
      </w:r>
      <w:r w:rsidRPr="00272E09">
        <w:rPr>
          <w:i/>
          <w:lang w:eastAsia="en-GB" w:bidi="ar-SA"/>
        </w:rPr>
        <w:t>Food Standards Australia New Zealand Act 1991</w:t>
      </w:r>
      <w:r w:rsidRPr="00272E09">
        <w:rPr>
          <w:lang w:eastAsia="en-GB" w:bidi="ar-SA"/>
        </w:rPr>
        <w:t xml:space="preserve"> (the FSANZ Act) provides that the functions of Food Standards Australia New Zealand (the Authority) include the development of standards and variations of standards for inclusion in the</w:t>
      </w:r>
      <w:r w:rsidRPr="00272E09">
        <w:rPr>
          <w:i/>
          <w:lang w:eastAsia="en-GB" w:bidi="ar-SA"/>
        </w:rPr>
        <w:t xml:space="preserve"> Australia New Zealand Food Standards Code</w:t>
      </w:r>
      <w:r w:rsidRPr="00272E09">
        <w:rPr>
          <w:lang w:eastAsia="en-GB" w:bidi="ar-SA"/>
        </w:rPr>
        <w:t xml:space="preserve"> (the Code).`</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F20964" w:rsidRDefault="00F20964" w:rsidP="00F20964">
      <w:pPr>
        <w:rPr>
          <w:lang w:eastAsia="en-GB" w:bidi="ar-SA"/>
        </w:rPr>
      </w:pPr>
    </w:p>
    <w:p w:rsidR="00F542C9" w:rsidRDefault="00E03760" w:rsidP="00F542C9">
      <w:pPr>
        <w:rPr>
          <w:lang w:eastAsia="en-GB" w:bidi="ar-SA"/>
        </w:rPr>
      </w:pPr>
      <w:r>
        <w:rPr>
          <w:rFonts w:eastAsiaTheme="minorHAnsi"/>
          <w:lang w:bidi="ar-SA"/>
        </w:rPr>
        <w:t>FSANZ accepted Application A1094</w:t>
      </w:r>
      <w:r w:rsidR="00F542C9">
        <w:rPr>
          <w:rFonts w:eastAsiaTheme="minorHAnsi"/>
          <w:lang w:bidi="ar-SA"/>
        </w:rPr>
        <w:t xml:space="preserve"> which seeks permission for the sale and use of food derived from </w:t>
      </w:r>
      <w:r>
        <w:rPr>
          <w:rFonts w:eastAsiaTheme="minorHAnsi"/>
          <w:lang w:bidi="ar-SA"/>
        </w:rPr>
        <w:t>herbicide-tolerant cotton line DAS-81910-7</w:t>
      </w:r>
      <w:r w:rsidR="00F542C9">
        <w:rPr>
          <w:rFonts w:eastAsiaTheme="minorHAnsi"/>
          <w:lang w:bidi="ar-SA"/>
        </w:rPr>
        <w:t xml:space="preserve">. </w:t>
      </w:r>
      <w:r w:rsidR="00F542C9">
        <w:rPr>
          <w:lang w:eastAsia="en-GB" w:bidi="ar-SA"/>
        </w:rPr>
        <w:t xml:space="preserve">The Authority considered the Application in accordance with Division 1 of Part 3 and has approved the variation to Standard 1.5.2.  </w:t>
      </w:r>
    </w:p>
    <w:p w:rsidR="00F542C9" w:rsidRPr="00272E09" w:rsidRDefault="00F542C9" w:rsidP="00F20964">
      <w:pPr>
        <w:rPr>
          <w:lang w:eastAsia="en-GB" w:bidi="ar-SA"/>
        </w:rPr>
      </w:pPr>
    </w:p>
    <w:p w:rsidR="005B4F76" w:rsidRPr="00FD52BA" w:rsidRDefault="007D4F56" w:rsidP="005B4F76">
      <w:pPr>
        <w:widowControl/>
        <w:autoSpaceDE w:val="0"/>
        <w:autoSpaceDN w:val="0"/>
        <w:adjustRightInd w:val="0"/>
        <w:rPr>
          <w:rFonts w:eastAsia="Calibri" w:cs="Arial"/>
          <w:bCs/>
          <w:szCs w:val="22"/>
          <w:lang w:bidi="ar-SA"/>
        </w:rPr>
      </w:pPr>
      <w:r>
        <w:rPr>
          <w:rFonts w:eastAsia="Calibri" w:cs="Arial"/>
          <w:bCs/>
          <w:szCs w:val="22"/>
          <w:lang w:bidi="ar-SA"/>
        </w:rPr>
        <w:t>Following consideration by the</w:t>
      </w:r>
      <w:r w:rsidR="005B4F76" w:rsidRPr="00272E09">
        <w:rPr>
          <w:rFonts w:cs="Arial"/>
        </w:rPr>
        <w:t xml:space="preserve"> </w:t>
      </w:r>
      <w:r w:rsidR="00F372EF">
        <w:rPr>
          <w:rFonts w:cs="Arial"/>
        </w:rPr>
        <w:t>A</w:t>
      </w:r>
      <w:r w:rsidR="00F372EF">
        <w:rPr>
          <w:rFonts w:cs="Helvetica"/>
          <w:lang w:val="en-AU"/>
        </w:rPr>
        <w:t xml:space="preserve">ustralia and New Zealand Ministerial Forum on Food </w:t>
      </w:r>
      <w:r w:rsidR="00F372EF">
        <w:rPr>
          <w:rFonts w:cs="Arial"/>
        </w:rPr>
        <w:t>Regulation</w:t>
      </w:r>
      <w:r w:rsidR="00F372EF">
        <w:rPr>
          <w:rStyle w:val="FootnoteReference"/>
          <w:rFonts w:cs="Arial"/>
        </w:rPr>
        <w:footnoteReference w:id="4"/>
      </w:r>
      <w:r w:rsidR="00F372EF">
        <w:rPr>
          <w:rFonts w:cs="Helvetica"/>
          <w:lang w:val="en-AU"/>
        </w:rPr>
        <w:t xml:space="preserve"> </w:t>
      </w:r>
      <w:r w:rsidR="00F372EF">
        <w:rPr>
          <w:rFonts w:cs="Arial"/>
        </w:rPr>
        <w:t>(Forum)</w:t>
      </w:r>
      <w:r w:rsidR="005B4F76" w:rsidRPr="00FD52BA">
        <w:rPr>
          <w:rFonts w:eastAsia="Calibri" w:cs="Arial"/>
          <w:bCs/>
          <w:szCs w:val="22"/>
          <w:lang w:bidi="ar-SA"/>
        </w:rPr>
        <w:t xml:space="preserve">, section 92 of the FSANZ Act stipulates that the Authority must publish a notice about the standard or draft variation of a standard. </w:t>
      </w:r>
    </w:p>
    <w:p w:rsidR="005B4F76" w:rsidRPr="00FD52BA" w:rsidRDefault="005B4F76" w:rsidP="005B4F76">
      <w:pPr>
        <w:widowControl/>
        <w:autoSpaceDE w:val="0"/>
        <w:autoSpaceDN w:val="0"/>
        <w:adjustRightInd w:val="0"/>
        <w:rPr>
          <w:rFonts w:eastAsia="Calibri" w:cs="Arial"/>
          <w:bCs/>
          <w:szCs w:val="22"/>
          <w:lang w:bidi="ar-SA"/>
        </w:rPr>
      </w:pPr>
    </w:p>
    <w:p w:rsidR="005B4F76" w:rsidRPr="00FD52BA" w:rsidRDefault="005B4F76" w:rsidP="005B4F76">
      <w:pPr>
        <w:widowControl/>
        <w:autoSpaceDE w:val="0"/>
        <w:autoSpaceDN w:val="0"/>
        <w:adjustRightInd w:val="0"/>
        <w:rPr>
          <w:rFonts w:eastAsia="Calibri" w:cs="Arial"/>
          <w:color w:val="000000"/>
          <w:szCs w:val="22"/>
          <w:lang w:bidi="ar-SA"/>
        </w:rPr>
      </w:pPr>
      <w:r w:rsidRPr="00FD52BA">
        <w:rPr>
          <w:rFonts w:eastAsia="Calibri" w:cs="Arial"/>
          <w:bCs/>
          <w:color w:val="000000"/>
          <w:szCs w:val="22"/>
          <w:lang w:bidi="ar-SA"/>
        </w:rPr>
        <w:t>Section 94 of the FSANZ Act specifies that a</w:t>
      </w:r>
      <w:r w:rsidRPr="00FD52BA">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FD52BA">
        <w:rPr>
          <w:rFonts w:eastAsia="Calibri" w:cs="Arial"/>
          <w:i/>
          <w:color w:val="000000"/>
          <w:szCs w:val="22"/>
          <w:lang w:bidi="ar-SA"/>
        </w:rPr>
        <w:t>Legislative Instruments Act 2003</w:t>
      </w:r>
      <w:r w:rsidRPr="00FD52BA">
        <w:rPr>
          <w:rFonts w:eastAsia="Calibri" w:cs="Arial"/>
          <w:color w:val="000000"/>
          <w:szCs w:val="22"/>
          <w:lang w:bidi="ar-SA"/>
        </w:rPr>
        <w:t>.</w:t>
      </w:r>
    </w:p>
    <w:p w:rsidR="00F20964" w:rsidRPr="00272E09" w:rsidRDefault="00F20964" w:rsidP="00F20964">
      <w:pPr>
        <w:rPr>
          <w:lang w:eastAsia="en-GB" w:bidi="ar-SA"/>
        </w:rPr>
      </w:pPr>
    </w:p>
    <w:p w:rsidR="00F20964" w:rsidRPr="00272E09" w:rsidRDefault="00200BE6" w:rsidP="00F20964">
      <w:pPr>
        <w:rPr>
          <w:b/>
          <w:lang w:eastAsia="en-GB" w:bidi="ar-SA"/>
        </w:rPr>
      </w:pPr>
      <w:r w:rsidRPr="00272E09">
        <w:rPr>
          <w:b/>
          <w:lang w:eastAsia="en-GB" w:bidi="ar-SA"/>
        </w:rPr>
        <w:t>2.</w:t>
      </w:r>
      <w:r w:rsidRPr="00272E09">
        <w:rPr>
          <w:b/>
          <w:lang w:eastAsia="en-GB" w:bidi="ar-SA"/>
        </w:rPr>
        <w:tab/>
        <w:t>Purpose</w:t>
      </w:r>
    </w:p>
    <w:p w:rsidR="00F20964" w:rsidRPr="00272E09" w:rsidRDefault="00F20964" w:rsidP="00F20964">
      <w:pPr>
        <w:rPr>
          <w:lang w:eastAsia="en-GB" w:bidi="ar-SA"/>
        </w:rPr>
      </w:pPr>
    </w:p>
    <w:p w:rsidR="00F20964" w:rsidRPr="00272E09" w:rsidRDefault="007648ED" w:rsidP="00993B7D">
      <w:pPr>
        <w:rPr>
          <w:lang w:eastAsia="en-GB" w:bidi="ar-SA"/>
        </w:rPr>
      </w:pPr>
      <w:r>
        <w:rPr>
          <w:lang w:eastAsia="en-GB" w:bidi="ar-SA"/>
        </w:rPr>
        <w:t>The variation inserts a reference to herbicide-tolerant cotton line DAS-81910-7</w:t>
      </w:r>
      <w:r w:rsidR="00F20964" w:rsidRPr="00272E09">
        <w:rPr>
          <w:lang w:eastAsia="en-GB" w:bidi="ar-SA"/>
        </w:rPr>
        <w:t xml:space="preserve"> </w:t>
      </w:r>
      <w:r>
        <w:rPr>
          <w:lang w:eastAsia="en-GB" w:bidi="ar-SA"/>
        </w:rPr>
        <w:t xml:space="preserve">into </w:t>
      </w:r>
      <w:r w:rsidRPr="00272E09">
        <w:rPr>
          <w:lang w:eastAsia="en-GB" w:bidi="ar-SA"/>
        </w:rPr>
        <w:t>the Schedule to Standard 1.5.2</w:t>
      </w:r>
      <w:r>
        <w:rPr>
          <w:lang w:eastAsia="en-GB" w:bidi="ar-SA"/>
        </w:rPr>
        <w:t xml:space="preserve"> in order to permit the </w:t>
      </w:r>
      <w:r w:rsidRPr="00272E09">
        <w:rPr>
          <w:lang w:eastAsia="en-GB" w:bidi="ar-SA"/>
        </w:rPr>
        <w:t xml:space="preserve">sale, or use in food, of food derived from </w:t>
      </w:r>
      <w:r>
        <w:rPr>
          <w:lang w:eastAsia="en-GB" w:bidi="ar-SA"/>
        </w:rPr>
        <w:t>that cotton line</w:t>
      </w:r>
      <w:r w:rsidR="00C05C62" w:rsidRPr="00272E09">
        <w:rPr>
          <w:lang w:eastAsia="en-GB" w:bidi="ar-SA"/>
        </w:rPr>
        <w:t>.</w:t>
      </w:r>
    </w:p>
    <w:p w:rsidR="00F20964" w:rsidRPr="00272E09" w:rsidRDefault="00F20964" w:rsidP="00F20964">
      <w:pPr>
        <w:rPr>
          <w:lang w:eastAsia="en-GB" w:bidi="ar-SA"/>
        </w:rPr>
      </w:pPr>
    </w:p>
    <w:p w:rsidR="00F20964" w:rsidRPr="00272E09" w:rsidRDefault="00F20964" w:rsidP="00F20964">
      <w:pPr>
        <w:rPr>
          <w:b/>
          <w:lang w:eastAsia="en-GB" w:bidi="ar-SA"/>
        </w:rPr>
      </w:pPr>
      <w:r w:rsidRPr="00272E09">
        <w:rPr>
          <w:b/>
          <w:lang w:eastAsia="en-GB" w:bidi="ar-SA"/>
        </w:rPr>
        <w:t>3.</w:t>
      </w:r>
      <w:r w:rsidRPr="00272E09">
        <w:rPr>
          <w:b/>
          <w:lang w:eastAsia="en-GB" w:bidi="ar-SA"/>
        </w:rPr>
        <w:tab/>
        <w:t>Documents incorporated by reference</w:t>
      </w:r>
    </w:p>
    <w:p w:rsidR="00F20964" w:rsidRPr="00272E09" w:rsidRDefault="00F20964" w:rsidP="00F20964">
      <w:pPr>
        <w:rPr>
          <w:lang w:eastAsia="en-GB" w:bidi="ar-SA"/>
        </w:rPr>
      </w:pPr>
    </w:p>
    <w:p w:rsidR="00F20964" w:rsidRPr="00272E09" w:rsidRDefault="00643BA9" w:rsidP="00F20964">
      <w:pPr>
        <w:rPr>
          <w:lang w:eastAsia="en-GB" w:bidi="ar-SA"/>
        </w:rPr>
      </w:pPr>
      <w:r w:rsidRPr="00272E09">
        <w:rPr>
          <w:rFonts w:eastAsia="Calibri" w:cs="Arial"/>
          <w:bCs/>
          <w:szCs w:val="22"/>
          <w:lang w:bidi="ar-SA"/>
        </w:rPr>
        <w:t>Th</w:t>
      </w:r>
      <w:r w:rsidR="000C08DE" w:rsidRPr="00272E09">
        <w:rPr>
          <w:rFonts w:eastAsia="Calibri" w:cs="Arial"/>
          <w:bCs/>
          <w:szCs w:val="22"/>
          <w:lang w:bidi="ar-SA"/>
        </w:rPr>
        <w:t xml:space="preserve">is </w:t>
      </w:r>
      <w:r w:rsidRPr="00272E09">
        <w:rPr>
          <w:rFonts w:eastAsia="Calibri" w:cs="Arial"/>
          <w:bCs/>
          <w:szCs w:val="22"/>
          <w:lang w:bidi="ar-SA"/>
        </w:rPr>
        <w:t>variation</w:t>
      </w:r>
      <w:r w:rsidR="000C08DE" w:rsidRPr="00272E09">
        <w:rPr>
          <w:rFonts w:eastAsia="Calibri" w:cs="Arial"/>
          <w:bCs/>
          <w:szCs w:val="22"/>
          <w:lang w:bidi="ar-SA"/>
        </w:rPr>
        <w:t xml:space="preserve"> does </w:t>
      </w:r>
      <w:r w:rsidR="00F20964" w:rsidRPr="00272E09">
        <w:rPr>
          <w:lang w:eastAsia="en-GB" w:bidi="ar-SA"/>
        </w:rPr>
        <w:t>not incorporate any documents by reference.</w:t>
      </w:r>
    </w:p>
    <w:p w:rsidR="00F20964" w:rsidRPr="00272E09" w:rsidRDefault="00F20964" w:rsidP="00F20964">
      <w:pPr>
        <w:rPr>
          <w:lang w:eastAsia="en-GB" w:bidi="ar-SA"/>
        </w:rPr>
      </w:pPr>
    </w:p>
    <w:p w:rsidR="00F20964" w:rsidRPr="00272E09" w:rsidRDefault="00F20964" w:rsidP="00F20964">
      <w:pPr>
        <w:rPr>
          <w:b/>
          <w:lang w:eastAsia="en-GB" w:bidi="ar-SA"/>
        </w:rPr>
      </w:pPr>
      <w:r w:rsidRPr="00272E09">
        <w:rPr>
          <w:b/>
          <w:lang w:eastAsia="en-GB" w:bidi="ar-SA"/>
        </w:rPr>
        <w:t>4.</w:t>
      </w:r>
      <w:r w:rsidRPr="00272E09">
        <w:rPr>
          <w:b/>
          <w:lang w:eastAsia="en-GB" w:bidi="ar-SA"/>
        </w:rPr>
        <w:tab/>
        <w:t>Consultation</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In accordance with the procedure in Division 1 of Part 3 of the FSANZ Act, the Authority’s co</w:t>
      </w:r>
      <w:r w:rsidR="001D71D0">
        <w:rPr>
          <w:lang w:eastAsia="en-GB" w:bidi="ar-SA"/>
        </w:rPr>
        <w:t xml:space="preserve">nsideration </w:t>
      </w:r>
      <w:r w:rsidR="00E03760">
        <w:rPr>
          <w:lang w:eastAsia="en-GB" w:bidi="ar-SA"/>
        </w:rPr>
        <w:t>of Application A1094</w:t>
      </w:r>
      <w:r w:rsidRPr="00272E09">
        <w:rPr>
          <w:lang w:eastAsia="en-GB" w:bidi="ar-SA"/>
        </w:rPr>
        <w:t xml:space="preserve"> included one round of public consultation following an assessment and the preparation of a draft variation to the Standard</w:t>
      </w:r>
      <w:r w:rsidR="00643BA9" w:rsidRPr="00272E09">
        <w:rPr>
          <w:lang w:eastAsia="en-GB" w:bidi="ar-SA"/>
        </w:rPr>
        <w:t xml:space="preserve"> and associated report. Submissions were called for on </w:t>
      </w:r>
      <w:r w:rsidR="00E03760">
        <w:rPr>
          <w:lang w:eastAsia="en-GB" w:bidi="ar-SA"/>
        </w:rPr>
        <w:t>18 March 2014</w:t>
      </w:r>
      <w:r w:rsidR="00200BE6" w:rsidRPr="00272E09">
        <w:rPr>
          <w:lang w:eastAsia="en-GB" w:bidi="ar-SA"/>
        </w:rPr>
        <w:t xml:space="preserve"> for a six</w:t>
      </w:r>
      <w:r w:rsidRPr="00272E09">
        <w:rPr>
          <w:lang w:eastAsia="en-GB" w:bidi="ar-SA"/>
        </w:rPr>
        <w:t xml:space="preserve">-week consultation period. </w:t>
      </w:r>
    </w:p>
    <w:p w:rsidR="00F20964" w:rsidRPr="00272E09" w:rsidRDefault="00F20964" w:rsidP="00F20964">
      <w:pPr>
        <w:rPr>
          <w:lang w:eastAsia="en-GB" w:bidi="ar-SA"/>
        </w:rPr>
      </w:pPr>
    </w:p>
    <w:p w:rsidR="00F20964" w:rsidRPr="00272E09" w:rsidRDefault="00F20964" w:rsidP="00F20964">
      <w:pPr>
        <w:rPr>
          <w:lang w:eastAsia="en-GB" w:bidi="ar-SA"/>
        </w:rPr>
      </w:pPr>
      <w:r w:rsidRPr="00272E09">
        <w:rPr>
          <w:lang w:eastAsia="en-GB" w:bidi="ar-SA"/>
        </w:rPr>
        <w:t xml:space="preserve">A Regulation Impact Statement was not required because the </w:t>
      </w:r>
      <w:r w:rsidR="00643BA9" w:rsidRPr="00272E09">
        <w:rPr>
          <w:lang w:eastAsia="en-GB" w:bidi="ar-SA"/>
        </w:rPr>
        <w:t xml:space="preserve">proposed </w:t>
      </w:r>
      <w:r w:rsidRPr="00272E09">
        <w:rPr>
          <w:lang w:eastAsia="en-GB" w:bidi="ar-SA"/>
        </w:rPr>
        <w:t xml:space="preserve">variation to Standard 1.5.2 is likely to have a minor impact on business and individuals. </w:t>
      </w:r>
    </w:p>
    <w:p w:rsidR="00793D48" w:rsidRPr="00272E09" w:rsidRDefault="00793D48">
      <w:pPr>
        <w:widowControl/>
        <w:rPr>
          <w:b/>
          <w:lang w:eastAsia="en-GB" w:bidi="ar-SA"/>
        </w:rPr>
      </w:pPr>
    </w:p>
    <w:p w:rsidR="00F20964" w:rsidRPr="00272E09" w:rsidRDefault="00F20964" w:rsidP="00F20964">
      <w:pPr>
        <w:rPr>
          <w:b/>
          <w:lang w:eastAsia="en-GB" w:bidi="ar-SA"/>
        </w:rPr>
      </w:pPr>
      <w:r w:rsidRPr="00272E09">
        <w:rPr>
          <w:b/>
          <w:lang w:eastAsia="en-GB" w:bidi="ar-SA"/>
        </w:rPr>
        <w:t>5.</w:t>
      </w:r>
      <w:r w:rsidRPr="00272E09">
        <w:rPr>
          <w:b/>
          <w:lang w:eastAsia="en-GB" w:bidi="ar-SA"/>
        </w:rPr>
        <w:tab/>
        <w:t>Statement of compatibility with human rights</w:t>
      </w:r>
    </w:p>
    <w:p w:rsidR="00F20964" w:rsidRPr="00272E09" w:rsidRDefault="00F20964" w:rsidP="00F20964">
      <w:pPr>
        <w:rPr>
          <w:lang w:eastAsia="en-GB" w:bidi="ar-SA"/>
        </w:rPr>
      </w:pPr>
    </w:p>
    <w:p w:rsidR="00205F87" w:rsidRDefault="00F20964" w:rsidP="00205F87">
      <w:pPr>
        <w:rPr>
          <w:lang w:eastAsia="en-GB" w:bidi="ar-SA"/>
        </w:rPr>
      </w:pPr>
      <w:r w:rsidRPr="00272E09">
        <w:rPr>
          <w:lang w:eastAsia="en-GB" w:bidi="ar-SA"/>
        </w:rPr>
        <w:t>This instrument is exempt from the requirements for a statement of compatibility with human rights as it is a non-disallowable instrument under section 94 of the FSANZ Act.</w:t>
      </w:r>
    </w:p>
    <w:p w:rsidR="007648ED" w:rsidRPr="00272E09" w:rsidRDefault="007648ED" w:rsidP="00205F87">
      <w:pPr>
        <w:rPr>
          <w:b/>
          <w:lang w:eastAsia="en-GB" w:bidi="ar-SA"/>
        </w:rPr>
      </w:pPr>
    </w:p>
    <w:p w:rsidR="00F20964" w:rsidRPr="00272E09" w:rsidRDefault="00F20964" w:rsidP="00205F87">
      <w:pPr>
        <w:rPr>
          <w:b/>
          <w:lang w:eastAsia="en-GB" w:bidi="ar-SA"/>
        </w:rPr>
      </w:pPr>
      <w:r w:rsidRPr="00272E09">
        <w:rPr>
          <w:b/>
          <w:lang w:eastAsia="en-GB" w:bidi="ar-SA"/>
        </w:rPr>
        <w:lastRenderedPageBreak/>
        <w:t>6.</w:t>
      </w:r>
      <w:r w:rsidRPr="00272E09">
        <w:rPr>
          <w:b/>
          <w:lang w:eastAsia="en-GB" w:bidi="ar-SA"/>
        </w:rPr>
        <w:tab/>
        <w:t xml:space="preserve">Variation </w:t>
      </w:r>
    </w:p>
    <w:p w:rsidR="00F20964" w:rsidRPr="00272E09" w:rsidRDefault="00F20964" w:rsidP="00F20964">
      <w:pPr>
        <w:rPr>
          <w:lang w:eastAsia="en-GB" w:bidi="ar-SA"/>
        </w:rPr>
      </w:pPr>
    </w:p>
    <w:p w:rsidR="00DE00F6" w:rsidRDefault="00F20964" w:rsidP="00F20964">
      <w:pPr>
        <w:rPr>
          <w:lang w:eastAsia="en-GB" w:bidi="ar-SA"/>
        </w:rPr>
      </w:pPr>
      <w:r w:rsidRPr="00272E09">
        <w:rPr>
          <w:lang w:eastAsia="en-GB" w:bidi="ar-SA"/>
        </w:rPr>
        <w:t>Th</w:t>
      </w:r>
      <w:r w:rsidR="007648ED">
        <w:rPr>
          <w:lang w:eastAsia="en-GB" w:bidi="ar-SA"/>
        </w:rPr>
        <w:t>e</w:t>
      </w:r>
      <w:r w:rsidRPr="00272E09">
        <w:rPr>
          <w:lang w:eastAsia="en-GB" w:bidi="ar-SA"/>
        </w:rPr>
        <w:t xml:space="preserve"> </w:t>
      </w:r>
      <w:r w:rsidR="007648ED">
        <w:rPr>
          <w:lang w:eastAsia="en-GB" w:bidi="ar-SA"/>
        </w:rPr>
        <w:t>variation inserts Item 3.14 into</w:t>
      </w:r>
      <w:r w:rsidR="007648ED" w:rsidRPr="00272E09">
        <w:rPr>
          <w:lang w:eastAsia="en-GB" w:bidi="ar-SA"/>
        </w:rPr>
        <w:t xml:space="preserve"> the Schedule to Standard 1.5.2</w:t>
      </w:r>
      <w:r w:rsidR="007648ED">
        <w:rPr>
          <w:lang w:eastAsia="en-GB" w:bidi="ar-SA"/>
        </w:rPr>
        <w:t xml:space="preserve">. Item 3.14 refers to </w:t>
      </w:r>
      <w:r w:rsidR="00E03760">
        <w:rPr>
          <w:lang w:eastAsia="en-GB" w:bidi="ar-SA"/>
        </w:rPr>
        <w:t>food derived from herbicide-tolerant cotton line DAS-81910-7</w:t>
      </w:r>
      <w:r w:rsidRPr="00272E09">
        <w:rPr>
          <w:lang w:eastAsia="en-GB" w:bidi="ar-SA"/>
        </w:rPr>
        <w:t>.</w:t>
      </w:r>
    </w:p>
    <w:p w:rsidR="00DE00F6" w:rsidRDefault="00DE00F6">
      <w:pPr>
        <w:widowControl/>
        <w:rPr>
          <w:lang w:eastAsia="en-GB" w:bidi="ar-SA"/>
        </w:rPr>
      </w:pPr>
      <w:r>
        <w:rPr>
          <w:lang w:eastAsia="en-GB" w:bidi="ar-SA"/>
        </w:rPr>
        <w:br w:type="page"/>
      </w:r>
    </w:p>
    <w:p w:rsidR="00DE00F6" w:rsidRPr="00E70FD2" w:rsidRDefault="00DE00F6" w:rsidP="00E70FD2">
      <w:pPr>
        <w:pStyle w:val="Heading2"/>
        <w:ind w:left="0" w:firstLine="0"/>
      </w:pPr>
      <w:bookmarkStart w:id="66" w:name="_Toc388276761"/>
      <w:r w:rsidRPr="00E70FD2">
        <w:lastRenderedPageBreak/>
        <w:t>Attachment C – Draft variation to the Australia New Zealand Food Standards Code in March 2015 following P1025</w:t>
      </w:r>
      <w:bookmarkEnd w:id="66"/>
    </w:p>
    <w:p w:rsidR="00DE00F6" w:rsidRPr="00B71064" w:rsidRDefault="00DE00F6" w:rsidP="00DE00F6">
      <w:pPr>
        <w:pStyle w:val="ttCrest"/>
        <w:rPr>
          <w:rFonts w:cs="Arial"/>
          <w:b/>
          <w:color w:val="000000" w:themeColor="text1"/>
          <w:sz w:val="22"/>
          <w:szCs w:val="22"/>
        </w:rPr>
      </w:pPr>
    </w:p>
    <w:p w:rsidR="00DE00F6" w:rsidRPr="00B71064" w:rsidRDefault="00DE00F6" w:rsidP="00DE00F6">
      <w:pPr>
        <w:pStyle w:val="ttCrest"/>
        <w:rPr>
          <w:rFonts w:cs="Arial"/>
          <w:b/>
          <w:color w:val="000000" w:themeColor="text1"/>
          <w:sz w:val="22"/>
          <w:szCs w:val="22"/>
        </w:rPr>
      </w:pPr>
      <w:r w:rsidRPr="00B71064">
        <w:rPr>
          <w:rFonts w:cs="Arial"/>
          <w:b/>
          <w:color w:val="000000" w:themeColor="text1"/>
          <w:sz w:val="22"/>
          <w:szCs w:val="22"/>
        </w:rPr>
        <w:t>Background</w:t>
      </w:r>
    </w:p>
    <w:p w:rsidR="00DE00F6" w:rsidRPr="00B71064" w:rsidRDefault="00DE00F6" w:rsidP="00DE00F6">
      <w:pPr>
        <w:pStyle w:val="ttCrest"/>
        <w:rPr>
          <w:rFonts w:cs="Arial"/>
          <w:color w:val="000000" w:themeColor="text1"/>
          <w:sz w:val="22"/>
          <w:szCs w:val="22"/>
        </w:rPr>
      </w:pPr>
      <w:r w:rsidRPr="00B71064">
        <w:rPr>
          <w:rFonts w:cs="Arial"/>
          <w:color w:val="000000" w:themeColor="text1"/>
          <w:sz w:val="22"/>
          <w:szCs w:val="22"/>
        </w:rPr>
        <w:t xml:space="preserve">FSANZ is reviewing the </w:t>
      </w:r>
      <w:r w:rsidRPr="00B71064">
        <w:rPr>
          <w:rFonts w:cs="Arial"/>
          <w:i/>
          <w:color w:val="000000" w:themeColor="text1"/>
          <w:sz w:val="22"/>
          <w:szCs w:val="22"/>
        </w:rPr>
        <w:t>Australian New Zealand Food Standards Code</w:t>
      </w:r>
      <w:r w:rsidRPr="00B71064">
        <w:rPr>
          <w:rFonts w:cs="Arial"/>
          <w:color w:val="000000" w:themeColor="text1"/>
          <w:sz w:val="22"/>
          <w:szCs w:val="22"/>
        </w:rPr>
        <w:t xml:space="preserve"> in order to improve its clarity and legal efficacy. This review is being undertaken through Proposal P1025. FSANZ released a draft revision of the Code for public comment in May 2013. The draft revision has changed the Code’s structure and format. The draft instrument</w:t>
      </w:r>
      <w:r w:rsidR="007D4F56">
        <w:rPr>
          <w:rFonts w:cs="Arial"/>
          <w:color w:val="000000" w:themeColor="text1"/>
          <w:sz w:val="22"/>
          <w:szCs w:val="22"/>
        </w:rPr>
        <w:t xml:space="preserve"> below reflects those changes. </w:t>
      </w:r>
      <w:r w:rsidRPr="00B71064">
        <w:rPr>
          <w:rFonts w:cs="Arial"/>
          <w:color w:val="000000" w:themeColor="text1"/>
          <w:sz w:val="22"/>
          <w:szCs w:val="22"/>
        </w:rPr>
        <w:t xml:space="preserve">A further draft revision of the Code </w:t>
      </w:r>
      <w:r w:rsidR="007D4F56">
        <w:rPr>
          <w:rFonts w:cs="Arial"/>
          <w:color w:val="000000" w:themeColor="text1"/>
          <w:sz w:val="22"/>
          <w:szCs w:val="22"/>
        </w:rPr>
        <w:t>and call for submissions was released in July 2015</w:t>
      </w:r>
      <w:r w:rsidRPr="00B71064">
        <w:rPr>
          <w:rFonts w:cs="Arial"/>
          <w:color w:val="000000" w:themeColor="text1"/>
          <w:sz w:val="22"/>
          <w:szCs w:val="22"/>
        </w:rPr>
        <w:t xml:space="preserve">. </w:t>
      </w:r>
    </w:p>
    <w:p w:rsidR="00DE00F6" w:rsidRPr="00B71064" w:rsidRDefault="00DE00F6" w:rsidP="00DE00F6">
      <w:pPr>
        <w:pStyle w:val="ttCrest"/>
        <w:rPr>
          <w:rFonts w:cs="Arial"/>
          <w:sz w:val="22"/>
          <w:szCs w:val="22"/>
        </w:rPr>
      </w:pPr>
      <w:r w:rsidRPr="00B71064">
        <w:rPr>
          <w:rFonts w:cs="Arial"/>
          <w:sz w:val="22"/>
          <w:szCs w:val="22"/>
        </w:rPr>
        <w:t>The FSANZ Board is expected to consider P1025 and the proposed changes to the Code in late 2014.</w:t>
      </w:r>
      <w:r w:rsidRPr="00B71064">
        <w:rPr>
          <w:rFonts w:cs="Arial"/>
          <w:color w:val="000000" w:themeColor="text1"/>
          <w:sz w:val="22"/>
          <w:szCs w:val="22"/>
        </w:rPr>
        <w:t xml:space="preserve"> If approved, it expected that the new Code will commence in 2015 and will repeal and replace the current Code. The new Code will then need to be amended to incorporate any outstanding </w:t>
      </w:r>
      <w:r w:rsidRPr="00B71064">
        <w:rPr>
          <w:rFonts w:cs="Arial"/>
          <w:sz w:val="22"/>
          <w:szCs w:val="22"/>
        </w:rPr>
        <w:t xml:space="preserve">changes made to the current Code, such as the variation to Standard 1.5.2 proposed by A1094. This is the rationale for the </w:t>
      </w:r>
      <w:r w:rsidRPr="00B71064">
        <w:rPr>
          <w:rFonts w:cs="Arial"/>
          <w:color w:val="000000" w:themeColor="text1"/>
          <w:sz w:val="22"/>
          <w:szCs w:val="22"/>
        </w:rPr>
        <w:t>draft variation below</w:t>
      </w:r>
      <w:r w:rsidRPr="00B71064">
        <w:rPr>
          <w:rFonts w:cs="Arial"/>
          <w:sz w:val="22"/>
          <w:szCs w:val="22"/>
        </w:rPr>
        <w:t>.</w:t>
      </w:r>
    </w:p>
    <w:p w:rsidR="00DE00F6" w:rsidRPr="00B71064" w:rsidRDefault="00DE00F6" w:rsidP="00DE00F6">
      <w:pPr>
        <w:pStyle w:val="ttCrest"/>
        <w:rPr>
          <w:rFonts w:cs="Arial"/>
          <w:color w:val="000000" w:themeColor="text1"/>
          <w:sz w:val="22"/>
          <w:szCs w:val="22"/>
        </w:rPr>
      </w:pPr>
      <w:r w:rsidRPr="00B71064">
        <w:rPr>
          <w:rFonts w:cs="Arial"/>
          <w:sz w:val="22"/>
          <w:szCs w:val="22"/>
        </w:rPr>
        <w:t xml:space="preserve">This </w:t>
      </w:r>
      <w:r w:rsidRPr="00B71064">
        <w:rPr>
          <w:rFonts w:cs="Arial"/>
          <w:color w:val="000000" w:themeColor="text1"/>
          <w:sz w:val="22"/>
          <w:szCs w:val="22"/>
        </w:rPr>
        <w:t>draft variation is provided for background only. Its content and structure may change as P1025 progresses.</w:t>
      </w:r>
    </w:p>
    <w:p w:rsidR="00DE00F6" w:rsidRPr="00B71064" w:rsidRDefault="00DE00F6" w:rsidP="00DE00F6">
      <w:pPr>
        <w:pStyle w:val="ttCrest"/>
        <w:rPr>
          <w:rFonts w:cs="Arial"/>
          <w:b/>
          <w:sz w:val="22"/>
          <w:szCs w:val="22"/>
        </w:rPr>
      </w:pPr>
      <w:r w:rsidRPr="00B71064">
        <w:rPr>
          <w:rFonts w:cs="Arial"/>
          <w:b/>
          <w:sz w:val="22"/>
          <w:szCs w:val="22"/>
        </w:rPr>
        <w:t xml:space="preserve"> </w:t>
      </w:r>
    </w:p>
    <w:p w:rsidR="00DE00F6" w:rsidRPr="00B71064" w:rsidRDefault="00DE00F6" w:rsidP="00DE00F6">
      <w:pPr>
        <w:pStyle w:val="ttCrest"/>
        <w:rPr>
          <w:rFonts w:cs="Arial"/>
          <w:b/>
          <w:sz w:val="22"/>
          <w:szCs w:val="22"/>
        </w:rPr>
      </w:pPr>
      <w:r w:rsidRPr="00B71064">
        <w:rPr>
          <w:rFonts w:cs="Arial"/>
          <w:b/>
          <w:sz w:val="22"/>
          <w:szCs w:val="22"/>
        </w:rPr>
        <w:t>Draft instrument</w:t>
      </w:r>
      <w:r w:rsidRPr="00B71064">
        <w:rPr>
          <w:rFonts w:cs="Arial"/>
          <w:sz w:val="22"/>
          <w:szCs w:val="22"/>
        </w:rPr>
        <w:t xml:space="preserve"> </w:t>
      </w:r>
    </w:p>
    <w:p w:rsidR="00DE00F6" w:rsidRPr="00B71064" w:rsidRDefault="00DE00F6" w:rsidP="00DE00F6">
      <w:pPr>
        <w:pStyle w:val="ttTitleofInstrument"/>
        <w:rPr>
          <w:rFonts w:cs="Arial"/>
          <w:sz w:val="22"/>
          <w:szCs w:val="22"/>
          <w:vertAlign w:val="superscript"/>
        </w:rPr>
      </w:pPr>
      <w:r w:rsidRPr="00B71064">
        <w:rPr>
          <w:rFonts w:cs="Arial"/>
          <w:sz w:val="22"/>
          <w:szCs w:val="22"/>
        </w:rPr>
        <w:t xml:space="preserve">Food Standards Code—Variation </w:t>
      </w:r>
    </w:p>
    <w:p w:rsidR="00DE00F6" w:rsidRPr="00B71064" w:rsidRDefault="00DE00F6" w:rsidP="00DE00F6">
      <w:pPr>
        <w:pStyle w:val="ttAuthorisingAct"/>
        <w:rPr>
          <w:sz w:val="22"/>
          <w:szCs w:val="22"/>
        </w:rPr>
      </w:pPr>
      <w:r w:rsidRPr="00B71064">
        <w:rPr>
          <w:i w:val="0"/>
          <w:sz w:val="22"/>
          <w:szCs w:val="22"/>
        </w:rPr>
        <w:t xml:space="preserve">Made under the </w:t>
      </w:r>
      <w:r w:rsidRPr="00B71064">
        <w:rPr>
          <w:sz w:val="22"/>
          <w:szCs w:val="22"/>
        </w:rPr>
        <w:t>Food Standards Australia New Zealand Act 1991</w:t>
      </w:r>
    </w:p>
    <w:p w:rsidR="00DE00F6" w:rsidRPr="00B71064" w:rsidRDefault="00DE00F6" w:rsidP="00DE00F6">
      <w:pPr>
        <w:pStyle w:val="HR"/>
        <w:rPr>
          <w:rFonts w:cs="Arial"/>
          <w:sz w:val="22"/>
          <w:szCs w:val="22"/>
        </w:rPr>
      </w:pPr>
      <w:r w:rsidRPr="00B71064">
        <w:rPr>
          <w:rFonts w:cs="Arial"/>
          <w:sz w:val="22"/>
          <w:szCs w:val="22"/>
        </w:rPr>
        <w:t>1</w:t>
      </w:r>
      <w:r w:rsidRPr="00B71064">
        <w:rPr>
          <w:rFonts w:cs="Arial"/>
          <w:sz w:val="22"/>
          <w:szCs w:val="22"/>
        </w:rPr>
        <w:tab/>
        <w:t>Name of instrument</w:t>
      </w:r>
    </w:p>
    <w:p w:rsidR="00DE00F6" w:rsidRPr="00B71064" w:rsidRDefault="00DE00F6" w:rsidP="00DE00F6">
      <w:pPr>
        <w:pStyle w:val="R1"/>
        <w:rPr>
          <w:rFonts w:ascii="Arial" w:hAnsi="Arial" w:cs="Arial"/>
          <w:sz w:val="22"/>
          <w:szCs w:val="22"/>
        </w:rPr>
      </w:pPr>
      <w:r w:rsidRPr="00B71064">
        <w:rPr>
          <w:rFonts w:ascii="Arial" w:hAnsi="Arial" w:cs="Arial"/>
          <w:sz w:val="22"/>
          <w:szCs w:val="22"/>
        </w:rPr>
        <w:tab/>
      </w:r>
      <w:r w:rsidRPr="00B71064">
        <w:rPr>
          <w:rFonts w:ascii="Arial" w:hAnsi="Arial" w:cs="Arial"/>
          <w:sz w:val="22"/>
          <w:szCs w:val="22"/>
        </w:rPr>
        <w:tab/>
        <w:t xml:space="preserve">This instrument is the </w:t>
      </w:r>
      <w:r w:rsidRPr="00B71064">
        <w:rPr>
          <w:rFonts w:ascii="Arial" w:hAnsi="Arial" w:cs="Arial"/>
          <w:i/>
          <w:sz w:val="22"/>
          <w:szCs w:val="22"/>
        </w:rPr>
        <w:t xml:space="preserve">Food Standards Australia New Zealand Code </w:t>
      </w:r>
      <w:r w:rsidRPr="00B71064">
        <w:rPr>
          <w:rFonts w:ascii="Arial" w:hAnsi="Arial" w:cs="Arial"/>
          <w:i/>
          <w:color w:val="000000"/>
          <w:sz w:val="22"/>
          <w:szCs w:val="22"/>
        </w:rPr>
        <w:t xml:space="preserve">— </w:t>
      </w:r>
      <w:r w:rsidRPr="00B71064">
        <w:rPr>
          <w:rFonts w:ascii="Arial" w:hAnsi="Arial" w:cs="Arial"/>
          <w:i/>
          <w:color w:val="000000"/>
          <w:sz w:val="22"/>
          <w:szCs w:val="22"/>
          <w:lang w:val="en-GB"/>
        </w:rPr>
        <w:t>Revocation and Transitional Variation</w:t>
      </w:r>
      <w:r w:rsidRPr="00B71064">
        <w:rPr>
          <w:rFonts w:ascii="Arial" w:hAnsi="Arial" w:cs="Arial"/>
          <w:i/>
          <w:sz w:val="22"/>
          <w:szCs w:val="22"/>
        </w:rPr>
        <w:t xml:space="preserve"> 2015 (No. 1)</w:t>
      </w:r>
      <w:r w:rsidRPr="00B71064">
        <w:rPr>
          <w:rFonts w:ascii="Arial" w:hAnsi="Arial" w:cs="Arial"/>
          <w:sz w:val="22"/>
          <w:szCs w:val="22"/>
        </w:rPr>
        <w:t>.</w:t>
      </w:r>
    </w:p>
    <w:p w:rsidR="00DE00F6" w:rsidRPr="00B71064" w:rsidRDefault="00DE00F6" w:rsidP="00DE00F6">
      <w:pPr>
        <w:pStyle w:val="HR"/>
        <w:rPr>
          <w:rFonts w:cs="Arial"/>
          <w:sz w:val="22"/>
          <w:szCs w:val="22"/>
        </w:rPr>
      </w:pPr>
      <w:r w:rsidRPr="00B71064">
        <w:rPr>
          <w:rFonts w:cs="Arial"/>
          <w:sz w:val="22"/>
          <w:szCs w:val="22"/>
        </w:rPr>
        <w:t>2</w:t>
      </w:r>
      <w:r w:rsidRPr="00B71064">
        <w:rPr>
          <w:rFonts w:cs="Arial"/>
          <w:sz w:val="22"/>
          <w:szCs w:val="22"/>
        </w:rPr>
        <w:tab/>
        <w:t>Commencement</w:t>
      </w:r>
    </w:p>
    <w:p w:rsidR="00DE00F6" w:rsidRPr="00B71064" w:rsidRDefault="00DE00F6" w:rsidP="00DE00F6">
      <w:pPr>
        <w:pStyle w:val="R1"/>
        <w:rPr>
          <w:rFonts w:ascii="Arial" w:hAnsi="Arial" w:cs="Arial"/>
          <w:sz w:val="22"/>
          <w:szCs w:val="22"/>
        </w:rPr>
      </w:pPr>
      <w:r w:rsidRPr="00B71064">
        <w:rPr>
          <w:rFonts w:ascii="Arial" w:hAnsi="Arial" w:cs="Arial"/>
          <w:sz w:val="22"/>
          <w:szCs w:val="22"/>
        </w:rPr>
        <w:tab/>
      </w:r>
      <w:r w:rsidRPr="00B71064">
        <w:rPr>
          <w:rFonts w:ascii="Arial" w:hAnsi="Arial" w:cs="Arial"/>
          <w:sz w:val="22"/>
          <w:szCs w:val="22"/>
        </w:rPr>
        <w:tab/>
        <w:t>This instrument commences on the day after it is registered.</w:t>
      </w:r>
    </w:p>
    <w:p w:rsidR="00DE00F6" w:rsidRPr="00B71064" w:rsidRDefault="00DE00F6" w:rsidP="00DE00F6">
      <w:pPr>
        <w:pStyle w:val="HR"/>
        <w:rPr>
          <w:rFonts w:cs="Arial"/>
          <w:sz w:val="22"/>
          <w:szCs w:val="22"/>
        </w:rPr>
      </w:pPr>
      <w:r w:rsidRPr="00B71064">
        <w:rPr>
          <w:rFonts w:cs="Arial"/>
          <w:sz w:val="22"/>
          <w:szCs w:val="22"/>
        </w:rPr>
        <w:t>3</w:t>
      </w:r>
      <w:r w:rsidRPr="00B71064">
        <w:rPr>
          <w:rFonts w:cs="Arial"/>
          <w:sz w:val="22"/>
          <w:szCs w:val="22"/>
        </w:rPr>
        <w:tab/>
        <w:t>Variation of Schedule 26</w:t>
      </w:r>
    </w:p>
    <w:p w:rsidR="00DE00F6" w:rsidRPr="00B71064" w:rsidRDefault="00DE00F6" w:rsidP="00DE00F6">
      <w:pPr>
        <w:pStyle w:val="R1"/>
        <w:rPr>
          <w:rFonts w:ascii="Arial" w:hAnsi="Arial" w:cs="Arial"/>
          <w:sz w:val="22"/>
          <w:szCs w:val="22"/>
        </w:rPr>
      </w:pPr>
      <w:r w:rsidRPr="00B71064">
        <w:rPr>
          <w:rFonts w:ascii="Arial" w:hAnsi="Arial" w:cs="Arial"/>
          <w:sz w:val="22"/>
          <w:szCs w:val="22"/>
        </w:rPr>
        <w:tab/>
      </w:r>
      <w:r w:rsidRPr="00B71064">
        <w:rPr>
          <w:rFonts w:ascii="Arial" w:hAnsi="Arial" w:cs="Arial"/>
          <w:sz w:val="22"/>
          <w:szCs w:val="22"/>
        </w:rPr>
        <w:tab/>
        <w:t>Schedule 1 varies Schedule 26 of the Australia New Zealand Food Standards Code – Food produced using gene technology.</w:t>
      </w:r>
    </w:p>
    <w:p w:rsidR="00DE00F6" w:rsidRPr="00B71064" w:rsidRDefault="00DE00F6" w:rsidP="00DE00F6">
      <w:pPr>
        <w:tabs>
          <w:tab w:val="left" w:pos="5010"/>
        </w:tabs>
        <w:rPr>
          <w:rFonts w:cs="Arial"/>
          <w:szCs w:val="22"/>
        </w:rPr>
      </w:pPr>
      <w:r w:rsidRPr="00B71064">
        <w:rPr>
          <w:rFonts w:cs="Arial"/>
          <w:szCs w:val="22"/>
        </w:rPr>
        <w:tab/>
      </w:r>
    </w:p>
    <w:p w:rsidR="00DE00F6" w:rsidRPr="008E52EA" w:rsidRDefault="00DE00F6" w:rsidP="00DE00F6">
      <w:pPr>
        <w:pStyle w:val="Scheduletitle"/>
        <w:rPr>
          <w:rFonts w:cs="Arial"/>
          <w:color w:val="000000" w:themeColor="text1"/>
          <w:sz w:val="22"/>
          <w:szCs w:val="22"/>
        </w:rPr>
      </w:pPr>
      <w:r w:rsidRPr="008E52EA">
        <w:rPr>
          <w:rFonts w:cs="Arial"/>
          <w:color w:val="000000" w:themeColor="text1"/>
          <w:sz w:val="22"/>
          <w:szCs w:val="22"/>
        </w:rPr>
        <w:t>Schedule 1</w:t>
      </w:r>
      <w:r w:rsidRPr="008E52EA">
        <w:rPr>
          <w:rFonts w:cs="Arial"/>
          <w:color w:val="000000" w:themeColor="text1"/>
          <w:sz w:val="22"/>
          <w:szCs w:val="22"/>
        </w:rPr>
        <w:tab/>
        <w:t>Variation of Schedule 26</w:t>
      </w:r>
    </w:p>
    <w:p w:rsidR="00DE00F6" w:rsidRPr="008E52EA" w:rsidRDefault="00DE00F6" w:rsidP="00DE00F6">
      <w:pPr>
        <w:pStyle w:val="Schedulereference"/>
        <w:rPr>
          <w:rFonts w:cs="Arial"/>
          <w:color w:val="000000" w:themeColor="text1"/>
          <w:sz w:val="22"/>
          <w:szCs w:val="22"/>
        </w:rPr>
      </w:pPr>
      <w:r w:rsidRPr="008E52EA">
        <w:rPr>
          <w:rFonts w:cs="Arial"/>
          <w:color w:val="000000" w:themeColor="text1"/>
          <w:sz w:val="22"/>
          <w:szCs w:val="22"/>
        </w:rPr>
        <w:t>(</w:t>
      </w:r>
      <w:proofErr w:type="gramStart"/>
      <w:r w:rsidRPr="008E52EA">
        <w:rPr>
          <w:rFonts w:cs="Arial"/>
          <w:color w:val="000000" w:themeColor="text1"/>
          <w:sz w:val="22"/>
          <w:szCs w:val="22"/>
        </w:rPr>
        <w:t>section</w:t>
      </w:r>
      <w:proofErr w:type="gramEnd"/>
      <w:r w:rsidRPr="008E52EA">
        <w:rPr>
          <w:rFonts w:cs="Arial"/>
          <w:color w:val="000000" w:themeColor="text1"/>
          <w:sz w:val="22"/>
          <w:szCs w:val="22"/>
        </w:rPr>
        <w:t xml:space="preserve"> 3)</w:t>
      </w:r>
    </w:p>
    <w:p w:rsidR="00DE00F6" w:rsidRPr="008E52EA" w:rsidRDefault="00DE00F6" w:rsidP="00DE00F6">
      <w:pPr>
        <w:pStyle w:val="nDrafterComment"/>
        <w:rPr>
          <w:rFonts w:cs="Arial"/>
          <w:bCs/>
          <w:color w:val="000000" w:themeColor="text1"/>
          <w:szCs w:val="22"/>
        </w:rPr>
      </w:pPr>
    </w:p>
    <w:p w:rsidR="00DE00F6" w:rsidRPr="008E52EA" w:rsidRDefault="00DE00F6" w:rsidP="00DE00F6">
      <w:pPr>
        <w:pStyle w:val="t1Main"/>
        <w:rPr>
          <w:rFonts w:ascii="Arial" w:hAnsi="Arial" w:cs="Arial"/>
          <w:b/>
          <w:color w:val="000000" w:themeColor="text1"/>
          <w:sz w:val="22"/>
          <w:szCs w:val="22"/>
        </w:rPr>
      </w:pPr>
      <w:r w:rsidRPr="008E52EA">
        <w:rPr>
          <w:rFonts w:ascii="Arial" w:hAnsi="Arial" w:cs="Arial"/>
          <w:b/>
          <w:bCs/>
          <w:color w:val="000000" w:themeColor="text1"/>
          <w:sz w:val="22"/>
          <w:szCs w:val="22"/>
        </w:rPr>
        <w:t xml:space="preserve">[1]    </w:t>
      </w:r>
      <w:r w:rsidRPr="008E52EA">
        <w:rPr>
          <w:rFonts w:ascii="Arial" w:hAnsi="Arial" w:cs="Arial"/>
          <w:b/>
          <w:color w:val="000000" w:themeColor="text1"/>
          <w:sz w:val="22"/>
          <w:szCs w:val="22"/>
        </w:rPr>
        <w:t>Table to section S26-3</w:t>
      </w:r>
    </w:p>
    <w:p w:rsidR="00DE00F6" w:rsidRPr="008E52EA" w:rsidRDefault="00DE00F6" w:rsidP="00DE00F6">
      <w:pPr>
        <w:pStyle w:val="t1Main"/>
        <w:rPr>
          <w:rFonts w:ascii="Arial" w:hAnsi="Arial" w:cs="Arial"/>
          <w:color w:val="000000" w:themeColor="text1"/>
          <w:sz w:val="22"/>
          <w:szCs w:val="22"/>
        </w:rPr>
      </w:pPr>
    </w:p>
    <w:p w:rsidR="00DE00F6" w:rsidRPr="008E52EA" w:rsidRDefault="00DE00F6" w:rsidP="00DE00F6">
      <w:pPr>
        <w:pStyle w:val="t1Main"/>
        <w:rPr>
          <w:rFonts w:ascii="Arial" w:hAnsi="Arial" w:cs="Arial"/>
          <w:color w:val="000000" w:themeColor="text1"/>
          <w:sz w:val="22"/>
          <w:szCs w:val="22"/>
        </w:rPr>
      </w:pPr>
      <w:r w:rsidRPr="008E52EA">
        <w:rPr>
          <w:rFonts w:ascii="Arial" w:hAnsi="Arial" w:cs="Arial"/>
          <w:color w:val="000000" w:themeColor="text1"/>
          <w:sz w:val="22"/>
          <w:szCs w:val="22"/>
        </w:rPr>
        <w:t xml:space="preserve">Insert after Item 3(m) </w:t>
      </w:r>
    </w:p>
    <w:p w:rsidR="00DE00F6" w:rsidRPr="008E52EA" w:rsidRDefault="00DE00F6" w:rsidP="00DE00F6">
      <w:pPr>
        <w:pStyle w:val="nDrafterComment"/>
        <w:rPr>
          <w:rFonts w:cs="Arial"/>
          <w:bCs/>
          <w:color w:val="000000" w:themeColor="text1"/>
          <w:szCs w:val="22"/>
        </w:rPr>
      </w:pPr>
    </w:p>
    <w:p w:rsidR="00DE00F6" w:rsidRPr="00B71064" w:rsidRDefault="00DE00F6" w:rsidP="00B71064">
      <w:pPr>
        <w:pStyle w:val="TablePlainParagraph"/>
        <w:tabs>
          <w:tab w:val="left" w:pos="360"/>
          <w:tab w:val="left" w:pos="1980"/>
          <w:tab w:val="left" w:pos="2520"/>
        </w:tabs>
        <w:rPr>
          <w:color w:val="000000"/>
          <w:sz w:val="22"/>
        </w:rPr>
      </w:pPr>
      <w:r w:rsidRPr="008E52EA">
        <w:rPr>
          <w:color w:val="000000" w:themeColor="text1"/>
          <w:sz w:val="22"/>
        </w:rPr>
        <w:t>“</w:t>
      </w:r>
      <w:r w:rsidRPr="008E52EA">
        <w:rPr>
          <w:color w:val="000000" w:themeColor="text1"/>
          <w:sz w:val="22"/>
        </w:rPr>
        <w:tab/>
      </w:r>
      <w:r w:rsidRPr="008E52EA">
        <w:rPr>
          <w:color w:val="000000" w:themeColor="text1"/>
          <w:sz w:val="22"/>
        </w:rPr>
        <w:tab/>
        <w:t>(n)</w:t>
      </w:r>
      <w:r w:rsidRPr="008E52EA">
        <w:rPr>
          <w:color w:val="000000" w:themeColor="text1"/>
          <w:sz w:val="22"/>
        </w:rPr>
        <w:tab/>
      </w:r>
      <w:r w:rsidRPr="00B71064">
        <w:rPr>
          <w:color w:val="000000"/>
          <w:sz w:val="22"/>
        </w:rPr>
        <w:t xml:space="preserve">herbicide-tolerant cotton line </w:t>
      </w:r>
      <w:r w:rsidRPr="00B71064">
        <w:rPr>
          <w:color w:val="000000" w:themeColor="text1"/>
          <w:sz w:val="22"/>
        </w:rPr>
        <w:t xml:space="preserve">DAS-81910-7” </w:t>
      </w:r>
    </w:p>
    <w:sectPr w:rsidR="00DE00F6" w:rsidRPr="00B71064" w:rsidSect="00F2096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C5" w:rsidRDefault="00737AC5">
      <w:r>
        <w:separator/>
      </w:r>
    </w:p>
  </w:endnote>
  <w:endnote w:type="continuationSeparator" w:id="0">
    <w:p w:rsidR="00737AC5" w:rsidRDefault="0073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C5" w:rsidRDefault="00737AC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7AC5" w:rsidRDefault="00737A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737AC5" w:rsidRDefault="00737AC5" w:rsidP="00A671E6">
        <w:pPr>
          <w:pStyle w:val="Footer"/>
          <w:jc w:val="center"/>
        </w:pPr>
        <w:r>
          <w:fldChar w:fldCharType="begin"/>
        </w:r>
        <w:r>
          <w:instrText xml:space="preserve"> PAGE   \* MERGEFORMAT </w:instrText>
        </w:r>
        <w:r>
          <w:fldChar w:fldCharType="separate"/>
        </w:r>
        <w:r w:rsidR="00ED7CA7">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CE" w:rsidRDefault="008D5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C5" w:rsidRDefault="00737AC5">
      <w:r>
        <w:separator/>
      </w:r>
    </w:p>
  </w:footnote>
  <w:footnote w:type="continuationSeparator" w:id="0">
    <w:p w:rsidR="00737AC5" w:rsidRDefault="00737AC5">
      <w:r>
        <w:continuationSeparator/>
      </w:r>
    </w:p>
  </w:footnote>
  <w:footnote w:id="1">
    <w:p w:rsidR="00737AC5" w:rsidRPr="0010778D" w:rsidRDefault="00737AC5" w:rsidP="00737AC5">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737AC5" w:rsidRPr="009549B7" w:rsidRDefault="00737AC5">
      <w:pPr>
        <w:pStyle w:val="FootnoteText"/>
        <w:rPr>
          <w:sz w:val="18"/>
          <w:szCs w:val="18"/>
          <w:lang w:val="en-AU"/>
        </w:rPr>
      </w:pPr>
      <w:r w:rsidRPr="009549B7">
        <w:rPr>
          <w:rStyle w:val="FootnoteReference"/>
          <w:sz w:val="18"/>
        </w:rPr>
        <w:footnoteRef/>
      </w:r>
      <w:r w:rsidRPr="009549B7">
        <w:rPr>
          <w:sz w:val="18"/>
        </w:rPr>
        <w:t xml:space="preserve"> </w:t>
      </w:r>
      <w:r w:rsidRPr="009549B7">
        <w:rPr>
          <w:sz w:val="18"/>
          <w:szCs w:val="18"/>
          <w:lang w:val="en-AU"/>
        </w:rPr>
        <w:t>Now known as th</w:t>
      </w:r>
      <w:r>
        <w:rPr>
          <w:sz w:val="18"/>
          <w:szCs w:val="18"/>
          <w:lang w:val="en-AU"/>
        </w:rPr>
        <w:t>e Implementation Subcommittee for</w:t>
      </w:r>
      <w:r w:rsidRPr="009549B7">
        <w:rPr>
          <w:sz w:val="18"/>
          <w:szCs w:val="18"/>
          <w:lang w:val="en-AU"/>
        </w:rPr>
        <w:t xml:space="preserve"> Food Regulation</w:t>
      </w:r>
    </w:p>
  </w:footnote>
  <w:footnote w:id="3">
    <w:p w:rsidR="00737AC5" w:rsidRPr="008828D9" w:rsidRDefault="00737AC5" w:rsidP="00737AC5">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4">
    <w:p w:rsidR="00F372EF" w:rsidRPr="0010778D" w:rsidRDefault="00F372EF" w:rsidP="00F372EF">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CE" w:rsidRDefault="008D58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CE" w:rsidRDefault="008D58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C5" w:rsidRDefault="00737AC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4F3584"/>
    <w:multiLevelType w:val="hybridMultilevel"/>
    <w:tmpl w:val="8B0EF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302CF5"/>
    <w:multiLevelType w:val="hybridMultilevel"/>
    <w:tmpl w:val="B8A65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8ADC93DE"/>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4530638"/>
    <w:multiLevelType w:val="hybridMultilevel"/>
    <w:tmpl w:val="FEE09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ABF49F7"/>
    <w:multiLevelType w:val="hybridMultilevel"/>
    <w:tmpl w:val="49849F2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BB77931"/>
    <w:multiLevelType w:val="hybridMultilevel"/>
    <w:tmpl w:val="A65C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562C19"/>
    <w:multiLevelType w:val="hybridMultilevel"/>
    <w:tmpl w:val="E7E619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F56B15"/>
    <w:multiLevelType w:val="hybridMultilevel"/>
    <w:tmpl w:val="95A8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7C356D"/>
    <w:multiLevelType w:val="hybridMultilevel"/>
    <w:tmpl w:val="BA8C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415350"/>
    <w:multiLevelType w:val="hybridMultilevel"/>
    <w:tmpl w:val="E080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5D5ADC"/>
    <w:multiLevelType w:val="hybridMultilevel"/>
    <w:tmpl w:val="C7DC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F51513"/>
    <w:multiLevelType w:val="hybridMultilevel"/>
    <w:tmpl w:val="7E668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1966A7"/>
    <w:multiLevelType w:val="hybridMultilevel"/>
    <w:tmpl w:val="AF1AF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95E0A7E"/>
    <w:multiLevelType w:val="hybridMultilevel"/>
    <w:tmpl w:val="6136BD9E"/>
    <w:lvl w:ilvl="0" w:tplc="55B8F18A">
      <w:start w:val="1"/>
      <w:numFmt w:val="bullet"/>
      <w:pStyle w:val="FS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CBB18C5"/>
    <w:multiLevelType w:val="hybridMultilevel"/>
    <w:tmpl w:val="0546A07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4779FF"/>
    <w:multiLevelType w:val="hybridMultilevel"/>
    <w:tmpl w:val="1624C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B7469A8"/>
    <w:multiLevelType w:val="hybridMultilevel"/>
    <w:tmpl w:val="1A5CB75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6"/>
  </w:num>
  <w:num w:numId="3">
    <w:abstractNumId w:val="4"/>
  </w:num>
  <w:num w:numId="4">
    <w:abstractNumId w:val="7"/>
  </w:num>
  <w:num w:numId="5">
    <w:abstractNumId w:val="20"/>
  </w:num>
  <w:num w:numId="6">
    <w:abstractNumId w:val="12"/>
  </w:num>
  <w:num w:numId="7">
    <w:abstractNumId w:val="10"/>
  </w:num>
  <w:num w:numId="8">
    <w:abstractNumId w:val="14"/>
  </w:num>
  <w:num w:numId="9">
    <w:abstractNumId w:val="18"/>
  </w:num>
  <w:num w:numId="10">
    <w:abstractNumId w:val="2"/>
  </w:num>
  <w:num w:numId="11">
    <w:abstractNumId w:val="19"/>
  </w:num>
  <w:num w:numId="12">
    <w:abstractNumId w:val="2"/>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6"/>
  </w:num>
  <w:num w:numId="17">
    <w:abstractNumId w:val="17"/>
  </w:num>
  <w:num w:numId="18">
    <w:abstractNumId w:val="8"/>
  </w:num>
  <w:num w:numId="19">
    <w:abstractNumId w:val="22"/>
  </w:num>
  <w:num w:numId="20">
    <w:abstractNumId w:val="1"/>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num>
  <w:num w:numId="24">
    <w:abstractNumId w:val="0"/>
  </w:num>
  <w:num w:numId="25">
    <w:abstractNumId w:val="13"/>
  </w:num>
  <w:num w:numId="26">
    <w:abstractNumId w:val="21"/>
  </w:num>
  <w:num w:numId="27">
    <w:abstractNumId w:val="11"/>
  </w:num>
  <w:num w:numId="2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337CBC"/>
    <w:rsid w:val="000000FE"/>
    <w:rsid w:val="00002190"/>
    <w:rsid w:val="0000247B"/>
    <w:rsid w:val="0000469B"/>
    <w:rsid w:val="000047E9"/>
    <w:rsid w:val="00005F79"/>
    <w:rsid w:val="00010E79"/>
    <w:rsid w:val="00011550"/>
    <w:rsid w:val="000117FB"/>
    <w:rsid w:val="00014066"/>
    <w:rsid w:val="00014E34"/>
    <w:rsid w:val="00017B7E"/>
    <w:rsid w:val="00024C82"/>
    <w:rsid w:val="00033A16"/>
    <w:rsid w:val="00035FF3"/>
    <w:rsid w:val="00036E4B"/>
    <w:rsid w:val="000370E6"/>
    <w:rsid w:val="0004110F"/>
    <w:rsid w:val="000418F0"/>
    <w:rsid w:val="00042590"/>
    <w:rsid w:val="0004390C"/>
    <w:rsid w:val="000460D9"/>
    <w:rsid w:val="00051021"/>
    <w:rsid w:val="000517F4"/>
    <w:rsid w:val="000524F0"/>
    <w:rsid w:val="00052D54"/>
    <w:rsid w:val="00056D19"/>
    <w:rsid w:val="000576EB"/>
    <w:rsid w:val="00061677"/>
    <w:rsid w:val="00061D1B"/>
    <w:rsid w:val="00064B2D"/>
    <w:rsid w:val="00065F1F"/>
    <w:rsid w:val="00071006"/>
    <w:rsid w:val="00076D33"/>
    <w:rsid w:val="00076D3B"/>
    <w:rsid w:val="00077AEA"/>
    <w:rsid w:val="00081B0A"/>
    <w:rsid w:val="00081D87"/>
    <w:rsid w:val="0008250A"/>
    <w:rsid w:val="00082517"/>
    <w:rsid w:val="000871B8"/>
    <w:rsid w:val="00093E01"/>
    <w:rsid w:val="00094FD6"/>
    <w:rsid w:val="000968EB"/>
    <w:rsid w:val="000A00CA"/>
    <w:rsid w:val="000A3D8B"/>
    <w:rsid w:val="000B1380"/>
    <w:rsid w:val="000B35CE"/>
    <w:rsid w:val="000B427A"/>
    <w:rsid w:val="000B442D"/>
    <w:rsid w:val="000B5875"/>
    <w:rsid w:val="000B6AF2"/>
    <w:rsid w:val="000C08DE"/>
    <w:rsid w:val="000C0B66"/>
    <w:rsid w:val="000C3B69"/>
    <w:rsid w:val="000C6E69"/>
    <w:rsid w:val="000D2DF8"/>
    <w:rsid w:val="000D589C"/>
    <w:rsid w:val="000D6136"/>
    <w:rsid w:val="000D6FD4"/>
    <w:rsid w:val="000D7B1C"/>
    <w:rsid w:val="000E00CB"/>
    <w:rsid w:val="000E0AE4"/>
    <w:rsid w:val="000E1EA4"/>
    <w:rsid w:val="000E3DBC"/>
    <w:rsid w:val="000E5B9A"/>
    <w:rsid w:val="000E662F"/>
    <w:rsid w:val="000F3C04"/>
    <w:rsid w:val="000F3CFE"/>
    <w:rsid w:val="000F6568"/>
    <w:rsid w:val="000F670A"/>
    <w:rsid w:val="000F7FB4"/>
    <w:rsid w:val="00100CFA"/>
    <w:rsid w:val="00102819"/>
    <w:rsid w:val="00111558"/>
    <w:rsid w:val="001122EC"/>
    <w:rsid w:val="001145A0"/>
    <w:rsid w:val="0012388D"/>
    <w:rsid w:val="001244D5"/>
    <w:rsid w:val="0013091F"/>
    <w:rsid w:val="001315E8"/>
    <w:rsid w:val="00131C8C"/>
    <w:rsid w:val="001320A1"/>
    <w:rsid w:val="00133B33"/>
    <w:rsid w:val="0013435F"/>
    <w:rsid w:val="001365F2"/>
    <w:rsid w:val="00141796"/>
    <w:rsid w:val="001541D6"/>
    <w:rsid w:val="00155420"/>
    <w:rsid w:val="001570BF"/>
    <w:rsid w:val="00165621"/>
    <w:rsid w:val="00170153"/>
    <w:rsid w:val="00173BB9"/>
    <w:rsid w:val="00174BA2"/>
    <w:rsid w:val="00182C4C"/>
    <w:rsid w:val="00183AFF"/>
    <w:rsid w:val="001857D5"/>
    <w:rsid w:val="001878C5"/>
    <w:rsid w:val="001929E2"/>
    <w:rsid w:val="00192CB3"/>
    <w:rsid w:val="00193121"/>
    <w:rsid w:val="0019399D"/>
    <w:rsid w:val="00193D1A"/>
    <w:rsid w:val="00197D8D"/>
    <w:rsid w:val="001A1A75"/>
    <w:rsid w:val="001A40CE"/>
    <w:rsid w:val="001A6410"/>
    <w:rsid w:val="001A695F"/>
    <w:rsid w:val="001A7E9A"/>
    <w:rsid w:val="001B0F0C"/>
    <w:rsid w:val="001B32CB"/>
    <w:rsid w:val="001B483D"/>
    <w:rsid w:val="001B52DF"/>
    <w:rsid w:val="001C25D1"/>
    <w:rsid w:val="001C27A3"/>
    <w:rsid w:val="001C2996"/>
    <w:rsid w:val="001C63C1"/>
    <w:rsid w:val="001D03BE"/>
    <w:rsid w:val="001D307B"/>
    <w:rsid w:val="001D31CA"/>
    <w:rsid w:val="001D71D0"/>
    <w:rsid w:val="001D7D14"/>
    <w:rsid w:val="001E0128"/>
    <w:rsid w:val="001E09FA"/>
    <w:rsid w:val="001E1434"/>
    <w:rsid w:val="001E3029"/>
    <w:rsid w:val="001F3AE6"/>
    <w:rsid w:val="00200BE6"/>
    <w:rsid w:val="00202A6F"/>
    <w:rsid w:val="00205F87"/>
    <w:rsid w:val="0021279C"/>
    <w:rsid w:val="00213350"/>
    <w:rsid w:val="00216007"/>
    <w:rsid w:val="0021738B"/>
    <w:rsid w:val="00220151"/>
    <w:rsid w:val="0022197C"/>
    <w:rsid w:val="00221D07"/>
    <w:rsid w:val="00224B18"/>
    <w:rsid w:val="00224E3B"/>
    <w:rsid w:val="002272CF"/>
    <w:rsid w:val="00227C2D"/>
    <w:rsid w:val="00227E4A"/>
    <w:rsid w:val="00231ABF"/>
    <w:rsid w:val="0023234E"/>
    <w:rsid w:val="00235766"/>
    <w:rsid w:val="00236461"/>
    <w:rsid w:val="00240F32"/>
    <w:rsid w:val="002421C1"/>
    <w:rsid w:val="0026130A"/>
    <w:rsid w:val="0026198C"/>
    <w:rsid w:val="002627C1"/>
    <w:rsid w:val="002635DE"/>
    <w:rsid w:val="00263E20"/>
    <w:rsid w:val="0026504C"/>
    <w:rsid w:val="002653A0"/>
    <w:rsid w:val="00272E09"/>
    <w:rsid w:val="00272F05"/>
    <w:rsid w:val="002755FF"/>
    <w:rsid w:val="002758A0"/>
    <w:rsid w:val="00280C31"/>
    <w:rsid w:val="00290EF5"/>
    <w:rsid w:val="00291327"/>
    <w:rsid w:val="0029204E"/>
    <w:rsid w:val="00293670"/>
    <w:rsid w:val="002A0194"/>
    <w:rsid w:val="002A5F8B"/>
    <w:rsid w:val="002A7F6C"/>
    <w:rsid w:val="002B0114"/>
    <w:rsid w:val="002B2612"/>
    <w:rsid w:val="002B2844"/>
    <w:rsid w:val="002B390B"/>
    <w:rsid w:val="002B541E"/>
    <w:rsid w:val="002B5ACA"/>
    <w:rsid w:val="002B5C6E"/>
    <w:rsid w:val="002C064D"/>
    <w:rsid w:val="002C74F7"/>
    <w:rsid w:val="002D174A"/>
    <w:rsid w:val="002D5D52"/>
    <w:rsid w:val="002D79FB"/>
    <w:rsid w:val="002E018B"/>
    <w:rsid w:val="002E1820"/>
    <w:rsid w:val="002E43BB"/>
    <w:rsid w:val="002E5B3A"/>
    <w:rsid w:val="002F241A"/>
    <w:rsid w:val="002F2C50"/>
    <w:rsid w:val="002F35EA"/>
    <w:rsid w:val="002F3E2C"/>
    <w:rsid w:val="002F4595"/>
    <w:rsid w:val="002F6488"/>
    <w:rsid w:val="0030112D"/>
    <w:rsid w:val="00302CC8"/>
    <w:rsid w:val="003036B4"/>
    <w:rsid w:val="00305C54"/>
    <w:rsid w:val="00307958"/>
    <w:rsid w:val="0031016C"/>
    <w:rsid w:val="00317940"/>
    <w:rsid w:val="003213F9"/>
    <w:rsid w:val="00323AB6"/>
    <w:rsid w:val="00323DBF"/>
    <w:rsid w:val="00325A92"/>
    <w:rsid w:val="00326826"/>
    <w:rsid w:val="00326B7E"/>
    <w:rsid w:val="00327867"/>
    <w:rsid w:val="00330437"/>
    <w:rsid w:val="00332B12"/>
    <w:rsid w:val="00333832"/>
    <w:rsid w:val="00333CED"/>
    <w:rsid w:val="00334BB7"/>
    <w:rsid w:val="00337708"/>
    <w:rsid w:val="00337CBC"/>
    <w:rsid w:val="003428FC"/>
    <w:rsid w:val="0034582C"/>
    <w:rsid w:val="003507DB"/>
    <w:rsid w:val="00351B07"/>
    <w:rsid w:val="003567AB"/>
    <w:rsid w:val="00356F53"/>
    <w:rsid w:val="00360BD4"/>
    <w:rsid w:val="00361539"/>
    <w:rsid w:val="0036533D"/>
    <w:rsid w:val="0037109C"/>
    <w:rsid w:val="00371B29"/>
    <w:rsid w:val="003766F8"/>
    <w:rsid w:val="0037743B"/>
    <w:rsid w:val="00380106"/>
    <w:rsid w:val="0038048E"/>
    <w:rsid w:val="003814F0"/>
    <w:rsid w:val="003818DF"/>
    <w:rsid w:val="00381D41"/>
    <w:rsid w:val="00381E07"/>
    <w:rsid w:val="00384393"/>
    <w:rsid w:val="00384D32"/>
    <w:rsid w:val="00385788"/>
    <w:rsid w:val="00386A52"/>
    <w:rsid w:val="003905CE"/>
    <w:rsid w:val="00391769"/>
    <w:rsid w:val="0039237A"/>
    <w:rsid w:val="003953E1"/>
    <w:rsid w:val="003956B3"/>
    <w:rsid w:val="003A04DC"/>
    <w:rsid w:val="003A0A4D"/>
    <w:rsid w:val="003A0E03"/>
    <w:rsid w:val="003A0E0F"/>
    <w:rsid w:val="003A2D8F"/>
    <w:rsid w:val="003A3D30"/>
    <w:rsid w:val="003A4823"/>
    <w:rsid w:val="003A68BE"/>
    <w:rsid w:val="003A7B84"/>
    <w:rsid w:val="003B0D85"/>
    <w:rsid w:val="003B3E1C"/>
    <w:rsid w:val="003B4F42"/>
    <w:rsid w:val="003B53D7"/>
    <w:rsid w:val="003B7986"/>
    <w:rsid w:val="003C1864"/>
    <w:rsid w:val="003C2AF1"/>
    <w:rsid w:val="003C4969"/>
    <w:rsid w:val="003C6814"/>
    <w:rsid w:val="003D12EA"/>
    <w:rsid w:val="003D1F06"/>
    <w:rsid w:val="003D2CDC"/>
    <w:rsid w:val="003E02AD"/>
    <w:rsid w:val="003E3770"/>
    <w:rsid w:val="003E41D5"/>
    <w:rsid w:val="003E425F"/>
    <w:rsid w:val="003E46BA"/>
    <w:rsid w:val="003E6806"/>
    <w:rsid w:val="003F2A70"/>
    <w:rsid w:val="003F523D"/>
    <w:rsid w:val="003F5AAB"/>
    <w:rsid w:val="003F62BD"/>
    <w:rsid w:val="003F74C1"/>
    <w:rsid w:val="003F771D"/>
    <w:rsid w:val="00400169"/>
    <w:rsid w:val="0040307D"/>
    <w:rsid w:val="00405B1A"/>
    <w:rsid w:val="00405F3A"/>
    <w:rsid w:val="0040608B"/>
    <w:rsid w:val="00406720"/>
    <w:rsid w:val="00410C76"/>
    <w:rsid w:val="00411907"/>
    <w:rsid w:val="00414B75"/>
    <w:rsid w:val="00414D9C"/>
    <w:rsid w:val="00415F7B"/>
    <w:rsid w:val="00417A5C"/>
    <w:rsid w:val="00417EE3"/>
    <w:rsid w:val="004207EB"/>
    <w:rsid w:val="00421730"/>
    <w:rsid w:val="00422EC9"/>
    <w:rsid w:val="00423AC7"/>
    <w:rsid w:val="00425F88"/>
    <w:rsid w:val="00426EA9"/>
    <w:rsid w:val="00430C29"/>
    <w:rsid w:val="0043166F"/>
    <w:rsid w:val="00431AF4"/>
    <w:rsid w:val="004341D9"/>
    <w:rsid w:val="00435A76"/>
    <w:rsid w:val="004371F7"/>
    <w:rsid w:val="00437276"/>
    <w:rsid w:val="004373B9"/>
    <w:rsid w:val="004433DB"/>
    <w:rsid w:val="00444252"/>
    <w:rsid w:val="00446178"/>
    <w:rsid w:val="00450B46"/>
    <w:rsid w:val="00451E6D"/>
    <w:rsid w:val="00453646"/>
    <w:rsid w:val="00453DEF"/>
    <w:rsid w:val="00456B54"/>
    <w:rsid w:val="004576CC"/>
    <w:rsid w:val="00464643"/>
    <w:rsid w:val="00464B0F"/>
    <w:rsid w:val="00464F98"/>
    <w:rsid w:val="00465372"/>
    <w:rsid w:val="004673BE"/>
    <w:rsid w:val="00472379"/>
    <w:rsid w:val="00473EF4"/>
    <w:rsid w:val="00477A86"/>
    <w:rsid w:val="00477C87"/>
    <w:rsid w:val="0048001F"/>
    <w:rsid w:val="00480EBB"/>
    <w:rsid w:val="00486793"/>
    <w:rsid w:val="00486C66"/>
    <w:rsid w:val="00487454"/>
    <w:rsid w:val="0049010E"/>
    <w:rsid w:val="00491B52"/>
    <w:rsid w:val="0049385C"/>
    <w:rsid w:val="00493882"/>
    <w:rsid w:val="00494A3F"/>
    <w:rsid w:val="004A0545"/>
    <w:rsid w:val="004A117F"/>
    <w:rsid w:val="004A2037"/>
    <w:rsid w:val="004A625B"/>
    <w:rsid w:val="004A793C"/>
    <w:rsid w:val="004B047B"/>
    <w:rsid w:val="004B0D06"/>
    <w:rsid w:val="004B4CDC"/>
    <w:rsid w:val="004B79AA"/>
    <w:rsid w:val="004C020A"/>
    <w:rsid w:val="004C0DB9"/>
    <w:rsid w:val="004C17BF"/>
    <w:rsid w:val="004C2073"/>
    <w:rsid w:val="004D0F3B"/>
    <w:rsid w:val="004D121E"/>
    <w:rsid w:val="004D1B1C"/>
    <w:rsid w:val="004D24F9"/>
    <w:rsid w:val="004D25A5"/>
    <w:rsid w:val="004D2D9B"/>
    <w:rsid w:val="004D387F"/>
    <w:rsid w:val="004D408E"/>
    <w:rsid w:val="004D4B8B"/>
    <w:rsid w:val="004D7041"/>
    <w:rsid w:val="004E0C9B"/>
    <w:rsid w:val="004E428E"/>
    <w:rsid w:val="004E5B67"/>
    <w:rsid w:val="004F03EB"/>
    <w:rsid w:val="004F1EDC"/>
    <w:rsid w:val="004F4F98"/>
    <w:rsid w:val="004F69F6"/>
    <w:rsid w:val="004F6EA3"/>
    <w:rsid w:val="004F79AC"/>
    <w:rsid w:val="00500AC8"/>
    <w:rsid w:val="005047D6"/>
    <w:rsid w:val="00506E9B"/>
    <w:rsid w:val="0050719A"/>
    <w:rsid w:val="005072C0"/>
    <w:rsid w:val="0051067D"/>
    <w:rsid w:val="005207D8"/>
    <w:rsid w:val="00523930"/>
    <w:rsid w:val="005244F1"/>
    <w:rsid w:val="00525C62"/>
    <w:rsid w:val="00526511"/>
    <w:rsid w:val="00527DF1"/>
    <w:rsid w:val="00533999"/>
    <w:rsid w:val="005340F3"/>
    <w:rsid w:val="005346BC"/>
    <w:rsid w:val="005349BF"/>
    <w:rsid w:val="00537CDC"/>
    <w:rsid w:val="00543CD1"/>
    <w:rsid w:val="005456AB"/>
    <w:rsid w:val="00551E1F"/>
    <w:rsid w:val="005551E3"/>
    <w:rsid w:val="00560185"/>
    <w:rsid w:val="0056086A"/>
    <w:rsid w:val="00561158"/>
    <w:rsid w:val="00562917"/>
    <w:rsid w:val="00562E2C"/>
    <w:rsid w:val="00564790"/>
    <w:rsid w:val="0057078C"/>
    <w:rsid w:val="00571B8C"/>
    <w:rsid w:val="005800A7"/>
    <w:rsid w:val="005811B7"/>
    <w:rsid w:val="00583E62"/>
    <w:rsid w:val="00586228"/>
    <w:rsid w:val="00590330"/>
    <w:rsid w:val="00591A0E"/>
    <w:rsid w:val="005931D6"/>
    <w:rsid w:val="00593441"/>
    <w:rsid w:val="005950DF"/>
    <w:rsid w:val="00595387"/>
    <w:rsid w:val="005A375B"/>
    <w:rsid w:val="005A572E"/>
    <w:rsid w:val="005B4F76"/>
    <w:rsid w:val="005B519B"/>
    <w:rsid w:val="005B6AF4"/>
    <w:rsid w:val="005C04CB"/>
    <w:rsid w:val="005C0B0B"/>
    <w:rsid w:val="005C3FB7"/>
    <w:rsid w:val="005C59D0"/>
    <w:rsid w:val="005C624A"/>
    <w:rsid w:val="005C7E52"/>
    <w:rsid w:val="005D16AD"/>
    <w:rsid w:val="005D2016"/>
    <w:rsid w:val="005D3FFD"/>
    <w:rsid w:val="005D50A6"/>
    <w:rsid w:val="005D51DE"/>
    <w:rsid w:val="005D5404"/>
    <w:rsid w:val="005D72E1"/>
    <w:rsid w:val="005D7F0C"/>
    <w:rsid w:val="005E6E16"/>
    <w:rsid w:val="005F166C"/>
    <w:rsid w:val="005F3787"/>
    <w:rsid w:val="005F400E"/>
    <w:rsid w:val="005F512F"/>
    <w:rsid w:val="005F57AF"/>
    <w:rsid w:val="005F64F3"/>
    <w:rsid w:val="005F6A76"/>
    <w:rsid w:val="005F7342"/>
    <w:rsid w:val="00603112"/>
    <w:rsid w:val="00607946"/>
    <w:rsid w:val="00610A3C"/>
    <w:rsid w:val="006138D7"/>
    <w:rsid w:val="0061540E"/>
    <w:rsid w:val="00615A9D"/>
    <w:rsid w:val="00615E83"/>
    <w:rsid w:val="00617B03"/>
    <w:rsid w:val="00617CD5"/>
    <w:rsid w:val="00625936"/>
    <w:rsid w:val="00625C81"/>
    <w:rsid w:val="00626123"/>
    <w:rsid w:val="0062703C"/>
    <w:rsid w:val="00627F48"/>
    <w:rsid w:val="00630545"/>
    <w:rsid w:val="00630D10"/>
    <w:rsid w:val="00631895"/>
    <w:rsid w:val="00632FD6"/>
    <w:rsid w:val="0063455F"/>
    <w:rsid w:val="00635814"/>
    <w:rsid w:val="006359E5"/>
    <w:rsid w:val="00643BA9"/>
    <w:rsid w:val="006477E4"/>
    <w:rsid w:val="00647FDC"/>
    <w:rsid w:val="00650888"/>
    <w:rsid w:val="00650A56"/>
    <w:rsid w:val="006514C6"/>
    <w:rsid w:val="00663FCF"/>
    <w:rsid w:val="006652A2"/>
    <w:rsid w:val="00666466"/>
    <w:rsid w:val="00667860"/>
    <w:rsid w:val="006710BC"/>
    <w:rsid w:val="00672B40"/>
    <w:rsid w:val="00674FE5"/>
    <w:rsid w:val="0067711A"/>
    <w:rsid w:val="00677BC1"/>
    <w:rsid w:val="00680156"/>
    <w:rsid w:val="0068053E"/>
    <w:rsid w:val="00680662"/>
    <w:rsid w:val="006857A6"/>
    <w:rsid w:val="00687FA7"/>
    <w:rsid w:val="006918CE"/>
    <w:rsid w:val="006926CB"/>
    <w:rsid w:val="0069619A"/>
    <w:rsid w:val="006969CC"/>
    <w:rsid w:val="00696A15"/>
    <w:rsid w:val="0069730F"/>
    <w:rsid w:val="006A48A7"/>
    <w:rsid w:val="006B190B"/>
    <w:rsid w:val="006B2644"/>
    <w:rsid w:val="006B3212"/>
    <w:rsid w:val="006C22A7"/>
    <w:rsid w:val="006C24B7"/>
    <w:rsid w:val="006C2DDF"/>
    <w:rsid w:val="006C34BC"/>
    <w:rsid w:val="006C5CF5"/>
    <w:rsid w:val="006D098A"/>
    <w:rsid w:val="006D0C46"/>
    <w:rsid w:val="006D176A"/>
    <w:rsid w:val="006D2C98"/>
    <w:rsid w:val="006D33FF"/>
    <w:rsid w:val="006D7958"/>
    <w:rsid w:val="006E0FE3"/>
    <w:rsid w:val="006E634D"/>
    <w:rsid w:val="006E6739"/>
    <w:rsid w:val="006F4A82"/>
    <w:rsid w:val="006F53A8"/>
    <w:rsid w:val="006F5B64"/>
    <w:rsid w:val="006F6393"/>
    <w:rsid w:val="006F66B2"/>
    <w:rsid w:val="007009C6"/>
    <w:rsid w:val="00703006"/>
    <w:rsid w:val="007073ED"/>
    <w:rsid w:val="00710C37"/>
    <w:rsid w:val="007140EF"/>
    <w:rsid w:val="0071477F"/>
    <w:rsid w:val="0071592F"/>
    <w:rsid w:val="00715B7D"/>
    <w:rsid w:val="00716C38"/>
    <w:rsid w:val="00721CB7"/>
    <w:rsid w:val="007232EF"/>
    <w:rsid w:val="00724FA4"/>
    <w:rsid w:val="00730800"/>
    <w:rsid w:val="00731196"/>
    <w:rsid w:val="00734539"/>
    <w:rsid w:val="00734A41"/>
    <w:rsid w:val="00736775"/>
    <w:rsid w:val="00737A1C"/>
    <w:rsid w:val="00737AC5"/>
    <w:rsid w:val="00740AA9"/>
    <w:rsid w:val="0074193C"/>
    <w:rsid w:val="0074308A"/>
    <w:rsid w:val="00750C94"/>
    <w:rsid w:val="00752325"/>
    <w:rsid w:val="00755F02"/>
    <w:rsid w:val="007602AA"/>
    <w:rsid w:val="007608F6"/>
    <w:rsid w:val="00761F41"/>
    <w:rsid w:val="007630BE"/>
    <w:rsid w:val="00763D3A"/>
    <w:rsid w:val="007648ED"/>
    <w:rsid w:val="007652EF"/>
    <w:rsid w:val="00765DDC"/>
    <w:rsid w:val="00765DE1"/>
    <w:rsid w:val="00772BDC"/>
    <w:rsid w:val="00773BF8"/>
    <w:rsid w:val="00777437"/>
    <w:rsid w:val="00777D4C"/>
    <w:rsid w:val="00780792"/>
    <w:rsid w:val="00781E66"/>
    <w:rsid w:val="0078309E"/>
    <w:rsid w:val="0078733D"/>
    <w:rsid w:val="00791AF9"/>
    <w:rsid w:val="007929D0"/>
    <w:rsid w:val="00793D48"/>
    <w:rsid w:val="00795D86"/>
    <w:rsid w:val="00796669"/>
    <w:rsid w:val="0079687B"/>
    <w:rsid w:val="00796D33"/>
    <w:rsid w:val="007A15DB"/>
    <w:rsid w:val="007A1E05"/>
    <w:rsid w:val="007A25D7"/>
    <w:rsid w:val="007A44B4"/>
    <w:rsid w:val="007A4D1B"/>
    <w:rsid w:val="007A4FD5"/>
    <w:rsid w:val="007A50E0"/>
    <w:rsid w:val="007A7D3D"/>
    <w:rsid w:val="007B225D"/>
    <w:rsid w:val="007B4B49"/>
    <w:rsid w:val="007B5F7A"/>
    <w:rsid w:val="007B629E"/>
    <w:rsid w:val="007C1C64"/>
    <w:rsid w:val="007C22CB"/>
    <w:rsid w:val="007D0189"/>
    <w:rsid w:val="007D18A8"/>
    <w:rsid w:val="007D3B68"/>
    <w:rsid w:val="007D4F56"/>
    <w:rsid w:val="007D5A1E"/>
    <w:rsid w:val="007E0AA9"/>
    <w:rsid w:val="007E2CB6"/>
    <w:rsid w:val="007E484C"/>
    <w:rsid w:val="007E48BC"/>
    <w:rsid w:val="007E79F7"/>
    <w:rsid w:val="007F27A3"/>
    <w:rsid w:val="007F33FC"/>
    <w:rsid w:val="007F3630"/>
    <w:rsid w:val="007F720E"/>
    <w:rsid w:val="007F7BF7"/>
    <w:rsid w:val="00800C67"/>
    <w:rsid w:val="00802C7B"/>
    <w:rsid w:val="0080462D"/>
    <w:rsid w:val="008048A7"/>
    <w:rsid w:val="00805AB4"/>
    <w:rsid w:val="00807559"/>
    <w:rsid w:val="00810A0B"/>
    <w:rsid w:val="00810AA6"/>
    <w:rsid w:val="008116E4"/>
    <w:rsid w:val="008128C8"/>
    <w:rsid w:val="00813263"/>
    <w:rsid w:val="008132E7"/>
    <w:rsid w:val="00813464"/>
    <w:rsid w:val="00814D48"/>
    <w:rsid w:val="00831154"/>
    <w:rsid w:val="008328E2"/>
    <w:rsid w:val="008355F7"/>
    <w:rsid w:val="00837C46"/>
    <w:rsid w:val="00844007"/>
    <w:rsid w:val="008450BC"/>
    <w:rsid w:val="00847066"/>
    <w:rsid w:val="00850B09"/>
    <w:rsid w:val="0085334B"/>
    <w:rsid w:val="008537BA"/>
    <w:rsid w:val="008542C0"/>
    <w:rsid w:val="0085461D"/>
    <w:rsid w:val="00860808"/>
    <w:rsid w:val="00861C13"/>
    <w:rsid w:val="00864F03"/>
    <w:rsid w:val="008660B9"/>
    <w:rsid w:val="00867059"/>
    <w:rsid w:val="00870214"/>
    <w:rsid w:val="008766D6"/>
    <w:rsid w:val="008779ED"/>
    <w:rsid w:val="008810D9"/>
    <w:rsid w:val="0088511D"/>
    <w:rsid w:val="00885C51"/>
    <w:rsid w:val="0089296E"/>
    <w:rsid w:val="0089386F"/>
    <w:rsid w:val="0089533B"/>
    <w:rsid w:val="00895BFD"/>
    <w:rsid w:val="00896B85"/>
    <w:rsid w:val="008A243D"/>
    <w:rsid w:val="008A7D76"/>
    <w:rsid w:val="008A7F8A"/>
    <w:rsid w:val="008B2CC2"/>
    <w:rsid w:val="008C0907"/>
    <w:rsid w:val="008C4EAE"/>
    <w:rsid w:val="008C4EC8"/>
    <w:rsid w:val="008C6436"/>
    <w:rsid w:val="008D06C6"/>
    <w:rsid w:val="008D37DD"/>
    <w:rsid w:val="008D58CE"/>
    <w:rsid w:val="008E4D06"/>
    <w:rsid w:val="008E52EA"/>
    <w:rsid w:val="008E6250"/>
    <w:rsid w:val="008F1EA0"/>
    <w:rsid w:val="008F4CB0"/>
    <w:rsid w:val="008F7A06"/>
    <w:rsid w:val="00900B3D"/>
    <w:rsid w:val="00910FA0"/>
    <w:rsid w:val="00911AE5"/>
    <w:rsid w:val="00914A5A"/>
    <w:rsid w:val="00920249"/>
    <w:rsid w:val="00920E9F"/>
    <w:rsid w:val="00922135"/>
    <w:rsid w:val="00923055"/>
    <w:rsid w:val="00924690"/>
    <w:rsid w:val="009249C2"/>
    <w:rsid w:val="00924E0D"/>
    <w:rsid w:val="00925977"/>
    <w:rsid w:val="00927158"/>
    <w:rsid w:val="0093250A"/>
    <w:rsid w:val="00932F14"/>
    <w:rsid w:val="009353F1"/>
    <w:rsid w:val="00935999"/>
    <w:rsid w:val="009369CC"/>
    <w:rsid w:val="00937975"/>
    <w:rsid w:val="0094247F"/>
    <w:rsid w:val="00942D60"/>
    <w:rsid w:val="009460FA"/>
    <w:rsid w:val="0094643B"/>
    <w:rsid w:val="00947534"/>
    <w:rsid w:val="009478A1"/>
    <w:rsid w:val="00950E23"/>
    <w:rsid w:val="009533B1"/>
    <w:rsid w:val="009549B7"/>
    <w:rsid w:val="00954B4F"/>
    <w:rsid w:val="00955C39"/>
    <w:rsid w:val="009632EA"/>
    <w:rsid w:val="0096523B"/>
    <w:rsid w:val="00965EC6"/>
    <w:rsid w:val="009673E8"/>
    <w:rsid w:val="009679B4"/>
    <w:rsid w:val="00971AC8"/>
    <w:rsid w:val="00972157"/>
    <w:rsid w:val="00972D06"/>
    <w:rsid w:val="009753AC"/>
    <w:rsid w:val="00976801"/>
    <w:rsid w:val="00976D32"/>
    <w:rsid w:val="0099323D"/>
    <w:rsid w:val="00993B7D"/>
    <w:rsid w:val="00994A3E"/>
    <w:rsid w:val="009A2699"/>
    <w:rsid w:val="009A391C"/>
    <w:rsid w:val="009B0055"/>
    <w:rsid w:val="009B01A9"/>
    <w:rsid w:val="009B082D"/>
    <w:rsid w:val="009B52B3"/>
    <w:rsid w:val="009B53EF"/>
    <w:rsid w:val="009B6D18"/>
    <w:rsid w:val="009B70B0"/>
    <w:rsid w:val="009C0A5F"/>
    <w:rsid w:val="009C228D"/>
    <w:rsid w:val="009C31AD"/>
    <w:rsid w:val="009C5D87"/>
    <w:rsid w:val="009D77C3"/>
    <w:rsid w:val="009D7A58"/>
    <w:rsid w:val="009E00C7"/>
    <w:rsid w:val="009E0A61"/>
    <w:rsid w:val="009E1E11"/>
    <w:rsid w:val="009E3010"/>
    <w:rsid w:val="009E46F5"/>
    <w:rsid w:val="009E717F"/>
    <w:rsid w:val="009F14C0"/>
    <w:rsid w:val="009F38D1"/>
    <w:rsid w:val="009F5EDC"/>
    <w:rsid w:val="009F7065"/>
    <w:rsid w:val="009F7207"/>
    <w:rsid w:val="00A02EAD"/>
    <w:rsid w:val="00A03216"/>
    <w:rsid w:val="00A04D91"/>
    <w:rsid w:val="00A13D0B"/>
    <w:rsid w:val="00A13F05"/>
    <w:rsid w:val="00A17DC7"/>
    <w:rsid w:val="00A23164"/>
    <w:rsid w:val="00A2449C"/>
    <w:rsid w:val="00A25A2C"/>
    <w:rsid w:val="00A25D14"/>
    <w:rsid w:val="00A318EB"/>
    <w:rsid w:val="00A33F8A"/>
    <w:rsid w:val="00A34D65"/>
    <w:rsid w:val="00A44C84"/>
    <w:rsid w:val="00A46DAF"/>
    <w:rsid w:val="00A47976"/>
    <w:rsid w:val="00A551B9"/>
    <w:rsid w:val="00A56DC7"/>
    <w:rsid w:val="00A62B14"/>
    <w:rsid w:val="00A66619"/>
    <w:rsid w:val="00A66E5E"/>
    <w:rsid w:val="00A66FDD"/>
    <w:rsid w:val="00A671E6"/>
    <w:rsid w:val="00A709E5"/>
    <w:rsid w:val="00A724FD"/>
    <w:rsid w:val="00A73AC5"/>
    <w:rsid w:val="00A73E2E"/>
    <w:rsid w:val="00A74FD1"/>
    <w:rsid w:val="00A75943"/>
    <w:rsid w:val="00A80693"/>
    <w:rsid w:val="00A8131A"/>
    <w:rsid w:val="00A82506"/>
    <w:rsid w:val="00A84891"/>
    <w:rsid w:val="00A84A58"/>
    <w:rsid w:val="00A85E89"/>
    <w:rsid w:val="00A91966"/>
    <w:rsid w:val="00A929A9"/>
    <w:rsid w:val="00A95CDA"/>
    <w:rsid w:val="00A96594"/>
    <w:rsid w:val="00A976C6"/>
    <w:rsid w:val="00A977D4"/>
    <w:rsid w:val="00AA239D"/>
    <w:rsid w:val="00AA41BA"/>
    <w:rsid w:val="00AA4EE8"/>
    <w:rsid w:val="00AA6D0D"/>
    <w:rsid w:val="00AA6FA3"/>
    <w:rsid w:val="00AA7348"/>
    <w:rsid w:val="00AB019D"/>
    <w:rsid w:val="00AB1090"/>
    <w:rsid w:val="00AB40F1"/>
    <w:rsid w:val="00AB4320"/>
    <w:rsid w:val="00AB5748"/>
    <w:rsid w:val="00AC1D5B"/>
    <w:rsid w:val="00AC2CED"/>
    <w:rsid w:val="00AC428E"/>
    <w:rsid w:val="00AD0FFF"/>
    <w:rsid w:val="00AD1898"/>
    <w:rsid w:val="00AD2E76"/>
    <w:rsid w:val="00AD344F"/>
    <w:rsid w:val="00AE0E6F"/>
    <w:rsid w:val="00AE4A8C"/>
    <w:rsid w:val="00AE4ABC"/>
    <w:rsid w:val="00AE4EA8"/>
    <w:rsid w:val="00AE4FFD"/>
    <w:rsid w:val="00AF06AC"/>
    <w:rsid w:val="00AF24FA"/>
    <w:rsid w:val="00AF328B"/>
    <w:rsid w:val="00AF387F"/>
    <w:rsid w:val="00AF397D"/>
    <w:rsid w:val="00AF6E4C"/>
    <w:rsid w:val="00AF765C"/>
    <w:rsid w:val="00B00E7F"/>
    <w:rsid w:val="00B0135A"/>
    <w:rsid w:val="00B068D7"/>
    <w:rsid w:val="00B102DB"/>
    <w:rsid w:val="00B11450"/>
    <w:rsid w:val="00B132FE"/>
    <w:rsid w:val="00B1365E"/>
    <w:rsid w:val="00B17112"/>
    <w:rsid w:val="00B17F5E"/>
    <w:rsid w:val="00B21055"/>
    <w:rsid w:val="00B21D62"/>
    <w:rsid w:val="00B21DCC"/>
    <w:rsid w:val="00B25F37"/>
    <w:rsid w:val="00B341B7"/>
    <w:rsid w:val="00B34E05"/>
    <w:rsid w:val="00B41F4E"/>
    <w:rsid w:val="00B425AA"/>
    <w:rsid w:val="00B42A38"/>
    <w:rsid w:val="00B43B64"/>
    <w:rsid w:val="00B44422"/>
    <w:rsid w:val="00B45859"/>
    <w:rsid w:val="00B46EA0"/>
    <w:rsid w:val="00B500FF"/>
    <w:rsid w:val="00B509FB"/>
    <w:rsid w:val="00B54B16"/>
    <w:rsid w:val="00B55714"/>
    <w:rsid w:val="00B60907"/>
    <w:rsid w:val="00B63440"/>
    <w:rsid w:val="00B64E13"/>
    <w:rsid w:val="00B71064"/>
    <w:rsid w:val="00B731D3"/>
    <w:rsid w:val="00B748D3"/>
    <w:rsid w:val="00B75B57"/>
    <w:rsid w:val="00B75E62"/>
    <w:rsid w:val="00B76123"/>
    <w:rsid w:val="00B811B3"/>
    <w:rsid w:val="00B839A3"/>
    <w:rsid w:val="00B86AC0"/>
    <w:rsid w:val="00B902BD"/>
    <w:rsid w:val="00B90B03"/>
    <w:rsid w:val="00B928CB"/>
    <w:rsid w:val="00B94723"/>
    <w:rsid w:val="00B95BB1"/>
    <w:rsid w:val="00B96C90"/>
    <w:rsid w:val="00BA47F8"/>
    <w:rsid w:val="00BA4EB4"/>
    <w:rsid w:val="00BA52DF"/>
    <w:rsid w:val="00BA5D9C"/>
    <w:rsid w:val="00BB233A"/>
    <w:rsid w:val="00BB2384"/>
    <w:rsid w:val="00BB24EF"/>
    <w:rsid w:val="00BB385D"/>
    <w:rsid w:val="00BB6342"/>
    <w:rsid w:val="00BC152C"/>
    <w:rsid w:val="00BC621F"/>
    <w:rsid w:val="00BC7434"/>
    <w:rsid w:val="00BD016E"/>
    <w:rsid w:val="00BD0B3A"/>
    <w:rsid w:val="00BD2A39"/>
    <w:rsid w:val="00BD2E80"/>
    <w:rsid w:val="00BD49FF"/>
    <w:rsid w:val="00BD4B64"/>
    <w:rsid w:val="00BD4BDF"/>
    <w:rsid w:val="00BD739D"/>
    <w:rsid w:val="00BD77E1"/>
    <w:rsid w:val="00BE11B8"/>
    <w:rsid w:val="00BE257B"/>
    <w:rsid w:val="00BE6C9B"/>
    <w:rsid w:val="00BE7CD8"/>
    <w:rsid w:val="00BF7FF0"/>
    <w:rsid w:val="00C00271"/>
    <w:rsid w:val="00C0504E"/>
    <w:rsid w:val="00C05C62"/>
    <w:rsid w:val="00C078DA"/>
    <w:rsid w:val="00C10653"/>
    <w:rsid w:val="00C12502"/>
    <w:rsid w:val="00C17686"/>
    <w:rsid w:val="00C228CA"/>
    <w:rsid w:val="00C23794"/>
    <w:rsid w:val="00C25381"/>
    <w:rsid w:val="00C25A18"/>
    <w:rsid w:val="00C31B9D"/>
    <w:rsid w:val="00C33021"/>
    <w:rsid w:val="00C37ED6"/>
    <w:rsid w:val="00C40AA5"/>
    <w:rsid w:val="00C46F70"/>
    <w:rsid w:val="00C476D0"/>
    <w:rsid w:val="00C5239D"/>
    <w:rsid w:val="00C578DB"/>
    <w:rsid w:val="00C579B4"/>
    <w:rsid w:val="00C606DE"/>
    <w:rsid w:val="00C6434A"/>
    <w:rsid w:val="00C657A4"/>
    <w:rsid w:val="00C662F9"/>
    <w:rsid w:val="00C721A9"/>
    <w:rsid w:val="00C73CB7"/>
    <w:rsid w:val="00C74398"/>
    <w:rsid w:val="00C75434"/>
    <w:rsid w:val="00C75EF3"/>
    <w:rsid w:val="00C77581"/>
    <w:rsid w:val="00C77ECE"/>
    <w:rsid w:val="00C836E3"/>
    <w:rsid w:val="00C836FF"/>
    <w:rsid w:val="00C854DC"/>
    <w:rsid w:val="00C86324"/>
    <w:rsid w:val="00C86577"/>
    <w:rsid w:val="00C91C02"/>
    <w:rsid w:val="00C92BC7"/>
    <w:rsid w:val="00C92E07"/>
    <w:rsid w:val="00C94581"/>
    <w:rsid w:val="00C957B6"/>
    <w:rsid w:val="00C96868"/>
    <w:rsid w:val="00C97C66"/>
    <w:rsid w:val="00CA0416"/>
    <w:rsid w:val="00CA27FC"/>
    <w:rsid w:val="00CA33BC"/>
    <w:rsid w:val="00CA45D0"/>
    <w:rsid w:val="00CA5734"/>
    <w:rsid w:val="00CA7B3B"/>
    <w:rsid w:val="00CB0F4D"/>
    <w:rsid w:val="00CB115C"/>
    <w:rsid w:val="00CB5ACB"/>
    <w:rsid w:val="00CC0FF1"/>
    <w:rsid w:val="00CC3A35"/>
    <w:rsid w:val="00CC5468"/>
    <w:rsid w:val="00CC560B"/>
    <w:rsid w:val="00CC5E2A"/>
    <w:rsid w:val="00CC75E2"/>
    <w:rsid w:val="00CC7883"/>
    <w:rsid w:val="00CD2A03"/>
    <w:rsid w:val="00CD3A1A"/>
    <w:rsid w:val="00CD46EB"/>
    <w:rsid w:val="00CD6530"/>
    <w:rsid w:val="00CD6CBA"/>
    <w:rsid w:val="00CD7EBF"/>
    <w:rsid w:val="00CD7F08"/>
    <w:rsid w:val="00CE26FB"/>
    <w:rsid w:val="00CE3F82"/>
    <w:rsid w:val="00CE4E20"/>
    <w:rsid w:val="00CF15C9"/>
    <w:rsid w:val="00CF4A20"/>
    <w:rsid w:val="00D01C0A"/>
    <w:rsid w:val="00D02E5B"/>
    <w:rsid w:val="00D03929"/>
    <w:rsid w:val="00D056F1"/>
    <w:rsid w:val="00D06163"/>
    <w:rsid w:val="00D06616"/>
    <w:rsid w:val="00D07450"/>
    <w:rsid w:val="00D11B97"/>
    <w:rsid w:val="00D13C78"/>
    <w:rsid w:val="00D144D7"/>
    <w:rsid w:val="00D15A08"/>
    <w:rsid w:val="00D16004"/>
    <w:rsid w:val="00D17F09"/>
    <w:rsid w:val="00D21483"/>
    <w:rsid w:val="00D21DDB"/>
    <w:rsid w:val="00D22129"/>
    <w:rsid w:val="00D22B01"/>
    <w:rsid w:val="00D23DB6"/>
    <w:rsid w:val="00D251DD"/>
    <w:rsid w:val="00D2707F"/>
    <w:rsid w:val="00D32733"/>
    <w:rsid w:val="00D33B29"/>
    <w:rsid w:val="00D34DF8"/>
    <w:rsid w:val="00D42BF8"/>
    <w:rsid w:val="00D51A95"/>
    <w:rsid w:val="00D534EE"/>
    <w:rsid w:val="00D60489"/>
    <w:rsid w:val="00D60568"/>
    <w:rsid w:val="00D645DA"/>
    <w:rsid w:val="00D70C7A"/>
    <w:rsid w:val="00D711B5"/>
    <w:rsid w:val="00D72A29"/>
    <w:rsid w:val="00D75D75"/>
    <w:rsid w:val="00D76605"/>
    <w:rsid w:val="00D76C3E"/>
    <w:rsid w:val="00D82D5E"/>
    <w:rsid w:val="00D834E5"/>
    <w:rsid w:val="00D850B7"/>
    <w:rsid w:val="00D92EE0"/>
    <w:rsid w:val="00D93195"/>
    <w:rsid w:val="00D952BB"/>
    <w:rsid w:val="00D966C6"/>
    <w:rsid w:val="00D97A65"/>
    <w:rsid w:val="00D97DC6"/>
    <w:rsid w:val="00DA02F4"/>
    <w:rsid w:val="00DA10A8"/>
    <w:rsid w:val="00DA1765"/>
    <w:rsid w:val="00DA392F"/>
    <w:rsid w:val="00DA5AE2"/>
    <w:rsid w:val="00DB123A"/>
    <w:rsid w:val="00DB1E08"/>
    <w:rsid w:val="00DB2973"/>
    <w:rsid w:val="00DB5F1D"/>
    <w:rsid w:val="00DB626D"/>
    <w:rsid w:val="00DC0FBA"/>
    <w:rsid w:val="00DC1B56"/>
    <w:rsid w:val="00DC20CC"/>
    <w:rsid w:val="00DC2129"/>
    <w:rsid w:val="00DC2F10"/>
    <w:rsid w:val="00DC35CC"/>
    <w:rsid w:val="00DC4FC7"/>
    <w:rsid w:val="00DC59B7"/>
    <w:rsid w:val="00DC5F90"/>
    <w:rsid w:val="00DC6570"/>
    <w:rsid w:val="00DC6D4A"/>
    <w:rsid w:val="00DC7BD0"/>
    <w:rsid w:val="00DD1517"/>
    <w:rsid w:val="00DD265C"/>
    <w:rsid w:val="00DD269B"/>
    <w:rsid w:val="00DD3703"/>
    <w:rsid w:val="00DD6762"/>
    <w:rsid w:val="00DE00F6"/>
    <w:rsid w:val="00DE1786"/>
    <w:rsid w:val="00DE27CB"/>
    <w:rsid w:val="00DE46EA"/>
    <w:rsid w:val="00DE5528"/>
    <w:rsid w:val="00DE60BD"/>
    <w:rsid w:val="00DE673F"/>
    <w:rsid w:val="00DF09C3"/>
    <w:rsid w:val="00DF25C3"/>
    <w:rsid w:val="00DF2EB8"/>
    <w:rsid w:val="00DF3BF4"/>
    <w:rsid w:val="00E0047D"/>
    <w:rsid w:val="00E01715"/>
    <w:rsid w:val="00E026FE"/>
    <w:rsid w:val="00E03760"/>
    <w:rsid w:val="00E04062"/>
    <w:rsid w:val="00E04148"/>
    <w:rsid w:val="00E05C25"/>
    <w:rsid w:val="00E063C6"/>
    <w:rsid w:val="00E12BE0"/>
    <w:rsid w:val="00E13563"/>
    <w:rsid w:val="00E138A9"/>
    <w:rsid w:val="00E16923"/>
    <w:rsid w:val="00E2003B"/>
    <w:rsid w:val="00E213C0"/>
    <w:rsid w:val="00E21CB9"/>
    <w:rsid w:val="00E2362E"/>
    <w:rsid w:val="00E24969"/>
    <w:rsid w:val="00E25C60"/>
    <w:rsid w:val="00E25F05"/>
    <w:rsid w:val="00E2671A"/>
    <w:rsid w:val="00E26887"/>
    <w:rsid w:val="00E279D8"/>
    <w:rsid w:val="00E319B1"/>
    <w:rsid w:val="00E34B10"/>
    <w:rsid w:val="00E3670F"/>
    <w:rsid w:val="00E435B3"/>
    <w:rsid w:val="00E43C33"/>
    <w:rsid w:val="00E44CDD"/>
    <w:rsid w:val="00E45837"/>
    <w:rsid w:val="00E45CB3"/>
    <w:rsid w:val="00E500DB"/>
    <w:rsid w:val="00E5372B"/>
    <w:rsid w:val="00E5492F"/>
    <w:rsid w:val="00E572B1"/>
    <w:rsid w:val="00E57C83"/>
    <w:rsid w:val="00E63C08"/>
    <w:rsid w:val="00E66BE2"/>
    <w:rsid w:val="00E66C91"/>
    <w:rsid w:val="00E70631"/>
    <w:rsid w:val="00E70A86"/>
    <w:rsid w:val="00E70FD2"/>
    <w:rsid w:val="00E72DA1"/>
    <w:rsid w:val="00E73E50"/>
    <w:rsid w:val="00E777EC"/>
    <w:rsid w:val="00E80FCD"/>
    <w:rsid w:val="00E81276"/>
    <w:rsid w:val="00E867BC"/>
    <w:rsid w:val="00E86AD0"/>
    <w:rsid w:val="00E94E9D"/>
    <w:rsid w:val="00E959CF"/>
    <w:rsid w:val="00E97033"/>
    <w:rsid w:val="00EA3676"/>
    <w:rsid w:val="00EA4B17"/>
    <w:rsid w:val="00EA62FE"/>
    <w:rsid w:val="00EA6901"/>
    <w:rsid w:val="00EA6FDE"/>
    <w:rsid w:val="00EA7F2F"/>
    <w:rsid w:val="00EB6590"/>
    <w:rsid w:val="00EC00DE"/>
    <w:rsid w:val="00EC21DF"/>
    <w:rsid w:val="00EC30E1"/>
    <w:rsid w:val="00EC3156"/>
    <w:rsid w:val="00EC3436"/>
    <w:rsid w:val="00EC3704"/>
    <w:rsid w:val="00EC5702"/>
    <w:rsid w:val="00EC66BB"/>
    <w:rsid w:val="00EC78E3"/>
    <w:rsid w:val="00ED0D41"/>
    <w:rsid w:val="00ED12CF"/>
    <w:rsid w:val="00ED172A"/>
    <w:rsid w:val="00ED42D3"/>
    <w:rsid w:val="00ED663C"/>
    <w:rsid w:val="00ED7CA7"/>
    <w:rsid w:val="00EE01DC"/>
    <w:rsid w:val="00EE2A90"/>
    <w:rsid w:val="00EE2FF8"/>
    <w:rsid w:val="00EE5773"/>
    <w:rsid w:val="00EE6786"/>
    <w:rsid w:val="00EE7151"/>
    <w:rsid w:val="00EF1123"/>
    <w:rsid w:val="00EF4773"/>
    <w:rsid w:val="00EF49D4"/>
    <w:rsid w:val="00EF5EC2"/>
    <w:rsid w:val="00EF7419"/>
    <w:rsid w:val="00F01475"/>
    <w:rsid w:val="00F0524C"/>
    <w:rsid w:val="00F071E5"/>
    <w:rsid w:val="00F07B0F"/>
    <w:rsid w:val="00F07C8C"/>
    <w:rsid w:val="00F10877"/>
    <w:rsid w:val="00F14BEC"/>
    <w:rsid w:val="00F20964"/>
    <w:rsid w:val="00F21C90"/>
    <w:rsid w:val="00F224B7"/>
    <w:rsid w:val="00F225C5"/>
    <w:rsid w:val="00F2587A"/>
    <w:rsid w:val="00F25920"/>
    <w:rsid w:val="00F26866"/>
    <w:rsid w:val="00F270B9"/>
    <w:rsid w:val="00F2775E"/>
    <w:rsid w:val="00F322BA"/>
    <w:rsid w:val="00F34CF8"/>
    <w:rsid w:val="00F34E02"/>
    <w:rsid w:val="00F35DD5"/>
    <w:rsid w:val="00F36D10"/>
    <w:rsid w:val="00F3715D"/>
    <w:rsid w:val="00F372EF"/>
    <w:rsid w:val="00F37A10"/>
    <w:rsid w:val="00F37D81"/>
    <w:rsid w:val="00F41D16"/>
    <w:rsid w:val="00F420C8"/>
    <w:rsid w:val="00F42A4C"/>
    <w:rsid w:val="00F4470B"/>
    <w:rsid w:val="00F447BA"/>
    <w:rsid w:val="00F463AC"/>
    <w:rsid w:val="00F525A3"/>
    <w:rsid w:val="00F526BD"/>
    <w:rsid w:val="00F542C9"/>
    <w:rsid w:val="00F56B47"/>
    <w:rsid w:val="00F634A1"/>
    <w:rsid w:val="00F65D60"/>
    <w:rsid w:val="00F66D97"/>
    <w:rsid w:val="00F71B92"/>
    <w:rsid w:val="00F747B8"/>
    <w:rsid w:val="00F753DF"/>
    <w:rsid w:val="00F76CB8"/>
    <w:rsid w:val="00F771D9"/>
    <w:rsid w:val="00F808D1"/>
    <w:rsid w:val="00F810AD"/>
    <w:rsid w:val="00F82E26"/>
    <w:rsid w:val="00F83B23"/>
    <w:rsid w:val="00F9102C"/>
    <w:rsid w:val="00F979AC"/>
    <w:rsid w:val="00F97B01"/>
    <w:rsid w:val="00FA16EA"/>
    <w:rsid w:val="00FA1D1E"/>
    <w:rsid w:val="00FA21C1"/>
    <w:rsid w:val="00FA2ECB"/>
    <w:rsid w:val="00FA463B"/>
    <w:rsid w:val="00FA5511"/>
    <w:rsid w:val="00FA7671"/>
    <w:rsid w:val="00FB3272"/>
    <w:rsid w:val="00FB43D1"/>
    <w:rsid w:val="00FB5E22"/>
    <w:rsid w:val="00FB7512"/>
    <w:rsid w:val="00FC43C6"/>
    <w:rsid w:val="00FC711B"/>
    <w:rsid w:val="00FD52BA"/>
    <w:rsid w:val="00FD5BC2"/>
    <w:rsid w:val="00FD7547"/>
    <w:rsid w:val="00FD782D"/>
    <w:rsid w:val="00FE1EF2"/>
    <w:rsid w:val="00FE287B"/>
    <w:rsid w:val="00FE6B50"/>
    <w:rsid w:val="00FE6F60"/>
    <w:rsid w:val="00FF165B"/>
    <w:rsid w:val="00FF3BF2"/>
    <w:rsid w:val="00FF5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uiPriority w:val="14"/>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uiPriority w:val="16"/>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uiPriority w:val="18"/>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qFormat/>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4373B9"/>
    <w:pPr>
      <w:widowControl/>
      <w:numPr>
        <w:numId w:val="2"/>
      </w:numPr>
      <w:ind w:left="567" w:hanging="567"/>
    </w:pPr>
    <w:rPr>
      <w:rFonts w:cs="Arial"/>
      <w:lang w:bidi="ar-SA"/>
    </w:rPr>
  </w:style>
  <w:style w:type="character" w:customStyle="1" w:styleId="FSBullet1Char">
    <w:name w:val="FSBullet 1 Char"/>
    <w:link w:val="FSBullet1"/>
    <w:rsid w:val="004373B9"/>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uiPriority w:val="10"/>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rsid w:val="00630D10"/>
    <w:rPr>
      <w:rFonts w:ascii="Arial" w:hAnsi="Arial"/>
      <w:lang w:eastAsia="en-US" w:bidi="en-US"/>
    </w:rPr>
  </w:style>
  <w:style w:type="character" w:customStyle="1" w:styleId="normalchar">
    <w:name w:val="normal_char"/>
    <w:rsid w:val="00131C8C"/>
    <w:rPr>
      <w:color w:val="auto"/>
    </w:rPr>
  </w:style>
  <w:style w:type="character" w:customStyle="1" w:styleId="HeaderChar1">
    <w:name w:val="Header Char1"/>
    <w:aliases w:val="Header Char Char,header protocols Char"/>
    <w:basedOn w:val="DefaultParagraphFont"/>
    <w:link w:val="Header"/>
    <w:rsid w:val="008A7D76"/>
    <w:rPr>
      <w:rFonts w:ascii="Arial" w:hAnsi="Arial"/>
      <w:sz w:val="22"/>
      <w:szCs w:val="24"/>
      <w:lang w:eastAsia="en-US" w:bidi="en-US"/>
    </w:rPr>
  </w:style>
  <w:style w:type="paragraph" w:customStyle="1" w:styleId="Bullet">
    <w:name w:val="Bullet"/>
    <w:basedOn w:val="Normal"/>
    <w:next w:val="Normal"/>
    <w:rsid w:val="00431AF4"/>
    <w:pPr>
      <w:ind w:left="567" w:hanging="567"/>
    </w:pPr>
    <w:rPr>
      <w:rFonts w:ascii="Times New Roman" w:hAnsi="Times New Roman"/>
      <w:sz w:val="24"/>
      <w:lang w:bidi="ar-SA"/>
    </w:rPr>
  </w:style>
  <w:style w:type="paragraph" w:customStyle="1" w:styleId="FSSUBJECT">
    <w:name w:val="FS SUBJECT"/>
    <w:basedOn w:val="Normal"/>
    <w:qFormat/>
    <w:rsid w:val="009C5D87"/>
    <w:pPr>
      <w:widowControl/>
      <w:jc w:val="center"/>
    </w:pPr>
    <w:rPr>
      <w:b/>
      <w:caps/>
      <w:szCs w:val="20"/>
      <w:lang w:bidi="ar-SA"/>
    </w:rPr>
  </w:style>
  <w:style w:type="paragraph" w:customStyle="1" w:styleId="Num-DocParagraph">
    <w:name w:val="Num-Doc Paragraph"/>
    <w:basedOn w:val="BodyText"/>
    <w:rsid w:val="00E2671A"/>
    <w:pPr>
      <w:widowControl/>
      <w:tabs>
        <w:tab w:val="left" w:pos="850"/>
        <w:tab w:val="left" w:pos="1191"/>
        <w:tab w:val="left" w:pos="1531"/>
      </w:tabs>
      <w:spacing w:after="240"/>
      <w:jc w:val="both"/>
    </w:pPr>
    <w:rPr>
      <w:rFonts w:ascii="Times" w:hAnsi="Times"/>
      <w:szCs w:val="20"/>
      <w:lang w:bidi="ar-SA"/>
    </w:rPr>
  </w:style>
  <w:style w:type="paragraph" w:styleId="BodyText">
    <w:name w:val="Body Text"/>
    <w:basedOn w:val="Normal"/>
    <w:link w:val="BodyTextChar"/>
    <w:rsid w:val="00E2671A"/>
    <w:pPr>
      <w:spacing w:after="120"/>
    </w:pPr>
  </w:style>
  <w:style w:type="character" w:customStyle="1" w:styleId="BodyTextChar">
    <w:name w:val="Body Text Char"/>
    <w:basedOn w:val="DefaultParagraphFont"/>
    <w:link w:val="BodyText"/>
    <w:rsid w:val="00E2671A"/>
    <w:rPr>
      <w:rFonts w:ascii="Arial" w:hAnsi="Arial"/>
      <w:sz w:val="22"/>
      <w:szCs w:val="24"/>
      <w:lang w:eastAsia="en-US" w:bidi="en-US"/>
    </w:rPr>
  </w:style>
  <w:style w:type="paragraph" w:customStyle="1" w:styleId="t1Main">
    <w:name w:val="t1_Main"/>
    <w:rsid w:val="00DE00F6"/>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nDrafterComment">
    <w:name w:val="n_Drafter_Comment"/>
    <w:basedOn w:val="Normal"/>
    <w:qFormat/>
    <w:rsid w:val="00DE00F6"/>
    <w:pPr>
      <w:widowControl/>
      <w:spacing w:before="80" w:after="80"/>
    </w:pPr>
    <w:rPr>
      <w:color w:val="7030A0"/>
      <w:lang w:val="en-AU" w:eastAsia="en-AU" w:bidi="ar-SA"/>
    </w:rPr>
  </w:style>
  <w:style w:type="paragraph" w:customStyle="1" w:styleId="ttAuthorisingAct">
    <w:name w:val="tt_Authorising_Act"/>
    <w:basedOn w:val="Normal"/>
    <w:rsid w:val="00DE00F6"/>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DE00F6"/>
    <w:pPr>
      <w:widowControl/>
      <w:spacing w:before="60" w:after="80"/>
    </w:pPr>
    <w:rPr>
      <w:sz w:val="24"/>
      <w:lang w:val="en-AU" w:eastAsia="en-AU" w:bidi="ar-SA"/>
    </w:rPr>
  </w:style>
  <w:style w:type="paragraph" w:customStyle="1" w:styleId="ttTitleofInstrument">
    <w:name w:val="tt_Title_of_Instrument"/>
    <w:basedOn w:val="Normal"/>
    <w:rsid w:val="00DE00F6"/>
    <w:pPr>
      <w:widowControl/>
      <w:spacing w:before="200" w:after="80"/>
    </w:pPr>
    <w:rPr>
      <w:b/>
      <w:sz w:val="32"/>
      <w:lang w:val="en-AU" w:eastAsia="en-AU" w:bidi="ar-SA"/>
    </w:rPr>
  </w:style>
  <w:style w:type="paragraph" w:customStyle="1" w:styleId="TablePlainParagraph">
    <w:name w:val="Table: Plain Paragraph"/>
    <w:aliases w:val="Table PP"/>
    <w:basedOn w:val="Normal"/>
    <w:link w:val="TablePlainParagraphChar"/>
    <w:uiPriority w:val="11"/>
    <w:qFormat/>
    <w:rsid w:val="00DE00F6"/>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DE00F6"/>
    <w:rPr>
      <w:rFonts w:ascii="Arial" w:hAnsi="Arial" w:cs="Arial"/>
      <w:szCs w:val="22"/>
      <w:lang w:val="en-AU" w:eastAsia="en-AU"/>
    </w:rPr>
  </w:style>
  <w:style w:type="paragraph" w:customStyle="1" w:styleId="HR">
    <w:name w:val="HR"/>
    <w:aliases w:val="Regulation Heading"/>
    <w:basedOn w:val="Normal"/>
    <w:next w:val="R1"/>
    <w:rsid w:val="00DE00F6"/>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DE00F6"/>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DE00F6"/>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DE00F6"/>
    <w:pPr>
      <w:keepNext/>
      <w:keepLines/>
      <w:widowControl/>
      <w:spacing w:before="480"/>
      <w:ind w:left="2410" w:hanging="2410"/>
    </w:pPr>
    <w:rPr>
      <w:b/>
      <w:sz w:val="32"/>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Header Char,header protocols"/>
    <w:basedOn w:val="Normal"/>
    <w:link w:val="HeaderChar1"/>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uiPriority w:val="14"/>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uiPriority w:val="16"/>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uiPriority w:val="18"/>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qFormat/>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9B52B3"/>
    <w:pPr>
      <w:numPr>
        <w:numId w:val="5"/>
      </w:numPr>
      <w:ind w:left="567" w:hanging="567"/>
    </w:pPr>
    <w:rPr>
      <w:rFonts w:cs="Arial"/>
    </w:rPr>
  </w:style>
  <w:style w:type="character" w:customStyle="1" w:styleId="FSBulletChar">
    <w:name w:val="FS Bullet Char"/>
    <w:basedOn w:val="DefaultParagraphFont"/>
    <w:link w:val="FSBullet"/>
    <w:rsid w:val="009B52B3"/>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4373B9"/>
    <w:pPr>
      <w:widowControl/>
      <w:numPr>
        <w:numId w:val="2"/>
      </w:numPr>
      <w:ind w:left="567" w:hanging="567"/>
    </w:pPr>
    <w:rPr>
      <w:rFonts w:cs="Arial"/>
      <w:lang w:bidi="ar-SA"/>
    </w:rPr>
  </w:style>
  <w:style w:type="character" w:customStyle="1" w:styleId="FSBullet1Char">
    <w:name w:val="FSBullet 1 Char"/>
    <w:link w:val="FSBullet1"/>
    <w:rsid w:val="004373B9"/>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ClauseChar">
    <w:name w:val="Clause Char"/>
    <w:basedOn w:val="DefaultParagraphFont"/>
    <w:link w:val="Clause"/>
    <w:uiPriority w:val="10"/>
    <w:rsid w:val="00643BA9"/>
    <w:rPr>
      <w:rFonts w:ascii="Arial" w:hAnsi="Arial"/>
      <w:lang w:eastAsia="en-US" w:bidi="en-US"/>
    </w:rPr>
  </w:style>
  <w:style w:type="paragraph" w:styleId="Title">
    <w:name w:val="Title"/>
    <w:basedOn w:val="Normal"/>
    <w:link w:val="TitleChar"/>
    <w:uiPriority w:val="10"/>
    <w:qFormat/>
    <w:rsid w:val="00643BA9"/>
    <w:pPr>
      <w:tabs>
        <w:tab w:val="left" w:pos="851"/>
      </w:tabs>
      <w:jc w:val="center"/>
    </w:pPr>
    <w:rPr>
      <w:b/>
      <w:bCs/>
      <w:sz w:val="20"/>
      <w:lang w:val="en-AU" w:bidi="ar-SA"/>
    </w:rPr>
  </w:style>
  <w:style w:type="character" w:customStyle="1" w:styleId="TitleChar">
    <w:name w:val="Title Char"/>
    <w:basedOn w:val="DefaultParagraphFont"/>
    <w:link w:val="Title"/>
    <w:uiPriority w:val="10"/>
    <w:rsid w:val="00643BA9"/>
    <w:rPr>
      <w:rFonts w:ascii="Arial" w:hAnsi="Arial"/>
      <w:b/>
      <w:bCs/>
      <w:szCs w:val="24"/>
      <w:lang w:val="en-AU" w:eastAsia="en-US"/>
    </w:rPr>
  </w:style>
  <w:style w:type="paragraph" w:styleId="NormalWeb">
    <w:name w:val="Normal (Web)"/>
    <w:basedOn w:val="Normal"/>
    <w:uiPriority w:val="99"/>
    <w:unhideWhenUsed/>
    <w:rsid w:val="00CB5ACB"/>
    <w:pPr>
      <w:widowControl/>
      <w:spacing w:before="100" w:beforeAutospacing="1" w:after="100" w:afterAutospacing="1"/>
    </w:pPr>
    <w:rPr>
      <w:rFonts w:ascii="Times New Roman" w:eastAsiaTheme="minorHAnsi" w:hAnsi="Times New Roman"/>
      <w:sz w:val="24"/>
      <w:lang w:val="en-AU" w:eastAsia="en-AU" w:bidi="ar-SA"/>
    </w:rPr>
  </w:style>
  <w:style w:type="paragraph" w:styleId="ListParagraph">
    <w:name w:val="List Paragraph"/>
    <w:basedOn w:val="Normal"/>
    <w:uiPriority w:val="34"/>
    <w:qFormat/>
    <w:rsid w:val="00CB5ACB"/>
    <w:pPr>
      <w:widowControl/>
      <w:ind w:left="720"/>
    </w:pPr>
    <w:rPr>
      <w:rFonts w:ascii="Times New Roman" w:eastAsiaTheme="minorHAnsi" w:hAnsi="Times New Roman"/>
      <w:sz w:val="24"/>
      <w:lang w:val="en-AU" w:eastAsia="en-AU" w:bidi="ar-SA"/>
    </w:rPr>
  </w:style>
  <w:style w:type="character" w:customStyle="1" w:styleId="FootnoteTextChar">
    <w:name w:val="Footnote Text Char"/>
    <w:aliases w:val="FSFootnote Text Char"/>
    <w:basedOn w:val="DefaultParagraphFont"/>
    <w:link w:val="FootnoteText"/>
    <w:rsid w:val="00630D10"/>
    <w:rPr>
      <w:rFonts w:ascii="Arial" w:hAnsi="Arial"/>
      <w:lang w:eastAsia="en-US" w:bidi="en-US"/>
    </w:rPr>
  </w:style>
  <w:style w:type="character" w:customStyle="1" w:styleId="normalchar">
    <w:name w:val="normal_char"/>
    <w:rsid w:val="00131C8C"/>
    <w:rPr>
      <w:color w:val="auto"/>
    </w:rPr>
  </w:style>
  <w:style w:type="character" w:customStyle="1" w:styleId="HeaderChar1">
    <w:name w:val="Header Char1"/>
    <w:aliases w:val="Header Char Char,header protocols Char"/>
    <w:basedOn w:val="DefaultParagraphFont"/>
    <w:link w:val="Header"/>
    <w:rsid w:val="008A7D76"/>
    <w:rPr>
      <w:rFonts w:ascii="Arial" w:hAnsi="Arial"/>
      <w:sz w:val="22"/>
      <w:szCs w:val="24"/>
      <w:lang w:eastAsia="en-US" w:bidi="en-US"/>
    </w:rPr>
  </w:style>
  <w:style w:type="paragraph" w:customStyle="1" w:styleId="Bullet">
    <w:name w:val="Bullet"/>
    <w:basedOn w:val="Normal"/>
    <w:next w:val="Normal"/>
    <w:rsid w:val="00431AF4"/>
    <w:pPr>
      <w:ind w:left="567" w:hanging="567"/>
    </w:pPr>
    <w:rPr>
      <w:rFonts w:ascii="Times New Roman" w:hAnsi="Times New Roman"/>
      <w:sz w:val="24"/>
      <w:lang w:bidi="ar-SA"/>
    </w:rPr>
  </w:style>
  <w:style w:type="paragraph" w:customStyle="1" w:styleId="FSSUBJECT">
    <w:name w:val="FS SUBJECT"/>
    <w:basedOn w:val="Normal"/>
    <w:qFormat/>
    <w:rsid w:val="009C5D87"/>
    <w:pPr>
      <w:widowControl/>
      <w:jc w:val="center"/>
    </w:pPr>
    <w:rPr>
      <w:b/>
      <w:caps/>
      <w:szCs w:val="20"/>
      <w:lang w:bidi="ar-SA"/>
    </w:rPr>
  </w:style>
  <w:style w:type="paragraph" w:customStyle="1" w:styleId="Num-DocParagraph">
    <w:name w:val="Num-Doc Paragraph"/>
    <w:basedOn w:val="BodyText"/>
    <w:rsid w:val="00E2671A"/>
    <w:pPr>
      <w:widowControl/>
      <w:tabs>
        <w:tab w:val="left" w:pos="850"/>
        <w:tab w:val="left" w:pos="1191"/>
        <w:tab w:val="left" w:pos="1531"/>
      </w:tabs>
      <w:spacing w:after="240"/>
      <w:jc w:val="both"/>
    </w:pPr>
    <w:rPr>
      <w:rFonts w:ascii="Times" w:hAnsi="Times"/>
      <w:szCs w:val="20"/>
      <w:lang w:bidi="ar-SA"/>
    </w:rPr>
  </w:style>
  <w:style w:type="paragraph" w:styleId="BodyText">
    <w:name w:val="Body Text"/>
    <w:basedOn w:val="Normal"/>
    <w:link w:val="BodyTextChar"/>
    <w:rsid w:val="00E2671A"/>
    <w:pPr>
      <w:spacing w:after="120"/>
    </w:pPr>
  </w:style>
  <w:style w:type="character" w:customStyle="1" w:styleId="BodyTextChar">
    <w:name w:val="Body Text Char"/>
    <w:basedOn w:val="DefaultParagraphFont"/>
    <w:link w:val="BodyText"/>
    <w:rsid w:val="00E2671A"/>
    <w:rPr>
      <w:rFonts w:ascii="Arial" w:hAnsi="Arial"/>
      <w:sz w:val="22"/>
      <w:szCs w:val="24"/>
      <w:lang w:eastAsia="en-US" w:bidi="en-US"/>
    </w:rPr>
  </w:style>
  <w:style w:type="paragraph" w:customStyle="1" w:styleId="t1Main">
    <w:name w:val="t1_Main"/>
    <w:rsid w:val="00DE00F6"/>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nDrafterComment">
    <w:name w:val="n_Drafter_Comment"/>
    <w:basedOn w:val="Normal"/>
    <w:qFormat/>
    <w:rsid w:val="00DE00F6"/>
    <w:pPr>
      <w:widowControl/>
      <w:spacing w:before="80" w:after="80"/>
    </w:pPr>
    <w:rPr>
      <w:color w:val="7030A0"/>
      <w:lang w:val="en-AU" w:eastAsia="en-AU" w:bidi="ar-SA"/>
    </w:rPr>
  </w:style>
  <w:style w:type="paragraph" w:customStyle="1" w:styleId="ttAuthorisingAct">
    <w:name w:val="tt_Authorising_Act"/>
    <w:basedOn w:val="Normal"/>
    <w:rsid w:val="00DE00F6"/>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DE00F6"/>
    <w:pPr>
      <w:widowControl/>
      <w:spacing w:before="60" w:after="80"/>
    </w:pPr>
    <w:rPr>
      <w:sz w:val="24"/>
      <w:lang w:val="en-AU" w:eastAsia="en-AU" w:bidi="ar-SA"/>
    </w:rPr>
  </w:style>
  <w:style w:type="paragraph" w:customStyle="1" w:styleId="ttTitleofInstrument">
    <w:name w:val="tt_Title_of_Instrument"/>
    <w:basedOn w:val="Normal"/>
    <w:rsid w:val="00DE00F6"/>
    <w:pPr>
      <w:widowControl/>
      <w:spacing w:before="200" w:after="80"/>
    </w:pPr>
    <w:rPr>
      <w:b/>
      <w:sz w:val="32"/>
      <w:lang w:val="en-AU" w:eastAsia="en-AU" w:bidi="ar-SA"/>
    </w:rPr>
  </w:style>
  <w:style w:type="paragraph" w:customStyle="1" w:styleId="TablePlainParagraph">
    <w:name w:val="Table: Plain Paragraph"/>
    <w:aliases w:val="Table PP"/>
    <w:basedOn w:val="Normal"/>
    <w:link w:val="TablePlainParagraphChar"/>
    <w:uiPriority w:val="11"/>
    <w:qFormat/>
    <w:rsid w:val="00DE00F6"/>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DE00F6"/>
    <w:rPr>
      <w:rFonts w:ascii="Arial" w:hAnsi="Arial" w:cs="Arial"/>
      <w:szCs w:val="22"/>
      <w:lang w:val="en-AU" w:eastAsia="en-AU"/>
    </w:rPr>
  </w:style>
  <w:style w:type="paragraph" w:customStyle="1" w:styleId="HR">
    <w:name w:val="HR"/>
    <w:aliases w:val="Regulation Heading"/>
    <w:basedOn w:val="Normal"/>
    <w:next w:val="R1"/>
    <w:rsid w:val="00DE00F6"/>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DE00F6"/>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DE00F6"/>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DE00F6"/>
    <w:pPr>
      <w:keepNext/>
      <w:keepLines/>
      <w:widowControl/>
      <w:spacing w:before="480"/>
      <w:ind w:left="2410" w:hanging="2410"/>
    </w:pPr>
    <w:rPr>
      <w:b/>
      <w:sz w:val="3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8956">
      <w:bodyDiv w:val="1"/>
      <w:marLeft w:val="0"/>
      <w:marRight w:val="0"/>
      <w:marTop w:val="0"/>
      <w:marBottom w:val="0"/>
      <w:divBdr>
        <w:top w:val="none" w:sz="0" w:space="0" w:color="auto"/>
        <w:left w:val="none" w:sz="0" w:space="0" w:color="auto"/>
        <w:bottom w:val="none" w:sz="0" w:space="0" w:color="auto"/>
        <w:right w:val="none" w:sz="0" w:space="0" w:color="auto"/>
      </w:divBdr>
      <w:divsChild>
        <w:div w:id="1549759426">
          <w:marLeft w:val="0"/>
          <w:marRight w:val="0"/>
          <w:marTop w:val="0"/>
          <w:marBottom w:val="0"/>
          <w:divBdr>
            <w:top w:val="none" w:sz="0" w:space="0" w:color="auto"/>
            <w:left w:val="none" w:sz="0" w:space="0" w:color="auto"/>
            <w:bottom w:val="none" w:sz="0" w:space="0" w:color="auto"/>
            <w:right w:val="none" w:sz="0" w:space="0" w:color="auto"/>
          </w:divBdr>
          <w:divsChild>
            <w:div w:id="1657764158">
              <w:marLeft w:val="0"/>
              <w:marRight w:val="0"/>
              <w:marTop w:val="0"/>
              <w:marBottom w:val="0"/>
              <w:divBdr>
                <w:top w:val="none" w:sz="0" w:space="0" w:color="auto"/>
                <w:left w:val="none" w:sz="0" w:space="0" w:color="auto"/>
                <w:bottom w:val="none" w:sz="0" w:space="0" w:color="auto"/>
                <w:right w:val="none" w:sz="0" w:space="0" w:color="auto"/>
              </w:divBdr>
              <w:divsChild>
                <w:div w:id="2015299951">
                  <w:marLeft w:val="0"/>
                  <w:marRight w:val="0"/>
                  <w:marTop w:val="0"/>
                  <w:marBottom w:val="0"/>
                  <w:divBdr>
                    <w:top w:val="none" w:sz="0" w:space="0" w:color="auto"/>
                    <w:left w:val="none" w:sz="0" w:space="0" w:color="auto"/>
                    <w:bottom w:val="none" w:sz="0" w:space="0" w:color="auto"/>
                    <w:right w:val="none" w:sz="0" w:space="0" w:color="auto"/>
                  </w:divBdr>
                  <w:divsChild>
                    <w:div w:id="405608726">
                      <w:marLeft w:val="0"/>
                      <w:marRight w:val="0"/>
                      <w:marTop w:val="0"/>
                      <w:marBottom w:val="0"/>
                      <w:divBdr>
                        <w:top w:val="none" w:sz="0" w:space="0" w:color="auto"/>
                        <w:left w:val="none" w:sz="0" w:space="0" w:color="auto"/>
                        <w:bottom w:val="none" w:sz="0" w:space="0" w:color="auto"/>
                        <w:right w:val="none" w:sz="0" w:space="0" w:color="auto"/>
                      </w:divBdr>
                      <w:divsChild>
                        <w:div w:id="838891506">
                          <w:marLeft w:val="0"/>
                          <w:marRight w:val="0"/>
                          <w:marTop w:val="0"/>
                          <w:marBottom w:val="0"/>
                          <w:divBdr>
                            <w:top w:val="none" w:sz="0" w:space="0" w:color="auto"/>
                            <w:left w:val="none" w:sz="0" w:space="0" w:color="auto"/>
                            <w:bottom w:val="none" w:sz="0" w:space="0" w:color="auto"/>
                            <w:right w:val="none" w:sz="0" w:space="0" w:color="auto"/>
                          </w:divBdr>
                          <w:divsChild>
                            <w:div w:id="8052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473945">
      <w:bodyDiv w:val="1"/>
      <w:marLeft w:val="0"/>
      <w:marRight w:val="0"/>
      <w:marTop w:val="0"/>
      <w:marBottom w:val="0"/>
      <w:divBdr>
        <w:top w:val="none" w:sz="0" w:space="0" w:color="auto"/>
        <w:left w:val="none" w:sz="0" w:space="0" w:color="auto"/>
        <w:bottom w:val="none" w:sz="0" w:space="0" w:color="auto"/>
        <w:right w:val="none" w:sz="0" w:space="0" w:color="auto"/>
      </w:divBdr>
    </w:div>
    <w:div w:id="422798965">
      <w:bodyDiv w:val="1"/>
      <w:marLeft w:val="0"/>
      <w:marRight w:val="0"/>
      <w:marTop w:val="0"/>
      <w:marBottom w:val="0"/>
      <w:divBdr>
        <w:top w:val="none" w:sz="0" w:space="0" w:color="auto"/>
        <w:left w:val="none" w:sz="0" w:space="0" w:color="auto"/>
        <w:bottom w:val="none" w:sz="0" w:space="0" w:color="auto"/>
        <w:right w:val="none" w:sz="0" w:space="0" w:color="auto"/>
      </w:divBdr>
    </w:div>
    <w:div w:id="496119506">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21937655">
      <w:bodyDiv w:val="1"/>
      <w:marLeft w:val="0"/>
      <w:marRight w:val="0"/>
      <w:marTop w:val="0"/>
      <w:marBottom w:val="0"/>
      <w:divBdr>
        <w:top w:val="none" w:sz="0" w:space="0" w:color="auto"/>
        <w:left w:val="none" w:sz="0" w:space="0" w:color="auto"/>
        <w:bottom w:val="none" w:sz="0" w:space="0" w:color="auto"/>
        <w:right w:val="none" w:sz="0" w:space="0" w:color="auto"/>
      </w:divBdr>
      <w:divsChild>
        <w:div w:id="24184466">
          <w:marLeft w:val="0"/>
          <w:marRight w:val="0"/>
          <w:marTop w:val="0"/>
          <w:marBottom w:val="0"/>
          <w:divBdr>
            <w:top w:val="none" w:sz="0" w:space="0" w:color="auto"/>
            <w:left w:val="none" w:sz="0" w:space="0" w:color="auto"/>
            <w:bottom w:val="none" w:sz="0" w:space="0" w:color="auto"/>
            <w:right w:val="none" w:sz="0" w:space="0" w:color="auto"/>
          </w:divBdr>
          <w:divsChild>
            <w:div w:id="207686200">
              <w:marLeft w:val="0"/>
              <w:marRight w:val="0"/>
              <w:marTop w:val="0"/>
              <w:marBottom w:val="0"/>
              <w:divBdr>
                <w:top w:val="none" w:sz="0" w:space="0" w:color="auto"/>
                <w:left w:val="none" w:sz="0" w:space="0" w:color="auto"/>
                <w:bottom w:val="none" w:sz="0" w:space="0" w:color="auto"/>
                <w:right w:val="none" w:sz="0" w:space="0" w:color="auto"/>
              </w:divBdr>
              <w:divsChild>
                <w:div w:id="303317374">
                  <w:marLeft w:val="0"/>
                  <w:marRight w:val="0"/>
                  <w:marTop w:val="0"/>
                  <w:marBottom w:val="0"/>
                  <w:divBdr>
                    <w:top w:val="none" w:sz="0" w:space="0" w:color="auto"/>
                    <w:left w:val="none" w:sz="0" w:space="0" w:color="auto"/>
                    <w:bottom w:val="none" w:sz="0" w:space="0" w:color="auto"/>
                    <w:right w:val="none" w:sz="0" w:space="0" w:color="auto"/>
                  </w:divBdr>
                  <w:divsChild>
                    <w:div w:id="260337175">
                      <w:marLeft w:val="0"/>
                      <w:marRight w:val="0"/>
                      <w:marTop w:val="0"/>
                      <w:marBottom w:val="0"/>
                      <w:divBdr>
                        <w:top w:val="none" w:sz="0" w:space="0" w:color="auto"/>
                        <w:left w:val="none" w:sz="0" w:space="0" w:color="auto"/>
                        <w:bottom w:val="none" w:sz="0" w:space="0" w:color="auto"/>
                        <w:right w:val="none" w:sz="0" w:space="0" w:color="auto"/>
                      </w:divBdr>
                      <w:divsChild>
                        <w:div w:id="1043136819">
                          <w:marLeft w:val="0"/>
                          <w:marRight w:val="0"/>
                          <w:marTop w:val="0"/>
                          <w:marBottom w:val="0"/>
                          <w:divBdr>
                            <w:top w:val="none" w:sz="0" w:space="0" w:color="auto"/>
                            <w:left w:val="none" w:sz="0" w:space="0" w:color="auto"/>
                            <w:bottom w:val="none" w:sz="0" w:space="0" w:color="auto"/>
                            <w:right w:val="none" w:sz="0" w:space="0" w:color="auto"/>
                          </w:divBdr>
                          <w:divsChild>
                            <w:div w:id="7748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03">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971207931">
      <w:bodyDiv w:val="1"/>
      <w:marLeft w:val="0"/>
      <w:marRight w:val="0"/>
      <w:marTop w:val="0"/>
      <w:marBottom w:val="0"/>
      <w:divBdr>
        <w:top w:val="none" w:sz="0" w:space="0" w:color="auto"/>
        <w:left w:val="none" w:sz="0" w:space="0" w:color="auto"/>
        <w:bottom w:val="none" w:sz="0" w:space="0" w:color="auto"/>
        <w:right w:val="none" w:sz="0" w:space="0" w:color="auto"/>
      </w:divBdr>
    </w:div>
    <w:div w:id="1294873042">
      <w:bodyDiv w:val="1"/>
      <w:marLeft w:val="0"/>
      <w:marRight w:val="0"/>
      <w:marTop w:val="0"/>
      <w:marBottom w:val="0"/>
      <w:divBdr>
        <w:top w:val="none" w:sz="0" w:space="0" w:color="auto"/>
        <w:left w:val="none" w:sz="0" w:space="0" w:color="auto"/>
        <w:bottom w:val="none" w:sz="0" w:space="0" w:color="auto"/>
        <w:right w:val="none" w:sz="0" w:space="0" w:color="auto"/>
      </w:divBdr>
      <w:divsChild>
        <w:div w:id="2103061692">
          <w:marLeft w:val="0"/>
          <w:marRight w:val="0"/>
          <w:marTop w:val="0"/>
          <w:marBottom w:val="0"/>
          <w:divBdr>
            <w:top w:val="none" w:sz="0" w:space="0" w:color="auto"/>
            <w:left w:val="none" w:sz="0" w:space="0" w:color="auto"/>
            <w:bottom w:val="none" w:sz="0" w:space="0" w:color="auto"/>
            <w:right w:val="none" w:sz="0" w:space="0" w:color="auto"/>
          </w:divBdr>
          <w:divsChild>
            <w:div w:id="404452193">
              <w:marLeft w:val="0"/>
              <w:marRight w:val="0"/>
              <w:marTop w:val="0"/>
              <w:marBottom w:val="0"/>
              <w:divBdr>
                <w:top w:val="none" w:sz="0" w:space="0" w:color="auto"/>
                <w:left w:val="none" w:sz="0" w:space="0" w:color="auto"/>
                <w:bottom w:val="none" w:sz="0" w:space="0" w:color="auto"/>
                <w:right w:val="none" w:sz="0" w:space="0" w:color="auto"/>
              </w:divBdr>
              <w:divsChild>
                <w:div w:id="1536577529">
                  <w:marLeft w:val="0"/>
                  <w:marRight w:val="0"/>
                  <w:marTop w:val="0"/>
                  <w:marBottom w:val="0"/>
                  <w:divBdr>
                    <w:top w:val="none" w:sz="0" w:space="0" w:color="auto"/>
                    <w:left w:val="none" w:sz="0" w:space="0" w:color="auto"/>
                    <w:bottom w:val="none" w:sz="0" w:space="0" w:color="auto"/>
                    <w:right w:val="none" w:sz="0" w:space="0" w:color="auto"/>
                  </w:divBdr>
                  <w:divsChild>
                    <w:div w:id="886139277">
                      <w:marLeft w:val="0"/>
                      <w:marRight w:val="0"/>
                      <w:marTop w:val="0"/>
                      <w:marBottom w:val="0"/>
                      <w:divBdr>
                        <w:top w:val="none" w:sz="0" w:space="0" w:color="auto"/>
                        <w:left w:val="none" w:sz="0" w:space="0" w:color="auto"/>
                        <w:bottom w:val="none" w:sz="0" w:space="0" w:color="auto"/>
                        <w:right w:val="none" w:sz="0" w:space="0" w:color="auto"/>
                      </w:divBdr>
                      <w:divsChild>
                        <w:div w:id="1026980737">
                          <w:marLeft w:val="0"/>
                          <w:marRight w:val="0"/>
                          <w:marTop w:val="0"/>
                          <w:marBottom w:val="0"/>
                          <w:divBdr>
                            <w:top w:val="none" w:sz="0" w:space="0" w:color="auto"/>
                            <w:left w:val="none" w:sz="0" w:space="0" w:color="auto"/>
                            <w:bottom w:val="none" w:sz="0" w:space="0" w:color="auto"/>
                            <w:right w:val="none" w:sz="0" w:space="0" w:color="auto"/>
                          </w:divBdr>
                          <w:divsChild>
                            <w:div w:id="1814905368">
                              <w:marLeft w:val="0"/>
                              <w:marRight w:val="0"/>
                              <w:marTop w:val="0"/>
                              <w:marBottom w:val="0"/>
                              <w:divBdr>
                                <w:top w:val="none" w:sz="0" w:space="0" w:color="auto"/>
                                <w:left w:val="none" w:sz="0" w:space="0" w:color="auto"/>
                                <w:bottom w:val="none" w:sz="0" w:space="0" w:color="auto"/>
                                <w:right w:val="none" w:sz="0" w:space="0" w:color="auto"/>
                              </w:divBdr>
                              <w:divsChild>
                                <w:div w:id="1670055672">
                                  <w:marLeft w:val="0"/>
                                  <w:marRight w:val="0"/>
                                  <w:marTop w:val="0"/>
                                  <w:marBottom w:val="0"/>
                                  <w:divBdr>
                                    <w:top w:val="none" w:sz="0" w:space="0" w:color="auto"/>
                                    <w:left w:val="none" w:sz="0" w:space="0" w:color="auto"/>
                                    <w:bottom w:val="none" w:sz="0" w:space="0" w:color="auto"/>
                                    <w:right w:val="none" w:sz="0" w:space="0" w:color="auto"/>
                                  </w:divBdr>
                                  <w:divsChild>
                                    <w:div w:id="158278861">
                                      <w:marLeft w:val="0"/>
                                      <w:marRight w:val="0"/>
                                      <w:marTop w:val="0"/>
                                      <w:marBottom w:val="0"/>
                                      <w:divBdr>
                                        <w:top w:val="none" w:sz="0" w:space="0" w:color="auto"/>
                                        <w:left w:val="none" w:sz="0" w:space="0" w:color="auto"/>
                                        <w:bottom w:val="none" w:sz="0" w:space="0" w:color="auto"/>
                                        <w:right w:val="none" w:sz="0" w:space="0" w:color="auto"/>
                                      </w:divBdr>
                                      <w:divsChild>
                                        <w:div w:id="2866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1145427">
      <w:bodyDiv w:val="1"/>
      <w:marLeft w:val="0"/>
      <w:marRight w:val="0"/>
      <w:marTop w:val="0"/>
      <w:marBottom w:val="0"/>
      <w:divBdr>
        <w:top w:val="none" w:sz="0" w:space="0" w:color="auto"/>
        <w:left w:val="none" w:sz="0" w:space="0" w:color="auto"/>
        <w:bottom w:val="none" w:sz="0" w:space="0" w:color="auto"/>
        <w:right w:val="none" w:sz="0" w:space="0" w:color="auto"/>
      </w:divBdr>
      <w:divsChild>
        <w:div w:id="593435952">
          <w:marLeft w:val="0"/>
          <w:marRight w:val="0"/>
          <w:marTop w:val="0"/>
          <w:marBottom w:val="0"/>
          <w:divBdr>
            <w:top w:val="none" w:sz="0" w:space="0" w:color="auto"/>
            <w:left w:val="none" w:sz="0" w:space="0" w:color="auto"/>
            <w:bottom w:val="none" w:sz="0" w:space="0" w:color="auto"/>
            <w:right w:val="none" w:sz="0" w:space="0" w:color="auto"/>
          </w:divBdr>
          <w:divsChild>
            <w:div w:id="943415537">
              <w:marLeft w:val="0"/>
              <w:marRight w:val="0"/>
              <w:marTop w:val="0"/>
              <w:marBottom w:val="0"/>
              <w:divBdr>
                <w:top w:val="none" w:sz="0" w:space="0" w:color="auto"/>
                <w:left w:val="none" w:sz="0" w:space="0" w:color="auto"/>
                <w:bottom w:val="none" w:sz="0" w:space="0" w:color="auto"/>
                <w:right w:val="none" w:sz="0" w:space="0" w:color="auto"/>
              </w:divBdr>
              <w:divsChild>
                <w:div w:id="1251813480">
                  <w:marLeft w:val="0"/>
                  <w:marRight w:val="0"/>
                  <w:marTop w:val="0"/>
                  <w:marBottom w:val="0"/>
                  <w:divBdr>
                    <w:top w:val="none" w:sz="0" w:space="0" w:color="auto"/>
                    <w:left w:val="none" w:sz="0" w:space="0" w:color="auto"/>
                    <w:bottom w:val="none" w:sz="0" w:space="0" w:color="auto"/>
                    <w:right w:val="none" w:sz="0" w:space="0" w:color="auto"/>
                  </w:divBdr>
                  <w:divsChild>
                    <w:div w:id="5767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56786">
      <w:bodyDiv w:val="1"/>
      <w:marLeft w:val="0"/>
      <w:marRight w:val="0"/>
      <w:marTop w:val="0"/>
      <w:marBottom w:val="0"/>
      <w:divBdr>
        <w:top w:val="none" w:sz="0" w:space="0" w:color="auto"/>
        <w:left w:val="none" w:sz="0" w:space="0" w:color="auto"/>
        <w:bottom w:val="none" w:sz="0" w:space="0" w:color="auto"/>
        <w:right w:val="none" w:sz="0" w:space="0" w:color="auto"/>
      </w:divBdr>
    </w:div>
    <w:div w:id="1648974267">
      <w:bodyDiv w:val="1"/>
      <w:marLeft w:val="0"/>
      <w:marRight w:val="0"/>
      <w:marTop w:val="0"/>
      <w:marBottom w:val="0"/>
      <w:divBdr>
        <w:top w:val="none" w:sz="0" w:space="0" w:color="auto"/>
        <w:left w:val="none" w:sz="0" w:space="0" w:color="auto"/>
        <w:bottom w:val="none" w:sz="0" w:space="0" w:color="auto"/>
        <w:right w:val="none" w:sz="0" w:space="0" w:color="auto"/>
      </w:divBdr>
      <w:divsChild>
        <w:div w:id="775833734">
          <w:marLeft w:val="0"/>
          <w:marRight w:val="0"/>
          <w:marTop w:val="0"/>
          <w:marBottom w:val="0"/>
          <w:divBdr>
            <w:top w:val="none" w:sz="0" w:space="0" w:color="auto"/>
            <w:left w:val="none" w:sz="0" w:space="0" w:color="auto"/>
            <w:bottom w:val="none" w:sz="0" w:space="0" w:color="auto"/>
            <w:right w:val="none" w:sz="0" w:space="0" w:color="auto"/>
          </w:divBdr>
          <w:divsChild>
            <w:div w:id="434449088">
              <w:marLeft w:val="0"/>
              <w:marRight w:val="0"/>
              <w:marTop w:val="0"/>
              <w:marBottom w:val="0"/>
              <w:divBdr>
                <w:top w:val="none" w:sz="0" w:space="0" w:color="auto"/>
                <w:left w:val="none" w:sz="0" w:space="0" w:color="auto"/>
                <w:bottom w:val="none" w:sz="0" w:space="0" w:color="auto"/>
                <w:right w:val="none" w:sz="0" w:space="0" w:color="auto"/>
              </w:divBdr>
              <w:divsChild>
                <w:div w:id="1009911626">
                  <w:marLeft w:val="0"/>
                  <w:marRight w:val="0"/>
                  <w:marTop w:val="0"/>
                  <w:marBottom w:val="0"/>
                  <w:divBdr>
                    <w:top w:val="none" w:sz="0" w:space="0" w:color="auto"/>
                    <w:left w:val="none" w:sz="0" w:space="0" w:color="auto"/>
                    <w:bottom w:val="none" w:sz="0" w:space="0" w:color="auto"/>
                    <w:right w:val="none" w:sz="0" w:space="0" w:color="auto"/>
                  </w:divBdr>
                  <w:divsChild>
                    <w:div w:id="6406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0823">
      <w:bodyDiv w:val="1"/>
      <w:marLeft w:val="0"/>
      <w:marRight w:val="0"/>
      <w:marTop w:val="0"/>
      <w:marBottom w:val="0"/>
      <w:divBdr>
        <w:top w:val="none" w:sz="0" w:space="0" w:color="auto"/>
        <w:left w:val="none" w:sz="0" w:space="0" w:color="auto"/>
        <w:bottom w:val="none" w:sz="0" w:space="0" w:color="auto"/>
        <w:right w:val="none" w:sz="0" w:space="0" w:color="auto"/>
      </w:divBdr>
    </w:div>
    <w:div w:id="20548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foodstandards.gov.au/consumer/gmfood/recombinantdna/Pages/default.aspx" TargetMode="External"/><Relationship Id="rId26" Type="http://schemas.openxmlformats.org/officeDocument/2006/relationships/hyperlink" Target="http://apvma.gov.au/node/1608" TargetMode="External"/><Relationship Id="rId39" Type="http://schemas.openxmlformats.org/officeDocument/2006/relationships/hyperlink" Target="http://www.who.int/foodsafety/chem/jmpr/publications/en/" TargetMode="External"/><Relationship Id="rId21" Type="http://schemas.openxmlformats.org/officeDocument/2006/relationships/hyperlink" Target="http://www.foodlabellingreview.gov.au/internet/foodlabelling/publishing.nsf/content/labelling-logic" TargetMode="External"/><Relationship Id="rId34" Type="http://schemas.openxmlformats.org/officeDocument/2006/relationships/hyperlink" Target="http://www.who.int/foodsafety/publications/biotech/en/1990.pdf" TargetMode="External"/><Relationship Id="rId42" Type="http://schemas.openxmlformats.org/officeDocument/2006/relationships/image" Target="media/image2.png"/><Relationship Id="rId47"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oodstandards.gov.au/code/applications/Pages/A1094-GM-Cotton.aspx" TargetMode="External"/><Relationship Id="rId29" Type="http://schemas.openxmlformats.org/officeDocument/2006/relationships/hyperlink" Target="http://www.codexalimentarius.net/mrls/pestdes/jsp/pest_q-e.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nsumer/gmfood/adverse/Pages/default.aspx" TargetMode="External"/><Relationship Id="rId32" Type="http://schemas.openxmlformats.org/officeDocument/2006/relationships/hyperlink" Target="http://www.codexalimentarius.net/web/standard_list.do?lang=en" TargetMode="External"/><Relationship Id="rId37" Type="http://schemas.openxmlformats.org/officeDocument/2006/relationships/hyperlink" Target="http://www.fao.org/fileadmin/templates/agphome/documents/Pests_Pesticides/JMPR/Evaluation98/24deval.pdf" TargetMode="External"/><Relationship Id="rId40" Type="http://schemas.openxmlformats.org/officeDocument/2006/relationships/hyperlink" Target="http://www.oecd.org/futures/long-termtechnologicalsocietalchallenges/40926844.pdf" TargetMode="External"/><Relationship Id="rId45"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nsumer/gmfood/safety/Pages/default.aspx" TargetMode="External"/><Relationship Id="rId28" Type="http://schemas.openxmlformats.org/officeDocument/2006/relationships/hyperlink" Target="http://www.foodsafety.govt.nz/elibrary/industry/nz-mrl-agricultural-compounds-food-standards-07-2014.pdf" TargetMode="External"/><Relationship Id="rId36" Type="http://schemas.openxmlformats.org/officeDocument/2006/relationships/hyperlink" Target="http://www.foodstandards.gov.au/foodstandards/changingthecode/applicationshandbook.cfm" TargetMode="External"/><Relationship Id="rId10" Type="http://schemas.openxmlformats.org/officeDocument/2006/relationships/header" Target="header1.xml"/><Relationship Id="rId19" Type="http://schemas.openxmlformats.org/officeDocument/2006/relationships/hyperlink" Target="http://www.foodstandards.gov.au/consumer/chemicals/maxresidue/Pages/default.aspx" TargetMode="External"/><Relationship Id="rId31" Type="http://schemas.openxmlformats.org/officeDocument/2006/relationships/hyperlink" Target="http://www.comlaw.gov.au/Details/F2013C00638"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consumer/gmfood/Pages/roleofanimalfeedings3717.aspx" TargetMode="External"/><Relationship Id="rId27" Type="http://schemas.openxmlformats.org/officeDocument/2006/relationships/hyperlink" Target="http://www.comlaw.gov.au/Details/F2013C00638" TargetMode="External"/><Relationship Id="rId30" Type="http://schemas.openxmlformats.org/officeDocument/2006/relationships/hyperlink" Target="http://www.foodsafety.govt.nz/elibrary/industry/nz-mrl-agricultural-compounds-food-standards-07-2014.pdf" TargetMode="External"/><Relationship Id="rId35" Type="http://schemas.openxmlformats.org/officeDocument/2006/relationships/hyperlink" Target="http://www.foodstandards.gov.au/_srcfiles/GM%20FINAL%20Sept%2007L%20_2_.pdf"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foodstandards.gov.au/consumer/gmfood/adverse/Pages/default.aspx" TargetMode="External"/><Relationship Id="rId25" Type="http://schemas.openxmlformats.org/officeDocument/2006/relationships/hyperlink" Target="http://www.codexalimentarius.net/mrls/pestdes/jsp/pest_q-e.jsp" TargetMode="External"/><Relationship Id="rId33" Type="http://schemas.openxmlformats.org/officeDocument/2006/relationships/hyperlink" Target="http://www.epa.gov/oppsrrd1/REDs/24d_red.pdf" TargetMode="External"/><Relationship Id="rId38" Type="http://schemas.openxmlformats.org/officeDocument/2006/relationships/hyperlink" Target="http://www.fao.org/fileadmin/templates/agphome/documents/Pests_Pesticides/JMPR/Reports_1991-2006/REPORT2001.pdf" TargetMode="External"/><Relationship Id="rId46" Type="http://schemas.openxmlformats.org/officeDocument/2006/relationships/customXml" Target="../customXml/item3.xml"/><Relationship Id="rId20" Type="http://schemas.openxmlformats.org/officeDocument/2006/relationships/hyperlink" Target="http://www.foodstandards.gov.au/consumer/gmfood/labelling/pages/default.aspx" TargetMode="External"/><Relationship Id="rId41" Type="http://schemas.openxmlformats.org/officeDocument/2006/relationships/hyperlink" Target="http://www.who.int/foodsafety/publications/biotech/en/ec_june2000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EF0ED2-B6C1-4076-9874-CD71C496C97D}"/>
</file>

<file path=customXml/itemProps2.xml><?xml version="1.0" encoding="utf-8"?>
<ds:datastoreItem xmlns:ds="http://schemas.openxmlformats.org/officeDocument/2006/customXml" ds:itemID="{831DD7BA-0C83-45FC-A785-11B2B95A076C}"/>
</file>

<file path=customXml/itemProps3.xml><?xml version="1.0" encoding="utf-8"?>
<ds:datastoreItem xmlns:ds="http://schemas.openxmlformats.org/officeDocument/2006/customXml" ds:itemID="{E39C19E8-A26B-40FC-8E26-D1931D69409F}"/>
</file>

<file path=customXml/itemProps4.xml><?xml version="1.0" encoding="utf-8"?>
<ds:datastoreItem xmlns:ds="http://schemas.openxmlformats.org/officeDocument/2006/customXml" ds:itemID="{C01A5BA2-3A07-4162-B87A-2C06DD8345A7}"/>
</file>

<file path=docProps/app.xml><?xml version="1.0" encoding="utf-8"?>
<Properties xmlns="http://schemas.openxmlformats.org/officeDocument/2006/extended-properties" xmlns:vt="http://schemas.openxmlformats.org/officeDocument/2006/docPropsVTypes">
  <Template>Normal</Template>
  <TotalTime>0</TotalTime>
  <Pages>21</Pages>
  <Words>6645</Words>
  <Characters>58647</Characters>
  <Application>Microsoft Office Word</Application>
  <DocSecurity>0</DocSecurity>
  <Lines>488</Lines>
  <Paragraphs>130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65162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A1094-GM-AppR</dc:title>
  <dc:creator/>
  <cp:lastModifiedBy/>
  <cp:revision>1</cp:revision>
  <dcterms:created xsi:type="dcterms:W3CDTF">2014-08-25T02:30:00Z</dcterms:created>
  <dcterms:modified xsi:type="dcterms:W3CDTF">2014-08-25T02:31:00Z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