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7E8E3" w14:textId="1DD55EB8" w:rsidR="00E203C2" w:rsidRDefault="00E203C2" w:rsidP="00E203C2">
      <w:bookmarkStart w:id="0" w:name="_GoBack"/>
      <w:bookmarkEnd w:id="0"/>
      <w:r>
        <w:rPr>
          <w:noProof/>
          <w:lang w:eastAsia="en-GB" w:bidi="ar-SA"/>
        </w:rPr>
        <w:drawing>
          <wp:inline distT="0" distB="0" distL="0" distR="0" wp14:anchorId="49BFBD8C" wp14:editId="1D9F81A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B2E2D6C" w14:textId="77777777" w:rsidR="00E203C2" w:rsidRDefault="00E203C2" w:rsidP="00E203C2"/>
    <w:p w14:paraId="759163B8" w14:textId="108DFEFA"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4058C0" w:rsidRPr="004058C0">
        <w:rPr>
          <w:b/>
        </w:rPr>
        <w:t>2</w:t>
      </w:r>
    </w:p>
    <w:p w14:paraId="65AB81BA" w14:textId="77777777" w:rsidR="00BA24E2" w:rsidRDefault="00BA24E2" w:rsidP="00E203C2"/>
    <w:p w14:paraId="7F9CAE62" w14:textId="00600BD0" w:rsidR="00D056F1" w:rsidRPr="004058C0" w:rsidRDefault="004058C0" w:rsidP="00690206">
      <w:pPr>
        <w:pStyle w:val="FSTitle"/>
      </w:pPr>
      <w:r w:rsidRPr="004058C0">
        <w:t xml:space="preserve">Assessment against Policy Guideline on Fortification of food with vitamins and minerals </w:t>
      </w:r>
      <w:r w:rsidR="006B5EBE" w:rsidRPr="004058C0">
        <w:t xml:space="preserve">– </w:t>
      </w:r>
      <w:r w:rsidR="00D056F1" w:rsidRPr="004058C0">
        <w:t>A</w:t>
      </w:r>
      <w:r w:rsidR="00B12F1E" w:rsidRPr="004058C0">
        <w:t>pplication</w:t>
      </w:r>
      <w:r w:rsidR="00D056F1" w:rsidRPr="004058C0">
        <w:t xml:space="preserve"> A</w:t>
      </w:r>
      <w:r w:rsidRPr="004058C0">
        <w:t>1104</w:t>
      </w:r>
      <w:r w:rsidR="004A3B78">
        <w:t xml:space="preserve"> (at Approval)</w:t>
      </w:r>
    </w:p>
    <w:p w14:paraId="38DAE26F" w14:textId="77777777" w:rsidR="00E203C2" w:rsidRPr="00690206" w:rsidRDefault="00E203C2" w:rsidP="00690206"/>
    <w:p w14:paraId="0BEF32A3" w14:textId="23F785DD" w:rsidR="004058C0" w:rsidRDefault="004058C0" w:rsidP="004058C0">
      <w:pPr>
        <w:pStyle w:val="FSTitle"/>
      </w:pPr>
      <w:r>
        <w:t xml:space="preserve">Voluntary </w:t>
      </w:r>
      <w:r w:rsidR="00ED7B98">
        <w:rPr>
          <w:lang w:val="en-AU"/>
        </w:rPr>
        <w:t>A</w:t>
      </w:r>
      <w:r>
        <w:rPr>
          <w:lang w:val="en-AU"/>
        </w:rPr>
        <w:t xml:space="preserve">ddition of </w:t>
      </w:r>
      <w:r w:rsidR="00ED7B98">
        <w:rPr>
          <w:lang w:val="en-AU"/>
        </w:rPr>
        <w:t>V</w:t>
      </w:r>
      <w:r>
        <w:rPr>
          <w:lang w:val="en-AU"/>
        </w:rPr>
        <w:t xml:space="preserve">itamins </w:t>
      </w:r>
      <w:r w:rsidR="00ED7B98">
        <w:rPr>
          <w:lang w:val="en-AU"/>
        </w:rPr>
        <w:t>&amp; M</w:t>
      </w:r>
      <w:r>
        <w:rPr>
          <w:lang w:val="en-AU"/>
        </w:rPr>
        <w:t xml:space="preserve">inerals </w:t>
      </w:r>
      <w:r w:rsidR="00CC3A65">
        <w:rPr>
          <w:lang w:val="en-AU"/>
        </w:rPr>
        <w:t xml:space="preserve">to </w:t>
      </w:r>
      <w:r w:rsidR="00ED7B98">
        <w:t>N</w:t>
      </w:r>
      <w:r>
        <w:t>ut</w:t>
      </w:r>
      <w:r w:rsidR="001C34DC">
        <w:t>-</w:t>
      </w:r>
      <w:r>
        <w:t xml:space="preserve"> </w:t>
      </w:r>
      <w:r w:rsidR="0099347F">
        <w:t xml:space="preserve">&amp; </w:t>
      </w:r>
      <w:r w:rsidR="00ED7B98">
        <w:t>S</w:t>
      </w:r>
      <w:r>
        <w:t xml:space="preserve">eed-based </w:t>
      </w:r>
      <w:r w:rsidR="00ED7B98">
        <w:t>B</w:t>
      </w:r>
      <w:r>
        <w:t xml:space="preserve">everages </w:t>
      </w:r>
    </w:p>
    <w:p w14:paraId="2DAD748A" w14:textId="77777777" w:rsidR="00E203C2" w:rsidRPr="00B37BF0" w:rsidRDefault="00E203C2" w:rsidP="00C62850">
      <w:pPr>
        <w:pBdr>
          <w:bottom w:val="single" w:sz="12" w:space="1" w:color="auto"/>
        </w:pBdr>
        <w:spacing w:line="280" w:lineRule="exact"/>
        <w:jc w:val="center"/>
        <w:rPr>
          <w:rFonts w:cs="Arial"/>
          <w:bCs/>
        </w:rPr>
      </w:pPr>
    </w:p>
    <w:p w14:paraId="725C8F7F" w14:textId="77777777" w:rsidR="00E203C2" w:rsidRPr="00B37BF0" w:rsidRDefault="00E203C2" w:rsidP="00E203C2"/>
    <w:p w14:paraId="63F9F245" w14:textId="77777777" w:rsidR="00092CDA" w:rsidRPr="00092CDA" w:rsidRDefault="00092CDA" w:rsidP="00352CF2">
      <w:pPr>
        <w:pStyle w:val="Heading1"/>
        <w:spacing w:before="0"/>
      </w:pPr>
      <w:bookmarkStart w:id="1" w:name="_Toc286391001"/>
      <w:bookmarkStart w:id="2" w:name="_Toc300933414"/>
      <w:r w:rsidRPr="00092CDA">
        <w:t xml:space="preserve">Executive </w:t>
      </w:r>
      <w:r w:rsidR="00B12F1E">
        <w:t>s</w:t>
      </w:r>
      <w:r w:rsidRPr="00092CDA">
        <w:t>ummary</w:t>
      </w:r>
      <w:bookmarkEnd w:id="1"/>
      <w:bookmarkEnd w:id="2"/>
    </w:p>
    <w:p w14:paraId="30BA525D" w14:textId="73965174" w:rsidR="004058C0" w:rsidRPr="005456F1" w:rsidRDefault="004058C0" w:rsidP="004058C0">
      <w:r>
        <w:t>This Supporting Document provides a summary of FSANZ</w:t>
      </w:r>
      <w:r w:rsidR="00CC3A65">
        <w:t>’</w:t>
      </w:r>
      <w:r>
        <w:t xml:space="preserve">s consideration of this Application against the specific policy principles of the </w:t>
      </w:r>
      <w:r w:rsidR="005456F1">
        <w:t xml:space="preserve">Ministerial </w:t>
      </w:r>
      <w:r>
        <w:t xml:space="preserve">Policy Guideline on </w:t>
      </w:r>
      <w:r w:rsidRPr="005456F1">
        <w:rPr>
          <w:i/>
        </w:rPr>
        <w:t xml:space="preserve">Fortification of food with </w:t>
      </w:r>
      <w:r w:rsidR="005456F1" w:rsidRPr="005456F1">
        <w:rPr>
          <w:i/>
        </w:rPr>
        <w:t xml:space="preserve">Vitamins </w:t>
      </w:r>
      <w:r w:rsidRPr="005456F1">
        <w:rPr>
          <w:i/>
        </w:rPr>
        <w:t xml:space="preserve">and </w:t>
      </w:r>
      <w:r w:rsidR="005456F1" w:rsidRPr="005456F1">
        <w:rPr>
          <w:i/>
        </w:rPr>
        <w:t>Minerals</w:t>
      </w:r>
      <w:r w:rsidRPr="005456F1">
        <w:t xml:space="preserve">. </w:t>
      </w:r>
    </w:p>
    <w:p w14:paraId="76F675CD" w14:textId="77777777" w:rsidR="004058C0" w:rsidRDefault="004058C0" w:rsidP="004058C0">
      <w:pPr>
        <w:rPr>
          <w:highlight w:val="yellow"/>
        </w:rPr>
      </w:pPr>
    </w:p>
    <w:p w14:paraId="68122644" w14:textId="4D493515" w:rsidR="004058C0" w:rsidRDefault="004058C0" w:rsidP="004058C0">
      <w:r>
        <w:t>FSANZ</w:t>
      </w:r>
      <w:r w:rsidR="005456F1">
        <w:t>’s</w:t>
      </w:r>
      <w:r>
        <w:t xml:space="preserve"> assessment concludes </w:t>
      </w:r>
      <w:r w:rsidRPr="003C6898">
        <w:t xml:space="preserve">that permitting the voluntary addition of </w:t>
      </w:r>
      <w:r>
        <w:t>vitamins and minerals to nut- and seed-based beverages</w:t>
      </w:r>
      <w:r w:rsidRPr="003C6898">
        <w:t xml:space="preserve"> </w:t>
      </w:r>
      <w:r>
        <w:t>satisfies</w:t>
      </w:r>
      <w:r w:rsidRPr="003C6898">
        <w:t xml:space="preserve"> the </w:t>
      </w:r>
      <w:r>
        <w:t>specific p</w:t>
      </w:r>
      <w:r w:rsidRPr="003C6898">
        <w:t xml:space="preserve">olicy </w:t>
      </w:r>
      <w:r>
        <w:t>p</w:t>
      </w:r>
      <w:r w:rsidRPr="003C6898">
        <w:t>rinciples for voluntary fortification o</w:t>
      </w:r>
      <w:r>
        <w:t xml:space="preserve">utlined in the Policy Guideline. </w:t>
      </w:r>
    </w:p>
    <w:p w14:paraId="06D039EE" w14:textId="77777777" w:rsidR="00092CDA" w:rsidRDefault="00092CDA" w:rsidP="00690206"/>
    <w:p w14:paraId="7D4B1269" w14:textId="77777777" w:rsidR="00092CDA" w:rsidRDefault="00092CDA" w:rsidP="00690206"/>
    <w:p w14:paraId="440E33C4" w14:textId="77777777" w:rsidR="00092CDA" w:rsidRDefault="00092CDA" w:rsidP="00690206">
      <w:pPr>
        <w:sectPr w:rsidR="00092CDA" w:rsidSect="006965D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342CC8BD" w14:textId="442C8504" w:rsidR="00543EB5" w:rsidRPr="00E96DE2" w:rsidRDefault="00543EB5" w:rsidP="00543EB5">
      <w:pPr>
        <w:rPr>
          <w:b/>
        </w:rPr>
      </w:pPr>
      <w:r w:rsidRPr="00E96DE2">
        <w:rPr>
          <w:b/>
        </w:rPr>
        <w:lastRenderedPageBreak/>
        <w:t xml:space="preserve">Specific order policy principles </w:t>
      </w:r>
    </w:p>
    <w:tbl>
      <w:tblPr>
        <w:tblStyle w:val="TableGrid"/>
        <w:tblW w:w="0" w:type="auto"/>
        <w:tblLook w:val="04A0" w:firstRow="1" w:lastRow="0" w:firstColumn="1" w:lastColumn="0" w:noHBand="0" w:noVBand="1"/>
      </w:tblPr>
      <w:tblGrid>
        <w:gridCol w:w="3510"/>
        <w:gridCol w:w="5732"/>
      </w:tblGrid>
      <w:tr w:rsidR="006972BB" w:rsidRPr="00D525CA" w14:paraId="0E3244A2" w14:textId="77777777" w:rsidTr="006972BB">
        <w:trPr>
          <w:tblHeader/>
        </w:trPr>
        <w:tc>
          <w:tcPr>
            <w:tcW w:w="3510" w:type="dxa"/>
          </w:tcPr>
          <w:p w14:paraId="21E838C3" w14:textId="728563A2" w:rsidR="00E96DE2" w:rsidRPr="00E96DE2" w:rsidRDefault="00E96DE2" w:rsidP="00E96DE2">
            <w:pPr>
              <w:autoSpaceDE w:val="0"/>
              <w:autoSpaceDN w:val="0"/>
              <w:adjustRightInd w:val="0"/>
              <w:rPr>
                <w:rFonts w:cs="Arial"/>
                <w:b/>
                <w:sz w:val="20"/>
                <w:szCs w:val="20"/>
              </w:rPr>
            </w:pPr>
            <w:r w:rsidRPr="00E96DE2">
              <w:rPr>
                <w:rFonts w:cs="Arial"/>
                <w:b/>
                <w:sz w:val="20"/>
                <w:szCs w:val="20"/>
              </w:rPr>
              <w:t>Specific order principle</w:t>
            </w:r>
          </w:p>
        </w:tc>
        <w:tc>
          <w:tcPr>
            <w:tcW w:w="5732" w:type="dxa"/>
          </w:tcPr>
          <w:p w14:paraId="64D65972" w14:textId="0E363EBC" w:rsidR="00E96DE2" w:rsidRPr="007B7422" w:rsidRDefault="00E96DE2" w:rsidP="008C7F40">
            <w:pPr>
              <w:rPr>
                <w:rFonts w:cs="Arial"/>
                <w:sz w:val="20"/>
                <w:szCs w:val="20"/>
              </w:rPr>
            </w:pPr>
          </w:p>
        </w:tc>
      </w:tr>
      <w:tr w:rsidR="006972BB" w:rsidRPr="00D525CA" w14:paraId="274A77F9" w14:textId="77777777" w:rsidTr="006972BB">
        <w:tc>
          <w:tcPr>
            <w:tcW w:w="3510" w:type="dxa"/>
          </w:tcPr>
          <w:p w14:paraId="351DDAF2" w14:textId="708F325C" w:rsidR="00543EB5" w:rsidRPr="007B7422" w:rsidRDefault="00543EB5" w:rsidP="008C7F40">
            <w:pPr>
              <w:autoSpaceDE w:val="0"/>
              <w:autoSpaceDN w:val="0"/>
              <w:adjustRightInd w:val="0"/>
              <w:rPr>
                <w:rFonts w:cs="Arial"/>
                <w:b/>
                <w:bCs/>
                <w:sz w:val="20"/>
                <w:szCs w:val="20"/>
              </w:rPr>
            </w:pPr>
            <w:r w:rsidRPr="007B7422">
              <w:rPr>
                <w:rFonts w:cs="Arial"/>
                <w:sz w:val="20"/>
                <w:szCs w:val="20"/>
              </w:rPr>
              <w:t xml:space="preserve">Where there is a need for increasing the intake of a vitamin or mineral in one or more population groups demonstrated by actual clinical or subclinical evidence of deficiency or by data indicating low levels of intake. </w:t>
            </w:r>
            <w:r w:rsidRPr="007B7422">
              <w:rPr>
                <w:rFonts w:cs="Arial"/>
                <w:b/>
                <w:bCs/>
                <w:sz w:val="20"/>
                <w:szCs w:val="20"/>
              </w:rPr>
              <w:t>or</w:t>
            </w:r>
          </w:p>
        </w:tc>
        <w:tc>
          <w:tcPr>
            <w:tcW w:w="5732" w:type="dxa"/>
          </w:tcPr>
          <w:p w14:paraId="5565390D" w14:textId="77777777" w:rsidR="00543EB5" w:rsidRPr="007B7422" w:rsidRDefault="00543EB5" w:rsidP="008C7F40">
            <w:pPr>
              <w:rPr>
                <w:rFonts w:cs="Arial"/>
                <w:sz w:val="20"/>
                <w:szCs w:val="20"/>
              </w:rPr>
            </w:pPr>
            <w:r w:rsidRPr="007B7422">
              <w:rPr>
                <w:rFonts w:cs="Arial"/>
                <w:sz w:val="20"/>
                <w:szCs w:val="20"/>
              </w:rPr>
              <w:t>Not applicable to this Application</w:t>
            </w:r>
          </w:p>
        </w:tc>
      </w:tr>
      <w:tr w:rsidR="006972BB" w:rsidRPr="00D525CA" w14:paraId="33622989" w14:textId="77777777" w:rsidTr="006972BB">
        <w:tc>
          <w:tcPr>
            <w:tcW w:w="3510" w:type="dxa"/>
          </w:tcPr>
          <w:p w14:paraId="6EE95389" w14:textId="77777777" w:rsidR="00543EB5" w:rsidRPr="007B7422" w:rsidRDefault="00543EB5" w:rsidP="008C7F40">
            <w:pPr>
              <w:rPr>
                <w:rFonts w:cs="Arial"/>
                <w:sz w:val="20"/>
                <w:szCs w:val="20"/>
              </w:rPr>
            </w:pPr>
            <w:r w:rsidRPr="007B7422">
              <w:rPr>
                <w:rFonts w:cs="Arial"/>
                <w:sz w:val="20"/>
                <w:szCs w:val="20"/>
              </w:rPr>
              <w:t xml:space="preserve">Where data indicates that deficiencies in the intake of a vitamin or mineral in one or more population groups are likely to develop because of changes taking place in food habits. </w:t>
            </w:r>
            <w:r w:rsidRPr="007B7422">
              <w:rPr>
                <w:rFonts w:cs="Arial"/>
                <w:b/>
                <w:bCs/>
                <w:sz w:val="20"/>
                <w:szCs w:val="20"/>
              </w:rPr>
              <w:t>or</w:t>
            </w:r>
          </w:p>
        </w:tc>
        <w:tc>
          <w:tcPr>
            <w:tcW w:w="5732" w:type="dxa"/>
          </w:tcPr>
          <w:p w14:paraId="0836A4EF" w14:textId="77777777" w:rsidR="00543EB5" w:rsidRPr="007B7422" w:rsidRDefault="00543EB5" w:rsidP="008C7F40">
            <w:pPr>
              <w:rPr>
                <w:rFonts w:cs="Arial"/>
                <w:sz w:val="20"/>
                <w:szCs w:val="20"/>
              </w:rPr>
            </w:pPr>
            <w:r w:rsidRPr="007B7422">
              <w:rPr>
                <w:rFonts w:cs="Arial"/>
                <w:sz w:val="20"/>
                <w:szCs w:val="20"/>
              </w:rPr>
              <w:t>Not applicable to this Application</w:t>
            </w:r>
          </w:p>
        </w:tc>
      </w:tr>
      <w:tr w:rsidR="006972BB" w:rsidRPr="00D525CA" w14:paraId="141AEBBE" w14:textId="77777777" w:rsidTr="006972BB">
        <w:tc>
          <w:tcPr>
            <w:tcW w:w="3510" w:type="dxa"/>
          </w:tcPr>
          <w:p w14:paraId="57E035E6" w14:textId="77777777" w:rsidR="00543EB5" w:rsidRPr="007B7422" w:rsidRDefault="00543EB5" w:rsidP="008C7F40">
            <w:pPr>
              <w:rPr>
                <w:rFonts w:cs="Arial"/>
                <w:sz w:val="20"/>
                <w:szCs w:val="20"/>
              </w:rPr>
            </w:pPr>
            <w:r w:rsidRPr="007B7422">
              <w:rPr>
                <w:rFonts w:cs="Arial"/>
                <w:sz w:val="20"/>
                <w:szCs w:val="20"/>
              </w:rPr>
              <w:t xml:space="preserve">Where there is generally accepted scientific evidence that an increase in the intake of a vitamin and/or mineral can deliver a health benefit. </w:t>
            </w:r>
            <w:r w:rsidRPr="007B7422">
              <w:rPr>
                <w:rFonts w:cs="Arial"/>
                <w:b/>
                <w:bCs/>
                <w:sz w:val="20"/>
                <w:szCs w:val="20"/>
              </w:rPr>
              <w:t>or</w:t>
            </w:r>
          </w:p>
        </w:tc>
        <w:tc>
          <w:tcPr>
            <w:tcW w:w="5732" w:type="dxa"/>
          </w:tcPr>
          <w:p w14:paraId="4F809D2F" w14:textId="77777777" w:rsidR="00543EB5" w:rsidRPr="007B7422" w:rsidRDefault="00543EB5" w:rsidP="008C7F40">
            <w:pPr>
              <w:rPr>
                <w:rFonts w:cs="Arial"/>
                <w:sz w:val="20"/>
                <w:szCs w:val="20"/>
              </w:rPr>
            </w:pPr>
            <w:r w:rsidRPr="007B7422">
              <w:rPr>
                <w:rFonts w:cs="Arial"/>
                <w:sz w:val="20"/>
                <w:szCs w:val="20"/>
              </w:rPr>
              <w:t>Not applicable to this Application</w:t>
            </w:r>
          </w:p>
        </w:tc>
      </w:tr>
      <w:tr w:rsidR="006972BB" w:rsidRPr="00D525CA" w14:paraId="74CB9B4A" w14:textId="77777777" w:rsidTr="006972BB">
        <w:tc>
          <w:tcPr>
            <w:tcW w:w="3510" w:type="dxa"/>
          </w:tcPr>
          <w:p w14:paraId="67D29F6E" w14:textId="77777777" w:rsidR="00543EB5" w:rsidRPr="007B7422" w:rsidRDefault="00543EB5" w:rsidP="008C7F40">
            <w:pPr>
              <w:rPr>
                <w:rFonts w:cs="Arial"/>
                <w:sz w:val="20"/>
                <w:szCs w:val="20"/>
              </w:rPr>
            </w:pPr>
            <w:r w:rsidRPr="007B7422">
              <w:rPr>
                <w:rFonts w:cs="Arial"/>
                <w:sz w:val="20"/>
                <w:szCs w:val="20"/>
              </w:rPr>
              <w:t xml:space="preserve">To enable the nutritional profile of foods to be maintained at pre-processing levels as far as possible after processing (through modified restoration2). </w:t>
            </w:r>
            <w:r w:rsidRPr="007B7422">
              <w:rPr>
                <w:rFonts w:cs="Arial"/>
                <w:b/>
                <w:bCs/>
                <w:sz w:val="20"/>
                <w:szCs w:val="20"/>
              </w:rPr>
              <w:t>or</w:t>
            </w:r>
          </w:p>
        </w:tc>
        <w:tc>
          <w:tcPr>
            <w:tcW w:w="5732" w:type="dxa"/>
          </w:tcPr>
          <w:p w14:paraId="163B1CC6" w14:textId="77777777" w:rsidR="00543EB5" w:rsidRPr="007B7422" w:rsidRDefault="00543EB5" w:rsidP="008C7F40">
            <w:pPr>
              <w:rPr>
                <w:rFonts w:cs="Arial"/>
                <w:sz w:val="20"/>
                <w:szCs w:val="20"/>
              </w:rPr>
            </w:pPr>
            <w:r w:rsidRPr="007B7422">
              <w:rPr>
                <w:rFonts w:cs="Arial"/>
                <w:sz w:val="20"/>
                <w:szCs w:val="20"/>
              </w:rPr>
              <w:t xml:space="preserve">Not </w:t>
            </w:r>
            <w:r>
              <w:rPr>
                <w:rFonts w:cs="Arial"/>
                <w:sz w:val="20"/>
                <w:szCs w:val="20"/>
              </w:rPr>
              <w:t>a</w:t>
            </w:r>
            <w:r w:rsidRPr="007B7422">
              <w:rPr>
                <w:rFonts w:cs="Arial"/>
                <w:sz w:val="20"/>
                <w:szCs w:val="20"/>
              </w:rPr>
              <w:t>pplicable to this Application</w:t>
            </w:r>
          </w:p>
        </w:tc>
      </w:tr>
      <w:tr w:rsidR="006972BB" w:rsidRPr="007B7422" w14:paraId="2F2F4626" w14:textId="77777777" w:rsidTr="006972BB">
        <w:tc>
          <w:tcPr>
            <w:tcW w:w="3510" w:type="dxa"/>
          </w:tcPr>
          <w:p w14:paraId="42114B09" w14:textId="77777777" w:rsidR="00543EB5" w:rsidRPr="007B7422" w:rsidRDefault="00543EB5" w:rsidP="008C7F40">
            <w:pPr>
              <w:autoSpaceDE w:val="0"/>
              <w:autoSpaceDN w:val="0"/>
              <w:adjustRightInd w:val="0"/>
              <w:rPr>
                <w:rFonts w:cs="Arial"/>
                <w:sz w:val="20"/>
                <w:szCs w:val="20"/>
              </w:rPr>
            </w:pPr>
            <w:r w:rsidRPr="007B7422">
              <w:rPr>
                <w:rFonts w:cs="Arial"/>
                <w:sz w:val="20"/>
                <w:szCs w:val="20"/>
              </w:rPr>
              <w:t>To enable the nutritional profile of specific substitute foods to be aligned with the primary food (through nutritional equivalence).</w:t>
            </w:r>
          </w:p>
          <w:p w14:paraId="2C787A5A" w14:textId="77777777" w:rsidR="00543EB5" w:rsidRPr="007B7422" w:rsidRDefault="00543EB5" w:rsidP="008C7F40">
            <w:pPr>
              <w:rPr>
                <w:rFonts w:cs="Arial"/>
                <w:sz w:val="20"/>
                <w:szCs w:val="20"/>
              </w:rPr>
            </w:pPr>
          </w:p>
        </w:tc>
        <w:tc>
          <w:tcPr>
            <w:tcW w:w="5732" w:type="dxa"/>
          </w:tcPr>
          <w:p w14:paraId="062FE68F" w14:textId="75472693" w:rsidR="0088528C" w:rsidRDefault="00F771B5" w:rsidP="0088528C">
            <w:pPr>
              <w:rPr>
                <w:rFonts w:cs="Arial"/>
                <w:sz w:val="20"/>
                <w:szCs w:val="20"/>
              </w:rPr>
            </w:pPr>
            <w:r>
              <w:rPr>
                <w:rFonts w:cs="Arial"/>
                <w:sz w:val="20"/>
                <w:szCs w:val="20"/>
              </w:rPr>
              <w:t>On the basis</w:t>
            </w:r>
            <w:r w:rsidR="006A4C16">
              <w:rPr>
                <w:rFonts w:cs="Arial"/>
                <w:sz w:val="20"/>
                <w:szCs w:val="20"/>
              </w:rPr>
              <w:t xml:space="preserve"> of consumer usage</w:t>
            </w:r>
            <w:r>
              <w:rPr>
                <w:rFonts w:cs="Arial"/>
                <w:sz w:val="20"/>
                <w:szCs w:val="20"/>
              </w:rPr>
              <w:t xml:space="preserve"> and market presentation,</w:t>
            </w:r>
            <w:r w:rsidR="006A4C16">
              <w:rPr>
                <w:rFonts w:cs="Arial"/>
                <w:sz w:val="20"/>
                <w:szCs w:val="20"/>
              </w:rPr>
              <w:t xml:space="preserve"> nut- and seed-based beverages are considered to be a substitute for milk</w:t>
            </w:r>
            <w:r w:rsidR="0088528C">
              <w:rPr>
                <w:rFonts w:cs="Arial"/>
                <w:sz w:val="20"/>
                <w:szCs w:val="20"/>
              </w:rPr>
              <w:t xml:space="preserve"> </w:t>
            </w:r>
            <w:r w:rsidR="0088528C" w:rsidRPr="00F45606">
              <w:rPr>
                <w:rFonts w:cs="Arial"/>
                <w:sz w:val="20"/>
                <w:szCs w:val="20"/>
              </w:rPr>
              <w:t xml:space="preserve">as the counterpart </w:t>
            </w:r>
            <w:r w:rsidR="00807245" w:rsidRPr="00F45606">
              <w:rPr>
                <w:rFonts w:cs="Arial"/>
                <w:sz w:val="20"/>
                <w:szCs w:val="20"/>
              </w:rPr>
              <w:t xml:space="preserve">and as a </w:t>
            </w:r>
            <w:r w:rsidR="0088528C" w:rsidRPr="00F45606">
              <w:rPr>
                <w:rFonts w:cs="Arial"/>
                <w:sz w:val="20"/>
                <w:szCs w:val="20"/>
              </w:rPr>
              <w:t>primary food</w:t>
            </w:r>
            <w:r w:rsidR="00807245" w:rsidRPr="00F45606">
              <w:rPr>
                <w:rFonts w:cs="Arial"/>
                <w:sz w:val="20"/>
                <w:szCs w:val="20"/>
              </w:rPr>
              <w:t xml:space="preserve"> listed in national dietary guidelines</w:t>
            </w:r>
            <w:r w:rsidR="0088528C">
              <w:rPr>
                <w:rFonts w:cs="Arial"/>
                <w:sz w:val="20"/>
                <w:szCs w:val="20"/>
              </w:rPr>
              <w:t>.</w:t>
            </w:r>
            <w:r w:rsidR="006A4C16">
              <w:rPr>
                <w:rFonts w:cs="Arial"/>
                <w:sz w:val="20"/>
                <w:szCs w:val="20"/>
              </w:rPr>
              <w:t xml:space="preserve"> </w:t>
            </w:r>
            <w:r w:rsidR="00994D7A">
              <w:rPr>
                <w:rFonts w:cs="Arial"/>
                <w:sz w:val="20"/>
                <w:szCs w:val="20"/>
              </w:rPr>
              <w:t>Permission to fortify</w:t>
            </w:r>
            <w:r w:rsidR="006A4C16">
              <w:rPr>
                <w:rFonts w:cs="Arial"/>
                <w:sz w:val="20"/>
                <w:szCs w:val="20"/>
              </w:rPr>
              <w:t xml:space="preserve"> </w:t>
            </w:r>
            <w:r>
              <w:rPr>
                <w:rFonts w:cs="Arial"/>
                <w:sz w:val="20"/>
                <w:szCs w:val="20"/>
              </w:rPr>
              <w:t xml:space="preserve">these </w:t>
            </w:r>
            <w:r w:rsidR="006A4C16">
              <w:rPr>
                <w:rFonts w:cs="Arial"/>
                <w:sz w:val="20"/>
                <w:szCs w:val="20"/>
              </w:rPr>
              <w:t>beverages</w:t>
            </w:r>
            <w:r w:rsidR="00543EB5">
              <w:rPr>
                <w:rFonts w:cs="Arial"/>
                <w:sz w:val="20"/>
                <w:szCs w:val="20"/>
              </w:rPr>
              <w:t xml:space="preserve"> would enable </w:t>
            </w:r>
            <w:r w:rsidR="006A4C16">
              <w:rPr>
                <w:rFonts w:cs="Arial"/>
                <w:sz w:val="20"/>
                <w:szCs w:val="20"/>
              </w:rPr>
              <w:t xml:space="preserve">their vitamin and mineral profile </w:t>
            </w:r>
            <w:r w:rsidR="00543EB5">
              <w:rPr>
                <w:rFonts w:cs="Arial"/>
                <w:sz w:val="20"/>
                <w:szCs w:val="20"/>
              </w:rPr>
              <w:t>to align</w:t>
            </w:r>
            <w:r w:rsidR="00994D7A">
              <w:rPr>
                <w:rFonts w:cs="Arial"/>
                <w:sz w:val="20"/>
                <w:szCs w:val="20"/>
              </w:rPr>
              <w:t xml:space="preserve"> with</w:t>
            </w:r>
            <w:r w:rsidR="00CD40E1">
              <w:rPr>
                <w:rFonts w:cs="Arial"/>
                <w:sz w:val="20"/>
                <w:szCs w:val="20"/>
              </w:rPr>
              <w:t xml:space="preserve"> that of</w:t>
            </w:r>
            <w:r w:rsidR="00994D7A">
              <w:rPr>
                <w:rFonts w:cs="Arial"/>
                <w:sz w:val="20"/>
                <w:szCs w:val="20"/>
              </w:rPr>
              <w:t xml:space="preserve"> full cream cow’s milk. </w:t>
            </w:r>
            <w:r w:rsidR="00994D7A" w:rsidRPr="007B7422">
              <w:rPr>
                <w:rFonts w:cs="Arial"/>
                <w:sz w:val="20"/>
                <w:szCs w:val="20"/>
              </w:rPr>
              <w:t xml:space="preserve">The </w:t>
            </w:r>
            <w:r w:rsidR="00543EB5" w:rsidRPr="007B7422">
              <w:rPr>
                <w:rFonts w:cs="Arial"/>
                <w:sz w:val="20"/>
                <w:szCs w:val="20"/>
              </w:rPr>
              <w:t xml:space="preserve">protein </w:t>
            </w:r>
            <w:r w:rsidR="00543EB5">
              <w:rPr>
                <w:rFonts w:cs="Arial"/>
                <w:sz w:val="20"/>
                <w:szCs w:val="20"/>
              </w:rPr>
              <w:t xml:space="preserve">and energy content of </w:t>
            </w:r>
            <w:r>
              <w:rPr>
                <w:rFonts w:cs="Arial"/>
                <w:sz w:val="20"/>
                <w:szCs w:val="20"/>
              </w:rPr>
              <w:t>these</w:t>
            </w:r>
            <w:r w:rsidR="00994D7A">
              <w:rPr>
                <w:rFonts w:cs="Arial"/>
                <w:sz w:val="20"/>
                <w:szCs w:val="20"/>
              </w:rPr>
              <w:t xml:space="preserve"> beverages is</w:t>
            </w:r>
            <w:r w:rsidR="00543EB5">
              <w:rPr>
                <w:rFonts w:cs="Arial"/>
                <w:sz w:val="20"/>
                <w:szCs w:val="20"/>
              </w:rPr>
              <w:t xml:space="preserve"> lower </w:t>
            </w:r>
            <w:r w:rsidR="006A4C16">
              <w:rPr>
                <w:rFonts w:cs="Arial"/>
                <w:sz w:val="20"/>
                <w:szCs w:val="20"/>
              </w:rPr>
              <w:t xml:space="preserve">than </w:t>
            </w:r>
            <w:r w:rsidR="00543EB5">
              <w:rPr>
                <w:rFonts w:cs="Arial"/>
                <w:sz w:val="20"/>
                <w:szCs w:val="20"/>
              </w:rPr>
              <w:t>full cream cow’s milk</w:t>
            </w:r>
            <w:r>
              <w:rPr>
                <w:rFonts w:cs="Arial"/>
                <w:sz w:val="20"/>
                <w:szCs w:val="20"/>
              </w:rPr>
              <w:t xml:space="preserve"> but</w:t>
            </w:r>
            <w:r w:rsidR="006A4C16">
              <w:rPr>
                <w:rFonts w:cs="Arial"/>
                <w:sz w:val="20"/>
                <w:szCs w:val="20"/>
              </w:rPr>
              <w:t xml:space="preserve"> </w:t>
            </w:r>
            <w:r>
              <w:rPr>
                <w:rFonts w:cs="Arial"/>
                <w:sz w:val="20"/>
                <w:szCs w:val="20"/>
              </w:rPr>
              <w:t>protein and energy</w:t>
            </w:r>
            <w:r w:rsidR="006A4C16">
              <w:rPr>
                <w:rFonts w:cs="Arial"/>
                <w:sz w:val="20"/>
                <w:szCs w:val="20"/>
              </w:rPr>
              <w:t xml:space="preserve"> could be increased through </w:t>
            </w:r>
            <w:r w:rsidR="009256B8">
              <w:rPr>
                <w:rFonts w:cs="Arial"/>
                <w:sz w:val="20"/>
                <w:szCs w:val="20"/>
              </w:rPr>
              <w:t xml:space="preserve">product </w:t>
            </w:r>
            <w:r w:rsidR="006A4C16">
              <w:rPr>
                <w:rFonts w:cs="Arial"/>
                <w:sz w:val="20"/>
                <w:szCs w:val="20"/>
              </w:rPr>
              <w:t>reformulation wi</w:t>
            </w:r>
            <w:r w:rsidR="00994D7A">
              <w:rPr>
                <w:rFonts w:cs="Arial"/>
                <w:sz w:val="20"/>
                <w:szCs w:val="20"/>
              </w:rPr>
              <w:t>thout regulatory approval</w:t>
            </w:r>
            <w:r w:rsidR="00543EB5">
              <w:rPr>
                <w:rFonts w:cs="Arial"/>
                <w:sz w:val="20"/>
                <w:szCs w:val="20"/>
              </w:rPr>
              <w:t xml:space="preserve">. </w:t>
            </w:r>
          </w:p>
          <w:p w14:paraId="158BCC74" w14:textId="76ACACB9" w:rsidR="00543EB5" w:rsidRPr="007B7422" w:rsidRDefault="00543EB5" w:rsidP="0088528C">
            <w:pPr>
              <w:rPr>
                <w:rFonts w:cs="Arial"/>
                <w:sz w:val="20"/>
                <w:szCs w:val="20"/>
              </w:rPr>
            </w:pPr>
          </w:p>
        </w:tc>
      </w:tr>
      <w:tr w:rsidR="006972BB" w:rsidRPr="007B7422" w14:paraId="75C47B3E" w14:textId="77777777" w:rsidTr="006972BB">
        <w:tc>
          <w:tcPr>
            <w:tcW w:w="3510" w:type="dxa"/>
          </w:tcPr>
          <w:p w14:paraId="43A2E8A3" w14:textId="77777777" w:rsidR="00543EB5" w:rsidRPr="007B7422" w:rsidRDefault="00543EB5" w:rsidP="008C7F40">
            <w:pPr>
              <w:rPr>
                <w:rFonts w:cs="Arial"/>
                <w:sz w:val="20"/>
                <w:szCs w:val="20"/>
              </w:rPr>
            </w:pPr>
            <w:r w:rsidRPr="007B7422">
              <w:rPr>
                <w:rFonts w:cs="Arial"/>
                <w:sz w:val="20"/>
                <w:szCs w:val="20"/>
              </w:rPr>
              <w:t>The permitted fortification has the potential to address the deficit or deliver the benefit to a population group that consumes the fortified food according to its reasonable intended use</w:t>
            </w:r>
          </w:p>
        </w:tc>
        <w:tc>
          <w:tcPr>
            <w:tcW w:w="5732" w:type="dxa"/>
          </w:tcPr>
          <w:p w14:paraId="596B3EED" w14:textId="77777777" w:rsidR="00543EB5" w:rsidRDefault="00994D7A" w:rsidP="00B93A8E">
            <w:pPr>
              <w:rPr>
                <w:rFonts w:cs="Arial"/>
                <w:sz w:val="20"/>
                <w:szCs w:val="20"/>
              </w:rPr>
            </w:pPr>
            <w:r>
              <w:rPr>
                <w:rFonts w:cs="Arial"/>
                <w:sz w:val="20"/>
                <w:szCs w:val="20"/>
              </w:rPr>
              <w:t xml:space="preserve">Data are presented that indicate non-dairy consumers have lower intakes than dairy consumers of </w:t>
            </w:r>
            <w:r w:rsidR="00B93A8E">
              <w:rPr>
                <w:rFonts w:cs="Arial"/>
                <w:sz w:val="20"/>
                <w:szCs w:val="20"/>
              </w:rPr>
              <w:t>many of the</w:t>
            </w:r>
            <w:r>
              <w:rPr>
                <w:rFonts w:cs="Arial"/>
                <w:sz w:val="20"/>
                <w:szCs w:val="20"/>
              </w:rPr>
              <w:t xml:space="preserve"> vitamins and minerals in milk. </w:t>
            </w:r>
            <w:r w:rsidR="00F771B5" w:rsidRPr="007B7422">
              <w:rPr>
                <w:rFonts w:cs="Arial"/>
                <w:sz w:val="20"/>
                <w:szCs w:val="20"/>
              </w:rPr>
              <w:t xml:space="preserve">Consumers </w:t>
            </w:r>
            <w:r w:rsidR="00543EB5" w:rsidRPr="007B7422">
              <w:rPr>
                <w:rFonts w:cs="Arial"/>
                <w:sz w:val="20"/>
                <w:szCs w:val="20"/>
              </w:rPr>
              <w:t xml:space="preserve">who choose fortified </w:t>
            </w:r>
            <w:r w:rsidR="00F771B5">
              <w:rPr>
                <w:rFonts w:cs="Arial"/>
                <w:sz w:val="20"/>
                <w:szCs w:val="20"/>
              </w:rPr>
              <w:t xml:space="preserve">nut- and seed-based beverages </w:t>
            </w:r>
            <w:r w:rsidR="00543EB5">
              <w:rPr>
                <w:rFonts w:cs="Arial"/>
                <w:sz w:val="20"/>
                <w:szCs w:val="20"/>
              </w:rPr>
              <w:t>would</w:t>
            </w:r>
            <w:r w:rsidR="00543EB5" w:rsidRPr="007B7422">
              <w:rPr>
                <w:rFonts w:cs="Arial"/>
                <w:sz w:val="20"/>
                <w:szCs w:val="20"/>
              </w:rPr>
              <w:t xml:space="preserve"> </w:t>
            </w:r>
            <w:r w:rsidR="00543EB5">
              <w:rPr>
                <w:rFonts w:cs="Arial"/>
                <w:sz w:val="20"/>
                <w:szCs w:val="20"/>
              </w:rPr>
              <w:t>consume</w:t>
            </w:r>
            <w:r w:rsidR="00543EB5" w:rsidRPr="007B7422">
              <w:rPr>
                <w:rFonts w:cs="Arial"/>
                <w:sz w:val="20"/>
                <w:szCs w:val="20"/>
              </w:rPr>
              <w:t xml:space="preserve"> the vitamins and minerals </w:t>
            </w:r>
            <w:r w:rsidR="00543EB5">
              <w:rPr>
                <w:rFonts w:cs="Arial"/>
                <w:sz w:val="20"/>
                <w:szCs w:val="20"/>
              </w:rPr>
              <w:t xml:space="preserve">in amounts </w:t>
            </w:r>
            <w:r w:rsidR="00543EB5" w:rsidRPr="007B7422">
              <w:rPr>
                <w:rFonts w:cs="Arial"/>
                <w:sz w:val="20"/>
                <w:szCs w:val="20"/>
              </w:rPr>
              <w:t xml:space="preserve">that they would otherwise </w:t>
            </w:r>
            <w:r w:rsidR="00F771B5">
              <w:rPr>
                <w:rFonts w:cs="Arial"/>
                <w:sz w:val="20"/>
                <w:szCs w:val="20"/>
              </w:rPr>
              <w:t>consume</w:t>
            </w:r>
            <w:r w:rsidR="00543EB5" w:rsidRPr="007B7422">
              <w:rPr>
                <w:rFonts w:cs="Arial"/>
                <w:sz w:val="20"/>
                <w:szCs w:val="20"/>
              </w:rPr>
              <w:t xml:space="preserve"> through milk</w:t>
            </w:r>
            <w:r w:rsidR="00543EB5">
              <w:rPr>
                <w:rFonts w:cs="Arial"/>
                <w:sz w:val="20"/>
                <w:szCs w:val="20"/>
              </w:rPr>
              <w:t xml:space="preserve"> or other fortified plant-based milk substitutes</w:t>
            </w:r>
            <w:r w:rsidR="00543EB5" w:rsidRPr="007B7422">
              <w:rPr>
                <w:rFonts w:cs="Arial"/>
                <w:sz w:val="20"/>
                <w:szCs w:val="20"/>
              </w:rPr>
              <w:t xml:space="preserve">. </w:t>
            </w:r>
          </w:p>
          <w:p w14:paraId="5BC37DF8" w14:textId="4063499E" w:rsidR="0088528C" w:rsidRPr="007B7422" w:rsidRDefault="0088528C" w:rsidP="00B93A8E">
            <w:pPr>
              <w:rPr>
                <w:rFonts w:cs="Arial"/>
                <w:sz w:val="20"/>
                <w:szCs w:val="20"/>
              </w:rPr>
            </w:pPr>
          </w:p>
        </w:tc>
      </w:tr>
      <w:tr w:rsidR="006972BB" w:rsidRPr="007B7422" w14:paraId="2BCB1075" w14:textId="77777777" w:rsidTr="006972BB">
        <w:trPr>
          <w:cantSplit/>
        </w:trPr>
        <w:tc>
          <w:tcPr>
            <w:tcW w:w="3510" w:type="dxa"/>
          </w:tcPr>
          <w:p w14:paraId="0DB8E5CC" w14:textId="77777777" w:rsidR="00543EB5" w:rsidRPr="007B7422" w:rsidRDefault="00543EB5" w:rsidP="008C7F40">
            <w:pPr>
              <w:autoSpaceDE w:val="0"/>
              <w:autoSpaceDN w:val="0"/>
              <w:adjustRightInd w:val="0"/>
              <w:rPr>
                <w:rFonts w:cs="Arial"/>
                <w:sz w:val="20"/>
                <w:szCs w:val="20"/>
              </w:rPr>
            </w:pPr>
            <w:r w:rsidRPr="007B7422">
              <w:rPr>
                <w:rFonts w:cs="Arial"/>
                <w:sz w:val="20"/>
                <w:szCs w:val="20"/>
              </w:rPr>
              <w:lastRenderedPageBreak/>
              <w:t>Permission to fortify should not promote consumption patterns inconsistent with the nutrition policies and guidelines of Australia and New Zealand</w:t>
            </w:r>
          </w:p>
        </w:tc>
        <w:tc>
          <w:tcPr>
            <w:tcW w:w="5732" w:type="dxa"/>
          </w:tcPr>
          <w:p w14:paraId="095488B9" w14:textId="0008A7A2" w:rsidR="00543EB5" w:rsidRDefault="0088528C" w:rsidP="008C7F40">
            <w:pPr>
              <w:rPr>
                <w:rFonts w:cs="Arial"/>
                <w:sz w:val="20"/>
                <w:szCs w:val="20"/>
              </w:rPr>
            </w:pPr>
            <w:r w:rsidRPr="00F45606">
              <w:rPr>
                <w:rFonts w:cs="Arial"/>
                <w:sz w:val="20"/>
                <w:szCs w:val="20"/>
              </w:rPr>
              <w:t>Calcium</w:t>
            </w:r>
            <w:r w:rsidR="00CC3A65" w:rsidRPr="00F45606">
              <w:rPr>
                <w:rFonts w:cs="Arial"/>
                <w:sz w:val="20"/>
                <w:szCs w:val="20"/>
              </w:rPr>
              <w:t>-</w:t>
            </w:r>
            <w:r w:rsidR="009256B8" w:rsidRPr="00F45606">
              <w:rPr>
                <w:rFonts w:cs="Arial"/>
                <w:sz w:val="20"/>
                <w:szCs w:val="20"/>
              </w:rPr>
              <w:t xml:space="preserve">fortified </w:t>
            </w:r>
            <w:r w:rsidR="00543EB5" w:rsidRPr="00F45606">
              <w:rPr>
                <w:rFonts w:cs="Arial"/>
                <w:sz w:val="20"/>
                <w:szCs w:val="20"/>
              </w:rPr>
              <w:t>milk substitutes</w:t>
            </w:r>
            <w:r w:rsidRPr="00F45606">
              <w:rPr>
                <w:rFonts w:cs="Arial"/>
                <w:sz w:val="20"/>
                <w:szCs w:val="20"/>
              </w:rPr>
              <w:t xml:space="preserve"> are included along with milk in</w:t>
            </w:r>
            <w:r w:rsidR="00CC3A65" w:rsidRPr="00F45606">
              <w:rPr>
                <w:rFonts w:cs="Arial"/>
                <w:sz w:val="20"/>
                <w:szCs w:val="20"/>
              </w:rPr>
              <w:t xml:space="preserve"> </w:t>
            </w:r>
            <w:r w:rsidR="00543EB5" w:rsidRPr="00F45606">
              <w:rPr>
                <w:rFonts w:cs="Arial"/>
                <w:sz w:val="20"/>
                <w:szCs w:val="20"/>
              </w:rPr>
              <w:t>one of five food group</w:t>
            </w:r>
            <w:r w:rsidR="005456F1" w:rsidRPr="00F45606">
              <w:rPr>
                <w:rFonts w:cs="Arial"/>
                <w:sz w:val="20"/>
                <w:szCs w:val="20"/>
              </w:rPr>
              <w:t>s</w:t>
            </w:r>
            <w:r w:rsidR="00543EB5" w:rsidRPr="00F45606">
              <w:rPr>
                <w:rFonts w:cs="Arial"/>
                <w:sz w:val="20"/>
                <w:szCs w:val="20"/>
              </w:rPr>
              <w:t xml:space="preserve"> in the Australian Guide to Healthy Eating</w:t>
            </w:r>
            <w:r w:rsidR="00B93A8E" w:rsidRPr="00F45606">
              <w:rPr>
                <w:rFonts w:cs="Arial"/>
                <w:sz w:val="20"/>
                <w:szCs w:val="20"/>
              </w:rPr>
              <w:t xml:space="preserve"> and </w:t>
            </w:r>
            <w:r w:rsidR="00CC3A65" w:rsidRPr="00F45606">
              <w:rPr>
                <w:rFonts w:cs="Arial"/>
                <w:sz w:val="20"/>
                <w:szCs w:val="20"/>
              </w:rPr>
              <w:t xml:space="preserve">in </w:t>
            </w:r>
            <w:r w:rsidR="00B93A8E" w:rsidRPr="00F45606">
              <w:rPr>
                <w:rFonts w:cs="Arial"/>
                <w:sz w:val="20"/>
                <w:szCs w:val="20"/>
              </w:rPr>
              <w:t xml:space="preserve">the </w:t>
            </w:r>
            <w:r w:rsidR="00144B5D" w:rsidRPr="00F45606">
              <w:rPr>
                <w:rFonts w:cs="Arial"/>
                <w:sz w:val="20"/>
                <w:szCs w:val="20"/>
              </w:rPr>
              <w:t>N</w:t>
            </w:r>
            <w:r w:rsidR="00B93A8E" w:rsidRPr="00F45606">
              <w:rPr>
                <w:rFonts w:cs="Arial"/>
                <w:sz w:val="20"/>
                <w:szCs w:val="20"/>
              </w:rPr>
              <w:t xml:space="preserve">ew </w:t>
            </w:r>
            <w:r w:rsidR="00144B5D" w:rsidRPr="00F45606">
              <w:rPr>
                <w:rFonts w:cs="Arial"/>
                <w:sz w:val="20"/>
                <w:szCs w:val="20"/>
              </w:rPr>
              <w:t>Z</w:t>
            </w:r>
            <w:r w:rsidR="00B93A8E" w:rsidRPr="00F45606">
              <w:rPr>
                <w:rFonts w:cs="Arial"/>
                <w:sz w:val="20"/>
                <w:szCs w:val="20"/>
              </w:rPr>
              <w:t>ealand</w:t>
            </w:r>
            <w:r w:rsidR="00144B5D" w:rsidRPr="00F45606">
              <w:rPr>
                <w:rFonts w:cs="Arial"/>
                <w:sz w:val="20"/>
                <w:szCs w:val="20"/>
              </w:rPr>
              <w:t xml:space="preserve"> </w:t>
            </w:r>
            <w:r w:rsidR="00F45606" w:rsidRPr="00F45606">
              <w:rPr>
                <w:rFonts w:cs="Arial"/>
                <w:sz w:val="20"/>
                <w:szCs w:val="20"/>
              </w:rPr>
              <w:t>Eating and Activity</w:t>
            </w:r>
            <w:r w:rsidR="0004183D" w:rsidRPr="00F45606">
              <w:rPr>
                <w:rFonts w:cs="Arial"/>
                <w:sz w:val="20"/>
                <w:szCs w:val="20"/>
              </w:rPr>
              <w:t xml:space="preserve"> Guidelines for </w:t>
            </w:r>
            <w:r w:rsidR="00F45606" w:rsidRPr="00F45606">
              <w:rPr>
                <w:rFonts w:cs="Arial"/>
                <w:sz w:val="20"/>
                <w:szCs w:val="20"/>
              </w:rPr>
              <w:t>New Zealand</w:t>
            </w:r>
            <w:r w:rsidR="0004183D" w:rsidRPr="00F45606">
              <w:rPr>
                <w:rFonts w:cs="Arial"/>
                <w:sz w:val="20"/>
                <w:szCs w:val="20"/>
              </w:rPr>
              <w:t xml:space="preserve"> Adults.</w:t>
            </w:r>
            <w:r w:rsidR="00144B5D" w:rsidRPr="00F45606">
              <w:rPr>
                <w:rFonts w:cs="Arial"/>
                <w:sz w:val="20"/>
                <w:szCs w:val="20"/>
              </w:rPr>
              <w:t xml:space="preserve"> </w:t>
            </w:r>
            <w:r w:rsidR="00CC3A65" w:rsidRPr="00F45606">
              <w:rPr>
                <w:rFonts w:cs="Arial"/>
                <w:sz w:val="20"/>
                <w:szCs w:val="20"/>
              </w:rPr>
              <w:t>Permitting fortification of</w:t>
            </w:r>
            <w:r w:rsidR="009256B8" w:rsidRPr="00F45606">
              <w:rPr>
                <w:rFonts w:cs="Arial"/>
                <w:sz w:val="20"/>
                <w:szCs w:val="20"/>
              </w:rPr>
              <w:t xml:space="preserve"> nut-and seed-based beverages </w:t>
            </w:r>
            <w:r w:rsidR="00CC3A65" w:rsidRPr="00F45606">
              <w:rPr>
                <w:rFonts w:cs="Arial"/>
                <w:sz w:val="20"/>
                <w:szCs w:val="20"/>
              </w:rPr>
              <w:t>provides for alignment of their vitamin</w:t>
            </w:r>
            <w:r w:rsidR="00CC3A65">
              <w:rPr>
                <w:rFonts w:cs="Arial"/>
                <w:sz w:val="20"/>
                <w:szCs w:val="20"/>
              </w:rPr>
              <w:t xml:space="preserve"> and mineral</w:t>
            </w:r>
            <w:r w:rsidR="009256B8" w:rsidRPr="009B17E4">
              <w:rPr>
                <w:rFonts w:cs="Arial"/>
                <w:sz w:val="20"/>
                <w:szCs w:val="20"/>
              </w:rPr>
              <w:t xml:space="preserve"> profile </w:t>
            </w:r>
            <w:r w:rsidR="00144B5D" w:rsidRPr="009B17E4">
              <w:rPr>
                <w:rFonts w:cs="Arial"/>
                <w:sz w:val="20"/>
                <w:szCs w:val="20"/>
              </w:rPr>
              <w:t>with</w:t>
            </w:r>
            <w:r w:rsidR="009256B8" w:rsidRPr="009B17E4">
              <w:rPr>
                <w:rFonts w:cs="Arial"/>
                <w:sz w:val="20"/>
                <w:szCs w:val="20"/>
              </w:rPr>
              <w:t xml:space="preserve"> milk</w:t>
            </w:r>
            <w:r w:rsidR="002950E0">
              <w:rPr>
                <w:rFonts w:cs="Arial"/>
                <w:sz w:val="20"/>
                <w:szCs w:val="20"/>
              </w:rPr>
              <w:t>.</w:t>
            </w:r>
          </w:p>
          <w:p w14:paraId="0B0DCADF" w14:textId="77777777" w:rsidR="00543EB5" w:rsidRDefault="00543EB5" w:rsidP="008C7F40">
            <w:pPr>
              <w:rPr>
                <w:rFonts w:cs="Arial"/>
                <w:sz w:val="20"/>
                <w:szCs w:val="20"/>
              </w:rPr>
            </w:pPr>
          </w:p>
          <w:p w14:paraId="020FDBB4" w14:textId="1BE1F93A" w:rsidR="00CD40E1" w:rsidRDefault="00CD40E1" w:rsidP="00CD40E1">
            <w:pPr>
              <w:rPr>
                <w:rFonts w:cs="Arial"/>
                <w:sz w:val="20"/>
                <w:szCs w:val="20"/>
              </w:rPr>
            </w:pPr>
            <w:r>
              <w:rPr>
                <w:rFonts w:cs="Arial"/>
                <w:sz w:val="20"/>
                <w:szCs w:val="20"/>
              </w:rPr>
              <w:t xml:space="preserve">Data are presented to show that some consumers may regard unfortified plant-based milk substitutes </w:t>
            </w:r>
            <w:r w:rsidR="0088528C">
              <w:rPr>
                <w:rFonts w:cs="Arial"/>
                <w:sz w:val="20"/>
                <w:szCs w:val="20"/>
              </w:rPr>
              <w:t xml:space="preserve">to be </w:t>
            </w:r>
            <w:r>
              <w:rPr>
                <w:rFonts w:cs="Arial"/>
                <w:sz w:val="20"/>
                <w:szCs w:val="20"/>
              </w:rPr>
              <w:t>as healthy as low fat milk and healthier than full cream milk. Fortifying these products would bring them into closer alignment with such consumer perceptions.</w:t>
            </w:r>
          </w:p>
          <w:p w14:paraId="356C45C2" w14:textId="77777777" w:rsidR="00CD40E1" w:rsidRDefault="00CD40E1" w:rsidP="00CD40E1">
            <w:pPr>
              <w:rPr>
                <w:rFonts w:cs="Arial"/>
                <w:sz w:val="20"/>
                <w:szCs w:val="20"/>
              </w:rPr>
            </w:pPr>
          </w:p>
          <w:p w14:paraId="2B2C8030" w14:textId="37CD6040" w:rsidR="00543EB5" w:rsidRDefault="00144B5D" w:rsidP="008C7F40">
            <w:pPr>
              <w:rPr>
                <w:rFonts w:cs="Arial"/>
                <w:sz w:val="20"/>
                <w:szCs w:val="20"/>
              </w:rPr>
            </w:pPr>
            <w:r>
              <w:rPr>
                <w:rFonts w:cs="Arial"/>
                <w:sz w:val="20"/>
                <w:szCs w:val="20"/>
              </w:rPr>
              <w:t xml:space="preserve">Permission to fortify will also require nut- and seed-based substitutes that are lower in protein or fat than full cream milk to </w:t>
            </w:r>
            <w:r w:rsidR="009B17E4">
              <w:rPr>
                <w:rFonts w:cs="Arial"/>
                <w:sz w:val="20"/>
                <w:szCs w:val="20"/>
              </w:rPr>
              <w:t>be labelled with an advisory statement that</w:t>
            </w:r>
            <w:r>
              <w:rPr>
                <w:rFonts w:cs="Arial"/>
                <w:sz w:val="20"/>
                <w:szCs w:val="20"/>
              </w:rPr>
              <w:t xml:space="preserve"> young children (aged up to </w:t>
            </w:r>
            <w:r w:rsidR="008C7F40">
              <w:rPr>
                <w:rFonts w:cs="Arial"/>
                <w:sz w:val="20"/>
                <w:szCs w:val="20"/>
              </w:rPr>
              <w:t>five</w:t>
            </w:r>
            <w:r>
              <w:rPr>
                <w:rFonts w:cs="Arial"/>
                <w:sz w:val="20"/>
                <w:szCs w:val="20"/>
              </w:rPr>
              <w:t xml:space="preserve"> or </w:t>
            </w:r>
            <w:r w:rsidR="008C7F40">
              <w:rPr>
                <w:rFonts w:cs="Arial"/>
                <w:sz w:val="20"/>
                <w:szCs w:val="20"/>
              </w:rPr>
              <w:t>two</w:t>
            </w:r>
            <w:r>
              <w:rPr>
                <w:rFonts w:cs="Arial"/>
                <w:sz w:val="20"/>
                <w:szCs w:val="20"/>
              </w:rPr>
              <w:t xml:space="preserve"> years respectively) </w:t>
            </w:r>
            <w:r w:rsidR="009B17E4">
              <w:rPr>
                <w:rFonts w:cs="Arial"/>
                <w:sz w:val="20"/>
                <w:szCs w:val="20"/>
              </w:rPr>
              <w:t xml:space="preserve">should not consume these </w:t>
            </w:r>
            <w:r w:rsidR="00994D7A">
              <w:rPr>
                <w:rFonts w:cs="Arial"/>
                <w:sz w:val="20"/>
                <w:szCs w:val="20"/>
              </w:rPr>
              <w:t>beverages.</w:t>
            </w:r>
            <w:r w:rsidR="009B17E4">
              <w:rPr>
                <w:rFonts w:cs="Arial"/>
                <w:sz w:val="20"/>
                <w:szCs w:val="20"/>
              </w:rPr>
              <w:t xml:space="preserve"> This requirement also applies to other plant-based milk substitutes to mitigate the risk of inadequate protein or energy intakes among this population group.</w:t>
            </w:r>
          </w:p>
          <w:p w14:paraId="653E8D99" w14:textId="77777777" w:rsidR="00543EB5" w:rsidRPr="007B7422" w:rsidRDefault="00543EB5" w:rsidP="008C7F40">
            <w:pPr>
              <w:rPr>
                <w:rFonts w:cs="Arial"/>
                <w:sz w:val="20"/>
                <w:szCs w:val="20"/>
              </w:rPr>
            </w:pPr>
          </w:p>
        </w:tc>
      </w:tr>
      <w:tr w:rsidR="006972BB" w:rsidRPr="007B7422" w14:paraId="377E970B" w14:textId="77777777" w:rsidTr="006972BB">
        <w:trPr>
          <w:cantSplit/>
        </w:trPr>
        <w:tc>
          <w:tcPr>
            <w:tcW w:w="3510" w:type="dxa"/>
          </w:tcPr>
          <w:p w14:paraId="2843253B" w14:textId="77A9C6CB" w:rsidR="00543EB5" w:rsidRPr="00C72C5D" w:rsidRDefault="00543EB5" w:rsidP="003A4756">
            <w:pPr>
              <w:autoSpaceDE w:val="0"/>
              <w:autoSpaceDN w:val="0"/>
              <w:adjustRightInd w:val="0"/>
              <w:rPr>
                <w:rFonts w:cs="Arial"/>
                <w:sz w:val="20"/>
                <w:szCs w:val="20"/>
              </w:rPr>
            </w:pPr>
            <w:r w:rsidRPr="00C72C5D">
              <w:rPr>
                <w:rFonts w:cs="Arial"/>
                <w:sz w:val="20"/>
                <w:szCs w:val="20"/>
              </w:rPr>
              <w:t>Permission to fortify should not promote increased consumption of foods high in salt, sugar or fat or foods with little or no nutritional value that have no other demonstrated health benefit.</w:t>
            </w:r>
          </w:p>
        </w:tc>
        <w:tc>
          <w:tcPr>
            <w:tcW w:w="5732" w:type="dxa"/>
          </w:tcPr>
          <w:p w14:paraId="3EB460CA" w14:textId="056DFC81" w:rsidR="00371F8B" w:rsidRPr="00C72C5D" w:rsidRDefault="00D84268" w:rsidP="00934AE1">
            <w:pPr>
              <w:rPr>
                <w:rFonts w:cs="Arial"/>
                <w:sz w:val="20"/>
                <w:szCs w:val="20"/>
              </w:rPr>
            </w:pPr>
            <w:r w:rsidRPr="00C72C5D">
              <w:rPr>
                <w:rFonts w:cs="Arial"/>
                <w:sz w:val="20"/>
                <w:szCs w:val="20"/>
              </w:rPr>
              <w:t>FSANZ consider</w:t>
            </w:r>
            <w:r w:rsidR="007710C1" w:rsidRPr="00C72C5D">
              <w:rPr>
                <w:rFonts w:cs="Arial"/>
                <w:sz w:val="20"/>
                <w:szCs w:val="20"/>
              </w:rPr>
              <w:t>s</w:t>
            </w:r>
            <w:r w:rsidRPr="00C72C5D">
              <w:rPr>
                <w:rFonts w:cs="Arial"/>
                <w:sz w:val="20"/>
                <w:szCs w:val="20"/>
              </w:rPr>
              <w:t xml:space="preserve"> that n</w:t>
            </w:r>
            <w:r w:rsidR="00576E6D" w:rsidRPr="00C72C5D">
              <w:rPr>
                <w:rFonts w:cs="Arial"/>
                <w:sz w:val="20"/>
                <w:szCs w:val="20"/>
              </w:rPr>
              <w:t xml:space="preserve">ut- and seed-based beverages are </w:t>
            </w:r>
            <w:r w:rsidR="007710C1" w:rsidRPr="00C72C5D">
              <w:rPr>
                <w:rFonts w:cs="Arial"/>
                <w:sz w:val="20"/>
                <w:szCs w:val="20"/>
              </w:rPr>
              <w:t xml:space="preserve">not </w:t>
            </w:r>
            <w:r w:rsidR="00576E6D" w:rsidRPr="00C72C5D">
              <w:rPr>
                <w:rFonts w:cs="Arial"/>
                <w:sz w:val="20"/>
                <w:szCs w:val="20"/>
              </w:rPr>
              <w:t xml:space="preserve">high in salt, sugar or fat. </w:t>
            </w:r>
            <w:r w:rsidR="003A4756" w:rsidRPr="00C72C5D">
              <w:rPr>
                <w:rFonts w:cs="Arial"/>
                <w:sz w:val="20"/>
                <w:szCs w:val="20"/>
              </w:rPr>
              <w:t xml:space="preserve">According </w:t>
            </w:r>
            <w:r w:rsidR="00371F8B" w:rsidRPr="00C72C5D">
              <w:rPr>
                <w:rFonts w:cs="Arial"/>
                <w:sz w:val="20"/>
                <w:szCs w:val="20"/>
              </w:rPr>
              <w:t>to the principle of nutritional equivalence</w:t>
            </w:r>
            <w:r w:rsidR="003A4756" w:rsidRPr="00C72C5D">
              <w:rPr>
                <w:rFonts w:cs="Arial"/>
                <w:sz w:val="20"/>
                <w:szCs w:val="20"/>
              </w:rPr>
              <w:t>, fortification is not approved unless</w:t>
            </w:r>
            <w:r w:rsidR="00371F8B" w:rsidRPr="00C72C5D">
              <w:rPr>
                <w:rFonts w:cs="Arial"/>
                <w:sz w:val="20"/>
                <w:szCs w:val="20"/>
              </w:rPr>
              <w:t xml:space="preserve"> </w:t>
            </w:r>
            <w:r w:rsidR="003A4756" w:rsidRPr="00C72C5D">
              <w:rPr>
                <w:rFonts w:cs="Arial"/>
                <w:sz w:val="20"/>
                <w:szCs w:val="20"/>
              </w:rPr>
              <w:t>the substitute food is</w:t>
            </w:r>
            <w:r w:rsidR="00371F8B" w:rsidRPr="00C72C5D">
              <w:rPr>
                <w:rFonts w:cs="Arial"/>
                <w:sz w:val="20"/>
                <w:szCs w:val="20"/>
              </w:rPr>
              <w:t xml:space="preserve"> nutritional</w:t>
            </w:r>
            <w:r w:rsidR="003A4756" w:rsidRPr="00C72C5D">
              <w:rPr>
                <w:rFonts w:cs="Arial"/>
                <w:sz w:val="20"/>
                <w:szCs w:val="20"/>
              </w:rPr>
              <w:t>ly</w:t>
            </w:r>
            <w:r w:rsidR="00371F8B" w:rsidRPr="00C72C5D">
              <w:rPr>
                <w:rFonts w:cs="Arial"/>
                <w:sz w:val="20"/>
                <w:szCs w:val="20"/>
              </w:rPr>
              <w:t xml:space="preserve"> inferior when compared to its counterpart </w:t>
            </w:r>
            <w:r w:rsidR="000854BE" w:rsidRPr="00C72C5D">
              <w:rPr>
                <w:rFonts w:cs="Arial"/>
                <w:sz w:val="20"/>
                <w:szCs w:val="20"/>
              </w:rPr>
              <w:t xml:space="preserve">primary </w:t>
            </w:r>
            <w:r w:rsidR="00371F8B" w:rsidRPr="00C72C5D">
              <w:rPr>
                <w:rFonts w:cs="Arial"/>
                <w:sz w:val="20"/>
                <w:szCs w:val="20"/>
              </w:rPr>
              <w:t xml:space="preserve">food. </w:t>
            </w:r>
          </w:p>
          <w:p w14:paraId="12A1FF26" w14:textId="77777777" w:rsidR="003A4756" w:rsidRPr="00C72C5D" w:rsidRDefault="003A4756" w:rsidP="008C7F40">
            <w:pPr>
              <w:rPr>
                <w:rFonts w:cs="Arial"/>
                <w:sz w:val="20"/>
                <w:szCs w:val="20"/>
              </w:rPr>
            </w:pPr>
          </w:p>
          <w:p w14:paraId="759C7DDF" w14:textId="77777777" w:rsidR="00681883" w:rsidRPr="00C72C5D" w:rsidRDefault="00681883" w:rsidP="00E355BF">
            <w:pPr>
              <w:rPr>
                <w:rFonts w:cs="Arial"/>
                <w:sz w:val="20"/>
                <w:szCs w:val="20"/>
              </w:rPr>
            </w:pPr>
            <w:r w:rsidRPr="00C72C5D">
              <w:rPr>
                <w:rFonts w:cs="Arial"/>
                <w:sz w:val="20"/>
                <w:szCs w:val="20"/>
              </w:rPr>
              <w:t xml:space="preserve">Nut- and seed-based beverages are an alternative to cow’s milk for those who choose not to consume or need to avoid milk. </w:t>
            </w:r>
          </w:p>
          <w:p w14:paraId="02B5EB40" w14:textId="77777777" w:rsidR="00681883" w:rsidRPr="00C72C5D" w:rsidRDefault="00681883" w:rsidP="00E355BF">
            <w:pPr>
              <w:rPr>
                <w:rFonts w:cs="Arial"/>
                <w:sz w:val="20"/>
                <w:szCs w:val="20"/>
              </w:rPr>
            </w:pPr>
          </w:p>
          <w:p w14:paraId="2C2A5262" w14:textId="4DCC99BC" w:rsidR="00543EB5" w:rsidRDefault="007710C1" w:rsidP="00E355BF">
            <w:pPr>
              <w:rPr>
                <w:rFonts w:cs="Arial"/>
                <w:sz w:val="20"/>
                <w:szCs w:val="20"/>
              </w:rPr>
            </w:pPr>
            <w:r w:rsidRPr="00C72C5D">
              <w:rPr>
                <w:rFonts w:cs="Arial"/>
                <w:sz w:val="20"/>
                <w:szCs w:val="20"/>
              </w:rPr>
              <w:t xml:space="preserve">Fortification </w:t>
            </w:r>
            <w:r w:rsidR="00681883" w:rsidRPr="00C72C5D">
              <w:rPr>
                <w:rFonts w:cs="Arial"/>
                <w:sz w:val="20"/>
                <w:szCs w:val="20"/>
              </w:rPr>
              <w:t xml:space="preserve">of nut- and seed-based beverages </w:t>
            </w:r>
            <w:r w:rsidR="006D1B35" w:rsidRPr="00C72C5D">
              <w:rPr>
                <w:rFonts w:cs="Arial"/>
                <w:sz w:val="20"/>
                <w:szCs w:val="20"/>
              </w:rPr>
              <w:t>with</w:t>
            </w:r>
            <w:r w:rsidRPr="00C72C5D">
              <w:rPr>
                <w:rFonts w:cs="Arial"/>
                <w:sz w:val="20"/>
                <w:szCs w:val="20"/>
              </w:rPr>
              <w:t xml:space="preserve"> all permitted vitamins and minerals </w:t>
            </w:r>
            <w:r w:rsidR="003A4756" w:rsidRPr="00C72C5D">
              <w:rPr>
                <w:rFonts w:cs="Arial"/>
                <w:sz w:val="20"/>
                <w:szCs w:val="20"/>
              </w:rPr>
              <w:t>would</w:t>
            </w:r>
            <w:r w:rsidR="00371F8B" w:rsidRPr="00C72C5D">
              <w:rPr>
                <w:rFonts w:cs="Arial"/>
                <w:sz w:val="20"/>
                <w:szCs w:val="20"/>
              </w:rPr>
              <w:t xml:space="preserve"> </w:t>
            </w:r>
            <w:r w:rsidR="003A4756" w:rsidRPr="00C72C5D">
              <w:rPr>
                <w:rFonts w:cs="Arial"/>
                <w:sz w:val="20"/>
                <w:szCs w:val="20"/>
              </w:rPr>
              <w:t>increase</w:t>
            </w:r>
            <w:r w:rsidR="00371F8B" w:rsidRPr="00C72C5D">
              <w:rPr>
                <w:rFonts w:cs="Arial"/>
                <w:sz w:val="20"/>
                <w:szCs w:val="20"/>
              </w:rPr>
              <w:t xml:space="preserve"> the</w:t>
            </w:r>
            <w:r w:rsidR="00681883" w:rsidRPr="00C72C5D">
              <w:rPr>
                <w:rFonts w:cs="Arial"/>
                <w:sz w:val="20"/>
                <w:szCs w:val="20"/>
              </w:rPr>
              <w:t>ir</w:t>
            </w:r>
            <w:r w:rsidR="00371F8B" w:rsidRPr="00C72C5D">
              <w:rPr>
                <w:rFonts w:cs="Arial"/>
                <w:sz w:val="20"/>
                <w:szCs w:val="20"/>
              </w:rPr>
              <w:t xml:space="preserve"> </w:t>
            </w:r>
            <w:r w:rsidR="00576E6D" w:rsidRPr="00C72C5D">
              <w:rPr>
                <w:rFonts w:cs="Arial"/>
                <w:sz w:val="20"/>
                <w:szCs w:val="20"/>
              </w:rPr>
              <w:t xml:space="preserve">micronutrient </w:t>
            </w:r>
            <w:r w:rsidR="00EC6E38" w:rsidRPr="00C72C5D">
              <w:rPr>
                <w:rFonts w:cs="Arial"/>
                <w:sz w:val="20"/>
                <w:szCs w:val="20"/>
              </w:rPr>
              <w:t>content</w:t>
            </w:r>
            <w:r w:rsidR="00371F8B" w:rsidRPr="00C72C5D">
              <w:rPr>
                <w:rFonts w:cs="Arial"/>
                <w:sz w:val="20"/>
                <w:szCs w:val="20"/>
              </w:rPr>
              <w:t xml:space="preserve"> to that of cow</w:t>
            </w:r>
            <w:r w:rsidR="00934AE1" w:rsidRPr="00C72C5D">
              <w:rPr>
                <w:rFonts w:cs="Arial"/>
                <w:sz w:val="20"/>
                <w:szCs w:val="20"/>
              </w:rPr>
              <w:t>’</w:t>
            </w:r>
            <w:r w:rsidR="00371F8B" w:rsidRPr="00C72C5D">
              <w:rPr>
                <w:rFonts w:cs="Arial"/>
                <w:sz w:val="20"/>
                <w:szCs w:val="20"/>
              </w:rPr>
              <w:t>s milk</w:t>
            </w:r>
            <w:r w:rsidR="00681883" w:rsidRPr="00C72C5D">
              <w:rPr>
                <w:rFonts w:cs="Arial"/>
                <w:sz w:val="20"/>
                <w:szCs w:val="20"/>
              </w:rPr>
              <w:t xml:space="preserve"> thereby improving nutrient intake of those who consume these beverages in place of milk. </w:t>
            </w:r>
          </w:p>
          <w:p w14:paraId="7C2F23D5" w14:textId="6EA74101" w:rsidR="00E355BF" w:rsidRPr="007B7422" w:rsidRDefault="00E355BF" w:rsidP="00E355BF">
            <w:pPr>
              <w:rPr>
                <w:rFonts w:cs="Arial"/>
                <w:sz w:val="20"/>
                <w:szCs w:val="20"/>
              </w:rPr>
            </w:pPr>
          </w:p>
        </w:tc>
      </w:tr>
      <w:tr w:rsidR="006972BB" w:rsidRPr="007B7422" w14:paraId="49D7FB2D" w14:textId="77777777" w:rsidTr="006972BB">
        <w:trPr>
          <w:cantSplit/>
        </w:trPr>
        <w:tc>
          <w:tcPr>
            <w:tcW w:w="3510" w:type="dxa"/>
          </w:tcPr>
          <w:p w14:paraId="0E7553CC" w14:textId="77777777" w:rsidR="00543EB5" w:rsidRPr="007B7422" w:rsidRDefault="00543EB5" w:rsidP="008C7F40">
            <w:pPr>
              <w:rPr>
                <w:rFonts w:cs="Arial"/>
                <w:sz w:val="20"/>
                <w:szCs w:val="20"/>
              </w:rPr>
            </w:pPr>
            <w:r w:rsidRPr="007B7422">
              <w:rPr>
                <w:rFonts w:cs="Arial"/>
                <w:sz w:val="20"/>
                <w:szCs w:val="20"/>
              </w:rPr>
              <w:t>Fortification will not be permitted in alcoholic beverages.</w:t>
            </w:r>
          </w:p>
        </w:tc>
        <w:tc>
          <w:tcPr>
            <w:tcW w:w="5732" w:type="dxa"/>
          </w:tcPr>
          <w:p w14:paraId="461C6192" w14:textId="77777777" w:rsidR="00543EB5" w:rsidRPr="007B7422" w:rsidRDefault="00543EB5" w:rsidP="008C7F40">
            <w:pPr>
              <w:rPr>
                <w:rFonts w:cs="Arial"/>
                <w:sz w:val="20"/>
                <w:szCs w:val="20"/>
              </w:rPr>
            </w:pPr>
            <w:r w:rsidRPr="007B7422">
              <w:rPr>
                <w:rFonts w:cs="Arial"/>
                <w:sz w:val="20"/>
                <w:szCs w:val="20"/>
              </w:rPr>
              <w:t xml:space="preserve">Not </w:t>
            </w:r>
            <w:r>
              <w:rPr>
                <w:rFonts w:cs="Arial"/>
                <w:sz w:val="20"/>
                <w:szCs w:val="20"/>
              </w:rPr>
              <w:t>a</w:t>
            </w:r>
            <w:r w:rsidRPr="007B7422">
              <w:rPr>
                <w:rFonts w:cs="Arial"/>
                <w:sz w:val="20"/>
                <w:szCs w:val="20"/>
              </w:rPr>
              <w:t xml:space="preserve">pplicable to this Application. </w:t>
            </w:r>
          </w:p>
        </w:tc>
      </w:tr>
      <w:tr w:rsidR="006972BB" w:rsidRPr="007B7422" w14:paraId="6C9DA3FD" w14:textId="77777777" w:rsidTr="006972BB">
        <w:trPr>
          <w:cantSplit/>
        </w:trPr>
        <w:tc>
          <w:tcPr>
            <w:tcW w:w="3510" w:type="dxa"/>
          </w:tcPr>
          <w:p w14:paraId="7DCBBEB7" w14:textId="77777777" w:rsidR="00543EB5" w:rsidRPr="007B7422" w:rsidRDefault="00543EB5" w:rsidP="008C7F40">
            <w:pPr>
              <w:keepNext/>
              <w:keepLines/>
              <w:autoSpaceDE w:val="0"/>
              <w:autoSpaceDN w:val="0"/>
              <w:adjustRightInd w:val="0"/>
              <w:rPr>
                <w:rFonts w:cs="Arial"/>
                <w:sz w:val="20"/>
                <w:szCs w:val="20"/>
              </w:rPr>
            </w:pPr>
            <w:r w:rsidRPr="007B7422">
              <w:rPr>
                <w:rFonts w:cs="Arial"/>
                <w:sz w:val="20"/>
                <w:szCs w:val="20"/>
              </w:rPr>
              <w:t>Permissions to fortify should ensure that the added vitamins and minerals are present in the food at levels which will not have the potential to result in detrimental excesses or imbalances of vitamins and minerals in the context of total intake across the general population</w:t>
            </w:r>
          </w:p>
        </w:tc>
        <w:tc>
          <w:tcPr>
            <w:tcW w:w="5732" w:type="dxa"/>
          </w:tcPr>
          <w:p w14:paraId="7295CF5C" w14:textId="23964B56" w:rsidR="0004183D" w:rsidRDefault="00DB754E" w:rsidP="00BA043E">
            <w:pPr>
              <w:keepNext/>
              <w:keepLines/>
              <w:rPr>
                <w:rFonts w:cs="Arial"/>
                <w:sz w:val="20"/>
                <w:szCs w:val="20"/>
              </w:rPr>
            </w:pPr>
            <w:r w:rsidRPr="007B7422">
              <w:rPr>
                <w:rFonts w:cs="Arial"/>
                <w:sz w:val="20"/>
                <w:szCs w:val="20"/>
              </w:rPr>
              <w:t xml:space="preserve">Consumers who choose fortified </w:t>
            </w:r>
            <w:r>
              <w:rPr>
                <w:rFonts w:cs="Arial"/>
                <w:sz w:val="20"/>
                <w:szCs w:val="20"/>
              </w:rPr>
              <w:t>nut- and seed-based beverages would</w:t>
            </w:r>
            <w:r w:rsidRPr="007B7422">
              <w:rPr>
                <w:rFonts w:cs="Arial"/>
                <w:sz w:val="20"/>
                <w:szCs w:val="20"/>
              </w:rPr>
              <w:t xml:space="preserve"> </w:t>
            </w:r>
            <w:r>
              <w:rPr>
                <w:rFonts w:cs="Arial"/>
                <w:sz w:val="20"/>
                <w:szCs w:val="20"/>
              </w:rPr>
              <w:t>consume</w:t>
            </w:r>
            <w:r w:rsidRPr="007B7422">
              <w:rPr>
                <w:rFonts w:cs="Arial"/>
                <w:sz w:val="20"/>
                <w:szCs w:val="20"/>
              </w:rPr>
              <w:t xml:space="preserve"> the vitamins and minerals </w:t>
            </w:r>
            <w:r>
              <w:rPr>
                <w:rFonts w:cs="Arial"/>
                <w:sz w:val="20"/>
                <w:szCs w:val="20"/>
              </w:rPr>
              <w:t xml:space="preserve">in amounts </w:t>
            </w:r>
            <w:r w:rsidRPr="007B7422">
              <w:rPr>
                <w:rFonts w:cs="Arial"/>
                <w:sz w:val="20"/>
                <w:szCs w:val="20"/>
              </w:rPr>
              <w:t xml:space="preserve">that they would otherwise </w:t>
            </w:r>
            <w:r>
              <w:rPr>
                <w:rFonts w:cs="Arial"/>
                <w:sz w:val="20"/>
                <w:szCs w:val="20"/>
              </w:rPr>
              <w:t>consume</w:t>
            </w:r>
            <w:r w:rsidRPr="007B7422">
              <w:rPr>
                <w:rFonts w:cs="Arial"/>
                <w:sz w:val="20"/>
                <w:szCs w:val="20"/>
              </w:rPr>
              <w:t xml:space="preserve"> </w:t>
            </w:r>
            <w:r w:rsidR="00CC3A65">
              <w:rPr>
                <w:rFonts w:cs="Arial"/>
                <w:sz w:val="20"/>
                <w:szCs w:val="20"/>
              </w:rPr>
              <w:t>from</w:t>
            </w:r>
            <w:r w:rsidRPr="007B7422">
              <w:rPr>
                <w:rFonts w:cs="Arial"/>
                <w:sz w:val="20"/>
                <w:szCs w:val="20"/>
              </w:rPr>
              <w:t xml:space="preserve"> milk</w:t>
            </w:r>
            <w:r>
              <w:rPr>
                <w:rFonts w:cs="Arial"/>
                <w:sz w:val="20"/>
                <w:szCs w:val="20"/>
              </w:rPr>
              <w:t xml:space="preserve"> or other fortified plant-based milk substitutes. From an assessment of the processing of nut- and seed-based beverages and the impact </w:t>
            </w:r>
            <w:r w:rsidRPr="00BA043E">
              <w:rPr>
                <w:rFonts w:cs="Arial"/>
                <w:sz w:val="20"/>
                <w:szCs w:val="20"/>
              </w:rPr>
              <w:t>on absorption</w:t>
            </w:r>
            <w:r>
              <w:rPr>
                <w:rFonts w:cs="Arial"/>
                <w:sz w:val="20"/>
                <w:szCs w:val="20"/>
              </w:rPr>
              <w:t xml:space="preserve"> of added vitamins and minerals, </w:t>
            </w:r>
            <w:r w:rsidR="00543EB5">
              <w:rPr>
                <w:rFonts w:cs="Arial"/>
                <w:sz w:val="20"/>
                <w:szCs w:val="20"/>
              </w:rPr>
              <w:t>the permission to fortify nut</w:t>
            </w:r>
            <w:r w:rsidR="005456F1">
              <w:rPr>
                <w:rFonts w:cs="Arial"/>
                <w:sz w:val="20"/>
                <w:szCs w:val="20"/>
              </w:rPr>
              <w:t>-</w:t>
            </w:r>
            <w:r w:rsidR="00543EB5">
              <w:rPr>
                <w:rFonts w:cs="Arial"/>
                <w:sz w:val="20"/>
                <w:szCs w:val="20"/>
              </w:rPr>
              <w:t xml:space="preserve"> and seed-based beverages is unlikely to result in detrimental excesses or imbalances of vitamins and minerals in the context of total intake across the general population. </w:t>
            </w:r>
          </w:p>
          <w:p w14:paraId="0C607CBA" w14:textId="7840FA00" w:rsidR="00543EB5" w:rsidRPr="007B7422" w:rsidRDefault="00543EB5" w:rsidP="00BA043E">
            <w:pPr>
              <w:keepNext/>
              <w:keepLines/>
              <w:rPr>
                <w:rFonts w:cs="Arial"/>
                <w:sz w:val="20"/>
                <w:szCs w:val="20"/>
              </w:rPr>
            </w:pPr>
          </w:p>
        </w:tc>
      </w:tr>
      <w:tr w:rsidR="006972BB" w:rsidRPr="007B7422" w14:paraId="1A13644B" w14:textId="77777777" w:rsidTr="006972BB">
        <w:trPr>
          <w:cantSplit/>
        </w:trPr>
        <w:tc>
          <w:tcPr>
            <w:tcW w:w="3510" w:type="dxa"/>
          </w:tcPr>
          <w:p w14:paraId="76A9187E" w14:textId="77777777" w:rsidR="00543EB5" w:rsidRPr="007B7422" w:rsidRDefault="00543EB5" w:rsidP="008C7F40">
            <w:pPr>
              <w:autoSpaceDE w:val="0"/>
              <w:autoSpaceDN w:val="0"/>
              <w:adjustRightInd w:val="0"/>
              <w:rPr>
                <w:rFonts w:cs="Arial"/>
                <w:sz w:val="20"/>
                <w:szCs w:val="20"/>
              </w:rPr>
            </w:pPr>
            <w:r w:rsidRPr="007B7422">
              <w:rPr>
                <w:rFonts w:cs="Arial"/>
                <w:sz w:val="20"/>
                <w:szCs w:val="20"/>
              </w:rPr>
              <w:t xml:space="preserve">The fortification of a food, and the amounts of </w:t>
            </w:r>
            <w:proofErr w:type="spellStart"/>
            <w:r w:rsidRPr="007B7422">
              <w:rPr>
                <w:rFonts w:cs="Arial"/>
                <w:sz w:val="20"/>
                <w:szCs w:val="20"/>
              </w:rPr>
              <w:t>fortificant</w:t>
            </w:r>
            <w:proofErr w:type="spellEnd"/>
            <w:r w:rsidRPr="007B7422">
              <w:rPr>
                <w:rFonts w:cs="Arial"/>
                <w:sz w:val="20"/>
                <w:szCs w:val="20"/>
              </w:rPr>
              <w:t xml:space="preserve"> in the food, should not mislead the consumer as to the nutritional quality of the fortified food.</w:t>
            </w:r>
          </w:p>
        </w:tc>
        <w:tc>
          <w:tcPr>
            <w:tcW w:w="5732" w:type="dxa"/>
          </w:tcPr>
          <w:p w14:paraId="501D9614" w14:textId="62F91EFE" w:rsidR="00543EB5" w:rsidRPr="007B7422" w:rsidRDefault="00B12AEF" w:rsidP="00C050AE">
            <w:pPr>
              <w:rPr>
                <w:rFonts w:cs="Arial"/>
                <w:sz w:val="20"/>
                <w:szCs w:val="20"/>
              </w:rPr>
            </w:pPr>
            <w:r>
              <w:rPr>
                <w:rFonts w:cs="Arial"/>
                <w:sz w:val="20"/>
                <w:szCs w:val="20"/>
              </w:rPr>
              <w:t xml:space="preserve">FSANZ notes that, although there is a definition of milk in the Code, </w:t>
            </w:r>
            <w:r w:rsidR="00A14C5C">
              <w:rPr>
                <w:rFonts w:cs="Arial"/>
                <w:sz w:val="20"/>
                <w:szCs w:val="20"/>
              </w:rPr>
              <w:t>e</w:t>
            </w:r>
            <w:r w:rsidR="00A14C5C" w:rsidRPr="00A14C5C">
              <w:rPr>
                <w:sz w:val="20"/>
                <w:szCs w:val="20"/>
              </w:rPr>
              <w:t xml:space="preserve">xisting provisions of the Code, such as section 1.1.1-13(4) permit the sale of </w:t>
            </w:r>
            <w:r>
              <w:rPr>
                <w:rFonts w:cs="Arial"/>
                <w:sz w:val="20"/>
                <w:szCs w:val="20"/>
              </w:rPr>
              <w:t xml:space="preserve">milk substitutes </w:t>
            </w:r>
            <w:r w:rsidR="00A14C5C">
              <w:rPr>
                <w:sz w:val="20"/>
                <w:szCs w:val="20"/>
              </w:rPr>
              <w:t xml:space="preserve">to be labelled </w:t>
            </w:r>
            <w:r w:rsidR="00A14C5C" w:rsidRPr="00A14C5C">
              <w:rPr>
                <w:sz w:val="20"/>
                <w:szCs w:val="20"/>
              </w:rPr>
              <w:t>as ‘milk</w:t>
            </w:r>
            <w:r w:rsidR="00A14C5C">
              <w:rPr>
                <w:sz w:val="20"/>
                <w:szCs w:val="20"/>
              </w:rPr>
              <w:t>s</w:t>
            </w:r>
            <w:r w:rsidR="00A14C5C" w:rsidRPr="00A14C5C">
              <w:rPr>
                <w:sz w:val="20"/>
                <w:szCs w:val="20"/>
              </w:rPr>
              <w:t>’</w:t>
            </w:r>
            <w:r w:rsidR="00A14C5C">
              <w:rPr>
                <w:sz w:val="20"/>
                <w:szCs w:val="20"/>
              </w:rPr>
              <w:t xml:space="preserve">. </w:t>
            </w:r>
            <w:r w:rsidR="00711DF3">
              <w:rPr>
                <w:rFonts w:cs="Arial"/>
                <w:sz w:val="20"/>
                <w:szCs w:val="20"/>
              </w:rPr>
              <w:t>Fortif</w:t>
            </w:r>
            <w:r w:rsidR="00A14C5C">
              <w:rPr>
                <w:rFonts w:cs="Arial"/>
                <w:sz w:val="20"/>
                <w:szCs w:val="20"/>
              </w:rPr>
              <w:t>ied</w:t>
            </w:r>
            <w:r w:rsidR="00711DF3">
              <w:rPr>
                <w:rFonts w:cs="Arial"/>
                <w:sz w:val="20"/>
                <w:szCs w:val="20"/>
              </w:rPr>
              <w:t xml:space="preserve"> </w:t>
            </w:r>
            <w:r w:rsidR="00A14C5C">
              <w:rPr>
                <w:rFonts w:cs="Arial"/>
                <w:sz w:val="20"/>
                <w:szCs w:val="20"/>
              </w:rPr>
              <w:t>milk substitutes</w:t>
            </w:r>
            <w:r w:rsidR="00711DF3">
              <w:rPr>
                <w:rFonts w:cs="Arial"/>
                <w:sz w:val="20"/>
                <w:szCs w:val="20"/>
              </w:rPr>
              <w:t xml:space="preserve"> would bring the</w:t>
            </w:r>
            <w:r w:rsidR="00A14C5C">
              <w:rPr>
                <w:rFonts w:cs="Arial"/>
                <w:sz w:val="20"/>
                <w:szCs w:val="20"/>
              </w:rPr>
              <w:t xml:space="preserve"> micronutrient composition</w:t>
            </w:r>
            <w:r w:rsidR="00711DF3">
              <w:rPr>
                <w:rFonts w:cs="Arial"/>
                <w:sz w:val="20"/>
                <w:szCs w:val="20"/>
              </w:rPr>
              <w:t xml:space="preserve"> into closer alignment with milk.</w:t>
            </w:r>
            <w:r>
              <w:rPr>
                <w:rFonts w:cs="Arial"/>
                <w:sz w:val="20"/>
                <w:szCs w:val="20"/>
              </w:rPr>
              <w:t xml:space="preserve"> </w:t>
            </w:r>
          </w:p>
        </w:tc>
      </w:tr>
      <w:tr w:rsidR="006972BB" w:rsidRPr="007B7422" w14:paraId="7A9BB1BB" w14:textId="77777777" w:rsidTr="006972BB">
        <w:trPr>
          <w:cantSplit/>
        </w:trPr>
        <w:tc>
          <w:tcPr>
            <w:tcW w:w="3510" w:type="dxa"/>
          </w:tcPr>
          <w:p w14:paraId="74FB61B7" w14:textId="77777777" w:rsidR="00543EB5" w:rsidRPr="007B7422" w:rsidRDefault="00543EB5" w:rsidP="008C7F40">
            <w:pPr>
              <w:autoSpaceDE w:val="0"/>
              <w:autoSpaceDN w:val="0"/>
              <w:adjustRightInd w:val="0"/>
              <w:rPr>
                <w:rFonts w:cs="Arial"/>
                <w:sz w:val="20"/>
                <w:szCs w:val="20"/>
              </w:rPr>
            </w:pPr>
            <w:r w:rsidRPr="007B7422">
              <w:rPr>
                <w:rFonts w:cs="Arial"/>
                <w:sz w:val="20"/>
                <w:szCs w:val="20"/>
              </w:rPr>
              <w:lastRenderedPageBreak/>
              <w:t>Labelling – There should be no specific labelling requirements for fortified food, with the same principles applying as to non-fortified foods. An added vitamin or mineral is required to be listed in the Nutrition Information Panel only if a claim is made about it and the vitamin or mineral is present at a level for which a claim would not be misleading. An added vitamin or mineral must be listed in the ingredient list under current labelling requirements</w:t>
            </w:r>
          </w:p>
        </w:tc>
        <w:tc>
          <w:tcPr>
            <w:tcW w:w="5732" w:type="dxa"/>
          </w:tcPr>
          <w:p w14:paraId="3AFAD3BD" w14:textId="00703A5F" w:rsidR="00711DF3" w:rsidRDefault="00711DF3" w:rsidP="00711DF3">
            <w:pPr>
              <w:rPr>
                <w:rFonts w:cs="Arial"/>
                <w:sz w:val="20"/>
                <w:szCs w:val="20"/>
              </w:rPr>
            </w:pPr>
            <w:r w:rsidRPr="007B7422">
              <w:rPr>
                <w:rFonts w:cs="Arial"/>
                <w:sz w:val="20"/>
                <w:szCs w:val="20"/>
              </w:rPr>
              <w:t xml:space="preserve">No specific labelling requirements are proposed with regards to the fortification permissions. </w:t>
            </w:r>
          </w:p>
          <w:p w14:paraId="6C7C0F8C" w14:textId="77777777" w:rsidR="00711DF3" w:rsidRPr="007B7422" w:rsidRDefault="00711DF3" w:rsidP="00711DF3">
            <w:pPr>
              <w:rPr>
                <w:rFonts w:cs="Arial"/>
                <w:sz w:val="20"/>
                <w:szCs w:val="20"/>
              </w:rPr>
            </w:pPr>
          </w:p>
          <w:p w14:paraId="58DE11D8" w14:textId="7180CAA2" w:rsidR="00B12AEF" w:rsidRDefault="00711DF3" w:rsidP="00711DF3">
            <w:pPr>
              <w:rPr>
                <w:rFonts w:cs="Arial"/>
                <w:sz w:val="20"/>
                <w:szCs w:val="20"/>
              </w:rPr>
            </w:pPr>
            <w:r>
              <w:rPr>
                <w:rFonts w:cs="Arial"/>
                <w:sz w:val="20"/>
                <w:szCs w:val="20"/>
              </w:rPr>
              <w:t xml:space="preserve">Protein </w:t>
            </w:r>
            <w:r w:rsidR="00B12AEF">
              <w:rPr>
                <w:rFonts w:cs="Arial"/>
                <w:sz w:val="20"/>
                <w:szCs w:val="20"/>
              </w:rPr>
              <w:t xml:space="preserve">and fat </w:t>
            </w:r>
            <w:r>
              <w:rPr>
                <w:rFonts w:cs="Arial"/>
                <w:sz w:val="20"/>
                <w:szCs w:val="20"/>
              </w:rPr>
              <w:t>must</w:t>
            </w:r>
            <w:r w:rsidR="00B12AEF">
              <w:rPr>
                <w:rFonts w:cs="Arial"/>
                <w:sz w:val="20"/>
                <w:szCs w:val="20"/>
              </w:rPr>
              <w:t xml:space="preserve"> be declared in the Nutrition </w:t>
            </w:r>
            <w:r>
              <w:rPr>
                <w:rFonts w:cs="Arial"/>
                <w:sz w:val="20"/>
                <w:szCs w:val="20"/>
              </w:rPr>
              <w:t>Information Panel</w:t>
            </w:r>
            <w:r w:rsidR="00BA043E">
              <w:rPr>
                <w:rFonts w:cs="Arial"/>
                <w:sz w:val="20"/>
                <w:szCs w:val="20"/>
              </w:rPr>
              <w:t xml:space="preserve">. </w:t>
            </w:r>
            <w:r>
              <w:rPr>
                <w:rFonts w:cs="Arial"/>
                <w:sz w:val="20"/>
                <w:szCs w:val="20"/>
              </w:rPr>
              <w:t xml:space="preserve">A </w:t>
            </w:r>
            <w:r w:rsidR="00B12AEF">
              <w:rPr>
                <w:rFonts w:cs="Arial"/>
                <w:sz w:val="20"/>
                <w:szCs w:val="20"/>
              </w:rPr>
              <w:t xml:space="preserve">vitamin and mineral, whether naturally occurring, through addition </w:t>
            </w:r>
            <w:r w:rsidR="00807245">
              <w:rPr>
                <w:rFonts w:cs="Arial"/>
                <w:sz w:val="20"/>
                <w:szCs w:val="20"/>
              </w:rPr>
              <w:t>as</w:t>
            </w:r>
            <w:r w:rsidR="00B12AEF">
              <w:rPr>
                <w:rFonts w:cs="Arial"/>
                <w:sz w:val="20"/>
                <w:szCs w:val="20"/>
              </w:rPr>
              <w:t xml:space="preserve"> a food additive or for nutritional reasons, may be declared providing that a minimum amount (10% RDI or ESADDI/200 mL) is present</w:t>
            </w:r>
            <w:r>
              <w:rPr>
                <w:rFonts w:cs="Arial"/>
                <w:sz w:val="20"/>
                <w:szCs w:val="20"/>
              </w:rPr>
              <w:t>.</w:t>
            </w:r>
            <w:r w:rsidR="00B12AEF">
              <w:rPr>
                <w:rFonts w:cs="Arial"/>
                <w:sz w:val="20"/>
                <w:szCs w:val="20"/>
              </w:rPr>
              <w:t xml:space="preserve"> Unfortified nut- and seed-based beverages do not meet these criteria except </w:t>
            </w:r>
            <w:r w:rsidR="00723B0C">
              <w:rPr>
                <w:rFonts w:cs="Arial"/>
                <w:sz w:val="20"/>
                <w:szCs w:val="20"/>
              </w:rPr>
              <w:t xml:space="preserve">where </w:t>
            </w:r>
            <w:r w:rsidR="00B12AEF">
              <w:rPr>
                <w:rFonts w:cs="Arial"/>
                <w:sz w:val="20"/>
                <w:szCs w:val="20"/>
              </w:rPr>
              <w:t>calcium is contributed by a food additive</w:t>
            </w:r>
            <w:r w:rsidR="00723B0C">
              <w:rPr>
                <w:rFonts w:cs="Arial"/>
                <w:sz w:val="20"/>
                <w:szCs w:val="20"/>
              </w:rPr>
              <w:t>,</w:t>
            </w:r>
            <w:r>
              <w:rPr>
                <w:rFonts w:cs="Arial"/>
                <w:sz w:val="20"/>
                <w:szCs w:val="20"/>
              </w:rPr>
              <w:t xml:space="preserve"> whereas the fortified food qualifies to declare </w:t>
            </w:r>
            <w:r w:rsidR="008C7F40">
              <w:rPr>
                <w:rFonts w:cs="Arial"/>
                <w:sz w:val="20"/>
                <w:szCs w:val="20"/>
              </w:rPr>
              <w:t>seven</w:t>
            </w:r>
            <w:r w:rsidR="00723B0C">
              <w:rPr>
                <w:rFonts w:cs="Arial"/>
                <w:sz w:val="20"/>
                <w:szCs w:val="20"/>
              </w:rPr>
              <w:t xml:space="preserve"> </w:t>
            </w:r>
            <w:r>
              <w:rPr>
                <w:rFonts w:cs="Arial"/>
                <w:sz w:val="20"/>
                <w:szCs w:val="20"/>
              </w:rPr>
              <w:t>vitamins and minerals</w:t>
            </w:r>
            <w:r w:rsidR="008C7F40">
              <w:rPr>
                <w:rFonts w:cs="Arial"/>
                <w:sz w:val="20"/>
                <w:szCs w:val="20"/>
              </w:rPr>
              <w:t xml:space="preserve"> </w:t>
            </w:r>
            <w:r w:rsidR="008C7F40" w:rsidRPr="00F45606">
              <w:rPr>
                <w:rFonts w:cs="Arial"/>
                <w:sz w:val="20"/>
                <w:szCs w:val="20"/>
              </w:rPr>
              <w:t>including calcium in higher amounts</w:t>
            </w:r>
            <w:r w:rsidRPr="00F45606">
              <w:rPr>
                <w:rFonts w:cs="Arial"/>
                <w:sz w:val="20"/>
                <w:szCs w:val="20"/>
              </w:rPr>
              <w:t>.</w:t>
            </w:r>
            <w:r>
              <w:rPr>
                <w:rFonts w:cs="Arial"/>
                <w:sz w:val="20"/>
                <w:szCs w:val="20"/>
              </w:rPr>
              <w:t xml:space="preserve"> Consumers could readily differentiate the two products by referring to this </w:t>
            </w:r>
            <w:r w:rsidR="00B551C6">
              <w:rPr>
                <w:rFonts w:cs="Arial"/>
                <w:sz w:val="20"/>
                <w:szCs w:val="20"/>
              </w:rPr>
              <w:t xml:space="preserve">declared </w:t>
            </w:r>
            <w:r>
              <w:rPr>
                <w:rFonts w:cs="Arial"/>
                <w:sz w:val="20"/>
                <w:szCs w:val="20"/>
              </w:rPr>
              <w:t>information</w:t>
            </w:r>
            <w:r w:rsidR="00B12AEF">
              <w:rPr>
                <w:rFonts w:cs="Arial"/>
                <w:sz w:val="20"/>
                <w:szCs w:val="20"/>
              </w:rPr>
              <w:t>.</w:t>
            </w:r>
            <w:r w:rsidR="00B12AEF" w:rsidRPr="007B7422">
              <w:rPr>
                <w:rFonts w:cs="Arial"/>
                <w:sz w:val="20"/>
                <w:szCs w:val="20"/>
              </w:rPr>
              <w:t xml:space="preserve"> </w:t>
            </w:r>
          </w:p>
          <w:p w14:paraId="48532AE4" w14:textId="77777777" w:rsidR="00543EB5" w:rsidRPr="007B7422" w:rsidRDefault="00543EB5" w:rsidP="008C7F40">
            <w:pPr>
              <w:rPr>
                <w:rFonts w:cs="Arial"/>
                <w:sz w:val="20"/>
                <w:szCs w:val="20"/>
              </w:rPr>
            </w:pPr>
          </w:p>
          <w:p w14:paraId="39A139A1" w14:textId="77777777" w:rsidR="00543EB5" w:rsidRDefault="00543EB5" w:rsidP="008C7F40">
            <w:pPr>
              <w:rPr>
                <w:rFonts w:cs="Arial"/>
                <w:sz w:val="20"/>
                <w:szCs w:val="20"/>
              </w:rPr>
            </w:pPr>
            <w:r w:rsidRPr="007B7422">
              <w:rPr>
                <w:rFonts w:cs="Arial"/>
                <w:sz w:val="20"/>
                <w:szCs w:val="20"/>
              </w:rPr>
              <w:t>As with other plant</w:t>
            </w:r>
            <w:r>
              <w:rPr>
                <w:rFonts w:cs="Arial"/>
                <w:sz w:val="20"/>
                <w:szCs w:val="20"/>
              </w:rPr>
              <w:t>-</w:t>
            </w:r>
            <w:r w:rsidRPr="007B7422">
              <w:rPr>
                <w:rFonts w:cs="Arial"/>
                <w:sz w:val="20"/>
                <w:szCs w:val="20"/>
              </w:rPr>
              <w:t>based beverages, advisory statement</w:t>
            </w:r>
            <w:r>
              <w:rPr>
                <w:rFonts w:cs="Arial"/>
                <w:sz w:val="20"/>
                <w:szCs w:val="20"/>
              </w:rPr>
              <w:t>s</w:t>
            </w:r>
            <w:r w:rsidRPr="007B7422">
              <w:rPr>
                <w:rFonts w:cs="Arial"/>
                <w:sz w:val="20"/>
                <w:szCs w:val="20"/>
              </w:rPr>
              <w:t xml:space="preserve"> will be required</w:t>
            </w:r>
            <w:r>
              <w:rPr>
                <w:rFonts w:cs="Arial"/>
                <w:sz w:val="20"/>
                <w:szCs w:val="20"/>
              </w:rPr>
              <w:t xml:space="preserve"> as follows:</w:t>
            </w:r>
          </w:p>
          <w:p w14:paraId="7BFBAD95" w14:textId="717593B5" w:rsidR="00D8239C" w:rsidRDefault="00543EB5" w:rsidP="00D8239C">
            <w:pPr>
              <w:pStyle w:val="ListParagraph"/>
              <w:numPr>
                <w:ilvl w:val="0"/>
                <w:numId w:val="50"/>
              </w:numPr>
              <w:ind w:left="317" w:hanging="283"/>
              <w:rPr>
                <w:rFonts w:cs="Arial"/>
                <w:sz w:val="20"/>
                <w:szCs w:val="20"/>
              </w:rPr>
            </w:pPr>
            <w:r w:rsidRPr="00F81DC3">
              <w:rPr>
                <w:rFonts w:cs="Arial"/>
                <w:sz w:val="20"/>
                <w:szCs w:val="20"/>
              </w:rPr>
              <w:t>A statement to the effect that the product is not suitable as a complete milk replacement for children under five years of age, due to the lower protein content</w:t>
            </w:r>
            <w:r w:rsidR="00D8239C">
              <w:rPr>
                <w:rFonts w:cs="Arial"/>
                <w:sz w:val="20"/>
                <w:szCs w:val="20"/>
              </w:rPr>
              <w:t>.</w:t>
            </w:r>
          </w:p>
          <w:p w14:paraId="74EA921F" w14:textId="77777777" w:rsidR="00543EB5" w:rsidRDefault="00543EB5" w:rsidP="00D8239C">
            <w:pPr>
              <w:pStyle w:val="ListParagraph"/>
              <w:numPr>
                <w:ilvl w:val="0"/>
                <w:numId w:val="50"/>
              </w:numPr>
              <w:ind w:left="317" w:hanging="283"/>
              <w:rPr>
                <w:rFonts w:cs="Arial"/>
                <w:sz w:val="20"/>
                <w:szCs w:val="20"/>
              </w:rPr>
            </w:pPr>
            <w:r w:rsidRPr="00F81DC3">
              <w:rPr>
                <w:rFonts w:cs="Arial"/>
                <w:sz w:val="20"/>
                <w:szCs w:val="20"/>
              </w:rPr>
              <w:t>A statement to the effect that the product is not suitable as a complete milk replacement for children under two years of age, if the protein content is above 3% m/m, but the fat content is less than 2.5%</w:t>
            </w:r>
            <w:r>
              <w:t> </w:t>
            </w:r>
            <w:r w:rsidRPr="00F81DC3">
              <w:rPr>
                <w:rFonts w:cs="Arial"/>
                <w:sz w:val="20"/>
                <w:szCs w:val="20"/>
              </w:rPr>
              <w:t>m/m.</w:t>
            </w:r>
          </w:p>
          <w:p w14:paraId="435A4F29" w14:textId="12B22542" w:rsidR="008C7F40" w:rsidRPr="00F81DC3" w:rsidRDefault="008C7F40" w:rsidP="00E355BF">
            <w:pPr>
              <w:pStyle w:val="ListParagraph"/>
              <w:ind w:left="317"/>
              <w:rPr>
                <w:rFonts w:cs="Arial"/>
                <w:sz w:val="20"/>
                <w:szCs w:val="20"/>
              </w:rPr>
            </w:pPr>
          </w:p>
        </w:tc>
      </w:tr>
      <w:tr w:rsidR="006972BB" w:rsidRPr="007B7422" w14:paraId="3FCD900D" w14:textId="77777777" w:rsidTr="006972BB">
        <w:trPr>
          <w:cantSplit/>
        </w:trPr>
        <w:tc>
          <w:tcPr>
            <w:tcW w:w="3510" w:type="dxa"/>
          </w:tcPr>
          <w:p w14:paraId="41FE4AF8" w14:textId="013F38E0" w:rsidR="00543EB5" w:rsidRPr="007B7422" w:rsidRDefault="00543EB5" w:rsidP="008C7F40">
            <w:pPr>
              <w:autoSpaceDE w:val="0"/>
              <w:autoSpaceDN w:val="0"/>
              <w:adjustRightInd w:val="0"/>
              <w:rPr>
                <w:rFonts w:cs="Arial"/>
                <w:sz w:val="20"/>
                <w:szCs w:val="20"/>
              </w:rPr>
            </w:pPr>
            <w:r w:rsidRPr="007B7422">
              <w:rPr>
                <w:rFonts w:cs="Arial"/>
                <w:sz w:val="20"/>
                <w:szCs w:val="20"/>
              </w:rPr>
              <w:t>Monitoring/Review - A permission to voluntary fortify should require that it be monitored and formally reviewed in terms of adoption by industry and the impact on the general intake of the vitamin/mineral</w:t>
            </w:r>
          </w:p>
        </w:tc>
        <w:tc>
          <w:tcPr>
            <w:tcW w:w="5732" w:type="dxa"/>
          </w:tcPr>
          <w:p w14:paraId="538EE57B" w14:textId="77777777" w:rsidR="00543EB5" w:rsidRDefault="00543EB5" w:rsidP="008C7F40">
            <w:pPr>
              <w:rPr>
                <w:rFonts w:cs="Arial"/>
                <w:sz w:val="20"/>
                <w:szCs w:val="20"/>
              </w:rPr>
            </w:pPr>
            <w:r>
              <w:rPr>
                <w:rFonts w:cs="Arial"/>
                <w:sz w:val="20"/>
                <w:szCs w:val="20"/>
              </w:rPr>
              <w:t xml:space="preserve">Monitoring and review of the market uptake of fortification permissions will occur through publically available market share reports. </w:t>
            </w:r>
          </w:p>
          <w:p w14:paraId="3D329238" w14:textId="77777777" w:rsidR="006D1B35" w:rsidRDefault="006D1B35" w:rsidP="008C7F40">
            <w:pPr>
              <w:rPr>
                <w:rFonts w:cs="Arial"/>
                <w:sz w:val="20"/>
                <w:szCs w:val="20"/>
              </w:rPr>
            </w:pPr>
          </w:p>
          <w:p w14:paraId="3388D591" w14:textId="5BA8CCB7" w:rsidR="00BE7303" w:rsidRDefault="00543EB5" w:rsidP="00BE7303">
            <w:pPr>
              <w:rPr>
                <w:rFonts w:cs="Arial"/>
                <w:sz w:val="20"/>
                <w:szCs w:val="20"/>
              </w:rPr>
            </w:pPr>
            <w:r>
              <w:rPr>
                <w:rFonts w:cs="Arial"/>
                <w:sz w:val="20"/>
                <w:szCs w:val="20"/>
              </w:rPr>
              <w:t xml:space="preserve">Closer monitoring of consumer uptake and impact of general intake of the added vitamins and minerals will be reliant on formal nutrition monitoring programs such as national nutrition surveys. </w:t>
            </w:r>
            <w:r w:rsidR="00BE7303">
              <w:rPr>
                <w:rFonts w:cs="Arial"/>
                <w:sz w:val="20"/>
                <w:szCs w:val="20"/>
              </w:rPr>
              <w:t xml:space="preserve">FSANZ notes </w:t>
            </w:r>
            <w:r w:rsidR="00B551C6">
              <w:rPr>
                <w:rFonts w:cs="Arial"/>
                <w:sz w:val="20"/>
                <w:szCs w:val="20"/>
              </w:rPr>
              <w:t>that the</w:t>
            </w:r>
            <w:r w:rsidR="00BE7303">
              <w:rPr>
                <w:rFonts w:cs="Arial"/>
                <w:sz w:val="20"/>
                <w:szCs w:val="20"/>
              </w:rPr>
              <w:t xml:space="preserve"> NSW submission </w:t>
            </w:r>
            <w:r w:rsidR="00B551C6">
              <w:rPr>
                <w:rFonts w:cs="Arial"/>
                <w:sz w:val="20"/>
                <w:szCs w:val="20"/>
              </w:rPr>
              <w:t xml:space="preserve">indicates that </w:t>
            </w:r>
            <w:r w:rsidR="00BE7303">
              <w:rPr>
                <w:rFonts w:cs="Arial"/>
                <w:sz w:val="20"/>
                <w:szCs w:val="20"/>
              </w:rPr>
              <w:t xml:space="preserve">a question on consumption of dairy alternative beverages </w:t>
            </w:r>
            <w:r w:rsidR="00B551C6">
              <w:rPr>
                <w:rFonts w:cs="Arial"/>
                <w:sz w:val="20"/>
                <w:szCs w:val="20"/>
              </w:rPr>
              <w:t xml:space="preserve">will be included </w:t>
            </w:r>
            <w:r w:rsidR="00BE7303">
              <w:rPr>
                <w:rFonts w:cs="Arial"/>
                <w:sz w:val="20"/>
                <w:szCs w:val="20"/>
              </w:rPr>
              <w:t xml:space="preserve">in the </w:t>
            </w:r>
            <w:r w:rsidR="00B551C6">
              <w:rPr>
                <w:rFonts w:cs="Arial"/>
                <w:sz w:val="20"/>
                <w:szCs w:val="20"/>
              </w:rPr>
              <w:t xml:space="preserve">next </w:t>
            </w:r>
            <w:r w:rsidR="00BE7303">
              <w:rPr>
                <w:rFonts w:cs="Arial"/>
                <w:sz w:val="20"/>
                <w:szCs w:val="20"/>
              </w:rPr>
              <w:t xml:space="preserve">NSW Population Health Survey </w:t>
            </w:r>
            <w:r w:rsidR="00B551C6">
              <w:rPr>
                <w:rFonts w:cs="Arial"/>
                <w:sz w:val="20"/>
                <w:szCs w:val="20"/>
              </w:rPr>
              <w:t>to report</w:t>
            </w:r>
            <w:r w:rsidR="00BE7303">
              <w:rPr>
                <w:rFonts w:cs="Arial"/>
                <w:sz w:val="20"/>
                <w:szCs w:val="20"/>
              </w:rPr>
              <w:t xml:space="preserve"> </w:t>
            </w:r>
            <w:r w:rsidR="005974C1">
              <w:rPr>
                <w:rFonts w:cs="Arial"/>
                <w:sz w:val="20"/>
                <w:szCs w:val="20"/>
              </w:rPr>
              <w:t xml:space="preserve">consumption </w:t>
            </w:r>
            <w:r w:rsidR="00BE7303">
              <w:rPr>
                <w:rFonts w:cs="Arial"/>
                <w:sz w:val="20"/>
                <w:szCs w:val="20"/>
              </w:rPr>
              <w:t xml:space="preserve">of these products </w:t>
            </w:r>
            <w:r w:rsidR="005974C1">
              <w:rPr>
                <w:rFonts w:cs="Arial"/>
                <w:sz w:val="20"/>
                <w:szCs w:val="20"/>
              </w:rPr>
              <w:t xml:space="preserve">for </w:t>
            </w:r>
            <w:r w:rsidR="00BE7303">
              <w:rPr>
                <w:rFonts w:cs="Arial"/>
                <w:sz w:val="20"/>
                <w:szCs w:val="20"/>
              </w:rPr>
              <w:t xml:space="preserve">children and adults. </w:t>
            </w:r>
          </w:p>
          <w:p w14:paraId="13730D2F" w14:textId="397FA2A4" w:rsidR="00543EB5" w:rsidRPr="007B7422" w:rsidRDefault="00543EB5" w:rsidP="008C7F40">
            <w:pPr>
              <w:rPr>
                <w:rFonts w:cs="Arial"/>
                <w:sz w:val="20"/>
                <w:szCs w:val="20"/>
              </w:rPr>
            </w:pPr>
          </w:p>
        </w:tc>
      </w:tr>
    </w:tbl>
    <w:p w14:paraId="4C1C239B" w14:textId="7631ABE1" w:rsidR="00543EB5" w:rsidRPr="007B7422" w:rsidRDefault="00543EB5" w:rsidP="00D84268">
      <w:pPr>
        <w:rPr>
          <w:rFonts w:cs="Arial"/>
          <w:sz w:val="20"/>
          <w:szCs w:val="20"/>
        </w:rPr>
      </w:pPr>
    </w:p>
    <w:sectPr w:rsidR="00543EB5" w:rsidRPr="007B7422" w:rsidSect="006965D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4C0B4" w14:textId="77777777" w:rsidR="00AA29CD" w:rsidRDefault="00AA29CD">
      <w:r>
        <w:separator/>
      </w:r>
    </w:p>
  </w:endnote>
  <w:endnote w:type="continuationSeparator" w:id="0">
    <w:p w14:paraId="106477A0" w14:textId="77777777" w:rsidR="00AA29CD" w:rsidRDefault="00AA29CD">
      <w:r>
        <w:continuationSeparator/>
      </w:r>
    </w:p>
  </w:endnote>
  <w:endnote w:type="continuationNotice" w:id="1">
    <w:p w14:paraId="3F22F39F" w14:textId="77777777" w:rsidR="00AA29CD" w:rsidRDefault="00AA2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3F1BB" w14:textId="77777777" w:rsidR="008C7F40" w:rsidRDefault="008C7F4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D90BD" w14:textId="77777777" w:rsidR="008C7F40" w:rsidRDefault="008C7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08DB9" w14:textId="77777777" w:rsidR="008C7F40" w:rsidRDefault="008C7F4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810">
      <w:rPr>
        <w:rStyle w:val="PageNumber"/>
        <w:noProof/>
      </w:rPr>
      <w:t>3</w:t>
    </w:r>
    <w:r>
      <w:rPr>
        <w:rStyle w:val="PageNumber"/>
      </w:rPr>
      <w:fldChar w:fldCharType="end"/>
    </w:r>
  </w:p>
  <w:p w14:paraId="2C79D6B0" w14:textId="77777777" w:rsidR="008C7F40" w:rsidRDefault="008C7F4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5277" w14:textId="77777777" w:rsidR="001325D0" w:rsidRDefault="00132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CDECA" w14:textId="77777777" w:rsidR="00AA29CD" w:rsidRDefault="00AA29CD">
      <w:r>
        <w:separator/>
      </w:r>
    </w:p>
  </w:footnote>
  <w:footnote w:type="continuationSeparator" w:id="0">
    <w:p w14:paraId="5460C0D5" w14:textId="77777777" w:rsidR="00AA29CD" w:rsidRDefault="00AA29CD">
      <w:r>
        <w:continuationSeparator/>
      </w:r>
    </w:p>
  </w:footnote>
  <w:footnote w:type="continuationNotice" w:id="1">
    <w:p w14:paraId="10920163" w14:textId="77777777" w:rsidR="00AA29CD" w:rsidRDefault="00AA29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0DB6" w14:textId="77777777" w:rsidR="001325D0" w:rsidRDefault="00132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E73CB" w14:textId="796C8667" w:rsidR="008C7F40" w:rsidRPr="001325D0" w:rsidRDefault="008C7F40" w:rsidP="001325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D5AC5" w14:textId="77777777" w:rsidR="008C7F40" w:rsidRDefault="008C7F40">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0E0"/>
    <w:lvl w:ilvl="0">
      <w:start w:val="1"/>
      <w:numFmt w:val="decimal"/>
      <w:lvlText w:val="%1."/>
      <w:lvlJc w:val="left"/>
      <w:pPr>
        <w:tabs>
          <w:tab w:val="num" w:pos="1492"/>
        </w:tabs>
        <w:ind w:left="1492" w:hanging="360"/>
      </w:pPr>
    </w:lvl>
  </w:abstractNum>
  <w:abstractNum w:abstractNumId="1">
    <w:nsid w:val="FFFFFF7D"/>
    <w:multiLevelType w:val="singleLevel"/>
    <w:tmpl w:val="4AF27BA6"/>
    <w:lvl w:ilvl="0">
      <w:start w:val="1"/>
      <w:numFmt w:val="decimal"/>
      <w:lvlText w:val="%1."/>
      <w:lvlJc w:val="left"/>
      <w:pPr>
        <w:tabs>
          <w:tab w:val="num" w:pos="1209"/>
        </w:tabs>
        <w:ind w:left="1209" w:hanging="360"/>
      </w:pPr>
    </w:lvl>
  </w:abstractNum>
  <w:abstractNum w:abstractNumId="2">
    <w:nsid w:val="FFFFFF7E"/>
    <w:multiLevelType w:val="singleLevel"/>
    <w:tmpl w:val="1BF4ADE8"/>
    <w:lvl w:ilvl="0">
      <w:start w:val="1"/>
      <w:numFmt w:val="decimal"/>
      <w:lvlText w:val="%1."/>
      <w:lvlJc w:val="left"/>
      <w:pPr>
        <w:tabs>
          <w:tab w:val="num" w:pos="926"/>
        </w:tabs>
        <w:ind w:left="926" w:hanging="360"/>
      </w:pPr>
    </w:lvl>
  </w:abstractNum>
  <w:abstractNum w:abstractNumId="3">
    <w:nsid w:val="FFFFFF7F"/>
    <w:multiLevelType w:val="singleLevel"/>
    <w:tmpl w:val="077091E8"/>
    <w:lvl w:ilvl="0">
      <w:start w:val="1"/>
      <w:numFmt w:val="decimal"/>
      <w:lvlText w:val="%1."/>
      <w:lvlJc w:val="left"/>
      <w:pPr>
        <w:tabs>
          <w:tab w:val="num" w:pos="643"/>
        </w:tabs>
        <w:ind w:left="643" w:hanging="360"/>
      </w:pPr>
    </w:lvl>
  </w:abstractNum>
  <w:abstractNum w:abstractNumId="4">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9A47CE"/>
    <w:lvl w:ilvl="0">
      <w:start w:val="1"/>
      <w:numFmt w:val="decimal"/>
      <w:lvlText w:val="%1."/>
      <w:lvlJc w:val="left"/>
      <w:pPr>
        <w:tabs>
          <w:tab w:val="num" w:pos="360"/>
        </w:tabs>
        <w:ind w:left="360" w:hanging="360"/>
      </w:pPr>
    </w:lvl>
  </w:abstractNum>
  <w:abstractNum w:abstractNumId="9">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3A6098"/>
    <w:multiLevelType w:val="hybridMultilevel"/>
    <w:tmpl w:val="C60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4">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40"/>
  </w:num>
  <w:num w:numId="14">
    <w:abstractNumId w:val="30"/>
  </w:num>
  <w:num w:numId="15">
    <w:abstractNumId w:val="39"/>
  </w:num>
  <w:num w:numId="16">
    <w:abstractNumId w:val="19"/>
  </w:num>
  <w:num w:numId="17">
    <w:abstractNumId w:val="13"/>
  </w:num>
  <w:num w:numId="18">
    <w:abstractNumId w:val="10"/>
  </w:num>
  <w:num w:numId="19">
    <w:abstractNumId w:val="33"/>
  </w:num>
  <w:num w:numId="20">
    <w:abstractNumId w:val="17"/>
  </w:num>
  <w:num w:numId="21">
    <w:abstractNumId w:val="43"/>
  </w:num>
  <w:num w:numId="22">
    <w:abstractNumId w:val="38"/>
  </w:num>
  <w:num w:numId="23">
    <w:abstractNumId w:val="21"/>
  </w:num>
  <w:num w:numId="24">
    <w:abstractNumId w:val="24"/>
  </w:num>
  <w:num w:numId="25">
    <w:abstractNumId w:val="37"/>
  </w:num>
  <w:num w:numId="26">
    <w:abstractNumId w:val="37"/>
  </w:num>
  <w:num w:numId="27">
    <w:abstractNumId w:val="29"/>
  </w:num>
  <w:num w:numId="28">
    <w:abstractNumId w:val="34"/>
  </w:num>
  <w:num w:numId="29">
    <w:abstractNumId w:val="35"/>
  </w:num>
  <w:num w:numId="30">
    <w:abstractNumId w:val="27"/>
  </w:num>
  <w:num w:numId="31">
    <w:abstractNumId w:val="25"/>
  </w:num>
  <w:num w:numId="32">
    <w:abstractNumId w:val="12"/>
  </w:num>
  <w:num w:numId="33">
    <w:abstractNumId w:val="18"/>
  </w:num>
  <w:num w:numId="34">
    <w:abstractNumId w:val="14"/>
  </w:num>
  <w:num w:numId="35">
    <w:abstractNumId w:val="31"/>
  </w:num>
  <w:num w:numId="36">
    <w:abstractNumId w:val="28"/>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6"/>
  </w:num>
  <w:num w:numId="48">
    <w:abstractNumId w:val="36"/>
  </w:num>
  <w:num w:numId="49">
    <w:abstractNumId w:val="2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4183D"/>
    <w:rsid w:val="00051021"/>
    <w:rsid w:val="00051ED9"/>
    <w:rsid w:val="00057181"/>
    <w:rsid w:val="0006473A"/>
    <w:rsid w:val="00064B2D"/>
    <w:rsid w:val="00065F1F"/>
    <w:rsid w:val="00076D33"/>
    <w:rsid w:val="000854BE"/>
    <w:rsid w:val="00092CDA"/>
    <w:rsid w:val="000A27E9"/>
    <w:rsid w:val="000A3D8B"/>
    <w:rsid w:val="000A5DF8"/>
    <w:rsid w:val="000B6AF2"/>
    <w:rsid w:val="000C36C1"/>
    <w:rsid w:val="000D6FD4"/>
    <w:rsid w:val="000E0AE4"/>
    <w:rsid w:val="000E3DBC"/>
    <w:rsid w:val="00113CE3"/>
    <w:rsid w:val="00117522"/>
    <w:rsid w:val="001325D0"/>
    <w:rsid w:val="00144B5D"/>
    <w:rsid w:val="00150810"/>
    <w:rsid w:val="001542D8"/>
    <w:rsid w:val="00180C41"/>
    <w:rsid w:val="00182C4C"/>
    <w:rsid w:val="00197D8D"/>
    <w:rsid w:val="001A1A75"/>
    <w:rsid w:val="001A7E9A"/>
    <w:rsid w:val="001C27A3"/>
    <w:rsid w:val="001C34DC"/>
    <w:rsid w:val="001C5295"/>
    <w:rsid w:val="001E09FA"/>
    <w:rsid w:val="00203540"/>
    <w:rsid w:val="0021612B"/>
    <w:rsid w:val="0022083A"/>
    <w:rsid w:val="00221D07"/>
    <w:rsid w:val="00227E4A"/>
    <w:rsid w:val="0024582E"/>
    <w:rsid w:val="00245C56"/>
    <w:rsid w:val="002547EF"/>
    <w:rsid w:val="00256D65"/>
    <w:rsid w:val="0026456F"/>
    <w:rsid w:val="00271F00"/>
    <w:rsid w:val="00273A80"/>
    <w:rsid w:val="0029204E"/>
    <w:rsid w:val="002950E0"/>
    <w:rsid w:val="0029631C"/>
    <w:rsid w:val="002A0194"/>
    <w:rsid w:val="002A5F8B"/>
    <w:rsid w:val="002A7F6C"/>
    <w:rsid w:val="002D6809"/>
    <w:rsid w:val="002F6488"/>
    <w:rsid w:val="003072B4"/>
    <w:rsid w:val="00320839"/>
    <w:rsid w:val="003213F9"/>
    <w:rsid w:val="00323DBF"/>
    <w:rsid w:val="003309A8"/>
    <w:rsid w:val="0033128D"/>
    <w:rsid w:val="00332B12"/>
    <w:rsid w:val="00351B07"/>
    <w:rsid w:val="00352CF2"/>
    <w:rsid w:val="00364841"/>
    <w:rsid w:val="00371B29"/>
    <w:rsid w:val="00371F8B"/>
    <w:rsid w:val="0037656B"/>
    <w:rsid w:val="00391769"/>
    <w:rsid w:val="003953E1"/>
    <w:rsid w:val="003956B3"/>
    <w:rsid w:val="003A4756"/>
    <w:rsid w:val="003A68BE"/>
    <w:rsid w:val="003B1805"/>
    <w:rsid w:val="003B3C9D"/>
    <w:rsid w:val="003B78E0"/>
    <w:rsid w:val="003C4969"/>
    <w:rsid w:val="003E41D5"/>
    <w:rsid w:val="003E46BA"/>
    <w:rsid w:val="003E7D22"/>
    <w:rsid w:val="003F74C1"/>
    <w:rsid w:val="004058C0"/>
    <w:rsid w:val="00405B1A"/>
    <w:rsid w:val="00410C76"/>
    <w:rsid w:val="00411907"/>
    <w:rsid w:val="00413CA8"/>
    <w:rsid w:val="00417EE3"/>
    <w:rsid w:val="004207EB"/>
    <w:rsid w:val="00437276"/>
    <w:rsid w:val="004563B8"/>
    <w:rsid w:val="00456B54"/>
    <w:rsid w:val="00464643"/>
    <w:rsid w:val="00486793"/>
    <w:rsid w:val="004A2037"/>
    <w:rsid w:val="004A3B78"/>
    <w:rsid w:val="004C2CE7"/>
    <w:rsid w:val="004F4F98"/>
    <w:rsid w:val="004F69F6"/>
    <w:rsid w:val="004F79AC"/>
    <w:rsid w:val="005017CF"/>
    <w:rsid w:val="005207D8"/>
    <w:rsid w:val="00524BBA"/>
    <w:rsid w:val="0053464E"/>
    <w:rsid w:val="00543EB5"/>
    <w:rsid w:val="005456F1"/>
    <w:rsid w:val="00562917"/>
    <w:rsid w:val="00576E6D"/>
    <w:rsid w:val="00586228"/>
    <w:rsid w:val="005974C1"/>
    <w:rsid w:val="005A1D97"/>
    <w:rsid w:val="005B6AF4"/>
    <w:rsid w:val="005B7A73"/>
    <w:rsid w:val="005C04CB"/>
    <w:rsid w:val="005D16AD"/>
    <w:rsid w:val="005D72E1"/>
    <w:rsid w:val="005E6E16"/>
    <w:rsid w:val="005F400E"/>
    <w:rsid w:val="005F7342"/>
    <w:rsid w:val="00603A08"/>
    <w:rsid w:val="00610A3C"/>
    <w:rsid w:val="00627F48"/>
    <w:rsid w:val="00630C23"/>
    <w:rsid w:val="006460AB"/>
    <w:rsid w:val="00663FCF"/>
    <w:rsid w:val="006652A2"/>
    <w:rsid w:val="00681883"/>
    <w:rsid w:val="00690206"/>
    <w:rsid w:val="006937FF"/>
    <w:rsid w:val="006965D6"/>
    <w:rsid w:val="006972BB"/>
    <w:rsid w:val="006A48A7"/>
    <w:rsid w:val="006A4C16"/>
    <w:rsid w:val="006B4BA1"/>
    <w:rsid w:val="006B53B2"/>
    <w:rsid w:val="006B5EBE"/>
    <w:rsid w:val="006C5CF5"/>
    <w:rsid w:val="006D1B35"/>
    <w:rsid w:val="006F4A82"/>
    <w:rsid w:val="0070373B"/>
    <w:rsid w:val="00711DF3"/>
    <w:rsid w:val="00723B0C"/>
    <w:rsid w:val="00724FA4"/>
    <w:rsid w:val="00730800"/>
    <w:rsid w:val="007602AA"/>
    <w:rsid w:val="007652EF"/>
    <w:rsid w:val="007710C1"/>
    <w:rsid w:val="00772BDC"/>
    <w:rsid w:val="00780792"/>
    <w:rsid w:val="007A44B4"/>
    <w:rsid w:val="007A7D3D"/>
    <w:rsid w:val="007B225D"/>
    <w:rsid w:val="007B39A9"/>
    <w:rsid w:val="007C174F"/>
    <w:rsid w:val="007C1C64"/>
    <w:rsid w:val="007D03EA"/>
    <w:rsid w:val="007D5C43"/>
    <w:rsid w:val="007E48BC"/>
    <w:rsid w:val="007E79F7"/>
    <w:rsid w:val="007F3630"/>
    <w:rsid w:val="00803AAC"/>
    <w:rsid w:val="00807245"/>
    <w:rsid w:val="00807559"/>
    <w:rsid w:val="00813C99"/>
    <w:rsid w:val="008450BC"/>
    <w:rsid w:val="0085334B"/>
    <w:rsid w:val="00870214"/>
    <w:rsid w:val="0088528C"/>
    <w:rsid w:val="00885C51"/>
    <w:rsid w:val="00885EB0"/>
    <w:rsid w:val="00891F4B"/>
    <w:rsid w:val="0089264A"/>
    <w:rsid w:val="00896B85"/>
    <w:rsid w:val="008A22BE"/>
    <w:rsid w:val="008C1B36"/>
    <w:rsid w:val="008C7F40"/>
    <w:rsid w:val="008D06C6"/>
    <w:rsid w:val="008E6250"/>
    <w:rsid w:val="00902AF6"/>
    <w:rsid w:val="00920249"/>
    <w:rsid w:val="00924C80"/>
    <w:rsid w:val="009256B8"/>
    <w:rsid w:val="00932F14"/>
    <w:rsid w:val="00934AE1"/>
    <w:rsid w:val="0094247F"/>
    <w:rsid w:val="00942D60"/>
    <w:rsid w:val="0096523B"/>
    <w:rsid w:val="00966EE3"/>
    <w:rsid w:val="00972D06"/>
    <w:rsid w:val="0099347F"/>
    <w:rsid w:val="00994D7A"/>
    <w:rsid w:val="0099608E"/>
    <w:rsid w:val="009A391C"/>
    <w:rsid w:val="009A50F2"/>
    <w:rsid w:val="009B17E4"/>
    <w:rsid w:val="009E0A61"/>
    <w:rsid w:val="009E3010"/>
    <w:rsid w:val="009F007E"/>
    <w:rsid w:val="009F7065"/>
    <w:rsid w:val="00A14C5C"/>
    <w:rsid w:val="00A16268"/>
    <w:rsid w:val="00A4175D"/>
    <w:rsid w:val="00A56DC7"/>
    <w:rsid w:val="00A74FD1"/>
    <w:rsid w:val="00A84A58"/>
    <w:rsid w:val="00AA22BE"/>
    <w:rsid w:val="00AA29CD"/>
    <w:rsid w:val="00AA39F7"/>
    <w:rsid w:val="00AF06FC"/>
    <w:rsid w:val="00AF3391"/>
    <w:rsid w:val="00AF387F"/>
    <w:rsid w:val="00B00E7F"/>
    <w:rsid w:val="00B12AEF"/>
    <w:rsid w:val="00B12F1E"/>
    <w:rsid w:val="00B173DA"/>
    <w:rsid w:val="00B21DCC"/>
    <w:rsid w:val="00B25F37"/>
    <w:rsid w:val="00B37BF0"/>
    <w:rsid w:val="00B44422"/>
    <w:rsid w:val="00B46EA0"/>
    <w:rsid w:val="00B551C6"/>
    <w:rsid w:val="00B731D3"/>
    <w:rsid w:val="00B80CE2"/>
    <w:rsid w:val="00B839A3"/>
    <w:rsid w:val="00B8523A"/>
    <w:rsid w:val="00B902BD"/>
    <w:rsid w:val="00B93A8E"/>
    <w:rsid w:val="00BA043E"/>
    <w:rsid w:val="00BA24E2"/>
    <w:rsid w:val="00BD2A39"/>
    <w:rsid w:val="00BD2E80"/>
    <w:rsid w:val="00BE11B8"/>
    <w:rsid w:val="00BE64B0"/>
    <w:rsid w:val="00BE7303"/>
    <w:rsid w:val="00BF7FF0"/>
    <w:rsid w:val="00C050AE"/>
    <w:rsid w:val="00C057F4"/>
    <w:rsid w:val="00C12502"/>
    <w:rsid w:val="00C36578"/>
    <w:rsid w:val="00C40AA5"/>
    <w:rsid w:val="00C46F70"/>
    <w:rsid w:val="00C476D0"/>
    <w:rsid w:val="00C61AC1"/>
    <w:rsid w:val="00C62850"/>
    <w:rsid w:val="00C72C5D"/>
    <w:rsid w:val="00C836E3"/>
    <w:rsid w:val="00C86577"/>
    <w:rsid w:val="00C92E07"/>
    <w:rsid w:val="00C96868"/>
    <w:rsid w:val="00CA0416"/>
    <w:rsid w:val="00CC3A65"/>
    <w:rsid w:val="00CC560B"/>
    <w:rsid w:val="00CC75E2"/>
    <w:rsid w:val="00CD40E1"/>
    <w:rsid w:val="00CD46EB"/>
    <w:rsid w:val="00CD7EBF"/>
    <w:rsid w:val="00D056F1"/>
    <w:rsid w:val="00D11171"/>
    <w:rsid w:val="00D17ABF"/>
    <w:rsid w:val="00D22F3C"/>
    <w:rsid w:val="00D23DB6"/>
    <w:rsid w:val="00D43FE6"/>
    <w:rsid w:val="00D51A95"/>
    <w:rsid w:val="00D60568"/>
    <w:rsid w:val="00D62A0B"/>
    <w:rsid w:val="00D70C7A"/>
    <w:rsid w:val="00D81D38"/>
    <w:rsid w:val="00D8239C"/>
    <w:rsid w:val="00D84268"/>
    <w:rsid w:val="00DA10A8"/>
    <w:rsid w:val="00DB1E08"/>
    <w:rsid w:val="00DB2973"/>
    <w:rsid w:val="00DB754E"/>
    <w:rsid w:val="00DC1B56"/>
    <w:rsid w:val="00DC2129"/>
    <w:rsid w:val="00DC6570"/>
    <w:rsid w:val="00DD3C5E"/>
    <w:rsid w:val="00DF25C3"/>
    <w:rsid w:val="00E04062"/>
    <w:rsid w:val="00E063C6"/>
    <w:rsid w:val="00E066BA"/>
    <w:rsid w:val="00E2003B"/>
    <w:rsid w:val="00E203C2"/>
    <w:rsid w:val="00E279D8"/>
    <w:rsid w:val="00E319B1"/>
    <w:rsid w:val="00E355BF"/>
    <w:rsid w:val="00E44E0D"/>
    <w:rsid w:val="00E5492F"/>
    <w:rsid w:val="00E62DEF"/>
    <w:rsid w:val="00E70A86"/>
    <w:rsid w:val="00E777EC"/>
    <w:rsid w:val="00E80FCD"/>
    <w:rsid w:val="00E96DE2"/>
    <w:rsid w:val="00EA7F2F"/>
    <w:rsid w:val="00EC00DE"/>
    <w:rsid w:val="00EC30E1"/>
    <w:rsid w:val="00EC6856"/>
    <w:rsid w:val="00EC6E38"/>
    <w:rsid w:val="00ED172A"/>
    <w:rsid w:val="00ED7B98"/>
    <w:rsid w:val="00F10E94"/>
    <w:rsid w:val="00F11F6C"/>
    <w:rsid w:val="00F14BEC"/>
    <w:rsid w:val="00F225C5"/>
    <w:rsid w:val="00F2587A"/>
    <w:rsid w:val="00F3715D"/>
    <w:rsid w:val="00F420C8"/>
    <w:rsid w:val="00F42A4C"/>
    <w:rsid w:val="00F45606"/>
    <w:rsid w:val="00F604DE"/>
    <w:rsid w:val="00F771B5"/>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C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543EB5"/>
    <w:pPr>
      <w:keepNext/>
      <w:spacing w:before="240" w:after="240"/>
      <w:jc w:val="center"/>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543EB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rsid w:val="00543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543EB5"/>
    <w:pPr>
      <w:keepNext/>
      <w:spacing w:before="240" w:after="240"/>
      <w:jc w:val="center"/>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543EB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rsid w:val="00543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E32A04-F1F4-488F-A79F-E4EFB9501518}"/>
</file>

<file path=customXml/itemProps2.xml><?xml version="1.0" encoding="utf-8"?>
<ds:datastoreItem xmlns:ds="http://schemas.openxmlformats.org/officeDocument/2006/customXml" ds:itemID="{CEB10420-2F0E-4AE5-9752-750397FA0529}"/>
</file>

<file path=customXml/itemProps3.xml><?xml version="1.0" encoding="utf-8"?>
<ds:datastoreItem xmlns:ds="http://schemas.openxmlformats.org/officeDocument/2006/customXml" ds:itemID="{6D26A380-E03E-4BAF-8162-C93AF70C001D}"/>
</file>

<file path=customXml/itemProps4.xml><?xml version="1.0" encoding="utf-8"?>
<ds:datastoreItem xmlns:ds="http://schemas.openxmlformats.org/officeDocument/2006/customXml" ds:itemID="{71DDAF2A-2117-4547-B399-680CB87A93CE}"/>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A1104-AppR-SD2</dc:title>
  <dc:creator/>
  <cp:lastModifiedBy/>
  <cp:revision>1</cp:revision>
  <dcterms:created xsi:type="dcterms:W3CDTF">2015-12-07T23:32:00Z</dcterms:created>
  <dcterms:modified xsi:type="dcterms:W3CDTF">2015-12-07T23:34:00Z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