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FA3666" w14:textId="6A1F1C19" w:rsidR="009A51A2" w:rsidRDefault="009A51A2" w:rsidP="00F14DD2">
      <w:bookmarkStart w:id="0" w:name="_GoBack"/>
      <w:bookmarkEnd w:id="0"/>
      <w:r>
        <w:rPr>
          <w:noProof/>
          <w:lang w:eastAsia="en-GB" w:bidi="ar-SA"/>
        </w:rPr>
        <w:drawing>
          <wp:inline distT="0" distB="0" distL="0" distR="0" wp14:anchorId="1FA1DD02" wp14:editId="4685CF30">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F05AF22" w14:textId="77777777" w:rsidR="009A51A2" w:rsidRDefault="009A51A2" w:rsidP="00F14DD2"/>
    <w:p w14:paraId="181CA184" w14:textId="77777777" w:rsidR="009A51A2" w:rsidRPr="00C35D04" w:rsidRDefault="009A51A2" w:rsidP="00F14DD2">
      <w:pPr>
        <w:pStyle w:val="FSTitle"/>
        <w:rPr>
          <w:b/>
        </w:rPr>
      </w:pPr>
      <w:r w:rsidRPr="00C35D04">
        <w:rPr>
          <w:b/>
        </w:rPr>
        <w:t>Supporting document 1</w:t>
      </w:r>
    </w:p>
    <w:p w14:paraId="1D6D09AA" w14:textId="77777777" w:rsidR="009A51A2" w:rsidRDefault="009A51A2" w:rsidP="00F14DD2"/>
    <w:p w14:paraId="7B1887E2" w14:textId="77777777" w:rsidR="009A51A2" w:rsidRPr="00C35D04" w:rsidRDefault="009A51A2" w:rsidP="00F14DD2">
      <w:pPr>
        <w:pStyle w:val="FSTitle"/>
      </w:pPr>
      <w:r w:rsidRPr="00C35D04">
        <w:t>Risk and technical assessment report – Application A1107</w:t>
      </w:r>
    </w:p>
    <w:p w14:paraId="7721F417" w14:textId="77777777" w:rsidR="009A51A2" w:rsidRPr="00690206" w:rsidRDefault="009A51A2" w:rsidP="00F14DD2"/>
    <w:p w14:paraId="6C9E1475" w14:textId="77777777" w:rsidR="009A51A2" w:rsidRPr="00C35D04" w:rsidRDefault="009A51A2" w:rsidP="00F14DD2">
      <w:pPr>
        <w:pStyle w:val="FSTitle"/>
      </w:pPr>
      <w:r w:rsidRPr="00C35D04">
        <w:t xml:space="preserve">Asparaginase from </w:t>
      </w:r>
      <w:r w:rsidRPr="00C35D04">
        <w:rPr>
          <w:i/>
        </w:rPr>
        <w:t>Bacillus subtilis</w:t>
      </w:r>
      <w:r w:rsidRPr="00C35D04">
        <w:t xml:space="preserve"> as a Processing Aid (Enzyme)</w:t>
      </w:r>
    </w:p>
    <w:p w14:paraId="0783C152" w14:textId="77777777" w:rsidR="009A51A2" w:rsidRPr="00B37BF0" w:rsidRDefault="009A51A2" w:rsidP="00F14DD2">
      <w:pPr>
        <w:pBdr>
          <w:bottom w:val="single" w:sz="12" w:space="1" w:color="auto"/>
        </w:pBdr>
        <w:spacing w:line="280" w:lineRule="exact"/>
        <w:rPr>
          <w:rFonts w:cs="Arial"/>
          <w:bCs/>
        </w:rPr>
      </w:pPr>
    </w:p>
    <w:p w14:paraId="649C2128" w14:textId="77777777" w:rsidR="009A51A2" w:rsidRPr="00B37BF0" w:rsidRDefault="009A51A2" w:rsidP="00F14DD2"/>
    <w:p w14:paraId="54B0E87A" w14:textId="77777777" w:rsidR="009A51A2" w:rsidRPr="00092CDA" w:rsidRDefault="009A51A2" w:rsidP="00F14863">
      <w:pPr>
        <w:pStyle w:val="Heading1"/>
      </w:pPr>
      <w:bookmarkStart w:id="1" w:name="_Toc286391001"/>
      <w:bookmarkStart w:id="2" w:name="_Toc300933414"/>
      <w:bookmarkStart w:id="3" w:name="_Toc422315715"/>
      <w:r w:rsidRPr="00092CDA">
        <w:t xml:space="preserve">Executive </w:t>
      </w:r>
      <w:r>
        <w:t>s</w:t>
      </w:r>
      <w:r w:rsidRPr="00092CDA">
        <w:t>ummary</w:t>
      </w:r>
      <w:bookmarkEnd w:id="1"/>
      <w:bookmarkEnd w:id="2"/>
      <w:bookmarkEnd w:id="3"/>
    </w:p>
    <w:p w14:paraId="21D36E35" w14:textId="77777777" w:rsidR="007D724C" w:rsidRDefault="009A51A2" w:rsidP="00F14DD2">
      <w:r w:rsidRPr="00F145AC">
        <w:t>Application A1</w:t>
      </w:r>
      <w:r>
        <w:t>107</w:t>
      </w:r>
      <w:r w:rsidRPr="00F145AC">
        <w:t xml:space="preserve"> seeks approval </w:t>
      </w:r>
      <w:r>
        <w:t>for the use of asparaginase</w:t>
      </w:r>
      <w:r w:rsidRPr="00F145AC">
        <w:t xml:space="preserve"> </w:t>
      </w:r>
      <w:r>
        <w:t xml:space="preserve">isolated </w:t>
      </w:r>
      <w:r w:rsidRPr="00F145AC">
        <w:t xml:space="preserve">from a genetically modified strain of </w:t>
      </w:r>
      <w:r>
        <w:rPr>
          <w:i/>
        </w:rPr>
        <w:t>Bacillus subtilis</w:t>
      </w:r>
      <w:r w:rsidRPr="00F145AC">
        <w:t xml:space="preserve"> as a processing aid. The stated purpose of this enzyme, namely </w:t>
      </w:r>
      <w:r>
        <w:t>the hydrolysis of the amide in asparagine to aspartic acid and the subsequent reduction in acrylamide formation during food manufacture</w:t>
      </w:r>
      <w:r w:rsidRPr="00F145AC">
        <w:t>, is clearly arti</w:t>
      </w:r>
      <w:r w:rsidR="007D724C">
        <w:t>culated in the Application.</w:t>
      </w:r>
    </w:p>
    <w:p w14:paraId="4737B195" w14:textId="77777777" w:rsidR="007D724C" w:rsidRDefault="007D724C" w:rsidP="00F14DD2"/>
    <w:p w14:paraId="3EA48229" w14:textId="77777777" w:rsidR="009A51A2" w:rsidRPr="00F145AC" w:rsidRDefault="009A51A2" w:rsidP="00F14DD2">
      <w:r w:rsidRPr="00C404D7">
        <w:t>The evidence presented to support the proposed uses provides adequate assurance that the enzyme, in the form and prescribed amounts, is technologically justified to be effective in achieving its stated purpose. The enzyme preparation meets international purity specifications for enzymes used in the production of food.</w:t>
      </w:r>
    </w:p>
    <w:p w14:paraId="4822415A" w14:textId="77777777" w:rsidR="009A51A2" w:rsidRPr="00F145AC" w:rsidRDefault="009A51A2" w:rsidP="00F14DD2"/>
    <w:p w14:paraId="6531E718" w14:textId="147E8AA6" w:rsidR="007D724C" w:rsidRPr="009265D9" w:rsidRDefault="007D724C" w:rsidP="007D724C">
      <w:pPr>
        <w:rPr>
          <w:rFonts w:cs="Arial"/>
          <w:color w:val="000000" w:themeColor="text1"/>
        </w:rPr>
      </w:pPr>
      <w:r w:rsidRPr="009265D9">
        <w:rPr>
          <w:rFonts w:cs="Arial"/>
          <w:color w:val="000000" w:themeColor="text1"/>
        </w:rPr>
        <w:t xml:space="preserve">There are no public health and safety issues associated with the use of </w:t>
      </w:r>
      <w:r w:rsidR="00653012">
        <w:rPr>
          <w:rFonts w:cs="Arial"/>
          <w:color w:val="000000" w:themeColor="text1"/>
        </w:rPr>
        <w:t>the asparaginase preparation</w:t>
      </w:r>
      <w:r w:rsidRPr="009265D9">
        <w:rPr>
          <w:rFonts w:cs="Arial"/>
          <w:color w:val="000000" w:themeColor="text1"/>
        </w:rPr>
        <w:t xml:space="preserve"> containing asparaginase produced by </w:t>
      </w:r>
      <w:r w:rsidR="00C404D7">
        <w:rPr>
          <w:rFonts w:cs="Arial"/>
          <w:color w:val="000000" w:themeColor="text1"/>
        </w:rPr>
        <w:t>genetically modified</w:t>
      </w:r>
      <w:r w:rsidRPr="009265D9">
        <w:rPr>
          <w:rFonts w:cs="Arial"/>
          <w:color w:val="000000" w:themeColor="text1"/>
        </w:rPr>
        <w:t xml:space="preserve"> </w:t>
      </w:r>
      <w:r w:rsidRPr="009265D9">
        <w:rPr>
          <w:rFonts w:cs="Arial"/>
          <w:i/>
          <w:color w:val="000000" w:themeColor="text1"/>
        </w:rPr>
        <w:t>B</w:t>
      </w:r>
      <w:r>
        <w:rPr>
          <w:rFonts w:cs="Arial"/>
          <w:i/>
          <w:color w:val="000000" w:themeColor="text1"/>
        </w:rPr>
        <w:t>.</w:t>
      </w:r>
      <w:r w:rsidRPr="009265D9">
        <w:rPr>
          <w:rFonts w:cs="Arial"/>
          <w:i/>
          <w:color w:val="000000" w:themeColor="text1"/>
        </w:rPr>
        <w:t xml:space="preserve"> subtilis </w:t>
      </w:r>
      <w:r w:rsidRPr="009265D9">
        <w:rPr>
          <w:rFonts w:cs="Arial"/>
          <w:color w:val="000000" w:themeColor="text1"/>
        </w:rPr>
        <w:t>strain MOL2940, as a food processing aid on the basis of the following considerations:</w:t>
      </w:r>
    </w:p>
    <w:p w14:paraId="467B75E9" w14:textId="77777777" w:rsidR="007D724C" w:rsidRPr="009265D9" w:rsidRDefault="007D724C" w:rsidP="007D724C">
      <w:pPr>
        <w:rPr>
          <w:rFonts w:cs="Arial"/>
          <w:color w:val="000000" w:themeColor="text1"/>
        </w:rPr>
      </w:pPr>
    </w:p>
    <w:p w14:paraId="09673E98" w14:textId="77777777" w:rsidR="007D724C" w:rsidRDefault="007D724C" w:rsidP="007D724C">
      <w:pPr>
        <w:pStyle w:val="FSBullet1"/>
      </w:pPr>
      <w:r w:rsidRPr="009265D9">
        <w:t xml:space="preserve">The production organism </w:t>
      </w:r>
      <w:r w:rsidRPr="009265D9">
        <w:rPr>
          <w:i/>
        </w:rPr>
        <w:t>B. subtilis</w:t>
      </w:r>
      <w:r w:rsidRPr="009265D9">
        <w:t xml:space="preserve">, is not toxigenic, pathogenic or sporogenic and is absent in the final enzyme preparation proposed to be used as a food processing aid. Further, </w:t>
      </w:r>
      <w:r w:rsidRPr="009265D9">
        <w:rPr>
          <w:i/>
          <w:lang w:val="en-AU"/>
        </w:rPr>
        <w:t>B. subtilis</w:t>
      </w:r>
      <w:r w:rsidRPr="009265D9">
        <w:t xml:space="preserve"> has a history of safe use as the production organism for a number of enzyme processing aids that are already permitted in the Code.</w:t>
      </w:r>
    </w:p>
    <w:p w14:paraId="58D9039E" w14:textId="77777777" w:rsidR="007D724C" w:rsidRPr="007D724C" w:rsidRDefault="007D724C" w:rsidP="007D724C">
      <w:pPr>
        <w:rPr>
          <w:lang w:bidi="ar-SA"/>
        </w:rPr>
      </w:pPr>
    </w:p>
    <w:p w14:paraId="186C994C" w14:textId="77777777" w:rsidR="007D724C" w:rsidRDefault="007D724C" w:rsidP="007D724C">
      <w:pPr>
        <w:pStyle w:val="FSBullet1"/>
        <w:rPr>
          <w:lang w:val="en-AU"/>
        </w:rPr>
      </w:pPr>
      <w:r w:rsidRPr="009265D9">
        <w:rPr>
          <w:lang w:val="en-AU"/>
        </w:rPr>
        <w:t>Residual enzyme is expected to be present in the final food but would be inactive and susceptible to digestion like any other dietary protein.</w:t>
      </w:r>
    </w:p>
    <w:p w14:paraId="1941A45F" w14:textId="77777777" w:rsidR="007D724C" w:rsidRPr="007D724C" w:rsidRDefault="007D724C" w:rsidP="007D724C">
      <w:pPr>
        <w:rPr>
          <w:lang w:val="en-AU" w:bidi="ar-SA"/>
        </w:rPr>
      </w:pPr>
    </w:p>
    <w:p w14:paraId="064B86FD" w14:textId="77777777" w:rsidR="007D724C" w:rsidRDefault="007D724C" w:rsidP="007D724C">
      <w:pPr>
        <w:pStyle w:val="FSBullet1"/>
        <w:rPr>
          <w:lang w:val="en-AU"/>
        </w:rPr>
      </w:pPr>
      <w:r w:rsidRPr="009265D9">
        <w:rPr>
          <w:lang w:val="en-AU"/>
        </w:rPr>
        <w:t>Bioinformatic analysis indicated that the enzyme has no biologically relevant homology to known protein allergens or toxins.</w:t>
      </w:r>
    </w:p>
    <w:p w14:paraId="1A864D69" w14:textId="77777777" w:rsidR="007D724C" w:rsidRPr="007D724C" w:rsidRDefault="007D724C" w:rsidP="007D724C">
      <w:pPr>
        <w:rPr>
          <w:lang w:val="en-AU" w:bidi="ar-SA"/>
        </w:rPr>
      </w:pPr>
    </w:p>
    <w:p w14:paraId="2D548325" w14:textId="14151499" w:rsidR="007D724C" w:rsidRDefault="007D724C" w:rsidP="007D724C">
      <w:pPr>
        <w:pStyle w:val="FSBullet1"/>
        <w:rPr>
          <w:lang w:val="en-AU"/>
        </w:rPr>
      </w:pPr>
      <w:r w:rsidRPr="009265D9">
        <w:rPr>
          <w:lang w:val="en-AU"/>
        </w:rPr>
        <w:t xml:space="preserve">The enzyme </w:t>
      </w:r>
      <w:r>
        <w:rPr>
          <w:lang w:val="en-AU"/>
        </w:rPr>
        <w:t xml:space="preserve">preparation </w:t>
      </w:r>
      <w:r w:rsidRPr="009265D9">
        <w:rPr>
          <w:lang w:val="en-AU"/>
        </w:rPr>
        <w:t xml:space="preserve">caused no observable effects at the highest tested doses in a 90-day toxicity study in rats. The </w:t>
      </w:r>
      <w:r w:rsidR="00653012">
        <w:rPr>
          <w:lang w:val="en-AU"/>
        </w:rPr>
        <w:t>No Observable Adverse Effect Level (</w:t>
      </w:r>
      <w:r w:rsidRPr="009265D9">
        <w:rPr>
          <w:lang w:val="en-AU"/>
        </w:rPr>
        <w:t>NOAEL</w:t>
      </w:r>
      <w:r w:rsidR="00653012">
        <w:rPr>
          <w:lang w:val="en-AU"/>
        </w:rPr>
        <w:t>)</w:t>
      </w:r>
      <w:r w:rsidRPr="009265D9">
        <w:rPr>
          <w:lang w:val="en-AU"/>
        </w:rPr>
        <w:t xml:space="preserve"> was </w:t>
      </w:r>
      <w:r>
        <w:t>1.207 g </w:t>
      </w:r>
      <w:r w:rsidRPr="009265D9">
        <w:t>TOS</w:t>
      </w:r>
      <w:r w:rsidR="00653012">
        <w:t xml:space="preserve"> (Total Organic Solids)</w:t>
      </w:r>
      <w:r w:rsidRPr="009265D9">
        <w:t>/kg bw/d</w:t>
      </w:r>
      <w:r w:rsidRPr="009265D9">
        <w:rPr>
          <w:lang w:val="en-AU"/>
        </w:rPr>
        <w:t>, the highest dose tested.</w:t>
      </w:r>
    </w:p>
    <w:p w14:paraId="1E37FFA8" w14:textId="77777777" w:rsidR="007D724C" w:rsidRPr="007D724C" w:rsidRDefault="007D724C" w:rsidP="007D724C">
      <w:pPr>
        <w:rPr>
          <w:lang w:val="en-AU" w:bidi="ar-SA"/>
        </w:rPr>
      </w:pPr>
    </w:p>
    <w:p w14:paraId="65578202" w14:textId="77777777" w:rsidR="007D724C" w:rsidRPr="009265D9" w:rsidRDefault="007D724C" w:rsidP="007D724C">
      <w:pPr>
        <w:pStyle w:val="FSBullet1"/>
        <w:rPr>
          <w:lang w:val="en-AU"/>
        </w:rPr>
      </w:pPr>
      <w:r w:rsidRPr="009265D9">
        <w:rPr>
          <w:lang w:val="en-AU"/>
        </w:rPr>
        <w:t xml:space="preserve">The enzyme preparation was not genotoxic </w:t>
      </w:r>
      <w:r w:rsidRPr="009265D9">
        <w:rPr>
          <w:i/>
          <w:lang w:val="en-AU"/>
        </w:rPr>
        <w:t>in vitro</w:t>
      </w:r>
      <w:r w:rsidRPr="009265D9">
        <w:rPr>
          <w:lang w:val="en-AU"/>
        </w:rPr>
        <w:t>.</w:t>
      </w:r>
    </w:p>
    <w:p w14:paraId="6923667C" w14:textId="77777777" w:rsidR="009A51A2" w:rsidRPr="00AD409F" w:rsidRDefault="009A51A2" w:rsidP="00F14DD2">
      <w:pPr>
        <w:rPr>
          <w:rFonts w:cs="Arial"/>
          <w:color w:val="000000" w:themeColor="text1"/>
          <w:lang w:val="en-AU"/>
        </w:rPr>
      </w:pPr>
    </w:p>
    <w:p w14:paraId="0E1F8222" w14:textId="77777777" w:rsidR="009A51A2" w:rsidRDefault="007D724C" w:rsidP="00F14DD2">
      <w:r w:rsidRPr="009265D9">
        <w:rPr>
          <w:rFonts w:cs="Arial"/>
          <w:color w:val="000000" w:themeColor="text1"/>
          <w:lang w:val="en-AU"/>
        </w:rPr>
        <w:t>Based on the reviewed toxicological data, it is concluded that in the absence of any identifiable hazard, an Acceptable Daily Intake (ADI) ‘not specified’ is appropriate</w:t>
      </w:r>
      <w:r>
        <w:rPr>
          <w:rFonts w:cs="Arial"/>
          <w:color w:val="000000" w:themeColor="text1"/>
          <w:lang w:val="en-AU"/>
        </w:rPr>
        <w:t xml:space="preserve"> for asparaginase from </w:t>
      </w:r>
      <w:r w:rsidRPr="009265D9">
        <w:rPr>
          <w:rFonts w:cs="Arial"/>
          <w:i/>
          <w:color w:val="000000" w:themeColor="text1"/>
          <w:lang w:val="en-AU"/>
        </w:rPr>
        <w:t>B. subtilis.</w:t>
      </w:r>
      <w:r w:rsidRPr="009265D9">
        <w:rPr>
          <w:rFonts w:cs="Arial"/>
          <w:color w:val="000000" w:themeColor="text1"/>
          <w:lang w:val="en-AU"/>
        </w:rPr>
        <w:t xml:space="preserve"> A dietary exposure assessment is therefore not required.</w:t>
      </w:r>
    </w:p>
    <w:p w14:paraId="69D01915" w14:textId="77777777" w:rsidR="009A51A2" w:rsidRDefault="009A51A2" w:rsidP="00F14DD2"/>
    <w:p w14:paraId="6F5F2673" w14:textId="77777777" w:rsidR="009A51A2" w:rsidRDefault="009A51A2" w:rsidP="00F14DD2">
      <w:pPr>
        <w:sectPr w:rsidR="009A51A2" w:rsidSect="00F14DD2">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418" w:header="709" w:footer="709" w:gutter="0"/>
          <w:cols w:space="708"/>
          <w:docGrid w:linePitch="360"/>
        </w:sectPr>
      </w:pPr>
    </w:p>
    <w:p w14:paraId="3052F23B" w14:textId="77777777" w:rsidR="009A51A2" w:rsidRDefault="009A51A2" w:rsidP="00F14DD2">
      <w:pPr>
        <w:jc w:val="center"/>
        <w:rPr>
          <w:sz w:val="28"/>
          <w:szCs w:val="28"/>
        </w:rPr>
      </w:pPr>
      <w:r w:rsidRPr="00484A31">
        <w:rPr>
          <w:sz w:val="28"/>
          <w:szCs w:val="28"/>
        </w:rPr>
        <w:lastRenderedPageBreak/>
        <w:t>Table of Contents</w:t>
      </w:r>
    </w:p>
    <w:p w14:paraId="47EE29F3" w14:textId="77777777" w:rsidR="003D6040" w:rsidRPr="003D6040" w:rsidRDefault="003D6040" w:rsidP="00F14DD2">
      <w:pPr>
        <w:jc w:val="center"/>
        <w:rPr>
          <w:sz w:val="24"/>
          <w:szCs w:val="28"/>
        </w:rPr>
      </w:pPr>
    </w:p>
    <w:sdt>
      <w:sdtPr>
        <w:rPr>
          <w:rFonts w:ascii="Arial" w:hAnsi="Arial" w:cs="Times New Roman"/>
          <w:b w:val="0"/>
          <w:bCs w:val="0"/>
          <w:caps w:val="0"/>
          <w:sz w:val="22"/>
          <w:szCs w:val="24"/>
        </w:rPr>
        <w:id w:val="-931896708"/>
        <w:docPartObj>
          <w:docPartGallery w:val="Table of Contents"/>
          <w:docPartUnique/>
        </w:docPartObj>
      </w:sdtPr>
      <w:sdtEndPr>
        <w:rPr>
          <w:rFonts w:cs="Arial"/>
          <w:noProof/>
        </w:rPr>
      </w:sdtEndPr>
      <w:sdtContent>
        <w:p w14:paraId="637AE869" w14:textId="77777777" w:rsidR="003D6040" w:rsidRPr="003D6040" w:rsidRDefault="009A51A2">
          <w:pPr>
            <w:pStyle w:val="TOC1"/>
            <w:tabs>
              <w:tab w:val="right" w:leader="dot" w:pos="9060"/>
            </w:tabs>
            <w:rPr>
              <w:rFonts w:ascii="Arial" w:eastAsiaTheme="minorEastAsia" w:hAnsi="Arial" w:cs="Arial"/>
              <w:b w:val="0"/>
              <w:bCs w:val="0"/>
              <w:caps w:val="0"/>
              <w:noProof/>
              <w:sz w:val="22"/>
              <w:szCs w:val="22"/>
              <w:lang w:eastAsia="en-GB" w:bidi="ar-SA"/>
            </w:rPr>
          </w:pPr>
          <w:r w:rsidRPr="003D6040">
            <w:rPr>
              <w:rFonts w:ascii="Arial" w:hAnsi="Arial" w:cs="Arial"/>
              <w:caps w:val="0"/>
            </w:rPr>
            <w:fldChar w:fldCharType="begin"/>
          </w:r>
          <w:r w:rsidRPr="003D6040">
            <w:rPr>
              <w:rFonts w:ascii="Arial" w:hAnsi="Arial" w:cs="Arial"/>
            </w:rPr>
            <w:instrText xml:space="preserve"> TOC \o "1-3" \h \z \u </w:instrText>
          </w:r>
          <w:r w:rsidRPr="003D6040">
            <w:rPr>
              <w:rFonts w:ascii="Arial" w:hAnsi="Arial" w:cs="Arial"/>
              <w:caps w:val="0"/>
            </w:rPr>
            <w:fldChar w:fldCharType="separate"/>
          </w:r>
          <w:hyperlink w:anchor="_Toc422315715" w:history="1">
            <w:r w:rsidR="003D6040" w:rsidRPr="003D6040">
              <w:rPr>
                <w:rStyle w:val="Hyperlink"/>
                <w:rFonts w:cs="Arial"/>
                <w:noProof/>
              </w:rPr>
              <w:t>Executive summary</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_Toc422315715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1</w:t>
            </w:r>
            <w:r w:rsidR="003D6040" w:rsidRPr="003D6040">
              <w:rPr>
                <w:rFonts w:ascii="Arial" w:hAnsi="Arial" w:cs="Arial"/>
                <w:noProof/>
                <w:webHidden/>
              </w:rPr>
              <w:fldChar w:fldCharType="end"/>
            </w:r>
          </w:hyperlink>
        </w:p>
        <w:p w14:paraId="7D32E5B3" w14:textId="77777777" w:rsidR="003D6040" w:rsidRPr="003D6040" w:rsidRDefault="00F9592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2315716" w:history="1">
            <w:r w:rsidR="003D6040" w:rsidRPr="003D6040">
              <w:rPr>
                <w:rStyle w:val="Hyperlink"/>
                <w:rFonts w:cs="Arial"/>
                <w:noProof/>
              </w:rPr>
              <w:t>1</w:t>
            </w:r>
            <w:r w:rsidR="003D6040" w:rsidRPr="003D6040">
              <w:rPr>
                <w:rFonts w:ascii="Arial" w:eastAsiaTheme="minorEastAsia" w:hAnsi="Arial" w:cs="Arial"/>
                <w:b w:val="0"/>
                <w:bCs w:val="0"/>
                <w:caps w:val="0"/>
                <w:noProof/>
                <w:sz w:val="22"/>
                <w:szCs w:val="22"/>
                <w:lang w:eastAsia="en-GB" w:bidi="ar-SA"/>
              </w:rPr>
              <w:tab/>
            </w:r>
            <w:r w:rsidR="003D6040" w:rsidRPr="003D6040">
              <w:rPr>
                <w:rStyle w:val="Hyperlink"/>
                <w:rFonts w:cs="Arial"/>
                <w:noProof/>
              </w:rPr>
              <w:t>Introduction</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_Toc422315716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2</w:t>
            </w:r>
            <w:r w:rsidR="003D6040" w:rsidRPr="003D6040">
              <w:rPr>
                <w:rFonts w:ascii="Arial" w:hAnsi="Arial" w:cs="Arial"/>
                <w:noProof/>
                <w:webHidden/>
              </w:rPr>
              <w:fldChar w:fldCharType="end"/>
            </w:r>
          </w:hyperlink>
        </w:p>
        <w:p w14:paraId="24A2F0E6"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17" w:history="1">
            <w:r w:rsidR="003D6040" w:rsidRPr="003D6040">
              <w:rPr>
                <w:rStyle w:val="Hyperlink"/>
                <w:rFonts w:cs="Arial"/>
                <w:noProof/>
              </w:rPr>
              <w:t>1.1</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Objectives of the Assessment</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_Toc422315717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2</w:t>
            </w:r>
            <w:r w:rsidR="003D6040" w:rsidRPr="003D6040">
              <w:rPr>
                <w:rFonts w:ascii="Arial" w:hAnsi="Arial" w:cs="Arial"/>
                <w:noProof/>
                <w:webHidden/>
              </w:rPr>
              <w:fldChar w:fldCharType="end"/>
            </w:r>
          </w:hyperlink>
        </w:p>
        <w:p w14:paraId="1A007E8D" w14:textId="77777777" w:rsidR="003D6040" w:rsidRPr="003D6040" w:rsidRDefault="00F9592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2315718" w:history="1">
            <w:r w:rsidR="003D6040" w:rsidRPr="003D6040">
              <w:rPr>
                <w:rStyle w:val="Hyperlink"/>
                <w:rFonts w:cs="Arial"/>
                <w:noProof/>
              </w:rPr>
              <w:t>2</w:t>
            </w:r>
            <w:r w:rsidR="003D6040" w:rsidRPr="003D6040">
              <w:rPr>
                <w:rFonts w:ascii="Arial" w:eastAsiaTheme="minorEastAsia" w:hAnsi="Arial" w:cs="Arial"/>
                <w:b w:val="0"/>
                <w:bCs w:val="0"/>
                <w:caps w:val="0"/>
                <w:noProof/>
                <w:sz w:val="22"/>
                <w:szCs w:val="22"/>
                <w:lang w:eastAsia="en-GB" w:bidi="ar-SA"/>
              </w:rPr>
              <w:tab/>
            </w:r>
            <w:r w:rsidR="003D6040" w:rsidRPr="003D6040">
              <w:rPr>
                <w:rStyle w:val="Hyperlink"/>
                <w:rFonts w:cs="Arial"/>
                <w:noProof/>
              </w:rPr>
              <w:t>Food Technology Assessment</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_Toc422315718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2</w:t>
            </w:r>
            <w:r w:rsidR="003D6040" w:rsidRPr="003D6040">
              <w:rPr>
                <w:rFonts w:ascii="Arial" w:hAnsi="Arial" w:cs="Arial"/>
                <w:noProof/>
                <w:webHidden/>
              </w:rPr>
              <w:fldChar w:fldCharType="end"/>
            </w:r>
          </w:hyperlink>
        </w:p>
        <w:p w14:paraId="20039648"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19" w:history="1">
            <w:r w:rsidR="003D6040" w:rsidRPr="003D6040">
              <w:rPr>
                <w:rStyle w:val="Hyperlink"/>
                <w:rFonts w:cs="Arial"/>
                <w:noProof/>
              </w:rPr>
              <w:t>2.1</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Acrylamide</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_Toc422315719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2</w:t>
            </w:r>
            <w:r w:rsidR="003D6040" w:rsidRPr="003D6040">
              <w:rPr>
                <w:rFonts w:ascii="Arial" w:hAnsi="Arial" w:cs="Arial"/>
                <w:noProof/>
                <w:webHidden/>
              </w:rPr>
              <w:fldChar w:fldCharType="end"/>
            </w:r>
          </w:hyperlink>
        </w:p>
        <w:p w14:paraId="44A8FE54"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20" w:history="1">
            <w:r w:rsidR="003D6040" w:rsidRPr="003D6040">
              <w:rPr>
                <w:rStyle w:val="Hyperlink"/>
                <w:rFonts w:cs="Arial"/>
                <w:noProof/>
              </w:rPr>
              <w:t>2.2</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Characterisation of asparaginase</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_Toc422315720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2</w:t>
            </w:r>
            <w:r w:rsidR="003D6040" w:rsidRPr="003D6040">
              <w:rPr>
                <w:rFonts w:ascii="Arial" w:hAnsi="Arial" w:cs="Arial"/>
                <w:noProof/>
                <w:webHidden/>
              </w:rPr>
              <w:fldChar w:fldCharType="end"/>
            </w:r>
          </w:hyperlink>
        </w:p>
        <w:p w14:paraId="2231C2DF"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21" w:history="1">
            <w:r w:rsidR="003D6040" w:rsidRPr="003D6040">
              <w:rPr>
                <w:rStyle w:val="Hyperlink"/>
                <w:rFonts w:cs="Arial"/>
                <w:noProof/>
              </w:rPr>
              <w:t>2.2.1</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Identity of the enzyme</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_Toc422315721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2</w:t>
            </w:r>
            <w:r w:rsidR="003D6040" w:rsidRPr="003D6040">
              <w:rPr>
                <w:rFonts w:ascii="Arial" w:hAnsi="Arial" w:cs="Arial"/>
                <w:noProof/>
                <w:webHidden/>
              </w:rPr>
              <w:fldChar w:fldCharType="end"/>
            </w:r>
          </w:hyperlink>
        </w:p>
        <w:p w14:paraId="6A0D9D21"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22" w:history="1">
            <w:r w:rsidR="003D6040" w:rsidRPr="003D6040">
              <w:rPr>
                <w:rStyle w:val="Hyperlink"/>
                <w:rFonts w:cs="Arial"/>
                <w:noProof/>
              </w:rPr>
              <w:t>2.2.2</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Enzymic properties</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_Toc422315722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3</w:t>
            </w:r>
            <w:r w:rsidR="003D6040" w:rsidRPr="003D6040">
              <w:rPr>
                <w:rFonts w:ascii="Arial" w:hAnsi="Arial" w:cs="Arial"/>
                <w:noProof/>
                <w:webHidden/>
              </w:rPr>
              <w:fldChar w:fldCharType="end"/>
            </w:r>
          </w:hyperlink>
        </w:p>
        <w:p w14:paraId="2751FD11"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23" w:history="1">
            <w:r w:rsidR="003D6040" w:rsidRPr="003D6040">
              <w:rPr>
                <w:rStyle w:val="Hyperlink"/>
                <w:rFonts w:cs="Arial"/>
                <w:noProof/>
              </w:rPr>
              <w:t>2.2.3</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Physical properties</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_Toc422315723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3</w:t>
            </w:r>
            <w:r w:rsidR="003D6040" w:rsidRPr="003D6040">
              <w:rPr>
                <w:rFonts w:ascii="Arial" w:hAnsi="Arial" w:cs="Arial"/>
                <w:noProof/>
                <w:webHidden/>
              </w:rPr>
              <w:fldChar w:fldCharType="end"/>
            </w:r>
          </w:hyperlink>
        </w:p>
        <w:p w14:paraId="0F66353E"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24" w:history="1">
            <w:r w:rsidR="003D6040" w:rsidRPr="003D6040">
              <w:rPr>
                <w:rStyle w:val="Hyperlink"/>
                <w:rFonts w:cs="Arial"/>
                <w:noProof/>
              </w:rPr>
              <w:t>2.2.4</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Temperature</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_Toc422315724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4</w:t>
            </w:r>
            <w:r w:rsidR="003D6040" w:rsidRPr="003D6040">
              <w:rPr>
                <w:rFonts w:ascii="Arial" w:hAnsi="Arial" w:cs="Arial"/>
                <w:noProof/>
                <w:webHidden/>
              </w:rPr>
              <w:fldChar w:fldCharType="end"/>
            </w:r>
          </w:hyperlink>
        </w:p>
        <w:p w14:paraId="5F154A9D"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25" w:history="1">
            <w:r w:rsidR="003D6040" w:rsidRPr="003D6040">
              <w:rPr>
                <w:rStyle w:val="Hyperlink"/>
                <w:rFonts w:cs="Arial"/>
                <w:noProof/>
              </w:rPr>
              <w:t>2.2.5</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Flavour</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_Toc422315725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4</w:t>
            </w:r>
            <w:r w:rsidR="003D6040" w:rsidRPr="003D6040">
              <w:rPr>
                <w:rFonts w:ascii="Arial" w:hAnsi="Arial" w:cs="Arial"/>
                <w:noProof/>
                <w:webHidden/>
              </w:rPr>
              <w:fldChar w:fldCharType="end"/>
            </w:r>
          </w:hyperlink>
        </w:p>
        <w:p w14:paraId="4EDC40A0"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26" w:history="1">
            <w:r w:rsidR="003D6040" w:rsidRPr="003D6040">
              <w:rPr>
                <w:rStyle w:val="Hyperlink"/>
                <w:rFonts w:cs="Arial"/>
                <w:noProof/>
              </w:rPr>
              <w:t>2.3</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Production of the enzyme</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_Toc422315726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5</w:t>
            </w:r>
            <w:r w:rsidR="003D6040" w:rsidRPr="003D6040">
              <w:rPr>
                <w:rFonts w:ascii="Arial" w:hAnsi="Arial" w:cs="Arial"/>
                <w:noProof/>
                <w:webHidden/>
              </w:rPr>
              <w:fldChar w:fldCharType="end"/>
            </w:r>
          </w:hyperlink>
        </w:p>
        <w:p w14:paraId="72A820ED"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27" w:history="1">
            <w:r w:rsidR="003D6040" w:rsidRPr="003D6040">
              <w:rPr>
                <w:rStyle w:val="Hyperlink"/>
                <w:rFonts w:cs="Arial"/>
                <w:noProof/>
              </w:rPr>
              <w:t>2.3.1</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Potential presence of allergens</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_Toc422315727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5</w:t>
            </w:r>
            <w:r w:rsidR="003D6040" w:rsidRPr="003D6040">
              <w:rPr>
                <w:rFonts w:ascii="Arial" w:hAnsi="Arial" w:cs="Arial"/>
                <w:noProof/>
                <w:webHidden/>
              </w:rPr>
              <w:fldChar w:fldCharType="end"/>
            </w:r>
          </w:hyperlink>
        </w:p>
        <w:p w14:paraId="37040608"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28" w:history="1">
            <w:r w:rsidR="003D6040" w:rsidRPr="003D6040">
              <w:rPr>
                <w:rStyle w:val="Hyperlink"/>
                <w:rFonts w:cs="Arial"/>
                <w:noProof/>
              </w:rPr>
              <w:t>2.4</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Specifications</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_Toc422315728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5</w:t>
            </w:r>
            <w:r w:rsidR="003D6040" w:rsidRPr="003D6040">
              <w:rPr>
                <w:rFonts w:ascii="Arial" w:hAnsi="Arial" w:cs="Arial"/>
                <w:noProof/>
                <w:webHidden/>
              </w:rPr>
              <w:fldChar w:fldCharType="end"/>
            </w:r>
          </w:hyperlink>
        </w:p>
        <w:p w14:paraId="306823F8"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29" w:history="1">
            <w:r w:rsidR="003D6040" w:rsidRPr="003D6040">
              <w:rPr>
                <w:rStyle w:val="Hyperlink"/>
                <w:rFonts w:cs="Arial"/>
                <w:noProof/>
              </w:rPr>
              <w:t>2.5</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Technological function of the enzyme</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_Toc422315729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6</w:t>
            </w:r>
            <w:r w:rsidR="003D6040" w:rsidRPr="003D6040">
              <w:rPr>
                <w:rFonts w:ascii="Arial" w:hAnsi="Arial" w:cs="Arial"/>
                <w:noProof/>
                <w:webHidden/>
              </w:rPr>
              <w:fldChar w:fldCharType="end"/>
            </w:r>
          </w:hyperlink>
        </w:p>
        <w:p w14:paraId="2638AA60"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30" w:history="1">
            <w:r w:rsidR="003D6040" w:rsidRPr="003D6040">
              <w:rPr>
                <w:rStyle w:val="Hyperlink"/>
                <w:rFonts w:cs="Arial"/>
                <w:noProof/>
              </w:rPr>
              <w:t>2.5.1</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Penetration of the enzyme into the food</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_Toc422315730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6</w:t>
            </w:r>
            <w:r w:rsidR="003D6040" w:rsidRPr="003D6040">
              <w:rPr>
                <w:rFonts w:ascii="Arial" w:hAnsi="Arial" w:cs="Arial"/>
                <w:noProof/>
                <w:webHidden/>
              </w:rPr>
              <w:fldChar w:fldCharType="end"/>
            </w:r>
          </w:hyperlink>
        </w:p>
        <w:p w14:paraId="66ECF113"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31" w:history="1">
            <w:r w:rsidR="003D6040" w:rsidRPr="003D6040">
              <w:rPr>
                <w:rStyle w:val="Hyperlink"/>
                <w:rFonts w:cs="Arial"/>
                <w:noProof/>
              </w:rPr>
              <w:t>2.5.2</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Reduction of acrylamide in foods</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_Toc422315731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7</w:t>
            </w:r>
            <w:r w:rsidR="003D6040" w:rsidRPr="003D6040">
              <w:rPr>
                <w:rFonts w:ascii="Arial" w:hAnsi="Arial" w:cs="Arial"/>
                <w:noProof/>
                <w:webHidden/>
              </w:rPr>
              <w:fldChar w:fldCharType="end"/>
            </w:r>
          </w:hyperlink>
        </w:p>
        <w:p w14:paraId="2AE95BB1"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32" w:history="1">
            <w:r w:rsidR="003D6040" w:rsidRPr="003D6040">
              <w:rPr>
                <w:rStyle w:val="Hyperlink"/>
                <w:rFonts w:cs="Arial"/>
                <w:noProof/>
              </w:rPr>
              <w:t>2.6</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Food technology conclusion</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_Toc422315732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8</w:t>
            </w:r>
            <w:r w:rsidR="003D6040" w:rsidRPr="003D6040">
              <w:rPr>
                <w:rFonts w:ascii="Arial" w:hAnsi="Arial" w:cs="Arial"/>
                <w:noProof/>
                <w:webHidden/>
              </w:rPr>
              <w:fldChar w:fldCharType="end"/>
            </w:r>
          </w:hyperlink>
        </w:p>
        <w:p w14:paraId="556F5D75" w14:textId="77777777" w:rsidR="003D6040" w:rsidRPr="003D6040" w:rsidRDefault="00F9592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2315733" w:history="1">
            <w:r w:rsidR="003D6040" w:rsidRPr="003D6040">
              <w:rPr>
                <w:rStyle w:val="Hyperlink"/>
                <w:rFonts w:cs="Arial"/>
                <w:noProof/>
              </w:rPr>
              <w:t>3</w:t>
            </w:r>
            <w:r w:rsidR="003D6040" w:rsidRPr="003D6040">
              <w:rPr>
                <w:rFonts w:ascii="Arial" w:eastAsiaTheme="minorEastAsia" w:hAnsi="Arial" w:cs="Arial"/>
                <w:b w:val="0"/>
                <w:bCs w:val="0"/>
                <w:caps w:val="0"/>
                <w:noProof/>
                <w:sz w:val="22"/>
                <w:szCs w:val="22"/>
                <w:lang w:eastAsia="en-GB" w:bidi="ar-SA"/>
              </w:rPr>
              <w:tab/>
            </w:r>
            <w:r w:rsidR="003D6040" w:rsidRPr="003D6040">
              <w:rPr>
                <w:rStyle w:val="Hyperlink"/>
                <w:rFonts w:cs="Arial"/>
                <w:noProof/>
              </w:rPr>
              <w:t>Hazard Assessment</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_Toc422315733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8</w:t>
            </w:r>
            <w:r w:rsidR="003D6040" w:rsidRPr="003D6040">
              <w:rPr>
                <w:rFonts w:ascii="Arial" w:hAnsi="Arial" w:cs="Arial"/>
                <w:noProof/>
                <w:webHidden/>
              </w:rPr>
              <w:fldChar w:fldCharType="end"/>
            </w:r>
          </w:hyperlink>
        </w:p>
        <w:p w14:paraId="2C612846"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34" w:history="1">
            <w:r w:rsidR="003D6040" w:rsidRPr="003D6040">
              <w:rPr>
                <w:rStyle w:val="Hyperlink"/>
                <w:rFonts w:cs="Arial"/>
                <w:noProof/>
              </w:rPr>
              <w:t>3.1</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Background</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_Toc422315734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8</w:t>
            </w:r>
            <w:r w:rsidR="003D6040" w:rsidRPr="003D6040">
              <w:rPr>
                <w:rFonts w:ascii="Arial" w:hAnsi="Arial" w:cs="Arial"/>
                <w:noProof/>
                <w:webHidden/>
              </w:rPr>
              <w:fldChar w:fldCharType="end"/>
            </w:r>
          </w:hyperlink>
        </w:p>
        <w:p w14:paraId="2652C5F2"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35" w:history="1">
            <w:r w:rsidR="003D6040" w:rsidRPr="003D6040">
              <w:rPr>
                <w:rStyle w:val="Hyperlink"/>
                <w:rFonts w:cs="Arial"/>
                <w:noProof/>
              </w:rPr>
              <w:t>3.1.1</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Chemistry</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_Toc422315735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8</w:t>
            </w:r>
            <w:r w:rsidR="003D6040" w:rsidRPr="003D6040">
              <w:rPr>
                <w:rFonts w:ascii="Arial" w:hAnsi="Arial" w:cs="Arial"/>
                <w:noProof/>
                <w:webHidden/>
              </w:rPr>
              <w:fldChar w:fldCharType="end"/>
            </w:r>
          </w:hyperlink>
        </w:p>
        <w:p w14:paraId="50809773"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36" w:history="1">
            <w:r w:rsidR="003D6040" w:rsidRPr="003D6040">
              <w:rPr>
                <w:rStyle w:val="Hyperlink"/>
                <w:rFonts w:cs="Arial"/>
                <w:noProof/>
              </w:rPr>
              <w:t>3.1.2</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Description of the genetic modification</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_Toc422315736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8</w:t>
            </w:r>
            <w:r w:rsidR="003D6040" w:rsidRPr="003D6040">
              <w:rPr>
                <w:rFonts w:ascii="Arial" w:hAnsi="Arial" w:cs="Arial"/>
                <w:noProof/>
                <w:webHidden/>
              </w:rPr>
              <w:fldChar w:fldCharType="end"/>
            </w:r>
          </w:hyperlink>
        </w:p>
        <w:p w14:paraId="703EFC01"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37" w:history="1">
            <w:r w:rsidR="003D6040" w:rsidRPr="003D6040">
              <w:rPr>
                <w:rStyle w:val="Hyperlink"/>
                <w:rFonts w:cs="Arial"/>
                <w:noProof/>
              </w:rPr>
              <w:t>3.1.3</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Scope of the hazard assessment</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_Toc422315737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9</w:t>
            </w:r>
            <w:r w:rsidR="003D6040" w:rsidRPr="003D6040">
              <w:rPr>
                <w:rFonts w:ascii="Arial" w:hAnsi="Arial" w:cs="Arial"/>
                <w:noProof/>
                <w:webHidden/>
              </w:rPr>
              <w:fldChar w:fldCharType="end"/>
            </w:r>
          </w:hyperlink>
        </w:p>
        <w:p w14:paraId="3B569B6A"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38" w:history="1">
            <w:r w:rsidR="003D6040" w:rsidRPr="003D6040">
              <w:rPr>
                <w:rStyle w:val="Hyperlink"/>
                <w:rFonts w:cs="Arial"/>
                <w:noProof/>
              </w:rPr>
              <w:t>3.2</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 xml:space="preserve">Hazard of the production organism – </w:t>
            </w:r>
            <w:r w:rsidR="003D6040" w:rsidRPr="003D6040">
              <w:rPr>
                <w:rStyle w:val="Hyperlink"/>
                <w:rFonts w:cs="Arial"/>
                <w:i/>
                <w:noProof/>
              </w:rPr>
              <w:t>B. subtilis</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_Toc422315738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9</w:t>
            </w:r>
            <w:r w:rsidR="003D6040" w:rsidRPr="003D6040">
              <w:rPr>
                <w:rFonts w:ascii="Arial" w:hAnsi="Arial" w:cs="Arial"/>
                <w:noProof/>
                <w:webHidden/>
              </w:rPr>
              <w:fldChar w:fldCharType="end"/>
            </w:r>
          </w:hyperlink>
        </w:p>
        <w:p w14:paraId="0494FE50"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39" w:history="1">
            <w:r w:rsidR="003D6040" w:rsidRPr="003D6040">
              <w:rPr>
                <w:rStyle w:val="Hyperlink"/>
                <w:rFonts w:cs="Arial"/>
                <w:noProof/>
              </w:rPr>
              <w:t>3.3</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Hazard of the encoded protein – asparaginase</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_Toc422315739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9</w:t>
            </w:r>
            <w:r w:rsidR="003D6040" w:rsidRPr="003D6040">
              <w:rPr>
                <w:rFonts w:ascii="Arial" w:hAnsi="Arial" w:cs="Arial"/>
                <w:noProof/>
                <w:webHidden/>
              </w:rPr>
              <w:fldChar w:fldCharType="end"/>
            </w:r>
          </w:hyperlink>
        </w:p>
        <w:p w14:paraId="62ECFD81"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40" w:history="1">
            <w:r w:rsidR="003D6040" w:rsidRPr="003D6040">
              <w:rPr>
                <w:rStyle w:val="Hyperlink"/>
                <w:rFonts w:cs="Arial"/>
                <w:noProof/>
              </w:rPr>
              <w:t>3.3.1</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Bioinformatic analysis for potential allergenicity</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_Toc422315740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10</w:t>
            </w:r>
            <w:r w:rsidR="003D6040" w:rsidRPr="003D6040">
              <w:rPr>
                <w:rFonts w:ascii="Arial" w:hAnsi="Arial" w:cs="Arial"/>
                <w:noProof/>
                <w:webHidden/>
              </w:rPr>
              <w:fldChar w:fldCharType="end"/>
            </w:r>
          </w:hyperlink>
        </w:p>
        <w:p w14:paraId="38C631C7"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41" w:history="1">
            <w:r w:rsidR="003D6040" w:rsidRPr="003D6040">
              <w:rPr>
                <w:rStyle w:val="Hyperlink"/>
                <w:rFonts w:cs="Arial"/>
                <w:noProof/>
              </w:rPr>
              <w:t>3.3.2</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Bioinformatic analysis for potential toxicity</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_Toc422315741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11</w:t>
            </w:r>
            <w:r w:rsidR="003D6040" w:rsidRPr="003D6040">
              <w:rPr>
                <w:rFonts w:ascii="Arial" w:hAnsi="Arial" w:cs="Arial"/>
                <w:noProof/>
                <w:webHidden/>
              </w:rPr>
              <w:fldChar w:fldCharType="end"/>
            </w:r>
          </w:hyperlink>
        </w:p>
        <w:p w14:paraId="2670790F"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42" w:history="1">
            <w:r w:rsidR="003D6040" w:rsidRPr="003D6040">
              <w:rPr>
                <w:rStyle w:val="Hyperlink"/>
                <w:rFonts w:cs="Arial"/>
                <w:noProof/>
              </w:rPr>
              <w:t>3.4</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Evaluation of unpublished toxicity studies</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_Toc422315742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11</w:t>
            </w:r>
            <w:r w:rsidR="003D6040" w:rsidRPr="003D6040">
              <w:rPr>
                <w:rFonts w:ascii="Arial" w:hAnsi="Arial" w:cs="Arial"/>
                <w:noProof/>
                <w:webHidden/>
              </w:rPr>
              <w:fldChar w:fldCharType="end"/>
            </w:r>
          </w:hyperlink>
        </w:p>
        <w:p w14:paraId="43E0FF27"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43" w:history="1">
            <w:r w:rsidR="003D6040" w:rsidRPr="003D6040">
              <w:rPr>
                <w:rStyle w:val="Hyperlink"/>
                <w:rFonts w:cs="Arial"/>
                <w:noProof/>
              </w:rPr>
              <w:t>3.4.1</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Genotoxicity</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_Toc422315743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12</w:t>
            </w:r>
            <w:r w:rsidR="003D6040" w:rsidRPr="003D6040">
              <w:rPr>
                <w:rFonts w:ascii="Arial" w:hAnsi="Arial" w:cs="Arial"/>
                <w:noProof/>
                <w:webHidden/>
              </w:rPr>
              <w:fldChar w:fldCharType="end"/>
            </w:r>
          </w:hyperlink>
        </w:p>
        <w:p w14:paraId="29A958AE"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44" w:history="1">
            <w:r w:rsidR="003D6040" w:rsidRPr="003D6040">
              <w:rPr>
                <w:rStyle w:val="Hyperlink"/>
                <w:rFonts w:cs="Arial"/>
                <w:noProof/>
              </w:rPr>
              <w:t>3.4.2</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Cytotoxicity</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_Toc422315744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13</w:t>
            </w:r>
            <w:r w:rsidR="003D6040" w:rsidRPr="003D6040">
              <w:rPr>
                <w:rFonts w:ascii="Arial" w:hAnsi="Arial" w:cs="Arial"/>
                <w:noProof/>
                <w:webHidden/>
              </w:rPr>
              <w:fldChar w:fldCharType="end"/>
            </w:r>
          </w:hyperlink>
        </w:p>
        <w:p w14:paraId="60BBD90F" w14:textId="77777777" w:rsidR="003D6040" w:rsidRPr="003D6040" w:rsidRDefault="00F9592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22315745" w:history="1">
            <w:r w:rsidR="003D6040" w:rsidRPr="003D6040">
              <w:rPr>
                <w:rStyle w:val="Hyperlink"/>
                <w:rFonts w:cs="Arial"/>
                <w:noProof/>
              </w:rPr>
              <w:t>3.4.3</w:t>
            </w:r>
            <w:r w:rsidR="003D6040" w:rsidRPr="003D6040">
              <w:rPr>
                <w:rFonts w:ascii="Arial" w:eastAsiaTheme="minorEastAsia" w:hAnsi="Arial" w:cs="Arial"/>
                <w:i w:val="0"/>
                <w:iCs w:val="0"/>
                <w:noProof/>
                <w:sz w:val="22"/>
                <w:szCs w:val="22"/>
                <w:lang w:eastAsia="en-GB" w:bidi="ar-SA"/>
              </w:rPr>
              <w:tab/>
            </w:r>
            <w:r w:rsidR="003D6040" w:rsidRPr="003D6040">
              <w:rPr>
                <w:rStyle w:val="Hyperlink"/>
                <w:rFonts w:cs="Arial"/>
                <w:noProof/>
              </w:rPr>
              <w:t>Subchronic toxicity study</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_Toc422315745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13</w:t>
            </w:r>
            <w:r w:rsidR="003D6040" w:rsidRPr="003D6040">
              <w:rPr>
                <w:rFonts w:ascii="Arial" w:hAnsi="Arial" w:cs="Arial"/>
                <w:noProof/>
                <w:webHidden/>
              </w:rPr>
              <w:fldChar w:fldCharType="end"/>
            </w:r>
          </w:hyperlink>
        </w:p>
        <w:p w14:paraId="21830A17" w14:textId="77777777" w:rsidR="003D6040" w:rsidRPr="003D6040" w:rsidRDefault="00F9592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22315746" w:history="1">
            <w:r w:rsidR="003D6040" w:rsidRPr="003D6040">
              <w:rPr>
                <w:rStyle w:val="Hyperlink"/>
                <w:rFonts w:cs="Arial"/>
                <w:noProof/>
              </w:rPr>
              <w:t>3.5</w:t>
            </w:r>
            <w:r w:rsidR="003D6040" w:rsidRPr="003D6040">
              <w:rPr>
                <w:rFonts w:ascii="Arial" w:eastAsiaTheme="minorEastAsia" w:hAnsi="Arial" w:cs="Arial"/>
                <w:smallCaps w:val="0"/>
                <w:noProof/>
                <w:sz w:val="22"/>
                <w:szCs w:val="22"/>
                <w:lang w:eastAsia="en-GB" w:bidi="ar-SA"/>
              </w:rPr>
              <w:tab/>
            </w:r>
            <w:r w:rsidR="003D6040" w:rsidRPr="003D6040">
              <w:rPr>
                <w:rStyle w:val="Hyperlink"/>
                <w:rFonts w:cs="Arial"/>
                <w:noProof/>
              </w:rPr>
              <w:t>Hazard assessment conclusions</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_Toc422315746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14</w:t>
            </w:r>
            <w:r w:rsidR="003D6040" w:rsidRPr="003D6040">
              <w:rPr>
                <w:rFonts w:ascii="Arial" w:hAnsi="Arial" w:cs="Arial"/>
                <w:noProof/>
                <w:webHidden/>
              </w:rPr>
              <w:fldChar w:fldCharType="end"/>
            </w:r>
          </w:hyperlink>
        </w:p>
        <w:p w14:paraId="3B26CE93" w14:textId="77777777" w:rsidR="003D6040" w:rsidRPr="003D6040" w:rsidRDefault="00F9592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22315747" w:history="1">
            <w:r w:rsidR="003D6040" w:rsidRPr="003D6040">
              <w:rPr>
                <w:rStyle w:val="Hyperlink"/>
                <w:rFonts w:cs="Arial"/>
                <w:noProof/>
              </w:rPr>
              <w:t>4</w:t>
            </w:r>
            <w:r w:rsidR="003D6040" w:rsidRPr="003D6040">
              <w:rPr>
                <w:rFonts w:ascii="Arial" w:eastAsiaTheme="minorEastAsia" w:hAnsi="Arial" w:cs="Arial"/>
                <w:b w:val="0"/>
                <w:bCs w:val="0"/>
                <w:caps w:val="0"/>
                <w:noProof/>
                <w:sz w:val="22"/>
                <w:szCs w:val="22"/>
                <w:lang w:eastAsia="en-GB" w:bidi="ar-SA"/>
              </w:rPr>
              <w:tab/>
            </w:r>
            <w:r w:rsidR="003D6040" w:rsidRPr="003D6040">
              <w:rPr>
                <w:rStyle w:val="Hyperlink"/>
                <w:rFonts w:cs="Arial"/>
                <w:noProof/>
              </w:rPr>
              <w:t>Conclusion</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_Toc422315747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14</w:t>
            </w:r>
            <w:r w:rsidR="003D6040" w:rsidRPr="003D6040">
              <w:rPr>
                <w:rFonts w:ascii="Arial" w:hAnsi="Arial" w:cs="Arial"/>
                <w:noProof/>
                <w:webHidden/>
              </w:rPr>
              <w:fldChar w:fldCharType="end"/>
            </w:r>
          </w:hyperlink>
        </w:p>
        <w:p w14:paraId="5ACFBC69" w14:textId="77777777" w:rsidR="003D6040" w:rsidRPr="003D6040" w:rsidRDefault="00F95926">
          <w:pPr>
            <w:pStyle w:val="TOC1"/>
            <w:tabs>
              <w:tab w:val="right" w:leader="dot" w:pos="9060"/>
            </w:tabs>
            <w:rPr>
              <w:rFonts w:ascii="Arial" w:eastAsiaTheme="minorEastAsia" w:hAnsi="Arial" w:cs="Arial"/>
              <w:b w:val="0"/>
              <w:bCs w:val="0"/>
              <w:caps w:val="0"/>
              <w:noProof/>
              <w:sz w:val="22"/>
              <w:szCs w:val="22"/>
              <w:lang w:eastAsia="en-GB" w:bidi="ar-SA"/>
            </w:rPr>
          </w:pPr>
          <w:hyperlink w:anchor="_Toc422315748" w:history="1">
            <w:r w:rsidR="003D6040" w:rsidRPr="003D6040">
              <w:rPr>
                <w:rStyle w:val="Hyperlink"/>
                <w:rFonts w:cs="Arial"/>
                <w:noProof/>
              </w:rPr>
              <w:t>References</w:t>
            </w:r>
            <w:r w:rsidR="003D6040" w:rsidRPr="003D6040">
              <w:rPr>
                <w:rFonts w:ascii="Arial" w:hAnsi="Arial" w:cs="Arial"/>
                <w:noProof/>
                <w:webHidden/>
              </w:rPr>
              <w:tab/>
            </w:r>
            <w:r w:rsidR="003D6040" w:rsidRPr="003D6040">
              <w:rPr>
                <w:rFonts w:ascii="Arial" w:hAnsi="Arial" w:cs="Arial"/>
                <w:noProof/>
                <w:webHidden/>
              </w:rPr>
              <w:fldChar w:fldCharType="begin"/>
            </w:r>
            <w:r w:rsidR="003D6040" w:rsidRPr="003D6040">
              <w:rPr>
                <w:rFonts w:ascii="Arial" w:hAnsi="Arial" w:cs="Arial"/>
                <w:noProof/>
                <w:webHidden/>
              </w:rPr>
              <w:instrText xml:space="preserve"> PAGEREF _Toc422315748 \h </w:instrText>
            </w:r>
            <w:r w:rsidR="003D6040" w:rsidRPr="003D6040">
              <w:rPr>
                <w:rFonts w:ascii="Arial" w:hAnsi="Arial" w:cs="Arial"/>
                <w:noProof/>
                <w:webHidden/>
              </w:rPr>
            </w:r>
            <w:r w:rsidR="003D6040" w:rsidRPr="003D6040">
              <w:rPr>
                <w:rFonts w:ascii="Arial" w:hAnsi="Arial" w:cs="Arial"/>
                <w:noProof/>
                <w:webHidden/>
              </w:rPr>
              <w:fldChar w:fldCharType="separate"/>
            </w:r>
            <w:r w:rsidR="007A7B2C">
              <w:rPr>
                <w:rFonts w:ascii="Arial" w:hAnsi="Arial" w:cs="Arial"/>
                <w:noProof/>
                <w:webHidden/>
              </w:rPr>
              <w:t>15</w:t>
            </w:r>
            <w:r w:rsidR="003D6040" w:rsidRPr="003D6040">
              <w:rPr>
                <w:rFonts w:ascii="Arial" w:hAnsi="Arial" w:cs="Arial"/>
                <w:noProof/>
                <w:webHidden/>
              </w:rPr>
              <w:fldChar w:fldCharType="end"/>
            </w:r>
          </w:hyperlink>
        </w:p>
        <w:p w14:paraId="6A1F1316" w14:textId="77777777" w:rsidR="009A51A2" w:rsidRPr="003D6040" w:rsidRDefault="009A51A2" w:rsidP="00F14DD2">
          <w:pPr>
            <w:rPr>
              <w:rFonts w:cs="Arial"/>
            </w:rPr>
          </w:pPr>
          <w:r w:rsidRPr="003D6040">
            <w:rPr>
              <w:rFonts w:cs="Arial"/>
              <w:b/>
              <w:bCs/>
              <w:noProof/>
            </w:rPr>
            <w:fldChar w:fldCharType="end"/>
          </w:r>
        </w:p>
      </w:sdtContent>
    </w:sdt>
    <w:p w14:paraId="452C21A9" w14:textId="77777777" w:rsidR="009A51A2" w:rsidRPr="00B6305A" w:rsidRDefault="009A51A2" w:rsidP="00F14DD2"/>
    <w:p w14:paraId="49143519" w14:textId="77777777" w:rsidR="009A51A2" w:rsidRDefault="009A51A2" w:rsidP="00F14DD2">
      <w:r w:rsidRPr="00E203C2">
        <w:br w:type="page"/>
      </w:r>
    </w:p>
    <w:p w14:paraId="2745DEB8" w14:textId="3C12196E" w:rsidR="009A51A2" w:rsidRDefault="00484A31" w:rsidP="00F14DD2">
      <w:pPr>
        <w:pStyle w:val="Heading1"/>
      </w:pPr>
      <w:bookmarkStart w:id="4" w:name="_Toc422315716"/>
      <w:r>
        <w:lastRenderedPageBreak/>
        <w:t>1</w:t>
      </w:r>
      <w:r>
        <w:tab/>
      </w:r>
      <w:r w:rsidR="009A51A2">
        <w:t>Introduction</w:t>
      </w:r>
      <w:bookmarkEnd w:id="4"/>
    </w:p>
    <w:p w14:paraId="3E7DFC21" w14:textId="5E06BFEE" w:rsidR="009A51A2" w:rsidRPr="00F145AC" w:rsidRDefault="009A51A2" w:rsidP="00F14DD2">
      <w:r w:rsidRPr="00F145AC">
        <w:t xml:space="preserve">FSANZ received an application from Novozymes Australia Pty Ltd seeking approval for the enzyme </w:t>
      </w:r>
      <w:r>
        <w:t>asparaginase</w:t>
      </w:r>
      <w:r w:rsidRPr="00F145AC">
        <w:t xml:space="preserve"> (EC 3.</w:t>
      </w:r>
      <w:r>
        <w:t>5.1.1</w:t>
      </w:r>
      <w:r w:rsidRPr="00F145AC">
        <w:t xml:space="preserve">) as a processing aid to be used in the production of food. The enzyme is produced from a genetically modified (GM) strain of </w:t>
      </w:r>
      <w:r>
        <w:rPr>
          <w:i/>
        </w:rPr>
        <w:t>Bacillus subtilis</w:t>
      </w:r>
      <w:r w:rsidRPr="00F145AC">
        <w:rPr>
          <w:i/>
        </w:rPr>
        <w:t xml:space="preserve"> </w:t>
      </w:r>
      <w:r w:rsidRPr="00F145AC">
        <w:t>expressing a</w:t>
      </w:r>
      <w:r>
        <w:t xml:space="preserve"> </w:t>
      </w:r>
      <w:r w:rsidR="00A40C64">
        <w:t>thermo-</w:t>
      </w:r>
      <w:r>
        <w:t>tolerant asparaginase</w:t>
      </w:r>
      <w:r w:rsidRPr="00F145AC">
        <w:t xml:space="preserve"> gene from </w:t>
      </w:r>
      <w:r>
        <w:rPr>
          <w:i/>
        </w:rPr>
        <w:t>Pyrococcus furiosus</w:t>
      </w:r>
      <w:r w:rsidRPr="00F145AC">
        <w:t>.</w:t>
      </w:r>
    </w:p>
    <w:p w14:paraId="023E5C2D" w14:textId="77777777" w:rsidR="009A51A2" w:rsidRPr="00F145AC" w:rsidRDefault="009A51A2" w:rsidP="00F14DD2"/>
    <w:p w14:paraId="2D62EA30" w14:textId="77777777" w:rsidR="009A51A2" w:rsidRPr="00F145AC" w:rsidRDefault="009A51A2" w:rsidP="00F14DD2">
      <w:r w:rsidRPr="003C06DB">
        <w:t xml:space="preserve">The Applicant proposes to use </w:t>
      </w:r>
      <w:r w:rsidR="003C06DB" w:rsidRPr="003C06DB">
        <w:t>the asparaginase</w:t>
      </w:r>
      <w:r w:rsidRPr="003C06DB">
        <w:t xml:space="preserve"> to </w:t>
      </w:r>
      <w:r w:rsidR="003C06DB" w:rsidRPr="003C06DB">
        <w:t xml:space="preserve">reduce the concentration of asparagine in certain foods (potato chips, breakfast cereals and coffee beans) to reduce the </w:t>
      </w:r>
      <w:r w:rsidR="000D6C17">
        <w:t>risk of a</w:t>
      </w:r>
      <w:r w:rsidR="003C06DB" w:rsidRPr="003C06DB">
        <w:t>crylamide form</w:t>
      </w:r>
      <w:r w:rsidR="000D6C17">
        <w:t>ation</w:t>
      </w:r>
      <w:r w:rsidR="003C06DB" w:rsidRPr="003C06DB">
        <w:t xml:space="preserve"> in these foods during high temperature processing</w:t>
      </w:r>
      <w:r w:rsidRPr="003C06DB">
        <w:t>.</w:t>
      </w:r>
    </w:p>
    <w:p w14:paraId="46BF03FD" w14:textId="375CEA87" w:rsidR="009A51A2" w:rsidRPr="00C35D04" w:rsidRDefault="00D86754" w:rsidP="00F14DD2">
      <w:pPr>
        <w:pStyle w:val="Heading2"/>
      </w:pPr>
      <w:bookmarkStart w:id="5" w:name="_Toc422315717"/>
      <w:r>
        <w:t>1.1</w:t>
      </w:r>
      <w:r>
        <w:tab/>
      </w:r>
      <w:r w:rsidR="009A51A2">
        <w:t>Objectives of the Assessment</w:t>
      </w:r>
      <w:bookmarkEnd w:id="5"/>
    </w:p>
    <w:p w14:paraId="2908D582" w14:textId="77777777" w:rsidR="009A51A2" w:rsidRPr="00F145AC" w:rsidRDefault="009A51A2" w:rsidP="00F14DD2">
      <w:r w:rsidRPr="00F145AC">
        <w:t xml:space="preserve">As there are no permissions for the enzyme </w:t>
      </w:r>
      <w:r>
        <w:t>asparaginase</w:t>
      </w:r>
      <w:r w:rsidRPr="00F145AC">
        <w:t xml:space="preserve"> from </w:t>
      </w:r>
      <w:r w:rsidRPr="002D5606">
        <w:rPr>
          <w:i/>
        </w:rPr>
        <w:t>B. subtilis</w:t>
      </w:r>
      <w:r w:rsidRPr="00F145AC">
        <w:t xml:space="preserve"> currently in the </w:t>
      </w:r>
      <w:r w:rsidRPr="00F145AC">
        <w:rPr>
          <w:i/>
        </w:rPr>
        <w:t>Australia New Zealand Food Standards Code</w:t>
      </w:r>
      <w:r w:rsidRPr="00F145AC">
        <w:t xml:space="preserve"> (the Code), any application to amend the Code to permit the use of this enzyme </w:t>
      </w:r>
      <w:r>
        <w:t xml:space="preserve">from this source </w:t>
      </w:r>
      <w:r w:rsidRPr="00F145AC">
        <w:t xml:space="preserve">as a food processing aid requires a pre-market assessment. </w:t>
      </w:r>
    </w:p>
    <w:p w14:paraId="52F39279" w14:textId="77777777" w:rsidR="009A51A2" w:rsidRPr="00F145AC" w:rsidRDefault="009A51A2" w:rsidP="00F14DD2"/>
    <w:p w14:paraId="65471947" w14:textId="77777777" w:rsidR="009A51A2" w:rsidRDefault="009A51A2" w:rsidP="00F14DD2">
      <w:r w:rsidRPr="00F145AC">
        <w:t>The objectives of this risk assessment are to:</w:t>
      </w:r>
    </w:p>
    <w:p w14:paraId="73A19327" w14:textId="77777777" w:rsidR="009A51A2" w:rsidRPr="00F145AC" w:rsidRDefault="009A51A2" w:rsidP="00F14DD2"/>
    <w:p w14:paraId="1897419F" w14:textId="77777777" w:rsidR="009A51A2" w:rsidRPr="00BE2220" w:rsidRDefault="009A51A2" w:rsidP="00F14DD2">
      <w:pPr>
        <w:pStyle w:val="FSBullet1"/>
      </w:pPr>
      <w:r w:rsidRPr="00BE2220">
        <w:t>determine whether the proposed purpose is clearly stated and that the enzyme achieves its technological function in the quantity and form proposed to be used as a food processing aid</w:t>
      </w:r>
    </w:p>
    <w:p w14:paraId="7DBD2D60" w14:textId="77777777" w:rsidR="009A51A2" w:rsidRPr="00F145AC" w:rsidRDefault="009A51A2" w:rsidP="00F14DD2">
      <w:pPr>
        <w:rPr>
          <w:lang w:bidi="ar-SA"/>
        </w:rPr>
      </w:pPr>
    </w:p>
    <w:p w14:paraId="5D82BA0E" w14:textId="77777777" w:rsidR="009A51A2" w:rsidRDefault="009A51A2" w:rsidP="00F14DD2">
      <w:pPr>
        <w:pStyle w:val="FSBullet1"/>
      </w:pPr>
      <w:r w:rsidRPr="00F145AC">
        <w:t>evaluate any potential public health and safety concerns that may arise from the use of</w:t>
      </w:r>
      <w:r>
        <w:t xml:space="preserve"> asparaginase</w:t>
      </w:r>
      <w:r w:rsidRPr="00F145AC">
        <w:t xml:space="preserve"> as a processing aid.</w:t>
      </w:r>
    </w:p>
    <w:p w14:paraId="035AAC4C" w14:textId="77777777" w:rsidR="00484A31" w:rsidRPr="00484A31" w:rsidRDefault="00484A31" w:rsidP="00484A31">
      <w:pPr>
        <w:rPr>
          <w:lang w:bidi="ar-SA"/>
        </w:rPr>
      </w:pPr>
    </w:p>
    <w:p w14:paraId="7B28806D" w14:textId="6552E7CD" w:rsidR="009A51A2" w:rsidRDefault="00484A31" w:rsidP="00F14DD2">
      <w:pPr>
        <w:pStyle w:val="Heading1"/>
      </w:pPr>
      <w:bookmarkStart w:id="6" w:name="_Ref414261484"/>
      <w:bookmarkStart w:id="7" w:name="_Toc422315718"/>
      <w:r>
        <w:t>2</w:t>
      </w:r>
      <w:r>
        <w:tab/>
      </w:r>
      <w:r w:rsidR="009A51A2">
        <w:t>Food Technology Assessment</w:t>
      </w:r>
      <w:bookmarkEnd w:id="6"/>
      <w:bookmarkEnd w:id="7"/>
    </w:p>
    <w:p w14:paraId="5BD3D187" w14:textId="0DAC8142" w:rsidR="009A51A2" w:rsidRPr="00C35D04" w:rsidRDefault="00D86754" w:rsidP="00F14DD2">
      <w:pPr>
        <w:pStyle w:val="Heading2"/>
      </w:pPr>
      <w:bookmarkStart w:id="8" w:name="_Toc422315719"/>
      <w:r>
        <w:t>2.1</w:t>
      </w:r>
      <w:r>
        <w:tab/>
      </w:r>
      <w:r w:rsidR="009A51A2">
        <w:t>Acrylamide</w:t>
      </w:r>
      <w:bookmarkEnd w:id="8"/>
    </w:p>
    <w:p w14:paraId="681A1284" w14:textId="77777777" w:rsidR="009A51A2" w:rsidRDefault="009A51A2" w:rsidP="00F14DD2">
      <w:r w:rsidRPr="00932971">
        <w:t xml:space="preserve">Acrylamide is formed by the heat-induced reaction between </w:t>
      </w:r>
      <w:r w:rsidR="00611D72">
        <w:t>r</w:t>
      </w:r>
      <w:r w:rsidRPr="00932971">
        <w:t>educing sugar</w:t>
      </w:r>
      <w:r w:rsidR="00611D72">
        <w:t>s</w:t>
      </w:r>
      <w:r w:rsidRPr="00932971">
        <w:t xml:space="preserve"> and asparagine, which is one of the reaction pathways of the Maillard reaction. The Maillard reaction is the process that gives the brown colour and tasty flavour of baked, fried and toasted foods.</w:t>
      </w:r>
    </w:p>
    <w:p w14:paraId="4B453010" w14:textId="7771D0E8" w:rsidR="009A51A2" w:rsidRPr="00C35D04" w:rsidRDefault="00D86754" w:rsidP="00F14DD2">
      <w:pPr>
        <w:pStyle w:val="Heading2"/>
      </w:pPr>
      <w:bookmarkStart w:id="9" w:name="_Toc422315720"/>
      <w:r>
        <w:t>2.2</w:t>
      </w:r>
      <w:r>
        <w:tab/>
      </w:r>
      <w:r w:rsidR="009A51A2">
        <w:t>Characterisation of asparaginase</w:t>
      </w:r>
      <w:bookmarkEnd w:id="9"/>
    </w:p>
    <w:p w14:paraId="3851B50C" w14:textId="27980B08" w:rsidR="009A51A2" w:rsidRDefault="0025773B" w:rsidP="00F14DD2">
      <w:pPr>
        <w:pStyle w:val="Heading3"/>
      </w:pPr>
      <w:bookmarkStart w:id="10" w:name="_Toc422315721"/>
      <w:r>
        <w:t>2.2.1</w:t>
      </w:r>
      <w:r>
        <w:tab/>
      </w:r>
      <w:r w:rsidR="009A51A2">
        <w:t>Identity of the enzyme</w:t>
      </w:r>
      <w:bookmarkEnd w:id="10"/>
    </w:p>
    <w:p w14:paraId="319B6208" w14:textId="77777777" w:rsidR="009A51A2" w:rsidRPr="00AB0D24" w:rsidRDefault="009A51A2" w:rsidP="00F14DD2">
      <w:r>
        <w:t xml:space="preserve">Information regarding the identity of the enzyme that was taken from the Application has been verified using enzyme nomenclature references </w:t>
      </w:r>
      <w:r w:rsidRPr="008568E9">
        <w:rPr>
          <w:noProof/>
        </w:rPr>
        <w:t>(IUBMB 2015)</w:t>
      </w:r>
      <w:r w:rsidRPr="008568E9">
        <w:t>. Additional information has also been included from th</w:t>
      </w:r>
      <w:r w:rsidR="00FD4466">
        <w:t>e IUBMB</w:t>
      </w:r>
      <w:r w:rsidRPr="008568E9">
        <w:t xml:space="preserve"> reference.</w:t>
      </w:r>
    </w:p>
    <w:p w14:paraId="310C8A20" w14:textId="77777777" w:rsidR="009A51A2" w:rsidRPr="001141DB" w:rsidRDefault="009A51A2" w:rsidP="00F14DD2"/>
    <w:p w14:paraId="491BB076" w14:textId="77777777" w:rsidR="009A51A2" w:rsidRPr="001141DB" w:rsidRDefault="009A51A2" w:rsidP="00F14DD2">
      <w:pPr>
        <w:tabs>
          <w:tab w:val="left" w:pos="3402"/>
        </w:tabs>
      </w:pPr>
      <w:r>
        <w:t xml:space="preserve">Systematic </w:t>
      </w:r>
      <w:r w:rsidRPr="001141DB">
        <w:t>name</w:t>
      </w:r>
      <w:r>
        <w:t>:</w:t>
      </w:r>
      <w:r w:rsidRPr="001141DB">
        <w:tab/>
      </w:r>
      <w:r w:rsidRPr="001141DB">
        <w:tab/>
      </w:r>
      <w:r w:rsidRPr="008568E9">
        <w:t>L-asparagine amidohydrolase</w:t>
      </w:r>
    </w:p>
    <w:p w14:paraId="464D799B" w14:textId="77777777" w:rsidR="009A51A2" w:rsidRPr="001141DB" w:rsidRDefault="009A51A2" w:rsidP="00F14DD2"/>
    <w:p w14:paraId="253F07E0" w14:textId="77777777" w:rsidR="009A51A2" w:rsidRPr="001141DB" w:rsidRDefault="009A51A2" w:rsidP="00F14DD2">
      <w:r w:rsidRPr="001141DB">
        <w:t>Accepted IUBMB</w:t>
      </w:r>
      <w:r>
        <w:rPr>
          <w:rStyle w:val="FootnoteReference"/>
        </w:rPr>
        <w:footnoteReference w:id="1"/>
      </w:r>
      <w:r w:rsidRPr="001141DB">
        <w:t xml:space="preserve"> name:</w:t>
      </w:r>
      <w:r w:rsidRPr="001141DB">
        <w:tab/>
      </w:r>
      <w:r w:rsidRPr="001141DB">
        <w:tab/>
      </w:r>
      <w:r>
        <w:t>Asparaginase</w:t>
      </w:r>
    </w:p>
    <w:p w14:paraId="7E1DEAAC" w14:textId="77777777" w:rsidR="009A51A2" w:rsidRPr="001141DB" w:rsidRDefault="009A51A2" w:rsidP="00F14DD2"/>
    <w:p w14:paraId="5CC0C191" w14:textId="77777777" w:rsidR="009A51A2" w:rsidRPr="001141DB" w:rsidRDefault="009A51A2" w:rsidP="00F14DD2">
      <w:r w:rsidRPr="001141DB">
        <w:t>IUBMB enzyme nomenclature:</w:t>
      </w:r>
      <w:r w:rsidRPr="001141DB">
        <w:tab/>
        <w:t>EC 3.</w:t>
      </w:r>
      <w:r>
        <w:t>5.1.1</w:t>
      </w:r>
    </w:p>
    <w:p w14:paraId="69CEC5E5" w14:textId="77777777" w:rsidR="009A51A2" w:rsidRPr="001141DB" w:rsidRDefault="009A51A2" w:rsidP="00F14DD2"/>
    <w:p w14:paraId="3C8AC373" w14:textId="61024F52" w:rsidR="00484A31" w:rsidRDefault="009A51A2" w:rsidP="00F14DD2">
      <w:r w:rsidRPr="001141DB">
        <w:t>C.A.S. number:</w:t>
      </w:r>
      <w:r w:rsidRPr="001141DB">
        <w:tab/>
      </w:r>
      <w:r w:rsidRPr="001141DB">
        <w:tab/>
      </w:r>
      <w:r w:rsidRPr="001141DB">
        <w:tab/>
      </w:r>
      <w:r w:rsidRPr="001141DB">
        <w:tab/>
      </w:r>
      <w:r w:rsidRPr="00BE2220">
        <w:t>9015-68-3</w:t>
      </w:r>
      <w:r w:rsidR="00484A31">
        <w:br w:type="page"/>
      </w:r>
    </w:p>
    <w:p w14:paraId="62C70A54" w14:textId="77777777" w:rsidR="009A51A2" w:rsidRDefault="009A51A2" w:rsidP="00F14DD2">
      <w:pPr>
        <w:ind w:left="3402" w:hanging="3402"/>
      </w:pPr>
      <w:r w:rsidRPr="001141DB">
        <w:lastRenderedPageBreak/>
        <w:t>Other names:</w:t>
      </w:r>
      <w:r w:rsidRPr="001141DB">
        <w:tab/>
      </w:r>
      <w:r w:rsidRPr="00BE2220">
        <w:t>asparaginase II; L-asparaginase; colaspase; elspar; leunase; crasnitin; α-asparaginase</w:t>
      </w:r>
    </w:p>
    <w:p w14:paraId="08E42BD5" w14:textId="77777777" w:rsidR="009A51A2" w:rsidRPr="001141DB" w:rsidRDefault="009A51A2" w:rsidP="00F14DD2">
      <w:pPr>
        <w:ind w:left="3402" w:hanging="3402"/>
      </w:pPr>
    </w:p>
    <w:p w14:paraId="347252C3" w14:textId="77777777" w:rsidR="009A51A2" w:rsidRPr="001141DB" w:rsidRDefault="009A51A2" w:rsidP="00FD4466">
      <w:pPr>
        <w:ind w:left="3402" w:hanging="3402"/>
      </w:pPr>
      <w:r w:rsidRPr="001141DB">
        <w:t>Reaction:</w:t>
      </w:r>
      <w:r w:rsidRPr="001141DB">
        <w:tab/>
      </w:r>
      <w:r w:rsidRPr="001141DB">
        <w:tab/>
      </w:r>
      <w:r w:rsidRPr="00BE2220">
        <w:t>L-asparagine + H</w:t>
      </w:r>
      <w:r w:rsidRPr="00BE2220">
        <w:rPr>
          <w:vertAlign w:val="subscript"/>
        </w:rPr>
        <w:t>2</w:t>
      </w:r>
      <w:r w:rsidRPr="00BE2220">
        <w:t>O = L-aspartate + NH</w:t>
      </w:r>
      <w:r w:rsidRPr="00BE2220">
        <w:rPr>
          <w:vertAlign w:val="subscript"/>
        </w:rPr>
        <w:t>3</w:t>
      </w:r>
    </w:p>
    <w:p w14:paraId="20DDC827" w14:textId="77777777" w:rsidR="009A51A2" w:rsidRPr="001141DB" w:rsidRDefault="009A51A2" w:rsidP="00F14DD2"/>
    <w:p w14:paraId="77543451" w14:textId="77777777" w:rsidR="009A51A2" w:rsidRPr="001141DB" w:rsidRDefault="009A51A2" w:rsidP="00F14DD2">
      <w:r w:rsidRPr="001141DB">
        <w:t>Commercial name:</w:t>
      </w:r>
      <w:r w:rsidRPr="001141DB">
        <w:tab/>
      </w:r>
      <w:r w:rsidRPr="001141DB">
        <w:tab/>
      </w:r>
      <w:r w:rsidRPr="001141DB">
        <w:tab/>
      </w:r>
      <w:r w:rsidRPr="008568E9">
        <w:t>Acrylaway HighT</w:t>
      </w:r>
    </w:p>
    <w:p w14:paraId="52A6A384" w14:textId="11172E39" w:rsidR="009A51A2" w:rsidRDefault="0025773B" w:rsidP="00F14DD2">
      <w:pPr>
        <w:pStyle w:val="Heading3"/>
      </w:pPr>
      <w:bookmarkStart w:id="11" w:name="_Toc422315722"/>
      <w:r>
        <w:t>2.2.2</w:t>
      </w:r>
      <w:r>
        <w:tab/>
      </w:r>
      <w:r w:rsidR="009A51A2">
        <w:t>Enzymic properties</w:t>
      </w:r>
      <w:bookmarkEnd w:id="11"/>
    </w:p>
    <w:p w14:paraId="5DDBD798" w14:textId="77777777" w:rsidR="009A51A2" w:rsidRDefault="00FD4466" w:rsidP="00F14DD2">
      <w:pPr>
        <w:widowControl/>
        <w:autoSpaceDE w:val="0"/>
        <w:autoSpaceDN w:val="0"/>
        <w:adjustRightInd w:val="0"/>
        <w:rPr>
          <w:rFonts w:cs="Arial"/>
          <w:szCs w:val="22"/>
          <w:lang w:eastAsia="en-GB" w:bidi="ar-SA"/>
        </w:rPr>
      </w:pPr>
      <w:r>
        <w:rPr>
          <w:rFonts w:cs="Arial"/>
          <w:szCs w:val="22"/>
          <w:lang w:eastAsia="en-GB" w:bidi="ar-SA"/>
        </w:rPr>
        <w:t>The enzyme</w:t>
      </w:r>
      <w:r w:rsidR="007D724C">
        <w:rPr>
          <w:rFonts w:cs="Arial"/>
          <w:szCs w:val="22"/>
          <w:lang w:eastAsia="en-GB" w:bidi="ar-SA"/>
        </w:rPr>
        <w:t xml:space="preserve"> a</w:t>
      </w:r>
      <w:r w:rsidR="009A51A2" w:rsidRPr="00F76A39">
        <w:rPr>
          <w:rFonts w:cs="Arial"/>
          <w:szCs w:val="22"/>
          <w:lang w:eastAsia="en-GB" w:bidi="ar-SA"/>
        </w:rPr>
        <w:t>sparaginase catalyses the hydrolysis of</w:t>
      </w:r>
      <w:r w:rsidR="009A51A2">
        <w:rPr>
          <w:rFonts w:cs="Arial"/>
          <w:szCs w:val="22"/>
          <w:lang w:eastAsia="en-GB" w:bidi="ar-SA"/>
        </w:rPr>
        <w:t xml:space="preserve"> the </w:t>
      </w:r>
      <w:r w:rsidR="00BF4688">
        <w:rPr>
          <w:rFonts w:cs="Arial"/>
          <w:szCs w:val="22"/>
          <w:lang w:eastAsia="en-GB" w:bidi="ar-SA"/>
        </w:rPr>
        <w:t xml:space="preserve">amide of the </w:t>
      </w:r>
      <w:r w:rsidR="009A51A2">
        <w:rPr>
          <w:rFonts w:cs="Arial"/>
          <w:szCs w:val="22"/>
          <w:lang w:eastAsia="en-GB" w:bidi="ar-SA"/>
        </w:rPr>
        <w:t>amino acid</w:t>
      </w:r>
      <w:r w:rsidR="009A51A2" w:rsidRPr="00F76A39">
        <w:rPr>
          <w:rFonts w:cs="Arial"/>
          <w:szCs w:val="22"/>
          <w:lang w:eastAsia="en-GB" w:bidi="ar-SA"/>
        </w:rPr>
        <w:t xml:space="preserve"> L-asparagine to </w:t>
      </w:r>
      <w:r w:rsidR="00BF4688">
        <w:rPr>
          <w:rFonts w:cs="Arial"/>
          <w:szCs w:val="22"/>
          <w:lang w:eastAsia="en-GB" w:bidi="ar-SA"/>
        </w:rPr>
        <w:t xml:space="preserve">the corresponding acid, </w:t>
      </w:r>
      <w:r w:rsidR="009A51A2" w:rsidRPr="00F76A39">
        <w:rPr>
          <w:rFonts w:cs="Arial"/>
          <w:szCs w:val="22"/>
          <w:lang w:eastAsia="en-GB" w:bidi="ar-SA"/>
        </w:rPr>
        <w:t>L-aspartate</w:t>
      </w:r>
      <w:r w:rsidR="00BF4688">
        <w:rPr>
          <w:rFonts w:cs="Arial"/>
          <w:szCs w:val="22"/>
          <w:lang w:eastAsia="en-GB" w:bidi="ar-SA"/>
        </w:rPr>
        <w:t>,</w:t>
      </w:r>
      <w:r w:rsidR="009A51A2" w:rsidRPr="00F76A39">
        <w:rPr>
          <w:rFonts w:cs="Arial"/>
          <w:szCs w:val="22"/>
          <w:lang w:eastAsia="en-GB" w:bidi="ar-SA"/>
        </w:rPr>
        <w:t xml:space="preserve"> and ammonia</w:t>
      </w:r>
      <w:r w:rsidR="009A51A2">
        <w:rPr>
          <w:rFonts w:cs="Arial"/>
          <w:szCs w:val="22"/>
          <w:lang w:eastAsia="en-GB" w:bidi="ar-SA"/>
        </w:rPr>
        <w:t xml:space="preserve"> (IUBMB 2015)</w:t>
      </w:r>
      <w:r w:rsidR="009A51A2" w:rsidRPr="00F76A39">
        <w:rPr>
          <w:rFonts w:cs="Arial"/>
          <w:szCs w:val="22"/>
          <w:lang w:eastAsia="en-GB" w:bidi="ar-SA"/>
        </w:rPr>
        <w:t xml:space="preserve">. </w:t>
      </w:r>
    </w:p>
    <w:p w14:paraId="55EAB77C" w14:textId="77777777" w:rsidR="009A51A2" w:rsidRDefault="009A51A2" w:rsidP="00F14DD2">
      <w:pPr>
        <w:widowControl/>
        <w:autoSpaceDE w:val="0"/>
        <w:autoSpaceDN w:val="0"/>
        <w:adjustRightInd w:val="0"/>
        <w:rPr>
          <w:rFonts w:cs="Arial"/>
          <w:szCs w:val="22"/>
          <w:lang w:eastAsia="en-GB" w:bidi="ar-SA"/>
        </w:rPr>
      </w:pPr>
    </w:p>
    <w:p w14:paraId="288E0503" w14:textId="77777777" w:rsidR="009A51A2" w:rsidRDefault="009A51A2" w:rsidP="00F14DD2">
      <w:pPr>
        <w:widowControl/>
        <w:autoSpaceDE w:val="0"/>
        <w:autoSpaceDN w:val="0"/>
        <w:adjustRightInd w:val="0"/>
        <w:rPr>
          <w:rFonts w:cs="Arial"/>
          <w:szCs w:val="22"/>
          <w:lang w:eastAsia="en-GB" w:bidi="ar-SA"/>
        </w:rPr>
      </w:pPr>
      <w:r>
        <w:rPr>
          <w:rFonts w:cs="Arial"/>
          <w:noProof/>
          <w:szCs w:val="22"/>
          <w:lang w:eastAsia="en-GB" w:bidi="ar-SA"/>
        </w:rPr>
        <mc:AlternateContent>
          <mc:Choice Requires="wps">
            <w:drawing>
              <wp:anchor distT="0" distB="0" distL="114300" distR="114300" simplePos="0" relativeHeight="251660288" behindDoc="0" locked="0" layoutInCell="1" allowOverlap="1" wp14:anchorId="16749CE9" wp14:editId="12B44EC5">
                <wp:simplePos x="0" y="0"/>
                <wp:positionH relativeFrom="column">
                  <wp:posOffset>1557655</wp:posOffset>
                </wp:positionH>
                <wp:positionV relativeFrom="paragraph">
                  <wp:posOffset>268605</wp:posOffset>
                </wp:positionV>
                <wp:extent cx="913765" cy="0"/>
                <wp:effectExtent l="0" t="76200" r="19685" b="114300"/>
                <wp:wrapNone/>
                <wp:docPr id="2" name="Straight Arrow Connector 2"/>
                <wp:cNvGraphicFramePr/>
                <a:graphic xmlns:a="http://schemas.openxmlformats.org/drawingml/2006/main">
                  <a:graphicData uri="http://schemas.microsoft.com/office/word/2010/wordprocessingShape">
                    <wps:wsp>
                      <wps:cNvCnPr/>
                      <wps:spPr>
                        <a:xfrm>
                          <a:off x="0" y="0"/>
                          <a:ext cx="913765" cy="0"/>
                        </a:xfrm>
                        <a:prstGeom prst="straightConnector1">
                          <a:avLst/>
                        </a:prstGeom>
                        <a:ln w="158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22.65pt;margin-top:21.15pt;width:71.9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" strokecolor="black [3213]" strokeweight="1.25pt">
                <v:stroke endarrow="open"/>
              </v:shape>
            </w:pict>
          </mc:Fallback>
        </mc:AlternateContent>
      </w:r>
      <w:r w:rsidRPr="00F76A39">
        <w:rPr>
          <w:rFonts w:cs="Arial"/>
          <w:noProof/>
          <w:szCs w:val="22"/>
          <w:lang w:eastAsia="en-GB" w:bidi="ar-SA"/>
        </w:rPr>
        <mc:AlternateContent>
          <mc:Choice Requires="wps">
            <w:drawing>
              <wp:inline distT="0" distB="0" distL="0" distR="0" wp14:anchorId="2A3E90EB" wp14:editId="3D4A476F">
                <wp:extent cx="3956400" cy="478800"/>
                <wp:effectExtent l="0" t="0" r="25400" b="1651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400" cy="478800"/>
                        </a:xfrm>
                        <a:prstGeom prst="rect">
                          <a:avLst/>
                        </a:prstGeom>
                        <a:solidFill>
                          <a:srgbClr val="FFFFFF"/>
                        </a:solidFill>
                        <a:ln w="9525">
                          <a:solidFill>
                            <a:srgbClr val="000000"/>
                          </a:solidFill>
                          <a:miter lim="800000"/>
                          <a:headEnd/>
                          <a:tailEnd/>
                        </a:ln>
                      </wps:spPr>
                      <wps:txbx>
                        <w:txbxContent>
                          <w:p w14:paraId="68AE238D" w14:textId="77777777" w:rsidR="003D5885" w:rsidRPr="004D1EF0" w:rsidRDefault="003D5885" w:rsidP="00F14DD2">
                            <w:pPr>
                              <w:widowControl/>
                              <w:tabs>
                                <w:tab w:val="left" w:pos="1843"/>
                                <w:tab w:val="left" w:pos="2410"/>
                              </w:tabs>
                              <w:autoSpaceDE w:val="0"/>
                              <w:autoSpaceDN w:val="0"/>
                              <w:adjustRightInd w:val="0"/>
                              <w:rPr>
                                <w:rFonts w:cs="Arial"/>
                                <w:sz w:val="18"/>
                                <w:szCs w:val="18"/>
                                <w:lang w:eastAsia="en-GB" w:bidi="ar-SA"/>
                              </w:rPr>
                            </w:pPr>
                            <w:r>
                              <w:rPr>
                                <w:rFonts w:cs="Arial"/>
                                <w:szCs w:val="22"/>
                                <w:lang w:eastAsia="en-GB" w:bidi="ar-SA"/>
                              </w:rPr>
                              <w:tab/>
                            </w:r>
                            <w:r>
                              <w:rPr>
                                <w:rFonts w:cs="Arial"/>
                                <w:szCs w:val="22"/>
                                <w:lang w:eastAsia="en-GB" w:bidi="ar-SA"/>
                              </w:rPr>
                              <w:tab/>
                            </w:r>
                            <w:r w:rsidRPr="004D1EF0">
                              <w:rPr>
                                <w:rFonts w:cs="Arial"/>
                                <w:sz w:val="18"/>
                                <w:szCs w:val="18"/>
                                <w:lang w:eastAsia="en-GB" w:bidi="ar-SA"/>
                              </w:rPr>
                              <w:t>asparaginase</w:t>
                            </w:r>
                          </w:p>
                          <w:p w14:paraId="7B96C95C" w14:textId="77777777" w:rsidR="003D5885" w:rsidRDefault="003D5885" w:rsidP="00F14DD2">
                            <w:pPr>
                              <w:widowControl/>
                              <w:autoSpaceDE w:val="0"/>
                              <w:autoSpaceDN w:val="0"/>
                              <w:adjustRightInd w:val="0"/>
                              <w:rPr>
                                <w:rFonts w:cs="Arial"/>
                                <w:szCs w:val="22"/>
                                <w:lang w:eastAsia="en-GB" w:bidi="ar-SA"/>
                              </w:rPr>
                            </w:pPr>
                            <w:r>
                              <w:rPr>
                                <w:rFonts w:cs="Arial"/>
                                <w:szCs w:val="22"/>
                                <w:lang w:eastAsia="en-GB" w:bidi="ar-SA"/>
                              </w:rPr>
                              <w:t>L-asparagine + H</w:t>
                            </w:r>
                            <w:r w:rsidRPr="00F76A39">
                              <w:rPr>
                                <w:rFonts w:cs="Arial"/>
                                <w:szCs w:val="22"/>
                                <w:vertAlign w:val="subscript"/>
                                <w:lang w:eastAsia="en-GB" w:bidi="ar-SA"/>
                              </w:rPr>
                              <w:t>2</w:t>
                            </w:r>
                            <w:r>
                              <w:rPr>
                                <w:rFonts w:cs="Arial"/>
                                <w:szCs w:val="22"/>
                                <w:lang w:eastAsia="en-GB" w:bidi="ar-SA"/>
                              </w:rPr>
                              <w:t xml:space="preserve">0 </w:t>
                            </w:r>
                            <w:r>
                              <w:rPr>
                                <w:rFonts w:cs="Arial"/>
                                <w:szCs w:val="22"/>
                                <w:lang w:eastAsia="en-GB" w:bidi="ar-SA"/>
                              </w:rPr>
                              <w:tab/>
                            </w:r>
                            <w:r>
                              <w:rPr>
                                <w:rFonts w:cs="Arial"/>
                                <w:szCs w:val="22"/>
                                <w:lang w:eastAsia="en-GB" w:bidi="ar-SA"/>
                              </w:rPr>
                              <w:tab/>
                              <w:t xml:space="preserve"> </w:t>
                            </w:r>
                            <w:r>
                              <w:rPr>
                                <w:rFonts w:cs="Arial"/>
                                <w:szCs w:val="22"/>
                                <w:lang w:eastAsia="en-GB" w:bidi="ar-SA"/>
                              </w:rPr>
                              <w:tab/>
                            </w:r>
                            <w:r>
                              <w:rPr>
                                <w:rFonts w:cs="Arial"/>
                                <w:szCs w:val="22"/>
                                <w:lang w:eastAsia="en-GB" w:bidi="ar-SA"/>
                              </w:rPr>
                              <w:tab/>
                              <w:t>L-aspartate + NH</w:t>
                            </w:r>
                            <w:r w:rsidRPr="00F76A39">
                              <w:rPr>
                                <w:rFonts w:cs="Arial"/>
                                <w:szCs w:val="22"/>
                                <w:vertAlign w:val="subscript"/>
                                <w:lang w:eastAsia="en-GB" w:bidi="ar-SA"/>
                              </w:rPr>
                              <w:t>3</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11.55pt;height:3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">
                <v:textbox>
                  <w:txbxContent>
                    <w:p w14:paraId="68AE238D" w14:textId="77777777" w:rsidR="003D5885" w:rsidRPr="004D1EF0" w:rsidRDefault="003D5885" w:rsidP="00F14DD2">
                      <w:pPr>
                        <w:widowControl/>
                        <w:tabs>
                          <w:tab w:val="left" w:pos="1843"/>
                          <w:tab w:val="left" w:pos="2410"/>
                        </w:tabs>
                        <w:autoSpaceDE w:val="0"/>
                        <w:autoSpaceDN w:val="0"/>
                        <w:adjustRightInd w:val="0"/>
                        <w:rPr>
                          <w:rFonts w:cs="Arial"/>
                          <w:sz w:val="18"/>
                          <w:szCs w:val="18"/>
                          <w:lang w:eastAsia="en-GB" w:bidi="ar-SA"/>
                        </w:rPr>
                      </w:pPr>
                      <w:r>
                        <w:rPr>
                          <w:rFonts w:cs="Arial"/>
                          <w:szCs w:val="22"/>
                          <w:lang w:eastAsia="en-GB" w:bidi="ar-SA"/>
                        </w:rPr>
                        <w:tab/>
                      </w:r>
                      <w:r>
                        <w:rPr>
                          <w:rFonts w:cs="Arial"/>
                          <w:szCs w:val="22"/>
                          <w:lang w:eastAsia="en-GB" w:bidi="ar-SA"/>
                        </w:rPr>
                        <w:tab/>
                      </w:r>
                      <w:r w:rsidRPr="004D1EF0">
                        <w:rPr>
                          <w:rFonts w:cs="Arial"/>
                          <w:sz w:val="18"/>
                          <w:szCs w:val="18"/>
                          <w:lang w:eastAsia="en-GB" w:bidi="ar-SA"/>
                        </w:rPr>
                        <w:t>asparaginase</w:t>
                      </w:r>
                    </w:p>
                    <w:p w14:paraId="7B96C95C" w14:textId="77777777" w:rsidR="003D5885" w:rsidRDefault="003D5885" w:rsidP="00F14DD2">
                      <w:pPr>
                        <w:widowControl/>
                        <w:autoSpaceDE w:val="0"/>
                        <w:autoSpaceDN w:val="0"/>
                        <w:adjustRightInd w:val="0"/>
                        <w:rPr>
                          <w:rFonts w:cs="Arial"/>
                          <w:szCs w:val="22"/>
                          <w:lang w:eastAsia="en-GB" w:bidi="ar-SA"/>
                        </w:rPr>
                      </w:pPr>
                      <w:r>
                        <w:rPr>
                          <w:rFonts w:cs="Arial"/>
                          <w:szCs w:val="22"/>
                          <w:lang w:eastAsia="en-GB" w:bidi="ar-SA"/>
                        </w:rPr>
                        <w:t>L-asparagine + H</w:t>
                      </w:r>
                      <w:r w:rsidRPr="00F76A39">
                        <w:rPr>
                          <w:rFonts w:cs="Arial"/>
                          <w:szCs w:val="22"/>
                          <w:vertAlign w:val="subscript"/>
                          <w:lang w:eastAsia="en-GB" w:bidi="ar-SA"/>
                        </w:rPr>
                        <w:t>2</w:t>
                      </w:r>
                      <w:r>
                        <w:rPr>
                          <w:rFonts w:cs="Arial"/>
                          <w:szCs w:val="22"/>
                          <w:lang w:eastAsia="en-GB" w:bidi="ar-SA"/>
                        </w:rPr>
                        <w:t xml:space="preserve">0 </w:t>
                      </w:r>
                      <w:r>
                        <w:rPr>
                          <w:rFonts w:cs="Arial"/>
                          <w:szCs w:val="22"/>
                          <w:lang w:eastAsia="en-GB" w:bidi="ar-SA"/>
                        </w:rPr>
                        <w:tab/>
                      </w:r>
                      <w:r>
                        <w:rPr>
                          <w:rFonts w:cs="Arial"/>
                          <w:szCs w:val="22"/>
                          <w:lang w:eastAsia="en-GB" w:bidi="ar-SA"/>
                        </w:rPr>
                        <w:tab/>
                        <w:t xml:space="preserve"> </w:t>
                      </w:r>
                      <w:r>
                        <w:rPr>
                          <w:rFonts w:cs="Arial"/>
                          <w:szCs w:val="22"/>
                          <w:lang w:eastAsia="en-GB" w:bidi="ar-SA"/>
                        </w:rPr>
                        <w:tab/>
                      </w:r>
                      <w:r>
                        <w:rPr>
                          <w:rFonts w:cs="Arial"/>
                          <w:szCs w:val="22"/>
                          <w:lang w:eastAsia="en-GB" w:bidi="ar-SA"/>
                        </w:rPr>
                        <w:tab/>
                        <w:t>L-aspartate + NH</w:t>
                      </w:r>
                      <w:r w:rsidRPr="00F76A39">
                        <w:rPr>
                          <w:rFonts w:cs="Arial"/>
                          <w:szCs w:val="22"/>
                          <w:vertAlign w:val="subscript"/>
                          <w:lang w:eastAsia="en-GB" w:bidi="ar-SA"/>
                        </w:rPr>
                        <w:t>3</w:t>
                      </w:r>
                    </w:p>
                  </w:txbxContent>
                </v:textbox>
                <w10:anchorlock/>
              </v:shape>
            </w:pict>
          </mc:Fallback>
        </mc:AlternateContent>
      </w:r>
    </w:p>
    <w:p w14:paraId="6B630C52" w14:textId="77777777" w:rsidR="009A51A2" w:rsidRDefault="009A51A2" w:rsidP="00F14DD2">
      <w:pPr>
        <w:widowControl/>
        <w:autoSpaceDE w:val="0"/>
        <w:autoSpaceDN w:val="0"/>
        <w:adjustRightInd w:val="0"/>
        <w:rPr>
          <w:rFonts w:cs="Arial"/>
          <w:szCs w:val="22"/>
          <w:lang w:eastAsia="en-GB" w:bidi="ar-SA"/>
        </w:rPr>
      </w:pPr>
    </w:p>
    <w:p w14:paraId="51DC8386" w14:textId="77777777" w:rsidR="009A0662" w:rsidRDefault="009A0662" w:rsidP="00F14DD2">
      <w:pPr>
        <w:widowControl/>
        <w:autoSpaceDE w:val="0"/>
        <w:autoSpaceDN w:val="0"/>
        <w:adjustRightInd w:val="0"/>
        <w:rPr>
          <w:rFonts w:cs="Arial"/>
          <w:szCs w:val="22"/>
          <w:lang w:eastAsia="en-GB" w:bidi="ar-SA"/>
        </w:rPr>
      </w:pPr>
      <w:r>
        <w:rPr>
          <w:noProof/>
          <w:lang w:eastAsia="en-GB" w:bidi="ar-SA"/>
        </w:rPr>
        <w:drawing>
          <wp:inline distT="0" distB="0" distL="0" distR="0" wp14:anchorId="65A352C6" wp14:editId="45AB73E2">
            <wp:extent cx="3765600" cy="28800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765600" cy="2880000"/>
                    </a:xfrm>
                    <a:prstGeom prst="rect">
                      <a:avLst/>
                    </a:prstGeom>
                  </pic:spPr>
                </pic:pic>
              </a:graphicData>
            </a:graphic>
          </wp:inline>
        </w:drawing>
      </w:r>
    </w:p>
    <w:p w14:paraId="13AE8E83" w14:textId="77777777" w:rsidR="009A0662" w:rsidRDefault="009A0662" w:rsidP="009A0662">
      <w:pPr>
        <w:pStyle w:val="FSFigureTitle"/>
        <w:rPr>
          <w:lang w:eastAsia="en-GB" w:bidi="ar-SA"/>
        </w:rPr>
      </w:pPr>
      <w:r>
        <w:t xml:space="preserve">Figure </w:t>
      </w:r>
      <w:r>
        <w:fldChar w:fldCharType="begin"/>
      </w:r>
      <w:r>
        <w:instrText xml:space="preserve"> SEQ Figure \* ARABIC </w:instrText>
      </w:r>
      <w:r>
        <w:fldChar w:fldCharType="separate"/>
      </w:r>
      <w:r w:rsidR="007A7B2C">
        <w:rPr>
          <w:noProof/>
        </w:rPr>
        <w:t>1</w:t>
      </w:r>
      <w:r>
        <w:fldChar w:fldCharType="end"/>
      </w:r>
      <w:r>
        <w:t>: Reaction catalysed by asparaginase (Source: Application)</w:t>
      </w:r>
    </w:p>
    <w:p w14:paraId="2A9E0179" w14:textId="77777777" w:rsidR="009A0662" w:rsidRDefault="009A0662" w:rsidP="00F14DD2">
      <w:pPr>
        <w:widowControl/>
        <w:autoSpaceDE w:val="0"/>
        <w:autoSpaceDN w:val="0"/>
        <w:adjustRightInd w:val="0"/>
        <w:rPr>
          <w:rFonts w:cs="Arial"/>
          <w:szCs w:val="22"/>
          <w:lang w:eastAsia="en-GB" w:bidi="ar-SA"/>
        </w:rPr>
      </w:pPr>
    </w:p>
    <w:p w14:paraId="0AAB362F" w14:textId="77777777" w:rsidR="009A51A2" w:rsidRDefault="009A51A2" w:rsidP="00F14DD2">
      <w:pPr>
        <w:rPr>
          <w:lang w:eastAsia="en-AU" w:bidi="ar-SA"/>
        </w:rPr>
      </w:pPr>
      <w:r w:rsidRPr="00932971">
        <w:t>Asparagine is one of the precursors of the Maillard browning reaction, reacting with reducing sugars to form acrylamide during high temper</w:t>
      </w:r>
      <w:r>
        <w:t xml:space="preserve">ature manufacturing processes. </w:t>
      </w:r>
      <w:r w:rsidR="003149D9">
        <w:t xml:space="preserve">The combination of time and temperature during processing is critical in the formation of acrylamide </w:t>
      </w:r>
      <w:r w:rsidR="00021F68">
        <w:fldChar w:fldCharType="begin"/>
      </w:r>
      <w:r w:rsidR="00021F68">
        <w:instrText xml:space="preserve"> ADDIN REFMGR.CITE &lt;Refman&gt;&lt;Cite&gt;&lt;Author&gt;FoodDrinkEurope&lt;/Author&gt;&lt;Year&gt;2014&lt;/Year&gt;&lt;RecNum&gt;44&lt;/RecNum&gt;&lt;IDText&gt;Acrylamide Toolbox 2013&lt;/IDText&gt;&lt;MDL Ref_Type="Online Source"&gt;&lt;Ref_Type&gt;Online Source&lt;/Ref_Type&gt;&lt;Ref_ID&gt;44&lt;/Ref_ID&gt;&lt;Title_Primary&gt;Acrylamide Toolbox 2013&lt;/Title_Primary&gt;&lt;Authors_Primary&gt;FoodDrinkEurope&lt;/Authors_Primary&gt;&lt;Date_Primary&gt;2014&lt;/Date_Primary&gt;&lt;Reprint&gt;Not in File&lt;/Reprint&gt;&lt;Date_Secondary&gt;2015/3/23&lt;/Date_Secondary&gt;&lt;Web_URL&gt;&lt;u&gt;http://www.fooddrinkeurope.eu/uploads/publications_documents/AcrylamideToolbox_2013.pdf&lt;/u&gt;&lt;/Web_URL&gt;&lt;ZZ_WorkformID&gt;31&lt;/ZZ_WorkformID&gt;&lt;/MDL&gt;&lt;/Cite&gt;&lt;/Refman&gt;</w:instrText>
      </w:r>
      <w:r w:rsidR="00021F68">
        <w:fldChar w:fldCharType="separate"/>
      </w:r>
      <w:r w:rsidR="00021F68">
        <w:rPr>
          <w:noProof/>
        </w:rPr>
        <w:t>(FoodDrinkEurope 2014)</w:t>
      </w:r>
      <w:r w:rsidR="00021F68">
        <w:fldChar w:fldCharType="end"/>
      </w:r>
      <w:r w:rsidR="003149D9">
        <w:t xml:space="preserve">. </w:t>
      </w:r>
      <w:r w:rsidRPr="00932971">
        <w:t xml:space="preserve">Therefore, treating food to reduce the concentration of asparagine prior to heat processing would reduce the amount of acrylamide </w:t>
      </w:r>
      <w:r w:rsidR="00611D72">
        <w:t xml:space="preserve">formed </w:t>
      </w:r>
      <w:r w:rsidRPr="00932971">
        <w:t xml:space="preserve">in foods such as potato chips, </w:t>
      </w:r>
      <w:r>
        <w:t>breakfast cereals and coffee beans</w:t>
      </w:r>
      <w:r w:rsidRPr="00932971">
        <w:t>.</w:t>
      </w:r>
    </w:p>
    <w:p w14:paraId="654A5787" w14:textId="77777777" w:rsidR="009A51A2" w:rsidRDefault="009A51A2" w:rsidP="00F14DD2">
      <w:pPr>
        <w:rPr>
          <w:lang w:eastAsia="en-AU" w:bidi="ar-SA"/>
        </w:rPr>
      </w:pPr>
    </w:p>
    <w:p w14:paraId="700CC78F" w14:textId="77777777" w:rsidR="009A51A2" w:rsidRDefault="009A51A2" w:rsidP="00F14DD2">
      <w:pPr>
        <w:widowControl/>
        <w:autoSpaceDE w:val="0"/>
        <w:autoSpaceDN w:val="0"/>
        <w:adjustRightInd w:val="0"/>
        <w:rPr>
          <w:lang w:eastAsia="en-AU" w:bidi="ar-SA"/>
        </w:rPr>
      </w:pPr>
      <w:r>
        <w:t>The enzyme is largely inactivated by excessive heat treatment during later processing steps – i.e. the toasting of breakfast cereals, roasting of coffee beans, frying potato-based snacks and chips.</w:t>
      </w:r>
    </w:p>
    <w:p w14:paraId="355099E8" w14:textId="6666E799" w:rsidR="009A51A2" w:rsidRDefault="0025773B" w:rsidP="00F14DD2">
      <w:pPr>
        <w:pStyle w:val="Heading3"/>
      </w:pPr>
      <w:bookmarkStart w:id="12" w:name="_Toc422315723"/>
      <w:r>
        <w:t>2.2.3</w:t>
      </w:r>
      <w:r>
        <w:tab/>
      </w:r>
      <w:r w:rsidR="009A51A2">
        <w:t>Physical properties</w:t>
      </w:r>
      <w:bookmarkEnd w:id="12"/>
    </w:p>
    <w:p w14:paraId="702D34C4" w14:textId="77777777" w:rsidR="009A51A2" w:rsidRDefault="009A51A2" w:rsidP="00F14DD2">
      <w:pPr>
        <w:rPr>
          <w:rFonts w:cs="Arial"/>
          <w:lang w:eastAsia="en-AU"/>
        </w:rPr>
      </w:pPr>
      <w:r w:rsidRPr="003B67E1">
        <w:rPr>
          <w:rFonts w:cs="Arial"/>
          <w:lang w:eastAsia="en-AU"/>
        </w:rPr>
        <w:t>The commercial enzyme preparation is supplied in two forms:</w:t>
      </w:r>
    </w:p>
    <w:p w14:paraId="0CC32A69" w14:textId="77777777" w:rsidR="00484A31" w:rsidRPr="003B67E1" w:rsidRDefault="00484A31" w:rsidP="00F14DD2">
      <w:pPr>
        <w:rPr>
          <w:rFonts w:cs="Arial"/>
          <w:lang w:eastAsia="en-AU"/>
        </w:rPr>
      </w:pPr>
    </w:p>
    <w:p w14:paraId="114E3B17" w14:textId="77777777" w:rsidR="009A51A2" w:rsidRDefault="009A51A2" w:rsidP="003D5885">
      <w:pPr>
        <w:pStyle w:val="FSBullet1"/>
      </w:pPr>
      <w:r w:rsidRPr="003B67E1">
        <w:rPr>
          <w:lang w:eastAsia="en-AU"/>
        </w:rPr>
        <w:t>Acrylaway HighT L</w:t>
      </w:r>
      <w:r>
        <w:rPr>
          <w:lang w:eastAsia="en-AU"/>
        </w:rPr>
        <w:t xml:space="preserve"> – </w:t>
      </w:r>
      <w:r w:rsidRPr="003B67E1">
        <w:rPr>
          <w:lang w:eastAsia="en-AU"/>
        </w:rPr>
        <w:t>a</w:t>
      </w:r>
      <w:r>
        <w:rPr>
          <w:lang w:eastAsia="en-AU"/>
        </w:rPr>
        <w:t xml:space="preserve"> light brown</w:t>
      </w:r>
      <w:r w:rsidRPr="003B67E1">
        <w:rPr>
          <w:lang w:eastAsia="en-AU"/>
        </w:rPr>
        <w:t xml:space="preserve"> liquid preparation with approximately 0.8% </w:t>
      </w:r>
      <w:r w:rsidRPr="003B67E1">
        <w:t>Total Organic Solids (TOS), 5% sodium chloride, 46.7% sorbitol, 47% water, 0.3% sodium benzoate and 0.2% potassium benzoate</w:t>
      </w:r>
      <w:r>
        <w:t xml:space="preserve">. </w:t>
      </w:r>
    </w:p>
    <w:p w14:paraId="013DACD0" w14:textId="5AF9B8E2" w:rsidR="003D5885" w:rsidRDefault="003D5885" w:rsidP="007D724C">
      <w:r>
        <w:br w:type="page"/>
      </w:r>
    </w:p>
    <w:p w14:paraId="361B57AB" w14:textId="77777777" w:rsidR="009A51A2" w:rsidRPr="003B67E1" w:rsidRDefault="009A51A2" w:rsidP="003D5885">
      <w:pPr>
        <w:pStyle w:val="FSBullet1"/>
        <w:rPr>
          <w:lang w:eastAsia="en-AU"/>
        </w:rPr>
      </w:pPr>
      <w:r w:rsidRPr="003B67E1">
        <w:rPr>
          <w:lang w:eastAsia="en-AU"/>
        </w:rPr>
        <w:lastRenderedPageBreak/>
        <w:t>Acrylaway HighT BG</w:t>
      </w:r>
      <w:r>
        <w:rPr>
          <w:lang w:eastAsia="en-AU"/>
        </w:rPr>
        <w:t xml:space="preserve"> – </w:t>
      </w:r>
      <w:r w:rsidRPr="003B67E1">
        <w:rPr>
          <w:lang w:eastAsia="en-AU"/>
        </w:rPr>
        <w:t>a</w:t>
      </w:r>
      <w:r>
        <w:rPr>
          <w:lang w:eastAsia="en-AU"/>
        </w:rPr>
        <w:t xml:space="preserve"> light yellow </w:t>
      </w:r>
      <w:r w:rsidRPr="003B67E1">
        <w:rPr>
          <w:lang w:eastAsia="en-AU"/>
        </w:rPr>
        <w:t xml:space="preserve">granulate with approximately 0.8% </w:t>
      </w:r>
      <w:r w:rsidRPr="003B67E1">
        <w:t>TOS</w:t>
      </w:r>
      <w:r w:rsidR="00EB7A41">
        <w:t>, 3% </w:t>
      </w:r>
      <w:r w:rsidRPr="003B67E1">
        <w:t>sodium chloride, 4% water, 91.9% corn flour and 0.3% dextrin.</w:t>
      </w:r>
    </w:p>
    <w:p w14:paraId="51FF0620" w14:textId="77777777" w:rsidR="009A51A2" w:rsidRDefault="009A51A2" w:rsidP="00F14DD2">
      <w:pPr>
        <w:rPr>
          <w:rFonts w:cs="Arial"/>
          <w:lang w:eastAsia="en-AU"/>
        </w:rPr>
      </w:pPr>
    </w:p>
    <w:p w14:paraId="3F9AD81C" w14:textId="77777777" w:rsidR="009A51A2" w:rsidRDefault="009A51A2" w:rsidP="00F14DD2">
      <w:pPr>
        <w:rPr>
          <w:rFonts w:cs="Arial"/>
          <w:szCs w:val="22"/>
          <w:lang w:eastAsia="en-GB" w:bidi="ar-SA"/>
        </w:rPr>
      </w:pPr>
      <w:r>
        <w:rPr>
          <w:rFonts w:cs="Arial"/>
          <w:lang w:eastAsia="en-AU"/>
        </w:rPr>
        <w:t>The enzyme preparations are standardised to an activity of 6,000 Thermostable Asparaginase Units (TASU)/gram.</w:t>
      </w:r>
      <w:r w:rsidRPr="00C14583">
        <w:rPr>
          <w:rFonts w:cs="Arial"/>
          <w:szCs w:val="22"/>
          <w:lang w:eastAsia="en-GB" w:bidi="ar-SA"/>
        </w:rPr>
        <w:t xml:space="preserve"> </w:t>
      </w:r>
      <w:r>
        <w:rPr>
          <w:rFonts w:cs="Arial"/>
          <w:szCs w:val="22"/>
          <w:lang w:eastAsia="en-GB" w:bidi="ar-SA"/>
        </w:rPr>
        <w:t>The maximum recommended dosage is</w:t>
      </w:r>
      <w:r w:rsidR="007D724C">
        <w:rPr>
          <w:rFonts w:cs="Arial"/>
          <w:szCs w:val="22"/>
          <w:lang w:eastAsia="en-GB" w:bidi="ar-SA"/>
        </w:rPr>
        <w:t xml:space="preserve"> 15,000 </w:t>
      </w:r>
      <w:r>
        <w:rPr>
          <w:rFonts w:cs="Arial"/>
          <w:szCs w:val="22"/>
          <w:lang w:eastAsia="en-GB" w:bidi="ar-SA"/>
        </w:rPr>
        <w:t>TASU/kg dry matter.</w:t>
      </w:r>
    </w:p>
    <w:p w14:paraId="326185E3" w14:textId="44EB89F1" w:rsidR="0068049E" w:rsidRDefault="0025773B" w:rsidP="0068049E">
      <w:pPr>
        <w:pStyle w:val="Heading3"/>
      </w:pPr>
      <w:bookmarkStart w:id="13" w:name="_Toc422315724"/>
      <w:r>
        <w:t>2.2.4</w:t>
      </w:r>
      <w:r>
        <w:tab/>
      </w:r>
      <w:r w:rsidR="0068049E">
        <w:t>Temperature</w:t>
      </w:r>
      <w:bookmarkEnd w:id="13"/>
    </w:p>
    <w:p w14:paraId="625A1587" w14:textId="22E10921" w:rsidR="009A51A2" w:rsidRDefault="00611D72" w:rsidP="00F14DD2">
      <w:pPr>
        <w:ind w:right="-214"/>
      </w:pPr>
      <w:r>
        <w:t>M</w:t>
      </w:r>
      <w:r w:rsidR="0068049E">
        <w:t>inimum time-temperature conditions</w:t>
      </w:r>
      <w:r w:rsidRPr="00611D72">
        <w:t xml:space="preserve"> </w:t>
      </w:r>
      <w:r>
        <w:t>to ensure that the enzyme is inactivated in the final product</w:t>
      </w:r>
      <w:r w:rsidR="0068049E">
        <w:t xml:space="preserve"> </w:t>
      </w:r>
      <w:r w:rsidR="00697B2C">
        <w:t>a</w:t>
      </w:r>
      <w:r w:rsidR="0068049E">
        <w:t>re recommended by the Applicant for breakfast cereal applications</w:t>
      </w:r>
      <w:r w:rsidR="00C4256D">
        <w:t xml:space="preserve"> (</w:t>
      </w:r>
      <w:r>
        <w:fldChar w:fldCharType="begin"/>
      </w:r>
      <w:r>
        <w:instrText xml:space="preserve"> REF _Ref414624507 \h </w:instrText>
      </w:r>
      <w:r>
        <w:fldChar w:fldCharType="separate"/>
      </w:r>
      <w:r w:rsidR="007A7B2C" w:rsidRPr="00484A31">
        <w:rPr>
          <w:szCs w:val="22"/>
        </w:rPr>
        <w:t xml:space="preserve">Table </w:t>
      </w:r>
      <w:r w:rsidR="007A7B2C">
        <w:rPr>
          <w:noProof/>
          <w:szCs w:val="22"/>
        </w:rPr>
        <w:t>1</w:t>
      </w:r>
      <w:r>
        <w:fldChar w:fldCharType="end"/>
      </w:r>
      <w:r w:rsidR="00C4256D">
        <w:t>).</w:t>
      </w:r>
      <w:r w:rsidR="00D96D30">
        <w:t xml:space="preserve"> Food companies interested in using the enzyme preparation to reduce the formation of acrylamide in other food matrices should contact the Applicant seeking similar time and temperature inactivation data.</w:t>
      </w:r>
    </w:p>
    <w:p w14:paraId="34F8C17F" w14:textId="77777777" w:rsidR="0068049E" w:rsidRDefault="0068049E" w:rsidP="00F14DD2">
      <w:pPr>
        <w:ind w:right="-214"/>
      </w:pPr>
    </w:p>
    <w:p w14:paraId="4623FCBA" w14:textId="62CFEBF8" w:rsidR="0068049E" w:rsidRDefault="0068049E" w:rsidP="0068049E">
      <w:pPr>
        <w:pStyle w:val="FSTableHeading"/>
        <w:keepNext/>
        <w:keepLines/>
        <w:ind w:left="1134" w:hanging="1134"/>
        <w:jc w:val="left"/>
        <w:rPr>
          <w:rFonts w:ascii="Arial" w:hAnsi="Arial"/>
          <w:sz w:val="22"/>
          <w:szCs w:val="22"/>
        </w:rPr>
      </w:pPr>
      <w:bookmarkStart w:id="14" w:name="_Ref414624507"/>
      <w:r w:rsidRPr="00484A31">
        <w:rPr>
          <w:sz w:val="22"/>
          <w:szCs w:val="22"/>
        </w:rPr>
        <w:t xml:space="preserve">Table </w:t>
      </w:r>
      <w:r w:rsidRPr="00484A31">
        <w:rPr>
          <w:sz w:val="22"/>
          <w:szCs w:val="22"/>
        </w:rPr>
        <w:fldChar w:fldCharType="begin"/>
      </w:r>
      <w:r w:rsidRPr="00484A31">
        <w:rPr>
          <w:sz w:val="22"/>
          <w:szCs w:val="22"/>
        </w:rPr>
        <w:instrText xml:space="preserve"> SEQ Table \* ARABIC \s 1 </w:instrText>
      </w:r>
      <w:r w:rsidRPr="00484A31">
        <w:rPr>
          <w:sz w:val="22"/>
          <w:szCs w:val="22"/>
        </w:rPr>
        <w:fldChar w:fldCharType="separate"/>
      </w:r>
      <w:r w:rsidR="007A7B2C">
        <w:rPr>
          <w:noProof/>
          <w:sz w:val="22"/>
          <w:szCs w:val="22"/>
        </w:rPr>
        <w:t>1</w:t>
      </w:r>
      <w:r w:rsidRPr="00484A31">
        <w:rPr>
          <w:sz w:val="22"/>
          <w:szCs w:val="22"/>
        </w:rPr>
        <w:fldChar w:fldCharType="end"/>
      </w:r>
      <w:bookmarkEnd w:id="14"/>
      <w:r w:rsidRPr="00484A31">
        <w:rPr>
          <w:sz w:val="22"/>
          <w:szCs w:val="22"/>
        </w:rPr>
        <w:t>:</w:t>
      </w:r>
      <w:r w:rsidRPr="00484A31">
        <w:rPr>
          <w:sz w:val="22"/>
          <w:szCs w:val="22"/>
        </w:rPr>
        <w:tab/>
      </w:r>
      <w:r w:rsidRPr="00484A31">
        <w:rPr>
          <w:rFonts w:ascii="Arial" w:hAnsi="Arial"/>
          <w:sz w:val="22"/>
          <w:szCs w:val="22"/>
        </w:rPr>
        <w:t>Time-Temperature combinations to inactivate the asparaginase in breakfast cereals</w:t>
      </w:r>
    </w:p>
    <w:p w14:paraId="56A9A1E8" w14:textId="77777777" w:rsidR="003D5885" w:rsidRPr="00484A31" w:rsidRDefault="003D5885" w:rsidP="0068049E">
      <w:pPr>
        <w:pStyle w:val="FSTableHeading"/>
        <w:keepNext/>
        <w:keepLines/>
        <w:ind w:left="1134" w:hanging="1134"/>
        <w:jc w:val="left"/>
        <w:rPr>
          <w:sz w:val="22"/>
          <w:szCs w:val="22"/>
        </w:rPr>
      </w:pPr>
    </w:p>
    <w:tbl>
      <w:tblPr>
        <w:tblStyle w:val="TableGrid"/>
        <w:tblW w:w="0" w:type="auto"/>
        <w:tblLook w:val="04A0" w:firstRow="1" w:lastRow="0" w:firstColumn="1" w:lastColumn="0" w:noHBand="0" w:noVBand="1"/>
      </w:tblPr>
      <w:tblGrid>
        <w:gridCol w:w="2518"/>
        <w:gridCol w:w="2126"/>
      </w:tblGrid>
      <w:tr w:rsidR="0068049E" w:rsidRPr="0068049E" w14:paraId="51312079" w14:textId="77777777" w:rsidTr="00C4256D">
        <w:trPr>
          <w:trHeight w:val="567"/>
        </w:trPr>
        <w:tc>
          <w:tcPr>
            <w:tcW w:w="2518" w:type="dxa"/>
            <w:tcBorders>
              <w:bottom w:val="single" w:sz="4" w:space="0" w:color="000000"/>
            </w:tcBorders>
            <w:vAlign w:val="center"/>
          </w:tcPr>
          <w:p w14:paraId="6DA3525F" w14:textId="77777777" w:rsidR="0068049E" w:rsidRPr="00484A31" w:rsidRDefault="0068049E" w:rsidP="0068049E">
            <w:pPr>
              <w:keepNext/>
              <w:keepLines/>
              <w:ind w:right="-214"/>
              <w:jc w:val="center"/>
              <w:rPr>
                <w:rFonts w:ascii="Arial" w:hAnsi="Arial" w:cs="Arial"/>
                <w:b/>
                <w:szCs w:val="22"/>
              </w:rPr>
            </w:pPr>
            <w:r w:rsidRPr="00484A31">
              <w:rPr>
                <w:rFonts w:ascii="Arial" w:hAnsi="Arial" w:cs="Arial"/>
                <w:b/>
                <w:szCs w:val="22"/>
              </w:rPr>
              <w:t>Temperature (°C)</w:t>
            </w:r>
          </w:p>
        </w:tc>
        <w:tc>
          <w:tcPr>
            <w:tcW w:w="2126" w:type="dxa"/>
            <w:tcBorders>
              <w:bottom w:val="single" w:sz="4" w:space="0" w:color="000000"/>
            </w:tcBorders>
            <w:vAlign w:val="center"/>
          </w:tcPr>
          <w:p w14:paraId="2D9BE872" w14:textId="77777777" w:rsidR="0068049E" w:rsidRPr="00484A31" w:rsidRDefault="0068049E" w:rsidP="0068049E">
            <w:pPr>
              <w:keepNext/>
              <w:keepLines/>
              <w:ind w:right="-214"/>
              <w:jc w:val="center"/>
              <w:rPr>
                <w:rFonts w:ascii="Arial" w:hAnsi="Arial" w:cs="Arial"/>
                <w:b/>
                <w:szCs w:val="22"/>
              </w:rPr>
            </w:pPr>
            <w:r w:rsidRPr="00484A31">
              <w:rPr>
                <w:rFonts w:ascii="Arial" w:hAnsi="Arial" w:cs="Arial"/>
                <w:b/>
                <w:szCs w:val="22"/>
              </w:rPr>
              <w:t>Time (min)</w:t>
            </w:r>
          </w:p>
        </w:tc>
      </w:tr>
      <w:tr w:rsidR="0068049E" w:rsidRPr="0068049E" w14:paraId="0B41DA3B" w14:textId="77777777" w:rsidTr="003D5885">
        <w:trPr>
          <w:cantSplit/>
          <w:trHeight w:hRule="exact" w:val="397"/>
        </w:trPr>
        <w:tc>
          <w:tcPr>
            <w:tcW w:w="2518" w:type="dxa"/>
            <w:tcBorders>
              <w:bottom w:val="nil"/>
            </w:tcBorders>
            <w:vAlign w:val="center"/>
          </w:tcPr>
          <w:p w14:paraId="64B7B199" w14:textId="77777777" w:rsidR="0068049E" w:rsidRPr="00484A31" w:rsidRDefault="0068049E" w:rsidP="0068049E">
            <w:pPr>
              <w:keepNext/>
              <w:keepLines/>
              <w:ind w:right="-214"/>
              <w:jc w:val="center"/>
              <w:rPr>
                <w:rFonts w:ascii="Arial" w:hAnsi="Arial" w:cs="Arial"/>
                <w:szCs w:val="22"/>
              </w:rPr>
            </w:pPr>
            <w:r w:rsidRPr="00484A31">
              <w:rPr>
                <w:rFonts w:ascii="Arial" w:hAnsi="Arial" w:cs="Arial"/>
                <w:szCs w:val="22"/>
              </w:rPr>
              <w:t>140</w:t>
            </w:r>
          </w:p>
        </w:tc>
        <w:tc>
          <w:tcPr>
            <w:tcW w:w="2126" w:type="dxa"/>
            <w:tcBorders>
              <w:bottom w:val="nil"/>
            </w:tcBorders>
            <w:vAlign w:val="center"/>
          </w:tcPr>
          <w:p w14:paraId="76252D25" w14:textId="77777777" w:rsidR="0068049E" w:rsidRPr="00484A31" w:rsidRDefault="0068049E" w:rsidP="0068049E">
            <w:pPr>
              <w:keepNext/>
              <w:keepLines/>
              <w:ind w:right="-214"/>
              <w:jc w:val="center"/>
              <w:rPr>
                <w:rFonts w:ascii="Arial" w:hAnsi="Arial" w:cs="Arial"/>
                <w:szCs w:val="22"/>
              </w:rPr>
            </w:pPr>
            <w:r w:rsidRPr="00484A31">
              <w:rPr>
                <w:rFonts w:ascii="Arial" w:hAnsi="Arial" w:cs="Arial"/>
                <w:szCs w:val="22"/>
              </w:rPr>
              <w:t>1</w:t>
            </w:r>
          </w:p>
        </w:tc>
      </w:tr>
      <w:tr w:rsidR="0068049E" w:rsidRPr="0068049E" w14:paraId="6EA70EA3" w14:textId="77777777" w:rsidTr="003D5885">
        <w:trPr>
          <w:cantSplit/>
          <w:trHeight w:hRule="exact" w:val="397"/>
        </w:trPr>
        <w:tc>
          <w:tcPr>
            <w:tcW w:w="2518" w:type="dxa"/>
            <w:tcBorders>
              <w:top w:val="nil"/>
              <w:bottom w:val="nil"/>
            </w:tcBorders>
            <w:vAlign w:val="center"/>
          </w:tcPr>
          <w:p w14:paraId="785DD196" w14:textId="77777777" w:rsidR="0068049E" w:rsidRPr="00484A31" w:rsidRDefault="0068049E" w:rsidP="0068049E">
            <w:pPr>
              <w:keepNext/>
              <w:keepLines/>
              <w:ind w:right="-214"/>
              <w:jc w:val="center"/>
              <w:rPr>
                <w:rFonts w:ascii="Arial" w:hAnsi="Arial" w:cs="Arial"/>
                <w:szCs w:val="22"/>
              </w:rPr>
            </w:pPr>
            <w:r w:rsidRPr="00484A31">
              <w:rPr>
                <w:rFonts w:ascii="Arial" w:hAnsi="Arial" w:cs="Arial"/>
                <w:szCs w:val="22"/>
              </w:rPr>
              <w:t>120</w:t>
            </w:r>
          </w:p>
        </w:tc>
        <w:tc>
          <w:tcPr>
            <w:tcW w:w="2126" w:type="dxa"/>
            <w:tcBorders>
              <w:top w:val="nil"/>
              <w:bottom w:val="nil"/>
            </w:tcBorders>
            <w:vAlign w:val="center"/>
          </w:tcPr>
          <w:p w14:paraId="423E649F" w14:textId="77777777" w:rsidR="0068049E" w:rsidRPr="00484A31" w:rsidRDefault="0068049E" w:rsidP="0068049E">
            <w:pPr>
              <w:keepNext/>
              <w:keepLines/>
              <w:ind w:right="-214"/>
              <w:jc w:val="center"/>
              <w:rPr>
                <w:rFonts w:ascii="Arial" w:hAnsi="Arial" w:cs="Arial"/>
                <w:szCs w:val="22"/>
              </w:rPr>
            </w:pPr>
            <w:r w:rsidRPr="00484A31">
              <w:rPr>
                <w:rFonts w:ascii="Arial" w:hAnsi="Arial" w:cs="Arial"/>
                <w:szCs w:val="22"/>
              </w:rPr>
              <w:t>5</w:t>
            </w:r>
          </w:p>
        </w:tc>
      </w:tr>
      <w:tr w:rsidR="0068049E" w:rsidRPr="0068049E" w14:paraId="407D16E4" w14:textId="77777777" w:rsidTr="003D5885">
        <w:trPr>
          <w:cantSplit/>
          <w:trHeight w:hRule="exact" w:val="397"/>
        </w:trPr>
        <w:tc>
          <w:tcPr>
            <w:tcW w:w="2518" w:type="dxa"/>
            <w:tcBorders>
              <w:top w:val="nil"/>
              <w:bottom w:val="nil"/>
            </w:tcBorders>
            <w:vAlign w:val="center"/>
          </w:tcPr>
          <w:p w14:paraId="19E96C1E" w14:textId="77777777" w:rsidR="0068049E" w:rsidRPr="00484A31" w:rsidRDefault="0068049E" w:rsidP="0068049E">
            <w:pPr>
              <w:keepNext/>
              <w:keepLines/>
              <w:ind w:right="-214"/>
              <w:jc w:val="center"/>
              <w:rPr>
                <w:rFonts w:ascii="Arial" w:hAnsi="Arial" w:cs="Arial"/>
                <w:szCs w:val="22"/>
              </w:rPr>
            </w:pPr>
            <w:r w:rsidRPr="00484A31">
              <w:rPr>
                <w:rFonts w:ascii="Arial" w:hAnsi="Arial" w:cs="Arial"/>
                <w:szCs w:val="22"/>
              </w:rPr>
              <w:t>110</w:t>
            </w:r>
          </w:p>
        </w:tc>
        <w:tc>
          <w:tcPr>
            <w:tcW w:w="2126" w:type="dxa"/>
            <w:tcBorders>
              <w:top w:val="nil"/>
              <w:bottom w:val="nil"/>
            </w:tcBorders>
            <w:vAlign w:val="center"/>
          </w:tcPr>
          <w:p w14:paraId="2AE579C4" w14:textId="77777777" w:rsidR="0068049E" w:rsidRPr="00484A31" w:rsidRDefault="0068049E" w:rsidP="0068049E">
            <w:pPr>
              <w:keepNext/>
              <w:keepLines/>
              <w:ind w:right="-214"/>
              <w:jc w:val="center"/>
              <w:rPr>
                <w:rFonts w:ascii="Arial" w:hAnsi="Arial" w:cs="Arial"/>
                <w:szCs w:val="22"/>
              </w:rPr>
            </w:pPr>
            <w:r w:rsidRPr="00484A31">
              <w:rPr>
                <w:rFonts w:ascii="Arial" w:hAnsi="Arial" w:cs="Arial"/>
                <w:szCs w:val="22"/>
              </w:rPr>
              <w:t>15</w:t>
            </w:r>
          </w:p>
        </w:tc>
      </w:tr>
      <w:tr w:rsidR="0068049E" w:rsidRPr="0068049E" w14:paraId="608BEB29" w14:textId="77777777" w:rsidTr="003D5885">
        <w:trPr>
          <w:cantSplit/>
          <w:trHeight w:hRule="exact" w:val="397"/>
        </w:trPr>
        <w:tc>
          <w:tcPr>
            <w:tcW w:w="2518" w:type="dxa"/>
            <w:tcBorders>
              <w:top w:val="nil"/>
            </w:tcBorders>
            <w:vAlign w:val="center"/>
          </w:tcPr>
          <w:p w14:paraId="19E3F5A2" w14:textId="77777777" w:rsidR="0068049E" w:rsidRPr="00484A31" w:rsidRDefault="0068049E" w:rsidP="0068049E">
            <w:pPr>
              <w:keepNext/>
              <w:keepLines/>
              <w:ind w:right="-214"/>
              <w:jc w:val="center"/>
              <w:rPr>
                <w:rFonts w:ascii="Arial" w:hAnsi="Arial" w:cs="Arial"/>
                <w:szCs w:val="22"/>
              </w:rPr>
            </w:pPr>
            <w:r w:rsidRPr="00484A31">
              <w:rPr>
                <w:rFonts w:ascii="Arial" w:hAnsi="Arial" w:cs="Arial"/>
                <w:szCs w:val="22"/>
              </w:rPr>
              <w:t>105</w:t>
            </w:r>
          </w:p>
        </w:tc>
        <w:tc>
          <w:tcPr>
            <w:tcW w:w="2126" w:type="dxa"/>
            <w:tcBorders>
              <w:top w:val="nil"/>
            </w:tcBorders>
            <w:vAlign w:val="center"/>
          </w:tcPr>
          <w:p w14:paraId="5953024B" w14:textId="77777777" w:rsidR="0068049E" w:rsidRPr="00484A31" w:rsidRDefault="0068049E" w:rsidP="0068049E">
            <w:pPr>
              <w:keepNext/>
              <w:keepLines/>
              <w:ind w:right="-214"/>
              <w:jc w:val="center"/>
              <w:rPr>
                <w:rFonts w:ascii="Arial" w:hAnsi="Arial" w:cs="Arial"/>
                <w:szCs w:val="22"/>
              </w:rPr>
            </w:pPr>
            <w:r w:rsidRPr="00484A31">
              <w:rPr>
                <w:rFonts w:ascii="Arial" w:hAnsi="Arial" w:cs="Arial"/>
                <w:szCs w:val="22"/>
              </w:rPr>
              <w:t>20-25</w:t>
            </w:r>
          </w:p>
        </w:tc>
      </w:tr>
    </w:tbl>
    <w:p w14:paraId="72C95DA8" w14:textId="6601E2B2" w:rsidR="000B7934" w:rsidRDefault="0025773B" w:rsidP="000B7934">
      <w:pPr>
        <w:pStyle w:val="Heading3"/>
      </w:pPr>
      <w:bookmarkStart w:id="15" w:name="_Toc422315725"/>
      <w:r>
        <w:t>2.2.5</w:t>
      </w:r>
      <w:r>
        <w:tab/>
      </w:r>
      <w:r w:rsidR="000B7934">
        <w:t>Flavour</w:t>
      </w:r>
      <w:bookmarkEnd w:id="15"/>
    </w:p>
    <w:p w14:paraId="6467E17C" w14:textId="3204EAAE" w:rsidR="00BA070B" w:rsidRPr="00BA070B" w:rsidRDefault="00BA070B" w:rsidP="00BA070B">
      <w:pPr>
        <w:rPr>
          <w:lang w:eastAsia="en-AU" w:bidi="ar-SA"/>
        </w:rPr>
      </w:pPr>
      <w:r>
        <w:rPr>
          <w:lang w:eastAsia="en-AU" w:bidi="ar-SA"/>
        </w:rPr>
        <w:t xml:space="preserve">The current Acrylamide Toolbox (2013) prepared by FoodDrinkEurope to help food companies reduce the levels of acrylamide in their products notes there can be off flavours produced when asparaginase is used (FoodDrinkEurope 2014). Effects on flavour for the different food categories are noted below. It will be important for food manufacturers to perform their own evaluations of using asparaginase to check for any flavour taints, as well as establishing treatment conditions that minimise the formation of acrylamide.  </w:t>
      </w:r>
    </w:p>
    <w:p w14:paraId="321AE719" w14:textId="2C1073FB" w:rsidR="004B2838" w:rsidRDefault="003D5885" w:rsidP="004B2838">
      <w:pPr>
        <w:pStyle w:val="Heading4"/>
        <w:rPr>
          <w:lang w:eastAsia="en-AU"/>
        </w:rPr>
      </w:pPr>
      <w:r>
        <w:rPr>
          <w:lang w:eastAsia="en-AU"/>
        </w:rPr>
        <w:t>2.2.5.1</w:t>
      </w:r>
      <w:r>
        <w:rPr>
          <w:lang w:eastAsia="en-AU"/>
        </w:rPr>
        <w:tab/>
      </w:r>
      <w:r w:rsidR="004B2838">
        <w:rPr>
          <w:lang w:eastAsia="en-AU"/>
        </w:rPr>
        <w:t>Potato-based products</w:t>
      </w:r>
    </w:p>
    <w:p w14:paraId="4D2087AB" w14:textId="7DADE4B7" w:rsidR="000B7934" w:rsidRPr="003B67E1" w:rsidRDefault="00A6799C" w:rsidP="000B7934">
      <w:pPr>
        <w:rPr>
          <w:rFonts w:cs="Arial"/>
          <w:lang w:eastAsia="en-AU"/>
        </w:rPr>
      </w:pPr>
      <w:r>
        <w:rPr>
          <w:rFonts w:cs="Arial"/>
          <w:lang w:eastAsia="en-AU"/>
        </w:rPr>
        <w:t>In fabricated potato-</w:t>
      </w:r>
      <w:r w:rsidR="000B7934">
        <w:rPr>
          <w:rFonts w:cs="Arial"/>
          <w:lang w:eastAsia="en-AU"/>
        </w:rPr>
        <w:t xml:space="preserve">based products, the use of asparaginase with potatoes </w:t>
      </w:r>
      <w:r>
        <w:rPr>
          <w:rFonts w:cs="Arial"/>
          <w:lang w:eastAsia="en-AU"/>
        </w:rPr>
        <w:t>containing</w:t>
      </w:r>
      <w:r w:rsidR="000B7934">
        <w:rPr>
          <w:rFonts w:cs="Arial"/>
          <w:lang w:eastAsia="en-AU"/>
        </w:rPr>
        <w:t xml:space="preserve"> a high level of asparagine </w:t>
      </w:r>
      <w:r>
        <w:rPr>
          <w:rFonts w:cs="Arial"/>
          <w:lang w:eastAsia="en-AU"/>
        </w:rPr>
        <w:t>may</w:t>
      </w:r>
      <w:r w:rsidR="000B7934">
        <w:rPr>
          <w:rFonts w:cs="Arial"/>
          <w:lang w:eastAsia="en-AU"/>
        </w:rPr>
        <w:t xml:space="preserve"> result in the production of excessive amounts of aspartic acid and ammonia, imparting an off-flavour to the end product </w:t>
      </w:r>
      <w:r w:rsidR="00021F68">
        <w:rPr>
          <w:rFonts w:cs="Arial"/>
          <w:lang w:eastAsia="en-AU"/>
        </w:rPr>
        <w:fldChar w:fldCharType="begin"/>
      </w:r>
      <w:r w:rsidR="00021F68">
        <w:rPr>
          <w:rFonts w:cs="Arial"/>
          <w:lang w:eastAsia="en-AU"/>
        </w:rPr>
        <w:instrText xml:space="preserve"> ADDIN REFMGR.CITE &lt;Refman&gt;&lt;Cite&gt;&lt;Author&gt;FoodDrinkEurope&lt;/Author&gt;&lt;Year&gt;2014&lt;/Year&gt;&lt;RecNum&gt;44&lt;/RecNum&gt;&lt;IDText&gt;Acrylamide Toolbox 2013&lt;/IDText&gt;&lt;MDL Ref_Type="Online Source"&gt;&lt;Ref_Type&gt;Online Source&lt;/Ref_Type&gt;&lt;Ref_ID&gt;44&lt;/Ref_ID&gt;&lt;Title_Primary&gt;Acrylamide Toolbox 2013&lt;/Title_Primary&gt;&lt;Authors_Primary&gt;FoodDrinkEurope&lt;/Authors_Primary&gt;&lt;Date_Primary&gt;2014&lt;/Date_Primary&gt;&lt;Reprint&gt;Not in File&lt;/Reprint&gt;&lt;Date_Secondary&gt;2015/3/23&lt;/Date_Secondary&gt;&lt;Web_URL&gt;&lt;u&gt;http://www.fooddrinkeurope.eu/uploads/publications_documents/AcrylamideToolbox_2013.pdf&lt;/u&gt;&lt;/Web_URL&gt;&lt;ZZ_WorkformID&gt;31&lt;/ZZ_WorkformID&gt;&lt;/MDL&gt;&lt;/Cite&gt;&lt;/Refman&gt;</w:instrText>
      </w:r>
      <w:r w:rsidR="00021F68">
        <w:rPr>
          <w:rFonts w:cs="Arial"/>
          <w:lang w:eastAsia="en-AU"/>
        </w:rPr>
        <w:fldChar w:fldCharType="separate"/>
      </w:r>
      <w:r w:rsidR="00021F68">
        <w:rPr>
          <w:rFonts w:cs="Arial"/>
          <w:noProof/>
          <w:lang w:eastAsia="en-AU"/>
        </w:rPr>
        <w:t>(FoodDrinkEurope 2014)</w:t>
      </w:r>
      <w:r w:rsidR="00021F68">
        <w:rPr>
          <w:rFonts w:cs="Arial"/>
          <w:lang w:eastAsia="en-AU"/>
        </w:rPr>
        <w:fldChar w:fldCharType="end"/>
      </w:r>
      <w:r w:rsidR="000B7934">
        <w:rPr>
          <w:rFonts w:cs="Arial"/>
          <w:lang w:eastAsia="en-AU"/>
        </w:rPr>
        <w:t>.</w:t>
      </w:r>
      <w:r w:rsidR="00BA070B">
        <w:rPr>
          <w:rFonts w:cs="Arial"/>
          <w:lang w:eastAsia="en-AU"/>
        </w:rPr>
        <w:t xml:space="preserve"> </w:t>
      </w:r>
    </w:p>
    <w:p w14:paraId="74017FF0" w14:textId="794AD72C" w:rsidR="004B2838" w:rsidRDefault="003D5885" w:rsidP="004B2838">
      <w:pPr>
        <w:pStyle w:val="Heading4"/>
        <w:rPr>
          <w:lang w:eastAsia="en-AU"/>
        </w:rPr>
      </w:pPr>
      <w:r>
        <w:rPr>
          <w:lang w:eastAsia="en-AU"/>
        </w:rPr>
        <w:t>2.2.5.2</w:t>
      </w:r>
      <w:r>
        <w:rPr>
          <w:lang w:eastAsia="en-AU"/>
        </w:rPr>
        <w:tab/>
      </w:r>
      <w:r w:rsidR="004B2838">
        <w:rPr>
          <w:lang w:eastAsia="en-AU"/>
        </w:rPr>
        <w:t>Green coffee beans</w:t>
      </w:r>
    </w:p>
    <w:p w14:paraId="78960BB3" w14:textId="77777777" w:rsidR="004B2838" w:rsidRDefault="004B2838" w:rsidP="000B7934">
      <w:r>
        <w:t xml:space="preserve">FoodDrinkEurope (2014) reported that trials with the asparaginase treatment of green coffee beans can result in negative flavour impacts depending on the coffee variety and the treatment conditions used. This was the case for Arabica coffee beans where there were off-flavours. </w:t>
      </w:r>
    </w:p>
    <w:p w14:paraId="2F4BD96D" w14:textId="624667C9" w:rsidR="005918F5" w:rsidRDefault="003D5885" w:rsidP="005918F5">
      <w:pPr>
        <w:pStyle w:val="Heading4"/>
        <w:rPr>
          <w:lang w:eastAsia="en-AU"/>
        </w:rPr>
      </w:pPr>
      <w:r>
        <w:rPr>
          <w:lang w:eastAsia="en-AU"/>
        </w:rPr>
        <w:t>2.2.5.3</w:t>
      </w:r>
      <w:r>
        <w:rPr>
          <w:lang w:eastAsia="en-AU"/>
        </w:rPr>
        <w:tab/>
      </w:r>
      <w:r w:rsidR="005918F5">
        <w:rPr>
          <w:lang w:eastAsia="en-AU"/>
        </w:rPr>
        <w:t>Breakfast cereals</w:t>
      </w:r>
    </w:p>
    <w:p w14:paraId="0BE0E6C5" w14:textId="77777777" w:rsidR="005918F5" w:rsidRDefault="005918F5" w:rsidP="003D5885">
      <w:r>
        <w:t>The Application reported that there are not adverse effects of using the enzyme preparation on the quality of the final cereal.</w:t>
      </w:r>
    </w:p>
    <w:p w14:paraId="4E01C192" w14:textId="4D57A6F9" w:rsidR="009A51A2" w:rsidRPr="00C35D04" w:rsidRDefault="00D86754" w:rsidP="00F14DD2">
      <w:pPr>
        <w:pStyle w:val="Heading2"/>
      </w:pPr>
      <w:bookmarkStart w:id="16" w:name="_Toc422315726"/>
      <w:r>
        <w:lastRenderedPageBreak/>
        <w:t>2.3</w:t>
      </w:r>
      <w:r>
        <w:tab/>
      </w:r>
      <w:r w:rsidR="0068049E">
        <w:t>P</w:t>
      </w:r>
      <w:r w:rsidR="009A51A2">
        <w:t>roduction of the enzyme</w:t>
      </w:r>
      <w:bookmarkEnd w:id="16"/>
    </w:p>
    <w:p w14:paraId="346BEC1C" w14:textId="77777777" w:rsidR="009A51A2" w:rsidRPr="00040A4E" w:rsidRDefault="009A51A2" w:rsidP="00F14DD2">
      <w:pPr>
        <w:rPr>
          <w:rFonts w:cs="Arial"/>
        </w:rPr>
      </w:pPr>
      <w:r w:rsidRPr="00040A4E">
        <w:rPr>
          <w:rFonts w:cs="Arial"/>
        </w:rPr>
        <w:t>The enzyme is produced by a submerged fed-batch pure culture fermentation process which is common for the production of many food enzymes.</w:t>
      </w:r>
    </w:p>
    <w:p w14:paraId="2B4DC17E" w14:textId="77777777" w:rsidR="009A51A2" w:rsidRPr="00040A4E" w:rsidRDefault="009A51A2" w:rsidP="00F14DD2">
      <w:pPr>
        <w:rPr>
          <w:rFonts w:cs="Arial"/>
        </w:rPr>
      </w:pPr>
    </w:p>
    <w:p w14:paraId="6104D803" w14:textId="77777777" w:rsidR="00EB7A41" w:rsidRDefault="009A51A2" w:rsidP="00F14DD2">
      <w:pPr>
        <w:rPr>
          <w:rFonts w:cs="Arial"/>
        </w:rPr>
      </w:pPr>
      <w:r w:rsidRPr="00040A4E">
        <w:rPr>
          <w:rFonts w:cs="Arial"/>
        </w:rPr>
        <w:t>The production steps can be summarised as a fermentation process, a purification process, formulation of the final commercial enzyme preparation, and a quality control process. The raw materials used are food grade</w:t>
      </w:r>
      <w:r w:rsidR="00EB7A41">
        <w:rPr>
          <w:rFonts w:cs="Arial"/>
        </w:rPr>
        <w:t xml:space="preserve"> and the enzyme preparations are reported to be made according to Good Manufacturing Processes for food</w:t>
      </w:r>
      <w:r w:rsidR="00EB7A41" w:rsidRPr="00040A4E">
        <w:rPr>
          <w:rFonts w:cs="Arial"/>
        </w:rPr>
        <w:t>.</w:t>
      </w:r>
    </w:p>
    <w:p w14:paraId="11DFD1BF" w14:textId="77777777" w:rsidR="00EB7A41" w:rsidRDefault="00EB7A41" w:rsidP="00F14DD2">
      <w:pPr>
        <w:rPr>
          <w:rFonts w:cs="Arial"/>
        </w:rPr>
      </w:pPr>
    </w:p>
    <w:p w14:paraId="527E3A04" w14:textId="77777777" w:rsidR="00EB7A41" w:rsidRPr="00A41097" w:rsidRDefault="00EB7A41" w:rsidP="00EB7A41">
      <w:pPr>
        <w:rPr>
          <w:rFonts w:cs="Arial"/>
        </w:rPr>
      </w:pPr>
      <w:r w:rsidRPr="00040A4E">
        <w:rPr>
          <w:rFonts w:cs="Arial"/>
        </w:rPr>
        <w:t xml:space="preserve">The fermentation process involves two steps, the initial inoculum fermentations to produce enough of the microorganism for the production fermentation and then the main fermentation. The downstream processing steps taken after the main fermentation to produce the enzyme </w:t>
      </w:r>
      <w:r w:rsidR="00A552D6">
        <w:rPr>
          <w:rFonts w:cs="Arial"/>
        </w:rPr>
        <w:t xml:space="preserve">preparation </w:t>
      </w:r>
      <w:r w:rsidRPr="00040A4E">
        <w:rPr>
          <w:rFonts w:cs="Arial"/>
        </w:rPr>
        <w:t>consist of: removal of the production strain and other solids, ultrafiltration to concentrate and further purify the enzyme, filtration, preservation and stabilisation and, if required, further concentration.</w:t>
      </w:r>
      <w:r w:rsidRPr="00EB7A41">
        <w:rPr>
          <w:rFonts w:cs="Arial"/>
        </w:rPr>
        <w:t xml:space="preserve"> </w:t>
      </w:r>
      <w:r w:rsidRPr="00040A4E">
        <w:rPr>
          <w:rFonts w:cs="Arial"/>
        </w:rPr>
        <w:t>More detail of the individual steps is provided in the Application</w:t>
      </w:r>
      <w:r>
        <w:rPr>
          <w:rFonts w:cs="Arial"/>
        </w:rPr>
        <w:t>.</w:t>
      </w:r>
    </w:p>
    <w:p w14:paraId="4F849D0B" w14:textId="5A30F405" w:rsidR="00A552D6" w:rsidRDefault="0025773B" w:rsidP="00A552D6">
      <w:pPr>
        <w:pStyle w:val="Heading3"/>
      </w:pPr>
      <w:bookmarkStart w:id="17" w:name="_Toc422315727"/>
      <w:r>
        <w:t>2.3.1</w:t>
      </w:r>
      <w:r>
        <w:tab/>
      </w:r>
      <w:r w:rsidR="00A552D6">
        <w:t>Potential presence of allergens</w:t>
      </w:r>
      <w:bookmarkEnd w:id="17"/>
      <w:r w:rsidR="00E12968">
        <w:t xml:space="preserve"> </w:t>
      </w:r>
    </w:p>
    <w:p w14:paraId="2D8996EC" w14:textId="63D898DC" w:rsidR="009A51A2" w:rsidRPr="00783064" w:rsidRDefault="00FF3689" w:rsidP="00F14DD2">
      <w:pPr>
        <w:rPr>
          <w:rFonts w:cs="Arial"/>
        </w:rPr>
      </w:pPr>
      <w:r w:rsidRPr="00783064">
        <w:t>Soybean meal is one of the potential vegetable protein raw material sources for the fermentation. Starch hydrolysates</w:t>
      </w:r>
      <w:r w:rsidR="007629F9">
        <w:t>, which can</w:t>
      </w:r>
      <w:r w:rsidR="00514B72">
        <w:t xml:space="preserve"> be produced from wheat starch,</w:t>
      </w:r>
      <w:r w:rsidRPr="00783064">
        <w:t xml:space="preserve"> may also be used as a fermentation raw material</w:t>
      </w:r>
      <w:r w:rsidR="00DA5895">
        <w:t xml:space="preserve">. Soybean </w:t>
      </w:r>
      <w:r w:rsidR="00F604D3">
        <w:t xml:space="preserve">products </w:t>
      </w:r>
      <w:r w:rsidR="003274DF">
        <w:t xml:space="preserve">and wheat </w:t>
      </w:r>
      <w:r w:rsidR="00DA5895">
        <w:t>products are identified as substances requiring declaration in clause 4 of Standard 1.2.3 – Mandatory Warning and Advisory Statements and Declarations of the existing Code (subsection 1.2.3 – 4 in the revised Code)</w:t>
      </w:r>
      <w:r w:rsidRPr="00783064">
        <w:t xml:space="preserve">. </w:t>
      </w:r>
    </w:p>
    <w:p w14:paraId="126FB31B" w14:textId="2CD475E1" w:rsidR="009A51A2" w:rsidRPr="00C35D04" w:rsidRDefault="00D86754" w:rsidP="00F14DD2">
      <w:pPr>
        <w:pStyle w:val="Heading2"/>
      </w:pPr>
      <w:bookmarkStart w:id="18" w:name="_Toc422315728"/>
      <w:r>
        <w:t>2.4</w:t>
      </w:r>
      <w:r>
        <w:tab/>
      </w:r>
      <w:r w:rsidR="009A51A2">
        <w:t>Specifications</w:t>
      </w:r>
      <w:bookmarkEnd w:id="18"/>
    </w:p>
    <w:p w14:paraId="6236BE57" w14:textId="7441A18A" w:rsidR="009A51A2" w:rsidRPr="007D78FE" w:rsidRDefault="00A40C64" w:rsidP="00F14DD2">
      <w:r w:rsidRPr="007D78FE">
        <w:t>There are international specifications for enzyme preparations used in the production of food that have been established by the Joint FAO/WHO Expert Committee on Food Additives (JECFA 2001) and the Food Chemicals Codex (U.S.</w:t>
      </w:r>
      <w:r>
        <w:t xml:space="preserve"> </w:t>
      </w:r>
      <w:r w:rsidRPr="007D78FE">
        <w:t>Pharmacopeial Convention 2014</w:t>
      </w:r>
      <w:r w:rsidRPr="006D7CA1">
        <w:t xml:space="preserve">). </w:t>
      </w:r>
      <w:r w:rsidR="009A51A2" w:rsidRPr="006D7CA1">
        <w:t>The Applicant states that the asparaginase preparation meets the Food Chemi</w:t>
      </w:r>
      <w:r w:rsidR="009A51A2">
        <w:t>c</w:t>
      </w:r>
      <w:r w:rsidR="009A51A2" w:rsidRPr="006D7CA1">
        <w:t>als Codex and</w:t>
      </w:r>
      <w:r w:rsidR="009A51A2" w:rsidRPr="007D78FE">
        <w:t xml:space="preserve"> JECFA purity criteria for food grade enzymes</w:t>
      </w:r>
      <w:r w:rsidR="009A51A2" w:rsidRPr="00ED455F">
        <w:t xml:space="preserve">. Table </w:t>
      </w:r>
      <w:r w:rsidR="00244F76">
        <w:t>2</w:t>
      </w:r>
      <w:r w:rsidR="009A51A2" w:rsidRPr="00ED455F">
        <w:t xml:space="preserve"> </w:t>
      </w:r>
      <w:r w:rsidR="009A51A2" w:rsidRPr="00801C93">
        <w:t xml:space="preserve">compares a batch of the product with </w:t>
      </w:r>
      <w:r w:rsidR="00801C93" w:rsidRPr="00801C93">
        <w:t>various</w:t>
      </w:r>
      <w:r w:rsidR="009A51A2" w:rsidRPr="00801C93">
        <w:t xml:space="preserve"> specifications. The specification monographs listed above are primary references for specifications in Standard 1.3.4 – Identity and Purity.</w:t>
      </w:r>
    </w:p>
    <w:p w14:paraId="6930FDE6" w14:textId="77777777" w:rsidR="009A51A2" w:rsidRPr="007D78FE" w:rsidRDefault="009A51A2" w:rsidP="00F14DD2"/>
    <w:p w14:paraId="178948C8" w14:textId="798CD6FC" w:rsidR="009A51A2" w:rsidRDefault="009A51A2" w:rsidP="00FC00E9">
      <w:pPr>
        <w:pStyle w:val="FSTableTitle"/>
        <w:keepNext/>
        <w:keepLines/>
        <w:ind w:left="1134" w:hanging="1134"/>
      </w:pPr>
      <w:r w:rsidRPr="0025773B">
        <w:lastRenderedPageBreak/>
        <w:t xml:space="preserve">Table </w:t>
      </w:r>
      <w:r w:rsidR="00FC00E9" w:rsidRPr="0025773B">
        <w:t>2</w:t>
      </w:r>
      <w:r w:rsidRPr="0025773B">
        <w:t>:</w:t>
      </w:r>
      <w:r w:rsidRPr="0025773B">
        <w:tab/>
        <w:t xml:space="preserve">Product specifications for </w:t>
      </w:r>
      <w:r w:rsidR="00272D39" w:rsidRPr="0025773B">
        <w:t xml:space="preserve">a batch of </w:t>
      </w:r>
      <w:r w:rsidRPr="0025773B">
        <w:t>commercial asparaginase preparation compared to specifications for enzymes</w:t>
      </w:r>
    </w:p>
    <w:p w14:paraId="230E4048" w14:textId="77777777" w:rsidR="0025773B" w:rsidRPr="0025773B" w:rsidRDefault="0025773B" w:rsidP="003D5885">
      <w:pPr>
        <w:keepNext/>
      </w:pPr>
    </w:p>
    <w:tbl>
      <w:tblPr>
        <w:tblStyle w:val="TableClassic4"/>
        <w:tblW w:w="0" w:type="auto"/>
        <w:tblLook w:val="04A0" w:firstRow="1" w:lastRow="0" w:firstColumn="1" w:lastColumn="0" w:noHBand="0" w:noVBand="1"/>
      </w:tblPr>
      <w:tblGrid>
        <w:gridCol w:w="3510"/>
        <w:gridCol w:w="2651"/>
        <w:gridCol w:w="3081"/>
      </w:tblGrid>
      <w:tr w:rsidR="009A51A2" w:rsidRPr="007D78FE" w14:paraId="7D9D2500" w14:textId="77777777" w:rsidTr="00F14DD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10" w:type="dxa"/>
            <w:tcBorders>
              <w:top w:val="single" w:sz="12" w:space="0" w:color="000000"/>
            </w:tcBorders>
            <w:shd w:val="clear" w:color="99CCFF" w:fill="99CCFF"/>
          </w:tcPr>
          <w:p w14:paraId="08B9ED89" w14:textId="77777777" w:rsidR="009A51A2" w:rsidRPr="003D5885" w:rsidRDefault="009A51A2" w:rsidP="00F14DD2">
            <w:pPr>
              <w:keepNext/>
              <w:keepLines/>
              <w:spacing w:before="60" w:after="60"/>
              <w:rPr>
                <w:rFonts w:ascii="Arial" w:hAnsi="Arial" w:cs="Arial"/>
                <w:b w:val="0"/>
                <w:color w:val="auto"/>
                <w:szCs w:val="22"/>
              </w:rPr>
            </w:pPr>
            <w:r w:rsidRPr="003D5885">
              <w:rPr>
                <w:rFonts w:ascii="Arial" w:hAnsi="Arial" w:cs="Arial"/>
                <w:color w:val="auto"/>
                <w:szCs w:val="22"/>
              </w:rPr>
              <w:t>Analysis</w:t>
            </w:r>
          </w:p>
        </w:tc>
        <w:tc>
          <w:tcPr>
            <w:tcW w:w="2651" w:type="dxa"/>
            <w:tcBorders>
              <w:top w:val="single" w:sz="12" w:space="0" w:color="000000"/>
            </w:tcBorders>
            <w:shd w:val="clear" w:color="99CCFF" w:fill="99CCFF"/>
          </w:tcPr>
          <w:p w14:paraId="5FDA622E" w14:textId="77777777" w:rsidR="009A51A2" w:rsidRPr="003D5885" w:rsidRDefault="009A51A2" w:rsidP="00801C93">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r w:rsidRPr="003D5885">
              <w:rPr>
                <w:rFonts w:ascii="Arial" w:hAnsi="Arial" w:cs="Arial"/>
                <w:color w:val="auto"/>
                <w:szCs w:val="22"/>
              </w:rPr>
              <w:t>Specification (</w:t>
            </w:r>
            <w:r w:rsidR="00801C93" w:rsidRPr="003D5885">
              <w:rPr>
                <w:rFonts w:ascii="Arial" w:hAnsi="Arial" w:cs="Arial"/>
                <w:color w:val="auto"/>
                <w:szCs w:val="22"/>
              </w:rPr>
              <w:t xml:space="preserve">as </w:t>
            </w:r>
            <w:r w:rsidRPr="003D5885">
              <w:rPr>
                <w:rFonts w:ascii="Arial" w:hAnsi="Arial" w:cs="Arial"/>
                <w:color w:val="auto"/>
                <w:szCs w:val="22"/>
              </w:rPr>
              <w:t xml:space="preserve">listed </w:t>
            </w:r>
            <w:r w:rsidR="00801C93" w:rsidRPr="003D5885">
              <w:rPr>
                <w:rFonts w:ascii="Arial" w:hAnsi="Arial" w:cs="Arial"/>
                <w:color w:val="auto"/>
                <w:szCs w:val="22"/>
              </w:rPr>
              <w:t>in Application</w:t>
            </w:r>
            <w:r w:rsidRPr="003D5885">
              <w:rPr>
                <w:rFonts w:ascii="Arial" w:hAnsi="Arial" w:cs="Arial"/>
                <w:color w:val="auto"/>
                <w:szCs w:val="22"/>
              </w:rPr>
              <w:t>)</w:t>
            </w:r>
          </w:p>
        </w:tc>
        <w:tc>
          <w:tcPr>
            <w:tcW w:w="3081" w:type="dxa"/>
            <w:tcBorders>
              <w:top w:val="single" w:sz="12" w:space="0" w:color="000000"/>
            </w:tcBorders>
            <w:shd w:val="clear" w:color="99CCFF" w:fill="99CCFF"/>
          </w:tcPr>
          <w:p w14:paraId="57F56E81" w14:textId="77777777" w:rsidR="009A51A2" w:rsidRPr="003D5885" w:rsidRDefault="00272D39" w:rsidP="00272D39">
            <w:pPr>
              <w:keepNext/>
              <w:keepLines/>
              <w:spacing w:before="60" w:after="60"/>
              <w:jc w:val="center"/>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Cs w:val="22"/>
              </w:rPr>
            </w:pPr>
            <w:r w:rsidRPr="003D5885">
              <w:rPr>
                <w:rFonts w:ascii="Arial" w:hAnsi="Arial" w:cs="Arial"/>
                <w:color w:val="auto"/>
                <w:szCs w:val="22"/>
              </w:rPr>
              <w:t>Analytical data for enzyme preparation</w:t>
            </w:r>
          </w:p>
        </w:tc>
      </w:tr>
      <w:tr w:rsidR="009A51A2" w:rsidRPr="00FE4233" w14:paraId="52670F20"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10A15E8C" w14:textId="77777777" w:rsidR="009A51A2" w:rsidRPr="003D5885" w:rsidRDefault="009A51A2" w:rsidP="00F14DD2">
            <w:pPr>
              <w:keepNext/>
              <w:keepLines/>
              <w:spacing w:before="60" w:after="60"/>
              <w:rPr>
                <w:rFonts w:ascii="Arial" w:hAnsi="Arial" w:cs="Arial"/>
                <w:b w:val="0"/>
                <w:szCs w:val="22"/>
              </w:rPr>
            </w:pPr>
            <w:r w:rsidRPr="003D5885">
              <w:rPr>
                <w:rFonts w:ascii="Arial" w:hAnsi="Arial" w:cs="Arial"/>
                <w:b w:val="0"/>
                <w:szCs w:val="22"/>
              </w:rPr>
              <w:t>Heavy metals (mg/kg)</w:t>
            </w:r>
            <w:r w:rsidR="00632E29" w:rsidRPr="003D5885">
              <w:rPr>
                <w:rFonts w:ascii="Arial" w:hAnsi="Arial" w:cs="Arial"/>
                <w:b w:val="0"/>
                <w:szCs w:val="22"/>
                <w:vertAlign w:val="superscript"/>
              </w:rPr>
              <w:sym w:font="Wingdings 2" w:char="F0BF"/>
            </w:r>
          </w:p>
        </w:tc>
        <w:tc>
          <w:tcPr>
            <w:tcW w:w="2651" w:type="dxa"/>
          </w:tcPr>
          <w:p w14:paraId="19B4E9C4"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30</w:t>
            </w:r>
          </w:p>
        </w:tc>
        <w:tc>
          <w:tcPr>
            <w:tcW w:w="3081" w:type="dxa"/>
          </w:tcPr>
          <w:p w14:paraId="4C78D3ED"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4.6</w:t>
            </w:r>
          </w:p>
        </w:tc>
      </w:tr>
      <w:tr w:rsidR="009A51A2" w:rsidRPr="007D78FE" w14:paraId="74DE50D1"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56BC2B45" w14:textId="77777777" w:rsidR="009A51A2" w:rsidRPr="003D5885" w:rsidRDefault="009A51A2" w:rsidP="00B30485">
            <w:pPr>
              <w:keepNext/>
              <w:keepLines/>
              <w:spacing w:before="60" w:after="60"/>
              <w:rPr>
                <w:rFonts w:ascii="Arial" w:hAnsi="Arial" w:cs="Arial"/>
                <w:b w:val="0"/>
                <w:szCs w:val="22"/>
              </w:rPr>
            </w:pPr>
            <w:r w:rsidRPr="003D5885">
              <w:rPr>
                <w:rFonts w:ascii="Arial" w:hAnsi="Arial" w:cs="Arial"/>
                <w:b w:val="0"/>
                <w:szCs w:val="22"/>
              </w:rPr>
              <w:t>Lead (mg/kg)</w:t>
            </w:r>
          </w:p>
        </w:tc>
        <w:tc>
          <w:tcPr>
            <w:tcW w:w="2651" w:type="dxa"/>
          </w:tcPr>
          <w:p w14:paraId="0BD4DE72"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5</w:t>
            </w:r>
            <w:r w:rsidR="00B30485" w:rsidRPr="003D5885">
              <w:rPr>
                <w:rFonts w:ascii="Arial" w:hAnsi="Arial" w:cs="Arial"/>
                <w:szCs w:val="22"/>
                <w:vertAlign w:val="superscript"/>
              </w:rPr>
              <w:sym w:font="Wingdings 2" w:char="F0D8"/>
            </w:r>
            <w:r w:rsidR="00801C93" w:rsidRPr="003D5885">
              <w:rPr>
                <w:rFonts w:ascii="Arial" w:hAnsi="Arial" w:cs="Arial"/>
                <w:szCs w:val="22"/>
                <w:vertAlign w:val="superscript"/>
              </w:rPr>
              <w:t>Δ</w:t>
            </w:r>
          </w:p>
        </w:tc>
        <w:tc>
          <w:tcPr>
            <w:tcW w:w="3081" w:type="dxa"/>
          </w:tcPr>
          <w:p w14:paraId="00666FDE"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0.5</w:t>
            </w:r>
          </w:p>
        </w:tc>
      </w:tr>
      <w:tr w:rsidR="009A51A2" w:rsidRPr="007D78FE" w14:paraId="1A98DEE0"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0FCF5279" w14:textId="77777777" w:rsidR="009A51A2" w:rsidRPr="003D5885" w:rsidRDefault="009A51A2" w:rsidP="00F14DD2">
            <w:pPr>
              <w:keepNext/>
              <w:keepLines/>
              <w:spacing w:before="60" w:after="60"/>
              <w:rPr>
                <w:rFonts w:ascii="Arial" w:hAnsi="Arial" w:cs="Arial"/>
                <w:b w:val="0"/>
                <w:szCs w:val="22"/>
              </w:rPr>
            </w:pPr>
            <w:r w:rsidRPr="003D5885">
              <w:rPr>
                <w:rFonts w:ascii="Arial" w:hAnsi="Arial" w:cs="Arial"/>
                <w:b w:val="0"/>
                <w:szCs w:val="22"/>
              </w:rPr>
              <w:t>Arsenic (mg/kg)</w:t>
            </w:r>
          </w:p>
        </w:tc>
        <w:tc>
          <w:tcPr>
            <w:tcW w:w="2651" w:type="dxa"/>
          </w:tcPr>
          <w:p w14:paraId="1F9BA714"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3</w:t>
            </w:r>
          </w:p>
        </w:tc>
        <w:tc>
          <w:tcPr>
            <w:tcW w:w="3081" w:type="dxa"/>
          </w:tcPr>
          <w:p w14:paraId="316569CE"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0.1</w:t>
            </w:r>
          </w:p>
        </w:tc>
      </w:tr>
      <w:tr w:rsidR="009A51A2" w:rsidRPr="007D78FE" w14:paraId="068239B7"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75AB0573" w14:textId="77777777" w:rsidR="009A51A2" w:rsidRPr="003D5885" w:rsidRDefault="009A51A2" w:rsidP="00F14DD2">
            <w:pPr>
              <w:keepNext/>
              <w:keepLines/>
              <w:spacing w:before="60" w:after="60"/>
              <w:rPr>
                <w:rFonts w:ascii="Arial" w:hAnsi="Arial" w:cs="Arial"/>
                <w:b w:val="0"/>
                <w:szCs w:val="22"/>
              </w:rPr>
            </w:pPr>
            <w:r w:rsidRPr="003D5885">
              <w:rPr>
                <w:rFonts w:ascii="Arial" w:hAnsi="Arial" w:cs="Arial"/>
                <w:b w:val="0"/>
                <w:szCs w:val="22"/>
              </w:rPr>
              <w:t>Mercury (mg/kg)</w:t>
            </w:r>
          </w:p>
        </w:tc>
        <w:tc>
          <w:tcPr>
            <w:tcW w:w="2651" w:type="dxa"/>
          </w:tcPr>
          <w:p w14:paraId="3CFCF0F5"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0.5</w:t>
            </w:r>
          </w:p>
        </w:tc>
        <w:tc>
          <w:tcPr>
            <w:tcW w:w="3081" w:type="dxa"/>
          </w:tcPr>
          <w:p w14:paraId="4EB4BB4C"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0.03</w:t>
            </w:r>
          </w:p>
        </w:tc>
      </w:tr>
      <w:tr w:rsidR="009A51A2" w:rsidRPr="007D78FE" w14:paraId="7591C5E5"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4CECD28F" w14:textId="77777777" w:rsidR="009A51A2" w:rsidRPr="003D5885" w:rsidRDefault="009A51A2" w:rsidP="00F14DD2">
            <w:pPr>
              <w:keepNext/>
              <w:keepLines/>
              <w:spacing w:before="60" w:after="60"/>
              <w:rPr>
                <w:rFonts w:ascii="Arial" w:hAnsi="Arial" w:cs="Arial"/>
                <w:b w:val="0"/>
                <w:szCs w:val="22"/>
              </w:rPr>
            </w:pPr>
            <w:r w:rsidRPr="003D5885">
              <w:rPr>
                <w:rFonts w:ascii="Arial" w:hAnsi="Arial" w:cs="Arial"/>
                <w:b w:val="0"/>
                <w:szCs w:val="22"/>
              </w:rPr>
              <w:t>Cadmium (mg/kg)</w:t>
            </w:r>
          </w:p>
        </w:tc>
        <w:tc>
          <w:tcPr>
            <w:tcW w:w="2651" w:type="dxa"/>
          </w:tcPr>
          <w:p w14:paraId="345690D1"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0.5</w:t>
            </w:r>
          </w:p>
        </w:tc>
        <w:tc>
          <w:tcPr>
            <w:tcW w:w="3081" w:type="dxa"/>
          </w:tcPr>
          <w:p w14:paraId="77FE65BC"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0.05</w:t>
            </w:r>
          </w:p>
        </w:tc>
      </w:tr>
      <w:tr w:rsidR="009A51A2" w:rsidRPr="007D78FE" w14:paraId="02E8ECBB"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7461D1E8" w14:textId="77777777" w:rsidR="009A51A2" w:rsidRPr="003D5885" w:rsidRDefault="009A51A2" w:rsidP="00F14DD2">
            <w:pPr>
              <w:keepNext/>
              <w:keepLines/>
              <w:spacing w:before="60" w:after="60"/>
              <w:rPr>
                <w:rFonts w:ascii="Arial" w:hAnsi="Arial" w:cs="Arial"/>
                <w:b w:val="0"/>
                <w:szCs w:val="22"/>
              </w:rPr>
            </w:pPr>
            <w:r w:rsidRPr="003D5885">
              <w:rPr>
                <w:rFonts w:ascii="Arial" w:hAnsi="Arial" w:cs="Arial"/>
                <w:b w:val="0"/>
                <w:szCs w:val="22"/>
              </w:rPr>
              <w:t>Total viable count (cfu/g)</w:t>
            </w:r>
          </w:p>
        </w:tc>
        <w:tc>
          <w:tcPr>
            <w:tcW w:w="2651" w:type="dxa"/>
          </w:tcPr>
          <w:p w14:paraId="67BEAAE3"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50,000</w:t>
            </w:r>
          </w:p>
        </w:tc>
        <w:tc>
          <w:tcPr>
            <w:tcW w:w="3081" w:type="dxa"/>
          </w:tcPr>
          <w:p w14:paraId="18AEBF2D"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100</w:t>
            </w:r>
          </w:p>
        </w:tc>
      </w:tr>
      <w:tr w:rsidR="009A51A2" w:rsidRPr="007D78FE" w14:paraId="3FC9CAF7"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3CCE6B12" w14:textId="77777777" w:rsidR="009A51A2" w:rsidRPr="003D5885" w:rsidRDefault="009A51A2" w:rsidP="00F14DD2">
            <w:pPr>
              <w:keepNext/>
              <w:keepLines/>
              <w:spacing w:before="60" w:after="60"/>
              <w:rPr>
                <w:rFonts w:ascii="Arial" w:hAnsi="Arial" w:cs="Arial"/>
                <w:b w:val="0"/>
                <w:szCs w:val="22"/>
              </w:rPr>
            </w:pPr>
            <w:r w:rsidRPr="003D5885">
              <w:rPr>
                <w:rFonts w:ascii="Arial" w:hAnsi="Arial" w:cs="Arial"/>
                <w:b w:val="0"/>
                <w:szCs w:val="22"/>
              </w:rPr>
              <w:t>Coliforms (cfu/g)</w:t>
            </w:r>
          </w:p>
        </w:tc>
        <w:tc>
          <w:tcPr>
            <w:tcW w:w="2651" w:type="dxa"/>
          </w:tcPr>
          <w:p w14:paraId="55EE60AA"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30</w:t>
            </w:r>
            <w:r w:rsidR="00801C93" w:rsidRPr="003D5885">
              <w:rPr>
                <w:rFonts w:ascii="Arial" w:hAnsi="Arial" w:cs="Arial"/>
                <w:szCs w:val="22"/>
                <w:vertAlign w:val="superscript"/>
              </w:rPr>
              <w:sym w:font="Wingdings 2" w:char="F0D8"/>
            </w:r>
            <w:r w:rsidR="00801C93" w:rsidRPr="003D5885">
              <w:rPr>
                <w:rFonts w:ascii="Arial" w:hAnsi="Arial" w:cs="Arial"/>
                <w:szCs w:val="22"/>
                <w:vertAlign w:val="superscript"/>
              </w:rPr>
              <w:t>Δ</w:t>
            </w:r>
          </w:p>
        </w:tc>
        <w:tc>
          <w:tcPr>
            <w:tcW w:w="3081" w:type="dxa"/>
          </w:tcPr>
          <w:p w14:paraId="34FF4368"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 10</w:t>
            </w:r>
          </w:p>
        </w:tc>
      </w:tr>
      <w:tr w:rsidR="009A51A2" w:rsidRPr="007D78FE" w14:paraId="6ECA3AE8"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3B7C4BEF" w14:textId="77777777" w:rsidR="009A51A2" w:rsidRPr="003D5885" w:rsidRDefault="009A51A2" w:rsidP="00F14DD2">
            <w:pPr>
              <w:keepNext/>
              <w:keepLines/>
              <w:spacing w:before="60" w:after="60"/>
              <w:rPr>
                <w:rFonts w:ascii="Arial" w:hAnsi="Arial" w:cs="Arial"/>
                <w:b w:val="0"/>
                <w:szCs w:val="22"/>
              </w:rPr>
            </w:pPr>
            <w:r w:rsidRPr="003D5885">
              <w:rPr>
                <w:rFonts w:ascii="Arial" w:hAnsi="Arial" w:cs="Arial"/>
                <w:b w:val="0"/>
                <w:i/>
                <w:szCs w:val="22"/>
              </w:rPr>
              <w:t>Salmonella</w:t>
            </w:r>
            <w:r w:rsidRPr="003D5885">
              <w:rPr>
                <w:rFonts w:ascii="Arial" w:hAnsi="Arial" w:cs="Arial"/>
                <w:b w:val="0"/>
                <w:szCs w:val="22"/>
              </w:rPr>
              <w:t xml:space="preserve"> (in 25 g)</w:t>
            </w:r>
          </w:p>
        </w:tc>
        <w:tc>
          <w:tcPr>
            <w:tcW w:w="2651" w:type="dxa"/>
          </w:tcPr>
          <w:p w14:paraId="2A79E060"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Not detected</w:t>
            </w:r>
            <w:r w:rsidR="00801C93" w:rsidRPr="003D5885">
              <w:rPr>
                <w:rFonts w:ascii="Arial" w:hAnsi="Arial" w:cs="Arial"/>
                <w:szCs w:val="22"/>
                <w:vertAlign w:val="superscript"/>
              </w:rPr>
              <w:sym w:font="Wingdings 2" w:char="F0D8"/>
            </w:r>
            <w:r w:rsidR="00801C93" w:rsidRPr="003D5885">
              <w:rPr>
                <w:rFonts w:ascii="Arial" w:hAnsi="Arial" w:cs="Arial"/>
                <w:szCs w:val="22"/>
                <w:vertAlign w:val="superscript"/>
              </w:rPr>
              <w:t>Δ</w:t>
            </w:r>
          </w:p>
        </w:tc>
        <w:tc>
          <w:tcPr>
            <w:tcW w:w="3081" w:type="dxa"/>
          </w:tcPr>
          <w:p w14:paraId="20A18078"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Not detected</w:t>
            </w:r>
          </w:p>
        </w:tc>
      </w:tr>
      <w:tr w:rsidR="009A51A2" w:rsidRPr="007D78FE" w14:paraId="1ED9E6B2"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5F42C2C7" w14:textId="77777777" w:rsidR="009A51A2" w:rsidRPr="003D5885" w:rsidRDefault="009A51A2" w:rsidP="00F14DD2">
            <w:pPr>
              <w:keepNext/>
              <w:keepLines/>
              <w:spacing w:before="60" w:after="60"/>
              <w:rPr>
                <w:rFonts w:ascii="Arial" w:hAnsi="Arial" w:cs="Arial"/>
                <w:b w:val="0"/>
                <w:szCs w:val="22"/>
              </w:rPr>
            </w:pPr>
            <w:r w:rsidRPr="003D5885">
              <w:rPr>
                <w:rFonts w:ascii="Arial" w:hAnsi="Arial" w:cs="Arial"/>
                <w:b w:val="0"/>
                <w:szCs w:val="22"/>
              </w:rPr>
              <w:t xml:space="preserve">Enteropathogenic </w:t>
            </w:r>
            <w:r w:rsidRPr="003D5885">
              <w:rPr>
                <w:rFonts w:ascii="Arial" w:hAnsi="Arial" w:cs="Arial"/>
                <w:b w:val="0"/>
                <w:i/>
                <w:szCs w:val="22"/>
              </w:rPr>
              <w:t>E. coli</w:t>
            </w:r>
            <w:r w:rsidRPr="003D5885">
              <w:rPr>
                <w:rFonts w:ascii="Arial" w:hAnsi="Arial" w:cs="Arial"/>
                <w:b w:val="0"/>
                <w:szCs w:val="22"/>
              </w:rPr>
              <w:t xml:space="preserve"> (in 25 g)</w:t>
            </w:r>
          </w:p>
        </w:tc>
        <w:tc>
          <w:tcPr>
            <w:tcW w:w="2651" w:type="dxa"/>
          </w:tcPr>
          <w:p w14:paraId="1F3726BC"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Not detected</w:t>
            </w:r>
            <w:r w:rsidR="00801C93" w:rsidRPr="003D5885">
              <w:rPr>
                <w:rFonts w:ascii="Arial" w:hAnsi="Arial" w:cs="Arial"/>
                <w:szCs w:val="22"/>
                <w:vertAlign w:val="superscript"/>
              </w:rPr>
              <w:sym w:font="Wingdings 2" w:char="F0D8"/>
            </w:r>
          </w:p>
        </w:tc>
        <w:tc>
          <w:tcPr>
            <w:tcW w:w="3081" w:type="dxa"/>
          </w:tcPr>
          <w:p w14:paraId="21D5B6FE"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Not detected</w:t>
            </w:r>
          </w:p>
        </w:tc>
      </w:tr>
      <w:tr w:rsidR="009A51A2" w:rsidRPr="007D78FE" w14:paraId="478162CD"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28740BE3" w14:textId="77777777" w:rsidR="009A51A2" w:rsidRPr="003D5885" w:rsidRDefault="009A51A2" w:rsidP="00F14DD2">
            <w:pPr>
              <w:keepNext/>
              <w:keepLines/>
              <w:spacing w:before="60" w:after="60"/>
              <w:rPr>
                <w:rFonts w:ascii="Arial" w:hAnsi="Arial" w:cs="Arial"/>
                <w:b w:val="0"/>
                <w:szCs w:val="22"/>
              </w:rPr>
            </w:pPr>
            <w:r w:rsidRPr="003D5885">
              <w:rPr>
                <w:rFonts w:ascii="Arial" w:hAnsi="Arial" w:cs="Arial"/>
                <w:b w:val="0"/>
                <w:szCs w:val="22"/>
              </w:rPr>
              <w:t>Antibiotic activity</w:t>
            </w:r>
          </w:p>
        </w:tc>
        <w:tc>
          <w:tcPr>
            <w:tcW w:w="2651" w:type="dxa"/>
          </w:tcPr>
          <w:p w14:paraId="06F8D969"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Not detected</w:t>
            </w:r>
            <w:r w:rsidR="00801C93" w:rsidRPr="003D5885">
              <w:rPr>
                <w:rFonts w:ascii="Arial" w:hAnsi="Arial" w:cs="Arial"/>
                <w:szCs w:val="22"/>
                <w:vertAlign w:val="superscript"/>
              </w:rPr>
              <w:sym w:font="Wingdings 2" w:char="F0D8"/>
            </w:r>
          </w:p>
        </w:tc>
        <w:tc>
          <w:tcPr>
            <w:tcW w:w="3081" w:type="dxa"/>
          </w:tcPr>
          <w:p w14:paraId="13B951BC"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Not detected</w:t>
            </w:r>
          </w:p>
        </w:tc>
      </w:tr>
      <w:tr w:rsidR="009A51A2" w:rsidRPr="007D78FE" w14:paraId="2F3EFCD5" w14:textId="77777777" w:rsidTr="00F14DD2">
        <w:tc>
          <w:tcPr>
            <w:cnfStyle w:val="001000000000" w:firstRow="0" w:lastRow="0" w:firstColumn="1" w:lastColumn="0" w:oddVBand="0" w:evenVBand="0" w:oddHBand="0" w:evenHBand="0" w:firstRowFirstColumn="0" w:firstRowLastColumn="0" w:lastRowFirstColumn="0" w:lastRowLastColumn="0"/>
            <w:tcW w:w="3510" w:type="dxa"/>
          </w:tcPr>
          <w:p w14:paraId="49B83394" w14:textId="77777777" w:rsidR="009A51A2" w:rsidRPr="003D5885" w:rsidRDefault="009A51A2" w:rsidP="00F14DD2">
            <w:pPr>
              <w:keepNext/>
              <w:keepLines/>
              <w:spacing w:before="60" w:after="60"/>
              <w:rPr>
                <w:rFonts w:ascii="Arial" w:hAnsi="Arial" w:cs="Arial"/>
                <w:b w:val="0"/>
                <w:szCs w:val="22"/>
              </w:rPr>
            </w:pPr>
            <w:r w:rsidRPr="003D5885">
              <w:rPr>
                <w:rFonts w:ascii="Arial" w:hAnsi="Arial" w:cs="Arial"/>
                <w:b w:val="0"/>
                <w:szCs w:val="22"/>
              </w:rPr>
              <w:t>Production strain (cfu/g)</w:t>
            </w:r>
          </w:p>
        </w:tc>
        <w:tc>
          <w:tcPr>
            <w:tcW w:w="2651" w:type="dxa"/>
          </w:tcPr>
          <w:p w14:paraId="3A9F9E31"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Not detected</w:t>
            </w:r>
          </w:p>
        </w:tc>
        <w:tc>
          <w:tcPr>
            <w:tcW w:w="3081" w:type="dxa"/>
          </w:tcPr>
          <w:p w14:paraId="18848715" w14:textId="77777777" w:rsidR="009A51A2" w:rsidRPr="003D5885" w:rsidRDefault="009A51A2" w:rsidP="00F14DD2">
            <w:pPr>
              <w:keepNext/>
              <w:keepLines/>
              <w:spacing w:before="60" w:after="60"/>
              <w:jc w:val="center"/>
              <w:cnfStyle w:val="000000000000" w:firstRow="0" w:lastRow="0" w:firstColumn="0" w:lastColumn="0" w:oddVBand="0" w:evenVBand="0" w:oddHBand="0" w:evenHBand="0" w:firstRowFirstColumn="0" w:firstRowLastColumn="0" w:lastRowFirstColumn="0" w:lastRowLastColumn="0"/>
              <w:rPr>
                <w:rFonts w:ascii="Arial" w:hAnsi="Arial" w:cs="Arial"/>
                <w:szCs w:val="22"/>
              </w:rPr>
            </w:pPr>
            <w:r w:rsidRPr="003D5885">
              <w:rPr>
                <w:rFonts w:ascii="Arial" w:hAnsi="Arial" w:cs="Arial"/>
                <w:szCs w:val="22"/>
              </w:rPr>
              <w:t>Not detected</w:t>
            </w:r>
          </w:p>
        </w:tc>
      </w:tr>
    </w:tbl>
    <w:p w14:paraId="1E7646CE" w14:textId="77777777" w:rsidR="0081383E" w:rsidRPr="00632E29" w:rsidRDefault="00632E29" w:rsidP="00B30485">
      <w:pPr>
        <w:pStyle w:val="FSBullet"/>
        <w:numPr>
          <w:ilvl w:val="0"/>
          <w:numId w:val="0"/>
        </w:numPr>
        <w:rPr>
          <w:sz w:val="18"/>
          <w:szCs w:val="18"/>
          <w:vertAlign w:val="superscript"/>
        </w:rPr>
      </w:pPr>
      <w:r w:rsidRPr="00632E29">
        <w:rPr>
          <w:b/>
          <w:sz w:val="18"/>
          <w:szCs w:val="18"/>
          <w:vertAlign w:val="superscript"/>
        </w:rPr>
        <w:sym w:font="Wingdings 2" w:char="F0BF"/>
      </w:r>
      <w:r w:rsidRPr="00632E29">
        <w:rPr>
          <w:b/>
          <w:sz w:val="18"/>
          <w:szCs w:val="18"/>
          <w:vertAlign w:val="superscript"/>
        </w:rPr>
        <w:t xml:space="preserve"> </w:t>
      </w:r>
      <w:r w:rsidR="0081383E" w:rsidRPr="00632E29">
        <w:rPr>
          <w:rFonts w:eastAsiaTheme="minorHAnsi"/>
          <w:sz w:val="18"/>
          <w:szCs w:val="18"/>
          <w:lang w:bidi="ar-SA"/>
        </w:rPr>
        <w:t xml:space="preserve">Heavy Metals = </w:t>
      </w:r>
      <w:r>
        <w:rPr>
          <w:rFonts w:eastAsiaTheme="minorHAnsi"/>
          <w:sz w:val="18"/>
          <w:szCs w:val="18"/>
          <w:lang w:bidi="ar-SA"/>
        </w:rPr>
        <w:t>Sum</w:t>
      </w:r>
      <w:r w:rsidR="0081383E" w:rsidRPr="00632E29">
        <w:rPr>
          <w:rFonts w:eastAsiaTheme="minorHAnsi"/>
          <w:sz w:val="18"/>
          <w:szCs w:val="18"/>
          <w:lang w:bidi="ar-SA"/>
        </w:rPr>
        <w:t xml:space="preserve"> of </w:t>
      </w:r>
      <w:r>
        <w:rPr>
          <w:rFonts w:eastAsiaTheme="minorHAnsi"/>
          <w:sz w:val="18"/>
          <w:szCs w:val="18"/>
          <w:lang w:bidi="ar-SA"/>
        </w:rPr>
        <w:t>silver</w:t>
      </w:r>
      <w:r w:rsidR="0081383E" w:rsidRPr="00632E29">
        <w:rPr>
          <w:rFonts w:eastAsiaTheme="minorHAnsi"/>
          <w:sz w:val="18"/>
          <w:szCs w:val="18"/>
          <w:lang w:bidi="ar-SA"/>
        </w:rPr>
        <w:t xml:space="preserve">, </w:t>
      </w:r>
      <w:r>
        <w:rPr>
          <w:rFonts w:eastAsiaTheme="minorHAnsi"/>
          <w:sz w:val="18"/>
          <w:szCs w:val="18"/>
          <w:lang w:bidi="ar-SA"/>
        </w:rPr>
        <w:t>arsenic</w:t>
      </w:r>
      <w:r w:rsidR="0081383E" w:rsidRPr="00632E29">
        <w:rPr>
          <w:rFonts w:eastAsiaTheme="minorHAnsi"/>
          <w:sz w:val="18"/>
          <w:szCs w:val="18"/>
          <w:lang w:bidi="ar-SA"/>
        </w:rPr>
        <w:t xml:space="preserve">, </w:t>
      </w:r>
      <w:r>
        <w:rPr>
          <w:rFonts w:eastAsiaTheme="minorHAnsi"/>
          <w:sz w:val="18"/>
          <w:szCs w:val="18"/>
          <w:lang w:bidi="ar-SA"/>
        </w:rPr>
        <w:t>bismuth</w:t>
      </w:r>
      <w:r w:rsidR="0081383E" w:rsidRPr="00632E29">
        <w:rPr>
          <w:rFonts w:eastAsiaTheme="minorHAnsi"/>
          <w:sz w:val="18"/>
          <w:szCs w:val="18"/>
          <w:lang w:bidi="ar-SA"/>
        </w:rPr>
        <w:t xml:space="preserve">, </w:t>
      </w:r>
      <w:r>
        <w:rPr>
          <w:rFonts w:eastAsiaTheme="minorHAnsi"/>
          <w:sz w:val="18"/>
          <w:szCs w:val="18"/>
          <w:lang w:bidi="ar-SA"/>
        </w:rPr>
        <w:t>cadmium</w:t>
      </w:r>
      <w:r w:rsidR="0081383E" w:rsidRPr="00632E29">
        <w:rPr>
          <w:rFonts w:eastAsiaTheme="minorHAnsi"/>
          <w:sz w:val="18"/>
          <w:szCs w:val="18"/>
          <w:lang w:bidi="ar-SA"/>
        </w:rPr>
        <w:t xml:space="preserve">, </w:t>
      </w:r>
      <w:r>
        <w:rPr>
          <w:rFonts w:eastAsiaTheme="minorHAnsi"/>
          <w:sz w:val="18"/>
          <w:szCs w:val="18"/>
          <w:lang w:bidi="ar-SA"/>
        </w:rPr>
        <w:t>copper</w:t>
      </w:r>
      <w:r w:rsidR="0081383E" w:rsidRPr="00632E29">
        <w:rPr>
          <w:rFonts w:eastAsiaTheme="minorHAnsi"/>
          <w:sz w:val="18"/>
          <w:szCs w:val="18"/>
          <w:lang w:bidi="ar-SA"/>
        </w:rPr>
        <w:t xml:space="preserve">, </w:t>
      </w:r>
      <w:r>
        <w:rPr>
          <w:rFonts w:eastAsiaTheme="minorHAnsi"/>
          <w:sz w:val="18"/>
          <w:szCs w:val="18"/>
          <w:lang w:bidi="ar-SA"/>
        </w:rPr>
        <w:t>mercury</w:t>
      </w:r>
      <w:r w:rsidR="0081383E" w:rsidRPr="00632E29">
        <w:rPr>
          <w:rFonts w:eastAsiaTheme="minorHAnsi"/>
          <w:sz w:val="18"/>
          <w:szCs w:val="18"/>
          <w:lang w:bidi="ar-SA"/>
        </w:rPr>
        <w:t xml:space="preserve">, </w:t>
      </w:r>
      <w:r>
        <w:rPr>
          <w:rFonts w:eastAsiaTheme="minorHAnsi"/>
          <w:sz w:val="18"/>
          <w:szCs w:val="18"/>
          <w:lang w:bidi="ar-SA"/>
        </w:rPr>
        <w:t>molybdenum</w:t>
      </w:r>
      <w:r w:rsidR="0081383E" w:rsidRPr="00632E29">
        <w:rPr>
          <w:rFonts w:eastAsiaTheme="minorHAnsi"/>
          <w:sz w:val="18"/>
          <w:szCs w:val="18"/>
          <w:lang w:bidi="ar-SA"/>
        </w:rPr>
        <w:t xml:space="preserve">, </w:t>
      </w:r>
      <w:r>
        <w:rPr>
          <w:rFonts w:eastAsiaTheme="minorHAnsi"/>
          <w:sz w:val="18"/>
          <w:szCs w:val="18"/>
          <w:lang w:bidi="ar-SA"/>
        </w:rPr>
        <w:t>nickel</w:t>
      </w:r>
      <w:r w:rsidR="0081383E" w:rsidRPr="00632E29">
        <w:rPr>
          <w:rFonts w:eastAsiaTheme="minorHAnsi"/>
          <w:sz w:val="18"/>
          <w:szCs w:val="18"/>
          <w:lang w:bidi="ar-SA"/>
        </w:rPr>
        <w:t xml:space="preserve">, </w:t>
      </w:r>
      <w:r>
        <w:rPr>
          <w:rFonts w:eastAsiaTheme="minorHAnsi"/>
          <w:sz w:val="18"/>
          <w:szCs w:val="18"/>
          <w:lang w:bidi="ar-SA"/>
        </w:rPr>
        <w:t>lead</w:t>
      </w:r>
      <w:r w:rsidR="0081383E" w:rsidRPr="00632E29">
        <w:rPr>
          <w:rFonts w:eastAsiaTheme="minorHAnsi"/>
          <w:sz w:val="18"/>
          <w:szCs w:val="18"/>
          <w:lang w:bidi="ar-SA"/>
        </w:rPr>
        <w:t xml:space="preserve">, </w:t>
      </w:r>
      <w:r>
        <w:rPr>
          <w:rFonts w:eastAsiaTheme="minorHAnsi"/>
          <w:sz w:val="18"/>
          <w:szCs w:val="18"/>
          <w:lang w:bidi="ar-SA"/>
        </w:rPr>
        <w:t>antimony</w:t>
      </w:r>
      <w:r w:rsidR="0081383E" w:rsidRPr="00632E29">
        <w:rPr>
          <w:rFonts w:eastAsiaTheme="minorHAnsi"/>
          <w:sz w:val="18"/>
          <w:szCs w:val="18"/>
          <w:lang w:bidi="ar-SA"/>
        </w:rPr>
        <w:t xml:space="preserve">, </w:t>
      </w:r>
      <w:r>
        <w:rPr>
          <w:rFonts w:eastAsiaTheme="minorHAnsi"/>
          <w:sz w:val="18"/>
          <w:szCs w:val="18"/>
          <w:lang w:bidi="ar-SA"/>
        </w:rPr>
        <w:t>tin</w:t>
      </w:r>
    </w:p>
    <w:p w14:paraId="3A8714FE" w14:textId="77777777" w:rsidR="009A51A2" w:rsidRPr="00801C93" w:rsidRDefault="00801C93" w:rsidP="00B30485">
      <w:pPr>
        <w:pStyle w:val="FSBullet"/>
        <w:numPr>
          <w:ilvl w:val="0"/>
          <w:numId w:val="0"/>
        </w:numPr>
        <w:rPr>
          <w:sz w:val="18"/>
          <w:szCs w:val="18"/>
        </w:rPr>
      </w:pPr>
      <w:r w:rsidRPr="00801C93">
        <w:rPr>
          <w:sz w:val="18"/>
          <w:szCs w:val="18"/>
          <w:vertAlign w:val="superscript"/>
        </w:rPr>
        <w:sym w:font="Wingdings 2" w:char="F0D8"/>
      </w:r>
      <w:r w:rsidR="00B30485" w:rsidRPr="00801C93">
        <w:rPr>
          <w:sz w:val="18"/>
          <w:szCs w:val="18"/>
        </w:rPr>
        <w:t xml:space="preserve"> JECFA specification (JECFA 2001)</w:t>
      </w:r>
    </w:p>
    <w:p w14:paraId="6B3D2B0A" w14:textId="154ADC63" w:rsidR="00801C93" w:rsidRPr="00801C93" w:rsidRDefault="00801C93" w:rsidP="00801C93">
      <w:pPr>
        <w:rPr>
          <w:sz w:val="18"/>
          <w:szCs w:val="18"/>
        </w:rPr>
      </w:pPr>
      <w:r w:rsidRPr="00801C93">
        <w:rPr>
          <w:rFonts w:cs="Arial"/>
          <w:sz w:val="18"/>
          <w:szCs w:val="18"/>
          <w:vertAlign w:val="superscript"/>
        </w:rPr>
        <w:t>Δ</w:t>
      </w:r>
      <w:r w:rsidRPr="00801C93">
        <w:rPr>
          <w:rFonts w:cs="Arial"/>
          <w:sz w:val="18"/>
          <w:szCs w:val="18"/>
        </w:rPr>
        <w:t xml:space="preserve"> Food Chemicals Codex Specification </w:t>
      </w:r>
      <w:r w:rsidRPr="00801C93">
        <w:rPr>
          <w:sz w:val="18"/>
          <w:szCs w:val="18"/>
        </w:rPr>
        <w:t>(</w:t>
      </w:r>
      <w:r w:rsidR="00A40C64" w:rsidRPr="00801C93">
        <w:rPr>
          <w:sz w:val="18"/>
          <w:szCs w:val="18"/>
        </w:rPr>
        <w:t>U.S.</w:t>
      </w:r>
      <w:r w:rsidR="00A40C64">
        <w:rPr>
          <w:sz w:val="18"/>
          <w:szCs w:val="18"/>
        </w:rPr>
        <w:t xml:space="preserve"> </w:t>
      </w:r>
      <w:r w:rsidR="00A40C64" w:rsidRPr="00801C93">
        <w:rPr>
          <w:sz w:val="18"/>
          <w:szCs w:val="18"/>
        </w:rPr>
        <w:t>Pharmacopeial</w:t>
      </w:r>
      <w:r w:rsidRPr="00801C93">
        <w:rPr>
          <w:sz w:val="18"/>
          <w:szCs w:val="18"/>
        </w:rPr>
        <w:t xml:space="preserve"> Convention 2014)</w:t>
      </w:r>
    </w:p>
    <w:p w14:paraId="24A90583" w14:textId="77777777" w:rsidR="00B30485" w:rsidRDefault="00B30485" w:rsidP="00F14DD2"/>
    <w:p w14:paraId="03453535" w14:textId="77777777" w:rsidR="009A51A2" w:rsidRPr="00FE4233" w:rsidRDefault="009A51A2" w:rsidP="00F14DD2">
      <w:r w:rsidRPr="00FE4233">
        <w:t xml:space="preserve">The Application states that the asparaginase preparation contains no detectable antibiotic activity. Absence of antimicrobial activity is a requirement of the JECFA specifications for enzymes used in food processing. </w:t>
      </w:r>
    </w:p>
    <w:p w14:paraId="1116D1BA" w14:textId="77777777" w:rsidR="009A51A2" w:rsidRPr="00FE4233" w:rsidRDefault="009A51A2" w:rsidP="00F14DD2"/>
    <w:p w14:paraId="33788B24" w14:textId="77777777" w:rsidR="009A51A2" w:rsidRPr="00097DC5" w:rsidRDefault="009A51A2" w:rsidP="00F14DD2">
      <w:r w:rsidRPr="00097DC5">
        <w:t>The final enzyme preparation meets international specifications for enzyme preparations used in the production of food.</w:t>
      </w:r>
    </w:p>
    <w:p w14:paraId="327EA1E5" w14:textId="32B5B647" w:rsidR="009A51A2" w:rsidRPr="00C35D04" w:rsidRDefault="00D86754" w:rsidP="00F14DD2">
      <w:pPr>
        <w:pStyle w:val="Heading2"/>
      </w:pPr>
      <w:bookmarkStart w:id="19" w:name="_Toc422315729"/>
      <w:r>
        <w:t>2.5</w:t>
      </w:r>
      <w:r>
        <w:tab/>
      </w:r>
      <w:r w:rsidR="009A51A2">
        <w:t>Technological function of the enzyme</w:t>
      </w:r>
      <w:bookmarkEnd w:id="19"/>
    </w:p>
    <w:p w14:paraId="3F15A269" w14:textId="77777777" w:rsidR="009A51A2" w:rsidRDefault="009A51A2" w:rsidP="00F14DD2">
      <w:r>
        <w:t>The enzyme preparation is intended to be used in the manufacture of foods such as potato chips, potato-based snacks and breakfast cereals and for the pre-treatment of green coffee beans to reduce the formation of acrylamide during manufacture.</w:t>
      </w:r>
      <w:r w:rsidR="00611D72">
        <w:t xml:space="preserve"> It is added to the food before the high temperature processing step (i.e. baking, frying or roasting) in the manufacture of the food.</w:t>
      </w:r>
    </w:p>
    <w:p w14:paraId="3C047647" w14:textId="77777777" w:rsidR="004E1B44" w:rsidRDefault="004E1B44" w:rsidP="00F14DD2"/>
    <w:p w14:paraId="123A5D5C" w14:textId="77777777" w:rsidR="00E67E64" w:rsidRDefault="00E67E64" w:rsidP="00E67E64">
      <w:r>
        <w:t xml:space="preserve">The Acrylamide Toolbox 2013 </w:t>
      </w:r>
      <w:r>
        <w:fldChar w:fldCharType="begin"/>
      </w:r>
      <w:r w:rsidR="00021F68">
        <w:instrText xml:space="preserve"> ADDIN REFMGR.CITE &lt;Refman&gt;&lt;Cite&gt;&lt;Author&gt;FoodDrinkEurope&lt;/Author&gt;&lt;Year&gt;2014&lt;/Year&gt;&lt;RecNum&gt;44&lt;/RecNum&gt;&lt;IDText&gt;Acrylamide Toolbox 2013&lt;/IDText&gt;&lt;MDL Ref_Type="Online Source"&gt;&lt;Ref_Type&gt;Online Source&lt;/Ref_Type&gt;&lt;Ref_ID&gt;44&lt;/Ref_ID&gt;&lt;Title_Primary&gt;Acrylamide Toolbox 2013&lt;/Title_Primary&gt;&lt;Authors_Primary&gt;FoodDrinkEurope&lt;/Authors_Primary&gt;&lt;Date_Primary&gt;2014&lt;/Date_Primary&gt;&lt;Reprint&gt;Not in File&lt;/Reprint&gt;&lt;Date_Secondary&gt;2015/3/23&lt;/Date_Secondary&gt;&lt;Web_URL&gt;&lt;u&gt;http://www.fooddrinkeurope.eu/uploads/publications_documents/AcrylamideToolbox_2013.pdf&lt;/u&gt;&lt;/Web_URL&gt;&lt;ZZ_WorkformID&gt;31&lt;/ZZ_WorkformID&gt;&lt;/MDL&gt;&lt;/Cite&gt;&lt;/Refman&gt;</w:instrText>
      </w:r>
      <w:r>
        <w:fldChar w:fldCharType="separate"/>
      </w:r>
      <w:r w:rsidR="00974F21">
        <w:rPr>
          <w:noProof/>
        </w:rPr>
        <w:t>(FoodDrinkEurope 2014)</w:t>
      </w:r>
      <w:r>
        <w:fldChar w:fldCharType="end"/>
      </w:r>
      <w:r>
        <w:t xml:space="preserve"> aims to assist manufacturers, national authorities and other bodies to prevent and reduce the formation of acrylamide in specific foods and manufacturing processes and is the result of collaboration between European Union national authorities and food industry. The Toolbox identifies potatoes, cereals and coffee as the three main product groups that are at higher risk of acrylamide formation. The enzyme preparation in this Application is proposed to be used in the manufacture of foods from t</w:t>
      </w:r>
      <w:r w:rsidR="006B268F">
        <w:t>hese three main product groups.</w:t>
      </w:r>
    </w:p>
    <w:p w14:paraId="641C448C" w14:textId="666DD30E" w:rsidR="006B268F" w:rsidRDefault="0025773B" w:rsidP="006B268F">
      <w:pPr>
        <w:pStyle w:val="Heading3"/>
      </w:pPr>
      <w:bookmarkStart w:id="20" w:name="_Toc422315730"/>
      <w:r>
        <w:t>2.5.1</w:t>
      </w:r>
      <w:r>
        <w:tab/>
      </w:r>
      <w:r w:rsidR="006B268F">
        <w:t>Penetration of the enzyme into the food</w:t>
      </w:r>
      <w:bookmarkEnd w:id="20"/>
    </w:p>
    <w:p w14:paraId="2B7E9C8E" w14:textId="77777777" w:rsidR="006B268F" w:rsidRDefault="00225621" w:rsidP="00F14DD2">
      <w:r>
        <w:t>FoodDrinkEurope (2014) report that the use of asparaginase in the treatment of raw potato slices for potato crisp manufacture is ineffective due to the enzyme being ineffectively in penetrating the slice / cell walls to act on the asparagine substrate.</w:t>
      </w:r>
    </w:p>
    <w:p w14:paraId="3348CA6E" w14:textId="77777777" w:rsidR="006B268F" w:rsidRDefault="006B268F" w:rsidP="00F14DD2"/>
    <w:p w14:paraId="3ADA7422" w14:textId="77777777" w:rsidR="003D5885" w:rsidRDefault="003D5885" w:rsidP="00F14DD2">
      <w:r>
        <w:br w:type="page"/>
      </w:r>
    </w:p>
    <w:p w14:paraId="0A8AA572" w14:textId="5C3D6863" w:rsidR="006B268F" w:rsidRDefault="004F61BD" w:rsidP="00F14DD2">
      <w:r>
        <w:lastRenderedPageBreak/>
        <w:t xml:space="preserve">The low moisture processing conditions of breakfast cereals makes it difficult for asparaginase to penetrate into the food matrix to react with asparagine </w:t>
      </w:r>
      <w:r w:rsidR="00021F68">
        <w:fldChar w:fldCharType="begin"/>
      </w:r>
      <w:r w:rsidR="00021F68">
        <w:instrText xml:space="preserve"> ADDIN REFMGR.CITE &lt;Refman&gt;&lt;Cite&gt;&lt;Author&gt;FoodDrinkEurope&lt;/Author&gt;&lt;Year&gt;2014&lt;/Year&gt;&lt;RecNum&gt;44&lt;/RecNum&gt;&lt;IDText&gt;Acrylamide Toolbox 2013&lt;/IDText&gt;&lt;MDL Ref_Type="Online Source"&gt;&lt;Ref_Type&gt;Online Source&lt;/Ref_Type&gt;&lt;Ref_ID&gt;44&lt;/Ref_ID&gt;&lt;Title_Primary&gt;Acrylamide Toolbox 2013&lt;/Title_Primary&gt;&lt;Authors_Primary&gt;FoodDrinkEurope&lt;/Authors_Primary&gt;&lt;Date_Primary&gt;2014&lt;/Date_Primary&gt;&lt;Reprint&gt;Not in File&lt;/Reprint&gt;&lt;Date_Secondary&gt;2015/3/23&lt;/Date_Secondary&gt;&lt;Web_URL&gt;&lt;u&gt;http://www.fooddrinkeurope.eu/uploads/publications_documents/AcrylamideToolbox_2013.pdf&lt;/u&gt;&lt;/Web_URL&gt;&lt;ZZ_WorkformID&gt;31&lt;/ZZ_WorkformID&gt;&lt;/MDL&gt;&lt;/Cite&gt;&lt;/Refman&gt;</w:instrText>
      </w:r>
      <w:r w:rsidR="00021F68">
        <w:fldChar w:fldCharType="separate"/>
      </w:r>
      <w:r w:rsidR="00021F68">
        <w:rPr>
          <w:noProof/>
        </w:rPr>
        <w:t>(FoodDrinkEurope 2014)</w:t>
      </w:r>
      <w:r w:rsidR="00021F68">
        <w:fldChar w:fldCharType="end"/>
      </w:r>
      <w:r>
        <w:t>.</w:t>
      </w:r>
      <w:r w:rsidR="00021F68">
        <w:t xml:space="preserve"> The size of the coarse flours and chopped grains also makes enzyme penetration into the food matrix difficult.</w:t>
      </w:r>
    </w:p>
    <w:p w14:paraId="03F9C4D5" w14:textId="51C637F5" w:rsidR="008D0EE5" w:rsidRDefault="0025773B" w:rsidP="008D0EE5">
      <w:pPr>
        <w:pStyle w:val="Heading3"/>
      </w:pPr>
      <w:bookmarkStart w:id="21" w:name="_Toc422315731"/>
      <w:r>
        <w:t>2.5.2</w:t>
      </w:r>
      <w:r>
        <w:tab/>
      </w:r>
      <w:r w:rsidR="008D0EE5">
        <w:t>Reduction of acrylamide in foods</w:t>
      </w:r>
      <w:bookmarkEnd w:id="21"/>
    </w:p>
    <w:p w14:paraId="2000DE9F" w14:textId="438D53DF" w:rsidR="009A51A2" w:rsidRDefault="003D5885" w:rsidP="008D0EE5">
      <w:pPr>
        <w:pStyle w:val="Heading4"/>
      </w:pPr>
      <w:r>
        <w:t>2.5.2.1</w:t>
      </w:r>
      <w:r>
        <w:tab/>
      </w:r>
      <w:r w:rsidR="009A51A2">
        <w:t>Breakfast cereals</w:t>
      </w:r>
    </w:p>
    <w:p w14:paraId="5C6938ED" w14:textId="77777777" w:rsidR="00291D39" w:rsidRDefault="00291D39" w:rsidP="00291D39">
      <w:pPr>
        <w:rPr>
          <w:rFonts w:cs="Arial"/>
        </w:rPr>
      </w:pPr>
      <w:r>
        <w:rPr>
          <w:rFonts w:cs="Arial"/>
        </w:rPr>
        <w:t xml:space="preserve">A high water content in the wet mix hydrolysis step of infant cereal manufacture enables the use of asparaginase </w:t>
      </w:r>
      <w:r>
        <w:rPr>
          <w:rFonts w:cs="Arial"/>
        </w:rPr>
        <w:fldChar w:fldCharType="begin"/>
      </w:r>
      <w:r>
        <w:rPr>
          <w:rFonts w:cs="Arial"/>
        </w:rPr>
        <w:instrText xml:space="preserve"> ADDIN REFMGR.CITE &lt;Refman&gt;&lt;Cite&gt;&lt;Author&gt;FoodDrinkEurope&lt;/Author&gt;&lt;Year&gt;2014&lt;/Year&gt;&lt;RecNum&gt;44&lt;/RecNum&gt;&lt;IDText&gt;Acrylamide Toolbox 2013&lt;/IDText&gt;&lt;MDL Ref_Type="Online Source"&gt;&lt;Ref_Type&gt;Online Source&lt;/Ref_Type&gt;&lt;Ref_ID&gt;44&lt;/Ref_ID&gt;&lt;Title_Primary&gt;Acrylamide Toolbox 2013&lt;/Title_Primary&gt;&lt;Authors_Primary&gt;FoodDrinkEurope&lt;/Authors_Primary&gt;&lt;Date_Primary&gt;2014&lt;/Date_Primary&gt;&lt;Reprint&gt;Not in File&lt;/Reprint&gt;&lt;Date_Secondary&gt;2015/3/23&lt;/Date_Secondary&gt;&lt;Web_URL&gt;&lt;u&gt;http://www.fooddrinkeurope.eu/uploads/publications_documents/AcrylamideToolbox_2013.pdf&lt;/u&gt;&lt;/Web_URL&gt;&lt;ZZ_WorkformID&gt;31&lt;/ZZ_WorkformID&gt;&lt;/MDL&gt;&lt;/Cite&gt;&lt;/Refman&gt;</w:instrText>
      </w:r>
      <w:r>
        <w:rPr>
          <w:rFonts w:cs="Arial"/>
        </w:rPr>
        <w:fldChar w:fldCharType="separate"/>
      </w:r>
      <w:r>
        <w:rPr>
          <w:rFonts w:cs="Arial"/>
          <w:noProof/>
        </w:rPr>
        <w:t>(FoodDrinkEurope 2014)</w:t>
      </w:r>
      <w:r>
        <w:rPr>
          <w:rFonts w:cs="Arial"/>
        </w:rPr>
        <w:fldChar w:fldCharType="end"/>
      </w:r>
      <w:r>
        <w:rPr>
          <w:rFonts w:cs="Arial"/>
        </w:rPr>
        <w:t>.</w:t>
      </w:r>
    </w:p>
    <w:p w14:paraId="4BB9BAA8" w14:textId="77777777" w:rsidR="00291D39" w:rsidRDefault="00291D39" w:rsidP="00291D39">
      <w:pPr>
        <w:rPr>
          <w:rFonts w:cs="Arial"/>
        </w:rPr>
      </w:pPr>
    </w:p>
    <w:p w14:paraId="2F3AA1B7" w14:textId="77777777" w:rsidR="009A51A2" w:rsidRDefault="009A51A2" w:rsidP="00F14DD2">
      <w:pPr>
        <w:rPr>
          <w:rFonts w:cs="Arial"/>
        </w:rPr>
      </w:pPr>
      <w:r>
        <w:t>The enzyme preparation is added during the mixing of breakfast cereal ingredients and is reported to be most active during the cooking or pre-conditioning step of manufacture. The Application stated that the addition of the enzyme preparation can reduce the level of acrylamide in the final food by 50 – 75% compared to the control. The recommended dosage of the enzyme preparation is 250 – 5,000 TASU per kg flour, with dosage being dependent on moisture content, pH, process</w:t>
      </w:r>
      <w:r w:rsidR="009C0BFA">
        <w:t>ing</w:t>
      </w:r>
      <w:r>
        <w:t xml:space="preserve"> temperatures and holding time of the product. Enzyme inactivation times and temperatures were provided in the Application and ranged from 1 minute at 140</w:t>
      </w:r>
      <w:r>
        <w:rPr>
          <w:rFonts w:cs="Arial"/>
        </w:rPr>
        <w:t>°C to 20-25 minutes at 105°C</w:t>
      </w:r>
      <w:r w:rsidR="009C0BFA">
        <w:rPr>
          <w:rFonts w:cs="Arial"/>
        </w:rPr>
        <w:t xml:space="preserve"> (see </w:t>
      </w:r>
      <w:r w:rsidR="009C0BFA">
        <w:rPr>
          <w:rFonts w:cs="Arial"/>
        </w:rPr>
        <w:fldChar w:fldCharType="begin"/>
      </w:r>
      <w:r w:rsidR="009C0BFA">
        <w:rPr>
          <w:rFonts w:cs="Arial"/>
        </w:rPr>
        <w:instrText xml:space="preserve"> REF _Ref414624507 \h </w:instrText>
      </w:r>
      <w:r w:rsidR="009C0BFA">
        <w:rPr>
          <w:rFonts w:cs="Arial"/>
        </w:rPr>
      </w:r>
      <w:r w:rsidR="009C0BFA">
        <w:rPr>
          <w:rFonts w:cs="Arial"/>
        </w:rPr>
        <w:fldChar w:fldCharType="separate"/>
      </w:r>
      <w:r w:rsidR="007A7B2C" w:rsidRPr="00484A31">
        <w:rPr>
          <w:szCs w:val="22"/>
        </w:rPr>
        <w:t xml:space="preserve">Table </w:t>
      </w:r>
      <w:r w:rsidR="007A7B2C">
        <w:rPr>
          <w:noProof/>
          <w:szCs w:val="22"/>
        </w:rPr>
        <w:t>1</w:t>
      </w:r>
      <w:r w:rsidR="009C0BFA">
        <w:rPr>
          <w:rFonts w:cs="Arial"/>
        </w:rPr>
        <w:fldChar w:fldCharType="end"/>
      </w:r>
      <w:r w:rsidR="009C0BFA">
        <w:rPr>
          <w:rFonts w:cs="Arial"/>
        </w:rPr>
        <w:t>)</w:t>
      </w:r>
      <w:r>
        <w:rPr>
          <w:rFonts w:cs="Arial"/>
        </w:rPr>
        <w:t>.</w:t>
      </w:r>
    </w:p>
    <w:p w14:paraId="775AA56C" w14:textId="77777777" w:rsidR="00A6799C" w:rsidRDefault="00A6799C" w:rsidP="00F14DD2">
      <w:pPr>
        <w:rPr>
          <w:rFonts w:cs="Arial"/>
        </w:rPr>
      </w:pPr>
    </w:p>
    <w:p w14:paraId="6B89060F" w14:textId="77777777" w:rsidR="00291D39" w:rsidRDefault="00291D39" w:rsidP="00291D39">
      <w:r>
        <w:t>Data were provided to show reductions in acrylamide concentrations of:</w:t>
      </w:r>
    </w:p>
    <w:p w14:paraId="3456B018" w14:textId="77777777" w:rsidR="00A40C64" w:rsidRDefault="00A40C64" w:rsidP="00291D39"/>
    <w:p w14:paraId="02BA67F6" w14:textId="77777777" w:rsidR="00291D39" w:rsidRDefault="00291D39" w:rsidP="00291D39">
      <w:pPr>
        <w:pStyle w:val="FSBullet1"/>
      </w:pPr>
      <w:r>
        <w:t>54% for batch cooked wheat flakes (3,000 TASU/kg flour)</w:t>
      </w:r>
      <w:r w:rsidR="001D4012" w:rsidRPr="001D4012">
        <w:t xml:space="preserve"> </w:t>
      </w:r>
      <w:r w:rsidR="001D4012">
        <w:t>in lab-scale testing</w:t>
      </w:r>
    </w:p>
    <w:p w14:paraId="4432FB3E" w14:textId="77777777" w:rsidR="00291D39" w:rsidRDefault="00291D39" w:rsidP="00291D39">
      <w:pPr>
        <w:pStyle w:val="FSBullet1"/>
      </w:pPr>
      <w:r>
        <w:t>58% for batch cooked corn flakes (1,500 TASU/kg flour)</w:t>
      </w:r>
      <w:r w:rsidR="001D4012">
        <w:t xml:space="preserve"> in lab-scale testing</w:t>
      </w:r>
    </w:p>
    <w:p w14:paraId="72DD602D" w14:textId="77777777" w:rsidR="00291D39" w:rsidRPr="00291D39" w:rsidRDefault="00291D39" w:rsidP="00291D39">
      <w:pPr>
        <w:pStyle w:val="FSBullet1"/>
      </w:pPr>
      <w:r>
        <w:t>75% for whole wheat and bran extruded flakes (3,000 TASU/kg flour)</w:t>
      </w:r>
      <w:r w:rsidR="001D4012">
        <w:t xml:space="preserve"> in pilot-scale testing</w:t>
      </w:r>
    </w:p>
    <w:p w14:paraId="31BF8959" w14:textId="77777777" w:rsidR="001D4012" w:rsidRPr="00291D39" w:rsidRDefault="001D4012" w:rsidP="001D4012">
      <w:pPr>
        <w:pStyle w:val="FSBullet1"/>
      </w:pPr>
      <w:r>
        <w:t>56% for whole wheat and rice extruded flakes (6,000 TASU/kg flour) in pilot-scale testing</w:t>
      </w:r>
    </w:p>
    <w:p w14:paraId="14B66C33" w14:textId="77777777" w:rsidR="00A40C64" w:rsidRDefault="00A40C64" w:rsidP="00291D39"/>
    <w:p w14:paraId="1C04DD7F" w14:textId="77777777" w:rsidR="00291D39" w:rsidRDefault="001D4012" w:rsidP="00291D39">
      <w:r>
        <w:t>Further details about the reduction in acrylamide concentration and the testing conditions to achieve these reductions can be found in the Application.</w:t>
      </w:r>
    </w:p>
    <w:p w14:paraId="01B21387" w14:textId="1BB26F30" w:rsidR="00A6799C" w:rsidRDefault="003D5885" w:rsidP="008D0EE5">
      <w:pPr>
        <w:pStyle w:val="Heading4"/>
      </w:pPr>
      <w:r>
        <w:t>2.5.2.2</w:t>
      </w:r>
      <w:r>
        <w:tab/>
      </w:r>
      <w:r w:rsidR="00A6799C">
        <w:t>Coffee</w:t>
      </w:r>
    </w:p>
    <w:p w14:paraId="27A3D2F9" w14:textId="77777777" w:rsidR="00A6799C" w:rsidRDefault="004B2838" w:rsidP="00F14DD2">
      <w:pPr>
        <w:rPr>
          <w:rFonts w:cs="Arial"/>
        </w:rPr>
      </w:pPr>
      <w:r>
        <w:rPr>
          <w:rFonts w:cs="Arial"/>
        </w:rPr>
        <w:t>FoodDrinkEurope (2014) report that acrylamide could be reduced by 5-45%, depending on the processing conditions and the type of coffee.</w:t>
      </w:r>
    </w:p>
    <w:p w14:paraId="52E16563" w14:textId="77777777" w:rsidR="00A6799C" w:rsidRDefault="00A6799C" w:rsidP="00F14DD2">
      <w:pPr>
        <w:rPr>
          <w:rFonts w:cs="Arial"/>
        </w:rPr>
      </w:pPr>
    </w:p>
    <w:p w14:paraId="2BFB6A06" w14:textId="77777777" w:rsidR="00291D39" w:rsidRDefault="00291D39" w:rsidP="00F14DD2">
      <w:pPr>
        <w:rPr>
          <w:rFonts w:cs="Arial"/>
        </w:rPr>
      </w:pPr>
      <w:r>
        <w:rPr>
          <w:rFonts w:cs="Arial"/>
        </w:rPr>
        <w:t>No data were provided in the Application on the reduction of acrylamide concentration with the use of the enzyme preparation in coffee beans.</w:t>
      </w:r>
    </w:p>
    <w:p w14:paraId="671F2099" w14:textId="347F3427" w:rsidR="004F61BD" w:rsidRDefault="003D5885" w:rsidP="004F61BD">
      <w:pPr>
        <w:pStyle w:val="Heading4"/>
      </w:pPr>
      <w:r>
        <w:t>2.5.2.3</w:t>
      </w:r>
      <w:r>
        <w:tab/>
      </w:r>
      <w:r w:rsidR="004F61BD">
        <w:t>Potato-based products</w:t>
      </w:r>
    </w:p>
    <w:p w14:paraId="7DA25EE2" w14:textId="68CC5F02" w:rsidR="009A36F8" w:rsidRDefault="009A36F8" w:rsidP="009A36F8">
      <w:pPr>
        <w:rPr>
          <w:rFonts w:cs="Arial"/>
        </w:rPr>
      </w:pPr>
      <w:r w:rsidRPr="009A36F8">
        <w:rPr>
          <w:rFonts w:cs="Arial"/>
        </w:rPr>
        <w:t xml:space="preserve">Asparaginase significantly reduces the levels of </w:t>
      </w:r>
      <w:r w:rsidR="009804CA">
        <w:rPr>
          <w:rFonts w:cs="Arial"/>
        </w:rPr>
        <w:t>acrylamide</w:t>
      </w:r>
      <w:r w:rsidRPr="009A36F8">
        <w:rPr>
          <w:rFonts w:cs="Arial"/>
        </w:rPr>
        <w:t xml:space="preserve"> in fabricated potato</w:t>
      </w:r>
      <w:r w:rsidR="00B61503">
        <w:rPr>
          <w:rFonts w:cs="Arial"/>
        </w:rPr>
        <w:t>-</w:t>
      </w:r>
      <w:r w:rsidRPr="009A36F8">
        <w:rPr>
          <w:rFonts w:cs="Arial"/>
        </w:rPr>
        <w:t>based</w:t>
      </w:r>
      <w:r w:rsidR="00B61503">
        <w:rPr>
          <w:rFonts w:cs="Arial"/>
        </w:rPr>
        <w:t xml:space="preserve"> </w:t>
      </w:r>
      <w:r w:rsidRPr="009A36F8">
        <w:rPr>
          <w:rFonts w:cs="Arial"/>
        </w:rPr>
        <w:t xml:space="preserve">products. On a </w:t>
      </w:r>
      <w:r w:rsidR="00B61503" w:rsidRPr="009A36F8">
        <w:rPr>
          <w:rFonts w:cs="Arial"/>
        </w:rPr>
        <w:t>commercial</w:t>
      </w:r>
      <w:r w:rsidRPr="009A36F8">
        <w:rPr>
          <w:rFonts w:cs="Arial"/>
        </w:rPr>
        <w:t xml:space="preserve"> scale the enzyme</w:t>
      </w:r>
      <w:r w:rsidRPr="009A36F8">
        <w:rPr>
          <w:rFonts w:cs="Arial" w:hint="eastAsia"/>
        </w:rPr>
        <w:t>’</w:t>
      </w:r>
      <w:r w:rsidRPr="009A36F8">
        <w:rPr>
          <w:rFonts w:cs="Arial"/>
        </w:rPr>
        <w:t>s effectiveness is</w:t>
      </w:r>
      <w:r w:rsidR="00B61503">
        <w:rPr>
          <w:rFonts w:cs="Arial"/>
        </w:rPr>
        <w:t xml:space="preserve"> </w:t>
      </w:r>
      <w:r w:rsidRPr="009A36F8">
        <w:rPr>
          <w:rFonts w:cs="Arial"/>
        </w:rPr>
        <w:t>recipe and process dependent and requires a delicate balance of reaction</w:t>
      </w:r>
      <w:r w:rsidR="00B61503">
        <w:rPr>
          <w:rFonts w:cs="Arial"/>
        </w:rPr>
        <w:t xml:space="preserve"> </w:t>
      </w:r>
      <w:r w:rsidRPr="009A36F8">
        <w:rPr>
          <w:rFonts w:cs="Arial"/>
        </w:rPr>
        <w:t>conditions and contact time to be effective.</w:t>
      </w:r>
    </w:p>
    <w:p w14:paraId="0EB869F9" w14:textId="77777777" w:rsidR="00B61503" w:rsidRDefault="00B61503" w:rsidP="009A36F8">
      <w:pPr>
        <w:rPr>
          <w:rFonts w:cs="Arial"/>
        </w:rPr>
      </w:pPr>
    </w:p>
    <w:p w14:paraId="3032852B" w14:textId="52E7E29C" w:rsidR="004F61BD" w:rsidRDefault="004F61BD" w:rsidP="009A36F8">
      <w:pPr>
        <w:rPr>
          <w:rFonts w:cs="Arial"/>
        </w:rPr>
      </w:pPr>
      <w:r>
        <w:rPr>
          <w:rFonts w:cs="Arial"/>
        </w:rPr>
        <w:t xml:space="preserve">FoodDrinkEurope (2014) report that acrylamide </w:t>
      </w:r>
      <w:r w:rsidR="009A36F8">
        <w:rPr>
          <w:rFonts w:cs="Arial"/>
        </w:rPr>
        <w:t>can</w:t>
      </w:r>
      <w:r>
        <w:rPr>
          <w:rFonts w:cs="Arial"/>
        </w:rPr>
        <w:t xml:space="preserve"> be</w:t>
      </w:r>
      <w:r w:rsidR="009A36F8">
        <w:rPr>
          <w:rFonts w:cs="Arial"/>
        </w:rPr>
        <w:t xml:space="preserve"> significantly </w:t>
      </w:r>
      <w:r>
        <w:rPr>
          <w:rFonts w:cs="Arial"/>
        </w:rPr>
        <w:t xml:space="preserve">reduced by </w:t>
      </w:r>
      <w:r w:rsidR="009A36F8">
        <w:rPr>
          <w:rFonts w:cs="Arial"/>
        </w:rPr>
        <w:t>asparaginase treatment</w:t>
      </w:r>
      <w:r>
        <w:rPr>
          <w:rFonts w:cs="Arial"/>
        </w:rPr>
        <w:t xml:space="preserve"> </w:t>
      </w:r>
      <w:r w:rsidR="009A36F8">
        <w:rPr>
          <w:rFonts w:cs="Arial"/>
        </w:rPr>
        <w:t xml:space="preserve">of fabricated potato based products. However, the efficacy is </w:t>
      </w:r>
      <w:r w:rsidR="00212DA7">
        <w:rPr>
          <w:rFonts w:cs="Arial"/>
        </w:rPr>
        <w:t xml:space="preserve">product recipe and process dependent. It requires a delicate balance between reaction conditions and contact time. </w:t>
      </w:r>
    </w:p>
    <w:p w14:paraId="1D2B9891" w14:textId="77777777" w:rsidR="004F61BD" w:rsidRDefault="004F61BD" w:rsidP="004F61BD">
      <w:pPr>
        <w:rPr>
          <w:rFonts w:cs="Arial"/>
        </w:rPr>
      </w:pPr>
    </w:p>
    <w:p w14:paraId="2C88B344" w14:textId="77777777" w:rsidR="00291D39" w:rsidRDefault="00291D39" w:rsidP="00291D39">
      <w:pPr>
        <w:rPr>
          <w:rFonts w:cs="Arial"/>
        </w:rPr>
      </w:pPr>
      <w:r>
        <w:rPr>
          <w:rFonts w:cs="Arial"/>
        </w:rPr>
        <w:t>No data were provided in the Application on the reduction of acrylamide concentration with the use of the enzyme preparation in potato-based products.</w:t>
      </w:r>
    </w:p>
    <w:p w14:paraId="13520136" w14:textId="6F4AD8D4" w:rsidR="009A51A2" w:rsidRPr="00C35D04" w:rsidRDefault="00D86754" w:rsidP="00F14DD2">
      <w:pPr>
        <w:pStyle w:val="Heading2"/>
      </w:pPr>
      <w:bookmarkStart w:id="22" w:name="_Toc422315732"/>
      <w:r>
        <w:lastRenderedPageBreak/>
        <w:t>2.6</w:t>
      </w:r>
      <w:r>
        <w:tab/>
      </w:r>
      <w:r w:rsidR="009A51A2">
        <w:t>Food technology conclusion</w:t>
      </w:r>
      <w:bookmarkEnd w:id="22"/>
    </w:p>
    <w:p w14:paraId="4C052F5C" w14:textId="6F74E08B" w:rsidR="009A51A2" w:rsidRDefault="00A22D50" w:rsidP="00F14DD2">
      <w:r w:rsidRPr="00A22D50">
        <w:t xml:space="preserve">The evidence presented to support the proposed uses provides adequate assurance that the enzyme, in the form and prescribed amounts, is technologically justified to be effective in achieving its stated purpose. </w:t>
      </w:r>
      <w:r w:rsidR="000E6047">
        <w:t xml:space="preserve">Food manufacturers will need to conduct evaluations on process conditions for using the asparaginase preparation with their food products to assess if acrylamide formation is reduced, to optimise the conditions and ensure negative product attributes do not form. </w:t>
      </w:r>
      <w:r w:rsidRPr="00A22D50">
        <w:t>The enzyme preparation meets international purity specifications for enzymes used in the production of food.</w:t>
      </w:r>
    </w:p>
    <w:p w14:paraId="38938ED8" w14:textId="77777777" w:rsidR="00484A31" w:rsidRDefault="00484A31" w:rsidP="00F14DD2"/>
    <w:p w14:paraId="7DF6C5D8" w14:textId="65BAD05E" w:rsidR="009A51A2" w:rsidRDefault="00484A31" w:rsidP="00F14DD2">
      <w:pPr>
        <w:pStyle w:val="Heading1"/>
      </w:pPr>
      <w:bookmarkStart w:id="23" w:name="_Toc422315733"/>
      <w:r>
        <w:t>3</w:t>
      </w:r>
      <w:r>
        <w:tab/>
      </w:r>
      <w:r w:rsidR="009A51A2">
        <w:t>Hazard Assessment</w:t>
      </w:r>
      <w:bookmarkEnd w:id="23"/>
    </w:p>
    <w:p w14:paraId="7F10DF1C" w14:textId="5FB9510D" w:rsidR="009A51A2" w:rsidRPr="00C35D04" w:rsidRDefault="00D86754" w:rsidP="00F14DD2">
      <w:pPr>
        <w:pStyle w:val="Heading2"/>
      </w:pPr>
      <w:bookmarkStart w:id="24" w:name="_Toc422315734"/>
      <w:r>
        <w:t>3.1</w:t>
      </w:r>
      <w:r>
        <w:tab/>
      </w:r>
      <w:r w:rsidR="009A51A2">
        <w:t>Background</w:t>
      </w:r>
      <w:bookmarkEnd w:id="24"/>
    </w:p>
    <w:p w14:paraId="454C27BD" w14:textId="2BB6898D" w:rsidR="009A51A2" w:rsidRDefault="0025773B" w:rsidP="00F14DD2">
      <w:pPr>
        <w:pStyle w:val="Heading3"/>
      </w:pPr>
      <w:bookmarkStart w:id="25" w:name="_Toc422315735"/>
      <w:r>
        <w:t>3.1.1</w:t>
      </w:r>
      <w:r>
        <w:tab/>
      </w:r>
      <w:r w:rsidR="009A51A2">
        <w:t>Chemistry</w:t>
      </w:r>
      <w:bookmarkEnd w:id="25"/>
    </w:p>
    <w:p w14:paraId="159D4D29" w14:textId="77777777" w:rsidR="009A51A2" w:rsidRPr="005B2FF7" w:rsidRDefault="009A51A2" w:rsidP="00F14DD2">
      <w:pPr>
        <w:spacing w:line="20" w:lineRule="atLeast"/>
        <w:rPr>
          <w:rFonts w:cs="Arial"/>
          <w:color w:val="000000" w:themeColor="text1"/>
        </w:rPr>
      </w:pPr>
      <w:r w:rsidRPr="005B2FF7">
        <w:rPr>
          <w:rFonts w:cs="Arial"/>
          <w:color w:val="000000" w:themeColor="text1"/>
        </w:rPr>
        <w:t xml:space="preserve">Details of the chemistry of the asparaginase produced by </w:t>
      </w:r>
      <w:r w:rsidRPr="005B2FF7">
        <w:rPr>
          <w:rFonts w:cs="Arial"/>
          <w:i/>
          <w:color w:val="000000" w:themeColor="text1"/>
        </w:rPr>
        <w:t>B. subtilis</w:t>
      </w:r>
      <w:r w:rsidRPr="005B2FF7">
        <w:rPr>
          <w:rFonts w:cs="Arial"/>
          <w:color w:val="000000" w:themeColor="text1"/>
        </w:rPr>
        <w:t xml:space="preserve"> including relevant physicochemical and enzymatic properties, and product specifications, are provided in the </w:t>
      </w:r>
      <w:r w:rsidRPr="009F6B85">
        <w:rPr>
          <w:rFonts w:cs="Arial"/>
          <w:color w:val="000000" w:themeColor="text1"/>
        </w:rPr>
        <w:t xml:space="preserve">Food Technology Assessment (Section </w:t>
      </w:r>
      <w:r w:rsidRPr="009F6B85">
        <w:rPr>
          <w:rFonts w:cs="Arial"/>
          <w:color w:val="000000" w:themeColor="text1"/>
        </w:rPr>
        <w:fldChar w:fldCharType="begin"/>
      </w:r>
      <w:r w:rsidRPr="009F6B85">
        <w:rPr>
          <w:rFonts w:cs="Arial"/>
          <w:color w:val="000000" w:themeColor="text1"/>
        </w:rPr>
        <w:instrText xml:space="preserve"> REF _Ref414261484 \n \h </w:instrText>
      </w:r>
      <w:r>
        <w:rPr>
          <w:rFonts w:cs="Arial"/>
          <w:color w:val="000000" w:themeColor="text1"/>
        </w:rPr>
        <w:instrText xml:space="preserve"> \* MERGEFORMAT </w:instrText>
      </w:r>
      <w:r w:rsidRPr="009F6B85">
        <w:rPr>
          <w:rFonts w:cs="Arial"/>
          <w:color w:val="000000" w:themeColor="text1"/>
        </w:rPr>
      </w:r>
      <w:r w:rsidRPr="009F6B85">
        <w:rPr>
          <w:rFonts w:cs="Arial"/>
          <w:color w:val="000000" w:themeColor="text1"/>
        </w:rPr>
        <w:fldChar w:fldCharType="separate"/>
      </w:r>
      <w:r w:rsidR="007A7B2C">
        <w:rPr>
          <w:rFonts w:cs="Arial"/>
          <w:color w:val="000000" w:themeColor="text1"/>
        </w:rPr>
        <w:t>0</w:t>
      </w:r>
      <w:r w:rsidRPr="009F6B85">
        <w:rPr>
          <w:rFonts w:cs="Arial"/>
          <w:color w:val="000000" w:themeColor="text1"/>
        </w:rPr>
        <w:fldChar w:fldCharType="end"/>
      </w:r>
      <w:r w:rsidRPr="009F6B85">
        <w:rPr>
          <w:rFonts w:cs="Arial"/>
          <w:color w:val="000000" w:themeColor="text1"/>
        </w:rPr>
        <w:t>).</w:t>
      </w:r>
      <w:r w:rsidRPr="005B2FF7">
        <w:rPr>
          <w:rFonts w:cs="Arial"/>
          <w:color w:val="000000" w:themeColor="text1"/>
        </w:rPr>
        <w:t xml:space="preserve"> </w:t>
      </w:r>
    </w:p>
    <w:p w14:paraId="4EA5ED05" w14:textId="33539A9F" w:rsidR="009A51A2" w:rsidRDefault="0025773B" w:rsidP="00F14DD2">
      <w:pPr>
        <w:pStyle w:val="Heading3"/>
      </w:pPr>
      <w:bookmarkStart w:id="26" w:name="_Toc422315736"/>
      <w:r>
        <w:t>3.1.2</w:t>
      </w:r>
      <w:r>
        <w:tab/>
      </w:r>
      <w:r w:rsidR="009A51A2">
        <w:t>Description of the genetic modification</w:t>
      </w:r>
      <w:bookmarkEnd w:id="26"/>
    </w:p>
    <w:p w14:paraId="4E82AB76" w14:textId="77777777" w:rsidR="009A51A2" w:rsidRPr="00D020D3" w:rsidRDefault="009A51A2" w:rsidP="00F14DD2">
      <w:pPr>
        <w:spacing w:line="20" w:lineRule="atLeast"/>
        <w:rPr>
          <w:rFonts w:cs="Arial"/>
          <w:color w:val="000000" w:themeColor="text1"/>
        </w:rPr>
      </w:pPr>
      <w:r w:rsidRPr="00D020D3">
        <w:rPr>
          <w:rFonts w:cs="Arial"/>
          <w:color w:val="000000" w:themeColor="text1"/>
        </w:rPr>
        <w:t xml:space="preserve">Asparaginase is produced by a </w:t>
      </w:r>
      <w:r>
        <w:rPr>
          <w:rFonts w:cs="Arial"/>
          <w:color w:val="000000" w:themeColor="text1"/>
        </w:rPr>
        <w:t>genetically modified (</w:t>
      </w:r>
      <w:r w:rsidRPr="00D020D3">
        <w:rPr>
          <w:rFonts w:cs="Arial"/>
          <w:color w:val="000000" w:themeColor="text1"/>
        </w:rPr>
        <w:t>GM</w:t>
      </w:r>
      <w:r>
        <w:rPr>
          <w:rFonts w:cs="Arial"/>
          <w:color w:val="000000" w:themeColor="text1"/>
        </w:rPr>
        <w:t>)</w:t>
      </w:r>
      <w:r w:rsidRPr="00D020D3">
        <w:rPr>
          <w:rFonts w:cs="Arial"/>
          <w:color w:val="000000" w:themeColor="text1"/>
        </w:rPr>
        <w:t xml:space="preserve"> </w:t>
      </w:r>
      <w:r>
        <w:rPr>
          <w:rFonts w:cs="Arial"/>
          <w:color w:val="000000" w:themeColor="text1"/>
        </w:rPr>
        <w:t xml:space="preserve">production </w:t>
      </w:r>
      <w:r w:rsidRPr="00D020D3">
        <w:rPr>
          <w:rFonts w:cs="Arial"/>
          <w:color w:val="000000" w:themeColor="text1"/>
        </w:rPr>
        <w:t xml:space="preserve">strain </w:t>
      </w:r>
      <w:r>
        <w:rPr>
          <w:rFonts w:cs="Arial"/>
          <w:color w:val="000000" w:themeColor="text1"/>
        </w:rPr>
        <w:t xml:space="preserve">(MOL2940) </w:t>
      </w:r>
      <w:r w:rsidRPr="00D020D3">
        <w:rPr>
          <w:rFonts w:cs="Arial"/>
          <w:color w:val="000000" w:themeColor="text1"/>
        </w:rPr>
        <w:t xml:space="preserve">of </w:t>
      </w:r>
      <w:r w:rsidRPr="00D020D3">
        <w:rPr>
          <w:rFonts w:cs="Arial"/>
          <w:i/>
          <w:color w:val="000000" w:themeColor="text1"/>
        </w:rPr>
        <w:t>B.</w:t>
      </w:r>
      <w:r>
        <w:rPr>
          <w:rFonts w:cs="Arial"/>
          <w:i/>
          <w:color w:val="000000" w:themeColor="text1"/>
        </w:rPr>
        <w:t> </w:t>
      </w:r>
      <w:r w:rsidRPr="00D020D3">
        <w:rPr>
          <w:rFonts w:cs="Arial"/>
          <w:i/>
          <w:color w:val="000000" w:themeColor="text1"/>
        </w:rPr>
        <w:t>subtilis,</w:t>
      </w:r>
      <w:r w:rsidRPr="00D020D3">
        <w:rPr>
          <w:rFonts w:cs="Arial"/>
          <w:color w:val="000000" w:themeColor="text1"/>
        </w:rPr>
        <w:t xml:space="preserve"> which expresses an </w:t>
      </w:r>
      <w:r>
        <w:rPr>
          <w:rFonts w:cs="Arial"/>
          <w:color w:val="000000" w:themeColor="text1"/>
        </w:rPr>
        <w:t>asparaginase (</w:t>
      </w:r>
      <w:r>
        <w:rPr>
          <w:rFonts w:cs="Arial"/>
          <w:i/>
          <w:color w:val="000000" w:themeColor="text1"/>
        </w:rPr>
        <w:t xml:space="preserve">asnPfu) </w:t>
      </w:r>
      <w:r>
        <w:rPr>
          <w:rFonts w:cs="Arial"/>
          <w:color w:val="000000" w:themeColor="text1"/>
        </w:rPr>
        <w:t xml:space="preserve">gene </w:t>
      </w:r>
      <w:r>
        <w:rPr>
          <w:rFonts w:cs="Arial"/>
          <w:noProof/>
          <w:color w:val="000000" w:themeColor="text1"/>
        </w:rPr>
        <w:t>(Banke et al. 2014)</w:t>
      </w:r>
      <w:r>
        <w:rPr>
          <w:rFonts w:cs="Arial"/>
          <w:color w:val="000000" w:themeColor="text1"/>
        </w:rPr>
        <w:t>.</w:t>
      </w:r>
    </w:p>
    <w:p w14:paraId="05F8B51F" w14:textId="77777777" w:rsidR="009A51A2" w:rsidRPr="00D020D3" w:rsidRDefault="009A51A2" w:rsidP="00F14DD2">
      <w:pPr>
        <w:spacing w:line="20" w:lineRule="atLeast"/>
        <w:rPr>
          <w:rFonts w:cs="Arial"/>
          <w:color w:val="000000" w:themeColor="text1"/>
        </w:rPr>
      </w:pPr>
    </w:p>
    <w:p w14:paraId="31492547" w14:textId="77777777" w:rsidR="009A51A2" w:rsidRDefault="009A51A2" w:rsidP="00F14DD2">
      <w:pPr>
        <w:spacing w:line="20" w:lineRule="atLeast"/>
        <w:rPr>
          <w:rFonts w:cs="Arial"/>
          <w:color w:val="000000" w:themeColor="text1"/>
        </w:rPr>
      </w:pPr>
      <w:r w:rsidRPr="00D020D3">
        <w:rPr>
          <w:rFonts w:cs="Arial"/>
          <w:color w:val="000000" w:themeColor="text1"/>
        </w:rPr>
        <w:t>The expression cassette comprises:</w:t>
      </w:r>
    </w:p>
    <w:p w14:paraId="1F408B61" w14:textId="77777777" w:rsidR="00A40C64" w:rsidRPr="00D020D3" w:rsidRDefault="00A40C64" w:rsidP="00F14DD2">
      <w:pPr>
        <w:spacing w:line="20" w:lineRule="atLeast"/>
        <w:rPr>
          <w:rFonts w:cs="Arial"/>
          <w:color w:val="000000" w:themeColor="text1"/>
        </w:rPr>
      </w:pPr>
    </w:p>
    <w:p w14:paraId="5E27E56A" w14:textId="77777777" w:rsidR="009A51A2" w:rsidRPr="00D020D3" w:rsidRDefault="009A51A2" w:rsidP="00F14DD2">
      <w:pPr>
        <w:pStyle w:val="FSBullet1"/>
        <w:rPr>
          <w:rFonts w:eastAsiaTheme="minorHAnsi"/>
        </w:rPr>
      </w:pPr>
      <w:r w:rsidRPr="00D020D3">
        <w:rPr>
          <w:rFonts w:eastAsiaTheme="minorHAnsi"/>
        </w:rPr>
        <w:t xml:space="preserve">a fragment of a hybrid </w:t>
      </w:r>
      <w:r w:rsidRPr="00D020D3">
        <w:rPr>
          <w:rFonts w:eastAsiaTheme="minorHAnsi"/>
          <w:i/>
          <w:iCs/>
        </w:rPr>
        <w:t xml:space="preserve">Bacillus </w:t>
      </w:r>
      <w:r w:rsidRPr="00D020D3">
        <w:rPr>
          <w:rFonts w:eastAsiaTheme="minorHAnsi"/>
        </w:rPr>
        <w:t xml:space="preserve">promoter with promoter elements from </w:t>
      </w:r>
      <w:r w:rsidRPr="00D020D3">
        <w:rPr>
          <w:rFonts w:eastAsiaTheme="minorHAnsi"/>
          <w:i/>
          <w:iCs/>
        </w:rPr>
        <w:t>B. licheniformis</w:t>
      </w:r>
      <w:r w:rsidRPr="00D020D3">
        <w:rPr>
          <w:rFonts w:eastAsiaTheme="minorHAnsi"/>
        </w:rPr>
        <w:t xml:space="preserve">, </w:t>
      </w:r>
      <w:r w:rsidRPr="00D020D3">
        <w:rPr>
          <w:rFonts w:eastAsiaTheme="minorHAnsi"/>
          <w:i/>
          <w:iCs/>
        </w:rPr>
        <w:t xml:space="preserve">B. amyloliquefaciens </w:t>
      </w:r>
      <w:r w:rsidRPr="00D020D3">
        <w:rPr>
          <w:rFonts w:eastAsiaTheme="minorHAnsi"/>
        </w:rPr>
        <w:t xml:space="preserve">and </w:t>
      </w:r>
      <w:r w:rsidRPr="00D020D3">
        <w:rPr>
          <w:rFonts w:eastAsiaTheme="minorHAnsi"/>
          <w:i/>
          <w:iCs/>
        </w:rPr>
        <w:t>B. thuringiensis</w:t>
      </w:r>
    </w:p>
    <w:p w14:paraId="3B98FE6E" w14:textId="77777777" w:rsidR="009A51A2" w:rsidRPr="00D020D3" w:rsidRDefault="009A51A2" w:rsidP="00F14DD2">
      <w:pPr>
        <w:pStyle w:val="FSBullet1"/>
        <w:rPr>
          <w:rFonts w:eastAsiaTheme="minorHAnsi"/>
        </w:rPr>
      </w:pPr>
      <w:r w:rsidRPr="00D020D3">
        <w:rPr>
          <w:rFonts w:eastAsiaTheme="minorHAnsi"/>
        </w:rPr>
        <w:t xml:space="preserve">a chemically synthesised coding sequence of the </w:t>
      </w:r>
      <w:r w:rsidRPr="00D020D3">
        <w:rPr>
          <w:rFonts w:eastAsiaTheme="minorHAnsi"/>
          <w:i/>
        </w:rPr>
        <w:t>asnPfu</w:t>
      </w:r>
      <w:r w:rsidRPr="00D020D3">
        <w:rPr>
          <w:rFonts w:eastAsiaTheme="minorHAnsi"/>
        </w:rPr>
        <w:t xml:space="preserve"> gene derived from the extremophile </w:t>
      </w:r>
      <w:r w:rsidRPr="00D020D3">
        <w:rPr>
          <w:rFonts w:eastAsiaTheme="minorHAnsi"/>
          <w:i/>
          <w:iCs/>
        </w:rPr>
        <w:t xml:space="preserve">Pyrococcus furiosus </w:t>
      </w:r>
      <w:r w:rsidRPr="00D020D3">
        <w:rPr>
          <w:rFonts w:eastAsiaTheme="minorHAnsi"/>
        </w:rPr>
        <w:t xml:space="preserve">(ATCC 43587) from thermal marine sediments </w:t>
      </w:r>
      <w:r>
        <w:rPr>
          <w:rFonts w:eastAsiaTheme="minorHAnsi"/>
          <w:noProof/>
        </w:rPr>
        <w:t>(Maeder et al. 1999)</w:t>
      </w:r>
    </w:p>
    <w:p w14:paraId="7765A384" w14:textId="77777777" w:rsidR="009A51A2" w:rsidRPr="00D020D3" w:rsidRDefault="009A51A2" w:rsidP="00F14DD2">
      <w:pPr>
        <w:pStyle w:val="FSBullet1"/>
        <w:rPr>
          <w:rFonts w:eastAsiaTheme="minorHAnsi"/>
        </w:rPr>
      </w:pPr>
      <w:r w:rsidRPr="00D020D3">
        <w:rPr>
          <w:rFonts w:eastAsiaTheme="minorHAnsi"/>
        </w:rPr>
        <w:t xml:space="preserve">a </w:t>
      </w:r>
      <w:r w:rsidRPr="00D020D3">
        <w:rPr>
          <w:rFonts w:eastAsiaTheme="minorHAnsi"/>
          <w:i/>
          <w:iCs/>
        </w:rPr>
        <w:t xml:space="preserve">B. licheniformis </w:t>
      </w:r>
      <w:r w:rsidRPr="00D020D3">
        <w:rPr>
          <w:rFonts w:eastAsiaTheme="minorHAnsi"/>
        </w:rPr>
        <w:t>terminator</w:t>
      </w:r>
      <w:r>
        <w:rPr>
          <w:rFonts w:eastAsiaTheme="minorHAnsi"/>
        </w:rPr>
        <w:t xml:space="preserve"> from the </w:t>
      </w:r>
      <w:r w:rsidRPr="00AE7BBF">
        <w:rPr>
          <w:rFonts w:eastAsiaTheme="minorHAnsi"/>
          <w:i/>
        </w:rPr>
        <w:t>amyL</w:t>
      </w:r>
      <w:r>
        <w:rPr>
          <w:rFonts w:eastAsiaTheme="minorHAnsi"/>
        </w:rPr>
        <w:t xml:space="preserve"> gene</w:t>
      </w:r>
    </w:p>
    <w:p w14:paraId="113EEBD4" w14:textId="77777777" w:rsidR="009A51A2" w:rsidRPr="00D020D3" w:rsidRDefault="009A51A2" w:rsidP="00F14DD2">
      <w:pPr>
        <w:pStyle w:val="FSBullet1"/>
        <w:rPr>
          <w:rFonts w:eastAsiaTheme="minorHAnsi"/>
        </w:rPr>
      </w:pPr>
      <w:r w:rsidRPr="00D020D3">
        <w:rPr>
          <w:rFonts w:eastAsiaTheme="minorHAnsi"/>
        </w:rPr>
        <w:t>an integration fragment that enables site specific integration on the genome of the recipient strain.</w:t>
      </w:r>
    </w:p>
    <w:p w14:paraId="35E9D4A5" w14:textId="77777777" w:rsidR="009A51A2" w:rsidRPr="00BA67F1" w:rsidRDefault="009A51A2" w:rsidP="00F14DD2">
      <w:pPr>
        <w:spacing w:line="20" w:lineRule="atLeast"/>
        <w:rPr>
          <w:rFonts w:eastAsiaTheme="minorHAnsi" w:cs="Arial"/>
          <w:color w:val="000000" w:themeColor="text1"/>
          <w:lang w:bidi="ar-SA"/>
        </w:rPr>
      </w:pPr>
    </w:p>
    <w:p w14:paraId="668F935C" w14:textId="77777777" w:rsidR="009A51A2" w:rsidRPr="00BA67F1" w:rsidRDefault="009A51A2" w:rsidP="00F14DD2">
      <w:pPr>
        <w:autoSpaceDE w:val="0"/>
        <w:autoSpaceDN w:val="0"/>
        <w:adjustRightInd w:val="0"/>
        <w:rPr>
          <w:rFonts w:eastAsiaTheme="minorHAnsi" w:cs="Arial"/>
          <w:color w:val="000000" w:themeColor="text1"/>
          <w:lang w:bidi="ar-SA"/>
        </w:rPr>
      </w:pPr>
      <w:r w:rsidRPr="00BA67F1">
        <w:rPr>
          <w:rFonts w:eastAsiaTheme="minorHAnsi" w:cs="Arial"/>
          <w:lang w:bidi="ar-SA"/>
        </w:rPr>
        <w:t xml:space="preserve">The cassette </w:t>
      </w:r>
      <w:r w:rsidRPr="00BA67F1">
        <w:rPr>
          <w:rFonts w:cs="Arial"/>
          <w:color w:val="000000" w:themeColor="text1"/>
        </w:rPr>
        <w:t xml:space="preserve">was incorporated into expression plasmid pMOL2930 which was then mobilised into </w:t>
      </w:r>
      <w:r w:rsidRPr="00BA67F1">
        <w:rPr>
          <w:rFonts w:cs="Arial"/>
          <w:i/>
          <w:color w:val="000000" w:themeColor="text1"/>
        </w:rPr>
        <w:t>B. subtilis</w:t>
      </w:r>
      <w:r w:rsidRPr="00BA67F1">
        <w:rPr>
          <w:rFonts w:cs="Arial"/>
          <w:color w:val="000000" w:themeColor="text1"/>
        </w:rPr>
        <w:t xml:space="preserve"> </w:t>
      </w:r>
      <w:r>
        <w:rPr>
          <w:rFonts w:cs="Arial"/>
          <w:color w:val="000000" w:themeColor="text1"/>
        </w:rPr>
        <w:t>recipient</w:t>
      </w:r>
      <w:r w:rsidRPr="00BA67F1">
        <w:rPr>
          <w:rFonts w:cs="Arial"/>
          <w:color w:val="000000" w:themeColor="text1"/>
        </w:rPr>
        <w:t xml:space="preserve"> strain PP2982</w:t>
      </w:r>
      <w:r>
        <w:rPr>
          <w:rFonts w:cs="Arial"/>
          <w:color w:val="000000" w:themeColor="text1"/>
        </w:rPr>
        <w:t xml:space="preserve"> at three specific loci using a site-specific integration method. </w:t>
      </w:r>
      <w:r w:rsidRPr="00BA67F1">
        <w:rPr>
          <w:rFonts w:cs="Arial"/>
          <w:color w:val="000000" w:themeColor="text1"/>
        </w:rPr>
        <w:t xml:space="preserve">The resulting </w:t>
      </w:r>
      <w:r>
        <w:rPr>
          <w:rFonts w:cs="Arial"/>
          <w:color w:val="000000" w:themeColor="text1"/>
        </w:rPr>
        <w:t xml:space="preserve">production </w:t>
      </w:r>
      <w:r w:rsidRPr="00BA67F1">
        <w:rPr>
          <w:rFonts w:cs="Arial"/>
          <w:color w:val="000000" w:themeColor="text1"/>
        </w:rPr>
        <w:t xml:space="preserve">strain </w:t>
      </w:r>
      <w:r>
        <w:rPr>
          <w:rFonts w:cs="Arial"/>
          <w:color w:val="000000" w:themeColor="text1"/>
        </w:rPr>
        <w:t xml:space="preserve">therefore contained three copies of the expression cassette and </w:t>
      </w:r>
      <w:r w:rsidRPr="00BA67F1">
        <w:rPr>
          <w:rFonts w:cs="Arial"/>
          <w:color w:val="000000" w:themeColor="text1"/>
        </w:rPr>
        <w:t>was given the desig</w:t>
      </w:r>
      <w:r>
        <w:rPr>
          <w:rFonts w:cs="Arial"/>
          <w:color w:val="000000" w:themeColor="text1"/>
        </w:rPr>
        <w:t xml:space="preserve">nation MOL2940. </w:t>
      </w:r>
      <w:r w:rsidRPr="00BA67F1">
        <w:rPr>
          <w:rFonts w:cs="Arial"/>
          <w:color w:val="000000" w:themeColor="text1"/>
        </w:rPr>
        <w:t>Southern blot analyses, polymerase chain reaction analysis and DNA sequencing</w:t>
      </w:r>
      <w:r>
        <w:rPr>
          <w:rFonts w:cs="Arial"/>
          <w:color w:val="000000" w:themeColor="text1"/>
        </w:rPr>
        <w:t xml:space="preserve"> of the inserts and flanking regions </w:t>
      </w:r>
      <w:r w:rsidRPr="00BA67F1">
        <w:rPr>
          <w:rFonts w:cs="Arial"/>
          <w:color w:val="000000" w:themeColor="text1"/>
        </w:rPr>
        <w:t xml:space="preserve">showed only </w:t>
      </w:r>
      <w:r w:rsidRPr="00BA67F1">
        <w:rPr>
          <w:rFonts w:eastAsiaTheme="minorHAnsi" w:cs="Arial"/>
          <w:color w:val="000000" w:themeColor="text1"/>
          <w:lang w:bidi="ar-SA"/>
        </w:rPr>
        <w:t xml:space="preserve">elements between the promoter fragment and the integration element are present in the final production strain and </w:t>
      </w:r>
      <w:r w:rsidRPr="00BA67F1">
        <w:rPr>
          <w:rFonts w:cs="Arial"/>
          <w:color w:val="000000" w:themeColor="text1"/>
        </w:rPr>
        <w:t>there are no other coding sequences from the plasmid; this means, in particular, there are no antibiotic resistance genes present in the production strain.</w:t>
      </w:r>
    </w:p>
    <w:p w14:paraId="2D150CF6" w14:textId="77777777" w:rsidR="009A51A2" w:rsidRPr="003B51BD" w:rsidRDefault="009A51A2" w:rsidP="00F14DD2">
      <w:pPr>
        <w:spacing w:line="20" w:lineRule="atLeast"/>
        <w:rPr>
          <w:rFonts w:cs="Arial"/>
          <w:color w:val="000000" w:themeColor="text1"/>
        </w:rPr>
      </w:pPr>
    </w:p>
    <w:p w14:paraId="1B9EF95C" w14:textId="77777777" w:rsidR="009A51A2" w:rsidRPr="003B51BD" w:rsidRDefault="009A51A2" w:rsidP="00F14DD2">
      <w:pPr>
        <w:spacing w:line="20" w:lineRule="atLeast"/>
        <w:rPr>
          <w:rFonts w:cs="Arial"/>
          <w:color w:val="000000" w:themeColor="text1"/>
        </w:rPr>
      </w:pPr>
      <w:r w:rsidRPr="003B51BD">
        <w:rPr>
          <w:rFonts w:cs="Arial"/>
          <w:color w:val="000000" w:themeColor="text1"/>
        </w:rPr>
        <w:t>To test the stability of the insert in the production</w:t>
      </w:r>
      <w:r>
        <w:rPr>
          <w:rFonts w:cs="Arial"/>
          <w:color w:val="000000" w:themeColor="text1"/>
        </w:rPr>
        <w:t xml:space="preserve"> strain, DNA from cells from </w:t>
      </w:r>
      <w:r w:rsidRPr="003B51BD">
        <w:rPr>
          <w:rFonts w:cs="Arial"/>
          <w:color w:val="000000" w:themeColor="text1"/>
        </w:rPr>
        <w:t xml:space="preserve">four separate pilot plant fermentations was compared to DNA from cells in the master cell bank (MCB) by Southern blot analysis using part of the </w:t>
      </w:r>
      <w:r w:rsidRPr="003B51BD">
        <w:rPr>
          <w:rFonts w:cs="Arial"/>
          <w:i/>
          <w:color w:val="000000" w:themeColor="text1"/>
        </w:rPr>
        <w:t>asnPf</w:t>
      </w:r>
      <w:r>
        <w:rPr>
          <w:rFonts w:cs="Arial"/>
          <w:color w:val="000000" w:themeColor="text1"/>
        </w:rPr>
        <w:t xml:space="preserve"> coding region as a probe</w:t>
      </w:r>
      <w:r w:rsidRPr="003B51BD">
        <w:rPr>
          <w:rFonts w:cs="Arial"/>
          <w:color w:val="000000" w:themeColor="text1"/>
        </w:rPr>
        <w:t>. The band patterns obtained for all the pilot batches were identical to the band pattern of the MCB, thus indicating stability of the insert.</w:t>
      </w:r>
    </w:p>
    <w:p w14:paraId="1D404D4E" w14:textId="77777777" w:rsidR="003D5885" w:rsidRDefault="003D5885" w:rsidP="00F14DD2">
      <w:pPr>
        <w:pStyle w:val="Heading3"/>
      </w:pPr>
      <w:r>
        <w:br w:type="page"/>
      </w:r>
    </w:p>
    <w:p w14:paraId="3CD0F68B" w14:textId="239EC6E0" w:rsidR="009A51A2" w:rsidRDefault="0025773B" w:rsidP="00F14DD2">
      <w:pPr>
        <w:pStyle w:val="Heading3"/>
      </w:pPr>
      <w:bookmarkStart w:id="27" w:name="_Toc422315737"/>
      <w:r>
        <w:lastRenderedPageBreak/>
        <w:t>3.1.3</w:t>
      </w:r>
      <w:r>
        <w:tab/>
      </w:r>
      <w:r w:rsidR="009A51A2">
        <w:t>Scope of the hazard assessment</w:t>
      </w:r>
      <w:bookmarkEnd w:id="27"/>
    </w:p>
    <w:p w14:paraId="378F0E36" w14:textId="04CE6963" w:rsidR="009A51A2" w:rsidRDefault="009A51A2" w:rsidP="00F14DD2">
      <w:pPr>
        <w:spacing w:line="20" w:lineRule="atLeast"/>
        <w:rPr>
          <w:rFonts w:cs="Arial"/>
          <w:color w:val="000000" w:themeColor="text1"/>
        </w:rPr>
      </w:pPr>
      <w:r w:rsidRPr="005B2FF7">
        <w:rPr>
          <w:rFonts w:cs="Arial"/>
          <w:color w:val="000000" w:themeColor="text1"/>
        </w:rPr>
        <w:t xml:space="preserve">The hazard of asparaginase derived from the </w:t>
      </w:r>
      <w:r w:rsidRPr="005B2FF7">
        <w:rPr>
          <w:rFonts w:cs="Arial"/>
          <w:i/>
          <w:color w:val="000000" w:themeColor="text1"/>
        </w:rPr>
        <w:t>B. subtilis</w:t>
      </w:r>
      <w:r w:rsidRPr="005B2FF7">
        <w:rPr>
          <w:rFonts w:cs="Arial"/>
          <w:color w:val="000000" w:themeColor="text1"/>
        </w:rPr>
        <w:t xml:space="preserve"> production strain was evaluated by considering:</w:t>
      </w:r>
    </w:p>
    <w:p w14:paraId="593C81AA" w14:textId="77777777" w:rsidR="00A40C64" w:rsidRPr="005B2FF7" w:rsidRDefault="00A40C64" w:rsidP="00F14DD2">
      <w:pPr>
        <w:spacing w:line="20" w:lineRule="atLeast"/>
        <w:rPr>
          <w:rFonts w:cs="Arial"/>
          <w:color w:val="000000" w:themeColor="text1"/>
        </w:rPr>
      </w:pPr>
    </w:p>
    <w:p w14:paraId="0620EDAF" w14:textId="5C60CA1D" w:rsidR="009A51A2" w:rsidRPr="003B51BD" w:rsidRDefault="00A40C64" w:rsidP="00F14DD2">
      <w:pPr>
        <w:pStyle w:val="FSBullet1"/>
      </w:pPr>
      <w:r>
        <w:t xml:space="preserve">the </w:t>
      </w:r>
      <w:r w:rsidR="009A51A2" w:rsidRPr="005B2FF7">
        <w:t xml:space="preserve">hazard of the production organism, including any history of safe use in food production processes; </w:t>
      </w:r>
    </w:p>
    <w:p w14:paraId="384B11AA" w14:textId="0E03D3B1" w:rsidR="009A51A2" w:rsidRPr="003B51BD" w:rsidRDefault="00A40C64" w:rsidP="00F14DD2">
      <w:pPr>
        <w:pStyle w:val="FSBullet1"/>
      </w:pPr>
      <w:r>
        <w:t xml:space="preserve">the </w:t>
      </w:r>
      <w:r w:rsidR="009A51A2" w:rsidRPr="003B51BD">
        <w:t xml:space="preserve">hazard of the encoded protein, including potential allergenicity; and </w:t>
      </w:r>
    </w:p>
    <w:p w14:paraId="32F17E5A" w14:textId="7E0A0A82" w:rsidR="009A51A2" w:rsidRPr="003B51BD" w:rsidRDefault="00A40C64" w:rsidP="00F14DD2">
      <w:pPr>
        <w:pStyle w:val="FSBullet1"/>
      </w:pPr>
      <w:r>
        <w:t xml:space="preserve">the </w:t>
      </w:r>
      <w:r w:rsidR="009A51A2" w:rsidRPr="003B51BD">
        <w:t>toxicity studies on the enzyme preparation intended for commercial use.</w:t>
      </w:r>
    </w:p>
    <w:p w14:paraId="75890321" w14:textId="418115BC" w:rsidR="009A51A2" w:rsidRPr="00C35D04" w:rsidRDefault="00D86754" w:rsidP="00F14DD2">
      <w:pPr>
        <w:pStyle w:val="Heading2"/>
      </w:pPr>
      <w:bookmarkStart w:id="28" w:name="_Toc422315738"/>
      <w:r>
        <w:t>3.2</w:t>
      </w:r>
      <w:r>
        <w:tab/>
      </w:r>
      <w:r w:rsidR="009A51A2">
        <w:t xml:space="preserve">Hazard of the production organism – </w:t>
      </w:r>
      <w:r w:rsidR="009A51A2">
        <w:rPr>
          <w:i/>
        </w:rPr>
        <w:t>B. subtilis</w:t>
      </w:r>
      <w:bookmarkEnd w:id="28"/>
    </w:p>
    <w:p w14:paraId="244A1149" w14:textId="3DF674E4" w:rsidR="009A51A2" w:rsidRPr="004F031C" w:rsidRDefault="009A51A2" w:rsidP="0010323C">
      <w:pPr>
        <w:autoSpaceDE w:val="0"/>
        <w:autoSpaceDN w:val="0"/>
        <w:adjustRightInd w:val="0"/>
        <w:ind w:right="-428"/>
        <w:rPr>
          <w:rFonts w:eastAsiaTheme="minorHAnsi" w:cs="Arial"/>
          <w:color w:val="000000" w:themeColor="text1"/>
          <w:lang w:bidi="ar-SA"/>
        </w:rPr>
      </w:pPr>
      <w:r w:rsidRPr="003B51BD">
        <w:rPr>
          <w:rFonts w:cs="Arial"/>
          <w:color w:val="000000" w:themeColor="text1"/>
        </w:rPr>
        <w:t xml:space="preserve">The production strain (MOL2940), containing three </w:t>
      </w:r>
      <w:r w:rsidRPr="003B51BD">
        <w:rPr>
          <w:rFonts w:cs="Arial"/>
          <w:i/>
          <w:color w:val="000000" w:themeColor="text1"/>
        </w:rPr>
        <w:t>asnPfu</w:t>
      </w:r>
      <w:r w:rsidRPr="003B51BD">
        <w:rPr>
          <w:rFonts w:cs="Arial"/>
          <w:color w:val="000000" w:themeColor="text1"/>
        </w:rPr>
        <w:t xml:space="preserve"> genes, is genetically engineered from recipient strain PP2982</w:t>
      </w:r>
      <w:r w:rsidRPr="004F031C">
        <w:rPr>
          <w:rFonts w:cs="Arial"/>
          <w:color w:val="000000" w:themeColor="text1"/>
        </w:rPr>
        <w:t xml:space="preserve">. In turn, PP2982 has been derived from </w:t>
      </w:r>
      <w:r w:rsidRPr="004F031C">
        <w:rPr>
          <w:rFonts w:eastAsiaTheme="minorHAnsi" w:cs="Arial"/>
          <w:color w:val="000000" w:themeColor="text1"/>
          <w:lang w:bidi="ar-SA"/>
        </w:rPr>
        <w:t xml:space="preserve">strain </w:t>
      </w:r>
      <w:r>
        <w:rPr>
          <w:rFonts w:eastAsiaTheme="minorHAnsi" w:cs="Arial"/>
          <w:color w:val="000000" w:themeColor="text1"/>
          <w:lang w:bidi="ar-SA"/>
        </w:rPr>
        <w:t>A164, which is identical to strain ATCC</w:t>
      </w:r>
      <w:r w:rsidRPr="004F031C">
        <w:rPr>
          <w:rFonts w:eastAsiaTheme="minorHAnsi" w:cs="Arial"/>
          <w:color w:val="000000" w:themeColor="text1"/>
          <w:lang w:bidi="ar-SA"/>
        </w:rPr>
        <w:t xml:space="preserve">6051a (the deposited type strain of </w:t>
      </w:r>
      <w:r w:rsidRPr="004F031C">
        <w:rPr>
          <w:rFonts w:eastAsiaTheme="minorHAnsi" w:cs="Arial"/>
          <w:i/>
          <w:iCs/>
          <w:color w:val="000000" w:themeColor="text1"/>
          <w:lang w:bidi="ar-SA"/>
        </w:rPr>
        <w:t>Bacillus subtilis</w:t>
      </w:r>
      <w:r w:rsidRPr="004F031C">
        <w:rPr>
          <w:rFonts w:eastAsiaTheme="minorHAnsi" w:cs="Arial"/>
          <w:color w:val="000000" w:themeColor="text1"/>
          <w:lang w:bidi="ar-SA"/>
        </w:rPr>
        <w:t>)</w:t>
      </w:r>
      <w:r>
        <w:rPr>
          <w:rFonts w:eastAsiaTheme="minorHAnsi" w:cs="Arial"/>
          <w:color w:val="000000" w:themeColor="text1"/>
          <w:lang w:bidi="ar-SA"/>
        </w:rPr>
        <w:t>,</w:t>
      </w:r>
      <w:r w:rsidRPr="004F031C">
        <w:rPr>
          <w:rFonts w:eastAsiaTheme="minorHAnsi" w:cs="Arial"/>
          <w:color w:val="000000" w:themeColor="text1"/>
          <w:lang w:bidi="ar-SA"/>
        </w:rPr>
        <w:t xml:space="preserve"> through a series of targeted recombination events to inactivate genes encoding several proteases</w:t>
      </w:r>
      <w:r w:rsidR="00F14D09">
        <w:rPr>
          <w:rFonts w:eastAsiaTheme="minorHAnsi" w:cs="Arial"/>
          <w:color w:val="000000" w:themeColor="text1"/>
          <w:lang w:bidi="ar-SA"/>
        </w:rPr>
        <w:t xml:space="preserve">, </w:t>
      </w:r>
      <w:r w:rsidRPr="004F031C">
        <w:rPr>
          <w:rFonts w:eastAsiaTheme="minorHAnsi" w:cs="Arial"/>
          <w:color w:val="000000" w:themeColor="text1"/>
          <w:lang w:bidi="ar-SA"/>
        </w:rPr>
        <w:t>as well as a gene essential for sporulation and a gene essential for the production of surfactin</w:t>
      </w:r>
      <w:r w:rsidRPr="004F031C">
        <w:rPr>
          <w:rStyle w:val="FootnoteReference"/>
          <w:rFonts w:eastAsiaTheme="minorHAnsi" w:cs="Arial"/>
          <w:color w:val="000000" w:themeColor="text1"/>
          <w:lang w:bidi="ar-SA"/>
        </w:rPr>
        <w:footnoteReference w:id="2"/>
      </w:r>
      <w:r w:rsidRPr="004F031C">
        <w:rPr>
          <w:rFonts w:eastAsiaTheme="minorHAnsi" w:cs="Arial"/>
          <w:color w:val="000000" w:themeColor="text1"/>
          <w:lang w:bidi="ar-SA"/>
        </w:rPr>
        <w:t>.</w:t>
      </w:r>
      <w:r w:rsidRPr="004F031C">
        <w:rPr>
          <w:rFonts w:cs="Arial"/>
          <w:color w:val="000000" w:themeColor="text1"/>
        </w:rPr>
        <w:t xml:space="preserve"> </w:t>
      </w:r>
      <w:r>
        <w:rPr>
          <w:rFonts w:cs="Arial"/>
          <w:color w:val="000000" w:themeColor="text1"/>
        </w:rPr>
        <w:t>The Applicant claims</w:t>
      </w:r>
      <w:r w:rsidRPr="004F031C">
        <w:rPr>
          <w:rFonts w:cs="Arial"/>
          <w:color w:val="000000" w:themeColor="text1"/>
        </w:rPr>
        <w:t xml:space="preserve"> these modifications enhance the safety and stability of the asparaginase that is produced</w:t>
      </w:r>
      <w:r w:rsidR="00F14D09">
        <w:rPr>
          <w:rFonts w:cs="Arial"/>
          <w:color w:val="000000" w:themeColor="text1"/>
        </w:rPr>
        <w:t>.</w:t>
      </w:r>
      <w:r w:rsidRPr="004F031C">
        <w:rPr>
          <w:rFonts w:cs="Arial"/>
          <w:color w:val="000000" w:themeColor="text1"/>
        </w:rPr>
        <w:t xml:space="preserve"> </w:t>
      </w:r>
    </w:p>
    <w:p w14:paraId="4885E095" w14:textId="77777777" w:rsidR="009A51A2" w:rsidRDefault="009A51A2" w:rsidP="00F14DD2">
      <w:pPr>
        <w:pStyle w:val="Default"/>
        <w:rPr>
          <w:color w:val="000000" w:themeColor="text1"/>
          <w:sz w:val="22"/>
          <w:szCs w:val="22"/>
        </w:rPr>
      </w:pPr>
    </w:p>
    <w:p w14:paraId="53057D68" w14:textId="77777777" w:rsidR="009A51A2" w:rsidRDefault="009A51A2" w:rsidP="00F14DD2">
      <w:pPr>
        <w:rPr>
          <w:rFonts w:cs="Arial"/>
          <w:iCs/>
        </w:rPr>
      </w:pPr>
      <w:r w:rsidRPr="00833F5E">
        <w:rPr>
          <w:rFonts w:cs="Arial"/>
          <w:i/>
          <w:iCs/>
        </w:rPr>
        <w:t xml:space="preserve">B. subtilis, </w:t>
      </w:r>
      <w:r w:rsidRPr="00833F5E">
        <w:rPr>
          <w:rFonts w:cs="Arial"/>
          <w:iCs/>
        </w:rPr>
        <w:t xml:space="preserve">is widely distributed in the environment by virtue of its natural occurrence in soil and is also detectable in water, air and decaying plant material </w:t>
      </w:r>
      <w:r>
        <w:rPr>
          <w:rFonts w:cs="Arial"/>
          <w:iCs/>
          <w:noProof/>
        </w:rPr>
        <w:t>(US EPA 1997)</w:t>
      </w:r>
      <w:r w:rsidRPr="00833F5E">
        <w:rPr>
          <w:rFonts w:cs="Arial"/>
          <w:iCs/>
        </w:rPr>
        <w:t xml:space="preserve">. The bacterium is not pathogenic to humans or toxigenic </w:t>
      </w:r>
      <w:r>
        <w:rPr>
          <w:rFonts w:cs="Arial"/>
          <w:iCs/>
          <w:noProof/>
        </w:rPr>
        <w:t>(de Boer and Diderichsen 1991; US EPA 1997)</w:t>
      </w:r>
      <w:r w:rsidRPr="00833F5E">
        <w:rPr>
          <w:rFonts w:cs="Arial"/>
          <w:iCs/>
        </w:rPr>
        <w:t xml:space="preserve"> and has been recommended for a qualified presumption of safety (QPS) by the Scientific Committee of the European Food Safety Authority </w:t>
      </w:r>
      <w:r>
        <w:rPr>
          <w:rFonts w:cs="Arial"/>
          <w:iCs/>
          <w:noProof/>
        </w:rPr>
        <w:t>(EFSA 2007)</w:t>
      </w:r>
      <w:r w:rsidRPr="00833F5E">
        <w:rPr>
          <w:rFonts w:cs="Arial"/>
          <w:iCs/>
        </w:rPr>
        <w:t>.</w:t>
      </w:r>
    </w:p>
    <w:p w14:paraId="14A8F159" w14:textId="77777777" w:rsidR="009A51A2" w:rsidRPr="00833F5E" w:rsidRDefault="009A51A2" w:rsidP="00F14DD2">
      <w:pPr>
        <w:rPr>
          <w:rFonts w:cs="Arial"/>
          <w:iCs/>
        </w:rPr>
      </w:pPr>
    </w:p>
    <w:p w14:paraId="303FB2C2" w14:textId="77777777" w:rsidR="009A51A2" w:rsidRDefault="009A51A2" w:rsidP="00F14DD2">
      <w:pPr>
        <w:rPr>
          <w:rFonts w:cs="Arial"/>
          <w:iCs/>
        </w:rPr>
      </w:pPr>
      <w:r w:rsidRPr="00833F5E">
        <w:rPr>
          <w:rFonts w:cs="Arial"/>
          <w:iCs/>
        </w:rPr>
        <w:t xml:space="preserve">FSANZ has previously assessed the safety of </w:t>
      </w:r>
      <w:r w:rsidRPr="00833F5E">
        <w:rPr>
          <w:rFonts w:cs="Arial"/>
          <w:i/>
          <w:iCs/>
        </w:rPr>
        <w:t>B. subtilis</w:t>
      </w:r>
      <w:r w:rsidRPr="00833F5E">
        <w:rPr>
          <w:rFonts w:cs="Arial"/>
          <w:iCs/>
        </w:rPr>
        <w:t xml:space="preserve"> as the production organism for a number of enzymes used as food processing aids. Standard 1.3.3 of the Code permits the use of the following enzymes derived from </w:t>
      </w:r>
      <w:r w:rsidRPr="00833F5E">
        <w:rPr>
          <w:rFonts w:cs="Arial"/>
          <w:i/>
          <w:iCs/>
        </w:rPr>
        <w:t>B. subtilis</w:t>
      </w:r>
      <w:r w:rsidRPr="00833F5E">
        <w:rPr>
          <w:rFonts w:cs="Arial"/>
          <w:iCs/>
        </w:rPr>
        <w:t xml:space="preserve">: α–acetolactate decarboxylase, α- and β–amylase, β–glucanase, hemicellulase endo-1,4- β-xylanase, hemicellulase multicomponent enzyme, maltogenic α –amylase, metalloproteinase, pullulanase and serine proteinase. In the US, several enzyme preparations from </w:t>
      </w:r>
      <w:r w:rsidRPr="00833F5E">
        <w:rPr>
          <w:rFonts w:cs="Arial"/>
          <w:i/>
          <w:iCs/>
        </w:rPr>
        <w:t>B. subtilis</w:t>
      </w:r>
      <w:r w:rsidRPr="00833F5E">
        <w:rPr>
          <w:rFonts w:cs="Arial"/>
          <w:iCs/>
        </w:rPr>
        <w:t xml:space="preserve"> have Generally-Recognised-As-Safe (GRAS) status </w:t>
      </w:r>
      <w:r>
        <w:rPr>
          <w:rFonts w:cs="Arial"/>
          <w:iCs/>
          <w:noProof/>
        </w:rPr>
        <w:t>(FDA 1999; FDA 2003; FDA 2006; FDA 2009)</w:t>
      </w:r>
      <w:r w:rsidRPr="00833F5E">
        <w:rPr>
          <w:rFonts w:cs="Arial"/>
          <w:iCs/>
        </w:rPr>
        <w:t xml:space="preserve">. </w:t>
      </w:r>
    </w:p>
    <w:p w14:paraId="16B984A3" w14:textId="77777777" w:rsidR="009A51A2" w:rsidRPr="00833F5E" w:rsidRDefault="009A51A2" w:rsidP="00F14DD2">
      <w:pPr>
        <w:rPr>
          <w:rFonts w:cs="Arial"/>
          <w:iCs/>
        </w:rPr>
      </w:pPr>
    </w:p>
    <w:p w14:paraId="6622119E" w14:textId="77777777" w:rsidR="009A51A2" w:rsidRDefault="009A51A2" w:rsidP="00F14DD2">
      <w:pPr>
        <w:rPr>
          <w:rFonts w:cs="Arial"/>
          <w:iCs/>
        </w:rPr>
      </w:pPr>
      <w:r w:rsidRPr="00833F5E">
        <w:rPr>
          <w:rFonts w:cs="Arial"/>
          <w:iCs/>
        </w:rPr>
        <w:t xml:space="preserve">The bacterium itself is commercially available in many countries as a dietary probiotic intended to improve human health </w:t>
      </w:r>
      <w:r>
        <w:rPr>
          <w:rFonts w:cs="Arial"/>
          <w:iCs/>
          <w:noProof/>
        </w:rPr>
        <w:t>(Duc et al. 2004; Henriksson et al. 2005)</w:t>
      </w:r>
      <w:r w:rsidRPr="00833F5E">
        <w:rPr>
          <w:rFonts w:cs="Arial"/>
          <w:iCs/>
        </w:rPr>
        <w:t xml:space="preserve">. It is also used as an animal feed additive </w:t>
      </w:r>
      <w:r>
        <w:rPr>
          <w:rFonts w:cs="Arial"/>
          <w:iCs/>
          <w:noProof/>
        </w:rPr>
        <w:t>(Klose et al. 2009; Lee et al. 2010)</w:t>
      </w:r>
      <w:r w:rsidRPr="00833F5E">
        <w:rPr>
          <w:rFonts w:cs="Arial"/>
          <w:iCs/>
        </w:rPr>
        <w:t xml:space="preserve">, although its efficacy has been questioned </w:t>
      </w:r>
      <w:r>
        <w:rPr>
          <w:rFonts w:cs="Arial"/>
          <w:iCs/>
          <w:noProof/>
        </w:rPr>
        <w:t>(Arthur et al. 2010; Danicke and Doll 2010)</w:t>
      </w:r>
      <w:r>
        <w:rPr>
          <w:rFonts w:cs="Arial"/>
          <w:iCs/>
        </w:rPr>
        <w:t>,</w:t>
      </w:r>
      <w:r w:rsidRPr="00833F5E">
        <w:rPr>
          <w:rFonts w:cs="Arial"/>
          <w:iCs/>
        </w:rPr>
        <w:t xml:space="preserve"> and growth promotant in aquaculture </w:t>
      </w:r>
      <w:r>
        <w:rPr>
          <w:rFonts w:cs="Arial"/>
          <w:iCs/>
          <w:noProof/>
        </w:rPr>
        <w:t>(Farzanfar 2006)</w:t>
      </w:r>
      <w:r w:rsidRPr="00833F5E">
        <w:rPr>
          <w:rFonts w:cs="Arial"/>
          <w:iCs/>
        </w:rPr>
        <w:t xml:space="preserve">. Strains of </w:t>
      </w:r>
      <w:r w:rsidRPr="00833F5E">
        <w:rPr>
          <w:rFonts w:cs="Arial"/>
          <w:i/>
          <w:iCs/>
        </w:rPr>
        <w:t>B. subtilis</w:t>
      </w:r>
      <w:r w:rsidRPr="00833F5E">
        <w:rPr>
          <w:rFonts w:cs="Arial"/>
          <w:iCs/>
        </w:rPr>
        <w:t xml:space="preserve"> are used to make fermented soybean products such as thua nao (Thailand) and natto (Japan) </w:t>
      </w:r>
      <w:r>
        <w:rPr>
          <w:rFonts w:cs="Arial"/>
          <w:iCs/>
          <w:noProof/>
        </w:rPr>
        <w:t>(Inatsu et al. 2006; Hosoi and Kiuchi 2008)</w:t>
      </w:r>
      <w:r w:rsidRPr="00833F5E">
        <w:rPr>
          <w:rFonts w:cs="Arial"/>
          <w:iCs/>
        </w:rPr>
        <w:t>.</w:t>
      </w:r>
    </w:p>
    <w:p w14:paraId="440AC146" w14:textId="77777777" w:rsidR="009A51A2" w:rsidRPr="0019299C" w:rsidRDefault="009A51A2" w:rsidP="00F14DD2">
      <w:pPr>
        <w:rPr>
          <w:rFonts w:cs="Arial"/>
          <w:iCs/>
          <w:color w:val="000000" w:themeColor="text1"/>
        </w:rPr>
      </w:pPr>
    </w:p>
    <w:p w14:paraId="6BA58354" w14:textId="77777777" w:rsidR="009A51A2" w:rsidRPr="0019299C" w:rsidRDefault="009A51A2" w:rsidP="00F14DD2">
      <w:pPr>
        <w:autoSpaceDE w:val="0"/>
        <w:autoSpaceDN w:val="0"/>
        <w:adjustRightInd w:val="0"/>
        <w:rPr>
          <w:rFonts w:eastAsiaTheme="minorHAnsi" w:cs="Arial"/>
          <w:color w:val="000000" w:themeColor="text1"/>
          <w:lang w:bidi="ar-SA"/>
        </w:rPr>
      </w:pPr>
      <w:r w:rsidRPr="0019299C">
        <w:rPr>
          <w:rFonts w:eastAsiaTheme="minorHAnsi" w:cs="Arial"/>
          <w:color w:val="000000" w:themeColor="text1"/>
          <w:lang w:bidi="ar-SA"/>
        </w:rPr>
        <w:t xml:space="preserve">Data submitted with the application indicate that the </w:t>
      </w:r>
      <w:r w:rsidRPr="0019299C">
        <w:rPr>
          <w:rFonts w:eastAsiaTheme="minorHAnsi" w:cs="Arial"/>
          <w:i/>
          <w:iCs/>
          <w:color w:val="000000" w:themeColor="text1"/>
          <w:lang w:bidi="ar-SA"/>
        </w:rPr>
        <w:t xml:space="preserve">B. subtilis </w:t>
      </w:r>
      <w:r w:rsidRPr="0019299C">
        <w:rPr>
          <w:rFonts w:eastAsiaTheme="minorHAnsi" w:cs="Arial"/>
          <w:iCs/>
          <w:color w:val="000000" w:themeColor="text1"/>
          <w:lang w:bidi="ar-SA"/>
        </w:rPr>
        <w:t>production strain</w:t>
      </w:r>
      <w:r w:rsidRPr="0019299C">
        <w:rPr>
          <w:rFonts w:eastAsiaTheme="minorHAnsi" w:cs="Arial"/>
          <w:i/>
          <w:iCs/>
          <w:color w:val="000000" w:themeColor="text1"/>
          <w:lang w:bidi="ar-SA"/>
        </w:rPr>
        <w:t xml:space="preserve"> </w:t>
      </w:r>
      <w:r w:rsidRPr="0019299C">
        <w:rPr>
          <w:rFonts w:eastAsiaTheme="minorHAnsi" w:cs="Arial"/>
          <w:color w:val="000000" w:themeColor="text1"/>
          <w:lang w:bidi="ar-SA"/>
        </w:rPr>
        <w:t>is not detectable in the final enzyme preparation to be used as a food processing aid. The organism is removed during a multi-step recovery of the purified enzyme following submerged fed-batch pure culture fermentation. A pre and germ filtration stage towards the end of the manufacturing process involves filtrations at defined pH and temperature intervals that result in an enzyme concentrate solution free of the production strain.</w:t>
      </w:r>
    </w:p>
    <w:p w14:paraId="47AC12BE" w14:textId="7E746C71" w:rsidR="009A51A2" w:rsidRDefault="00D86754" w:rsidP="00F14DD2">
      <w:pPr>
        <w:pStyle w:val="Heading2"/>
      </w:pPr>
      <w:bookmarkStart w:id="29" w:name="_Toc422315739"/>
      <w:r>
        <w:t>3.3</w:t>
      </w:r>
      <w:r>
        <w:tab/>
      </w:r>
      <w:r w:rsidR="009A51A2">
        <w:t>Hazard of the encoded protein – asparaginase</w:t>
      </w:r>
      <w:bookmarkEnd w:id="29"/>
    </w:p>
    <w:p w14:paraId="6ACF6158" w14:textId="77777777" w:rsidR="0010323C" w:rsidRDefault="009A51A2" w:rsidP="00F14DD2">
      <w:pPr>
        <w:pStyle w:val="Default"/>
        <w:rPr>
          <w:color w:val="000000" w:themeColor="text1"/>
          <w:sz w:val="22"/>
          <w:szCs w:val="22"/>
        </w:rPr>
      </w:pPr>
      <w:r w:rsidRPr="007E6972">
        <w:rPr>
          <w:color w:val="000000" w:themeColor="text1"/>
          <w:sz w:val="22"/>
          <w:szCs w:val="22"/>
        </w:rPr>
        <w:t xml:space="preserve">Asparaginase hydrolyses the amide in asparagine to the corresponding acid (L-aspartate), and enzymes with asparaginase activity occur in bacteria, fungi, animals and plants </w:t>
      </w:r>
      <w:r w:rsidRPr="007E6972">
        <w:rPr>
          <w:noProof/>
          <w:color w:val="000000" w:themeColor="text1"/>
          <w:sz w:val="22"/>
          <w:szCs w:val="22"/>
        </w:rPr>
        <w:t>(Olempska-Beer 2008)</w:t>
      </w:r>
      <w:r w:rsidRPr="007E6972">
        <w:rPr>
          <w:color w:val="000000" w:themeColor="text1"/>
          <w:sz w:val="22"/>
          <w:szCs w:val="22"/>
        </w:rPr>
        <w:t xml:space="preserve">. </w:t>
      </w:r>
      <w:r w:rsidR="0010323C">
        <w:rPr>
          <w:color w:val="000000" w:themeColor="text1"/>
          <w:sz w:val="22"/>
          <w:szCs w:val="22"/>
        </w:rPr>
        <w:br w:type="page"/>
      </w:r>
    </w:p>
    <w:p w14:paraId="2F57EC26" w14:textId="798E7FF2" w:rsidR="009A51A2" w:rsidRPr="007E6972" w:rsidRDefault="009A51A2" w:rsidP="00F14DD2">
      <w:pPr>
        <w:pStyle w:val="Default"/>
        <w:rPr>
          <w:color w:val="000000" w:themeColor="text1"/>
          <w:sz w:val="22"/>
          <w:szCs w:val="22"/>
        </w:rPr>
      </w:pPr>
      <w:r w:rsidRPr="007E6972">
        <w:rPr>
          <w:color w:val="000000" w:themeColor="text1"/>
          <w:sz w:val="22"/>
          <w:szCs w:val="22"/>
        </w:rPr>
        <w:lastRenderedPageBreak/>
        <w:t>The enzyme is used in food manufacture to reduce the level of asparagine which is a precursor of acrylamide formed when starchy foods are baked or fried at temperatures above 120</w:t>
      </w:r>
      <w:r w:rsidRPr="007E6972">
        <w:rPr>
          <w:color w:val="000000" w:themeColor="text1"/>
          <w:sz w:val="22"/>
          <w:szCs w:val="22"/>
          <w:vertAlign w:val="superscript"/>
        </w:rPr>
        <w:t>o</w:t>
      </w:r>
      <w:r w:rsidRPr="007E6972">
        <w:rPr>
          <w:color w:val="000000" w:themeColor="text1"/>
          <w:sz w:val="22"/>
          <w:szCs w:val="22"/>
        </w:rPr>
        <w:t xml:space="preserve"> C. Asparaginase is also used as a chemotherapeutic enzyme in the treatment of certain leukaemias and lymphomas that have a diminished capacity to synthesise asparagine </w:t>
      </w:r>
      <w:r w:rsidRPr="007E6972">
        <w:rPr>
          <w:noProof/>
          <w:color w:val="000000" w:themeColor="text1"/>
          <w:sz w:val="22"/>
          <w:szCs w:val="22"/>
        </w:rPr>
        <w:t>(Jennings and Beacham 1990)</w:t>
      </w:r>
      <w:r>
        <w:rPr>
          <w:color w:val="000000" w:themeColor="text1"/>
          <w:sz w:val="22"/>
          <w:szCs w:val="22"/>
        </w:rPr>
        <w:t>.</w:t>
      </w:r>
    </w:p>
    <w:p w14:paraId="5B0B4193" w14:textId="77777777" w:rsidR="009A51A2" w:rsidRPr="00432664" w:rsidRDefault="009A51A2" w:rsidP="00F14DD2">
      <w:pPr>
        <w:autoSpaceDE w:val="0"/>
        <w:autoSpaceDN w:val="0"/>
        <w:adjustRightInd w:val="0"/>
        <w:rPr>
          <w:rFonts w:eastAsiaTheme="minorHAnsi" w:cs="Arial"/>
          <w:color w:val="000000" w:themeColor="text1"/>
          <w:lang w:bidi="ar-SA"/>
        </w:rPr>
      </w:pPr>
    </w:p>
    <w:p w14:paraId="59DF8116" w14:textId="77777777" w:rsidR="009A51A2" w:rsidRPr="00D65AFB" w:rsidRDefault="009A51A2" w:rsidP="00F14DD2">
      <w:pPr>
        <w:autoSpaceDE w:val="0"/>
        <w:autoSpaceDN w:val="0"/>
        <w:adjustRightInd w:val="0"/>
        <w:rPr>
          <w:rFonts w:eastAsiaTheme="minorHAnsi" w:cs="Arial"/>
          <w:color w:val="000000" w:themeColor="text1"/>
          <w:lang w:bidi="ar-SA"/>
        </w:rPr>
      </w:pPr>
      <w:r w:rsidRPr="00432664">
        <w:rPr>
          <w:rFonts w:cs="Arial"/>
          <w:color w:val="000000" w:themeColor="text1"/>
        </w:rPr>
        <w:t xml:space="preserve">The asparaginase produced by </w:t>
      </w:r>
      <w:r w:rsidRPr="00432664">
        <w:rPr>
          <w:rFonts w:cs="Arial"/>
          <w:i/>
          <w:color w:val="000000" w:themeColor="text1"/>
        </w:rPr>
        <w:t>B. subtilis</w:t>
      </w:r>
      <w:r w:rsidRPr="00432664">
        <w:rPr>
          <w:rFonts w:cs="Arial"/>
          <w:color w:val="000000" w:themeColor="text1"/>
        </w:rPr>
        <w:t xml:space="preserve"> strain </w:t>
      </w:r>
      <w:r w:rsidRPr="00D65AFB">
        <w:rPr>
          <w:rFonts w:cs="Arial"/>
          <w:color w:val="000000" w:themeColor="text1"/>
        </w:rPr>
        <w:t xml:space="preserve">MOL2940 is a 326 amino acid protein </w:t>
      </w:r>
      <w:r>
        <w:rPr>
          <w:rFonts w:cs="Arial"/>
          <w:noProof/>
          <w:color w:val="000000" w:themeColor="text1"/>
        </w:rPr>
        <w:t>(Banke et al. 2014)</w:t>
      </w:r>
      <w:r w:rsidRPr="00D65AFB">
        <w:rPr>
          <w:rFonts w:cs="Arial"/>
          <w:color w:val="000000" w:themeColor="text1"/>
        </w:rPr>
        <w:t>.</w:t>
      </w:r>
      <w:r w:rsidRPr="00D65AFB">
        <w:rPr>
          <w:rFonts w:eastAsiaTheme="minorHAnsi" w:cs="Arial"/>
          <w:color w:val="000000" w:themeColor="text1"/>
          <w:lang w:bidi="ar-SA"/>
        </w:rPr>
        <w:t>The intention is that the enzyme preparation (designated Acrylaway HighT and used in either a liquid (L) or granulated (BG) form)</w:t>
      </w:r>
      <w:r w:rsidR="009F07B3">
        <w:rPr>
          <w:rFonts w:eastAsiaTheme="minorHAnsi" w:cs="Arial"/>
          <w:color w:val="000000" w:themeColor="text1"/>
          <w:lang w:bidi="ar-SA"/>
        </w:rPr>
        <w:t xml:space="preserve"> </w:t>
      </w:r>
      <w:r w:rsidRPr="00D65AFB">
        <w:rPr>
          <w:rFonts w:eastAsiaTheme="minorHAnsi" w:cs="Arial"/>
          <w:color w:val="000000" w:themeColor="text1"/>
          <w:lang w:bidi="ar-SA"/>
        </w:rPr>
        <w:t>– see</w:t>
      </w:r>
      <w:r w:rsidR="009F07B3">
        <w:rPr>
          <w:rFonts w:eastAsiaTheme="minorHAnsi" w:cs="Arial"/>
          <w:color w:val="000000" w:themeColor="text1"/>
          <w:lang w:bidi="ar-SA"/>
        </w:rPr>
        <w:t xml:space="preserve"> </w:t>
      </w:r>
      <w:r w:rsidR="009F07B3">
        <w:rPr>
          <w:rFonts w:eastAsiaTheme="minorHAnsi" w:cs="Arial"/>
          <w:color w:val="000000" w:themeColor="text1"/>
          <w:lang w:bidi="ar-SA"/>
        </w:rPr>
        <w:fldChar w:fldCharType="begin"/>
      </w:r>
      <w:r w:rsidR="009F07B3">
        <w:rPr>
          <w:rFonts w:eastAsiaTheme="minorHAnsi" w:cs="Arial"/>
          <w:color w:val="000000" w:themeColor="text1"/>
          <w:lang w:bidi="ar-SA"/>
        </w:rPr>
        <w:instrText xml:space="preserve"> REF _Ref414278812 \h </w:instrText>
      </w:r>
      <w:r w:rsidR="009F07B3">
        <w:rPr>
          <w:rFonts w:eastAsiaTheme="minorHAnsi" w:cs="Arial"/>
          <w:color w:val="000000" w:themeColor="text1"/>
          <w:lang w:bidi="ar-SA"/>
        </w:rPr>
      </w:r>
      <w:r w:rsidR="009F07B3">
        <w:rPr>
          <w:rFonts w:eastAsiaTheme="minorHAnsi" w:cs="Arial"/>
          <w:color w:val="000000" w:themeColor="text1"/>
          <w:lang w:bidi="ar-SA"/>
        </w:rPr>
        <w:fldChar w:fldCharType="separate"/>
      </w:r>
      <w:r w:rsidR="007A7B2C" w:rsidRPr="00D86754">
        <w:rPr>
          <w:szCs w:val="22"/>
        </w:rPr>
        <w:t xml:space="preserve">Table </w:t>
      </w:r>
      <w:r w:rsidR="007A7B2C">
        <w:rPr>
          <w:noProof/>
          <w:szCs w:val="22"/>
        </w:rPr>
        <w:t>0</w:t>
      </w:r>
      <w:r w:rsidR="009F07B3">
        <w:rPr>
          <w:rFonts w:eastAsiaTheme="minorHAnsi" w:cs="Arial"/>
          <w:color w:val="000000" w:themeColor="text1"/>
          <w:lang w:bidi="ar-SA"/>
        </w:rPr>
        <w:fldChar w:fldCharType="end"/>
      </w:r>
      <w:r w:rsidRPr="00D65AFB">
        <w:rPr>
          <w:rFonts w:eastAsiaTheme="minorHAnsi" w:cs="Arial"/>
          <w:color w:val="000000" w:themeColor="text1"/>
          <w:lang w:bidi="ar-SA"/>
        </w:rPr>
        <w:t xml:space="preserve">) is used as a processing aid during production of various food products such as breakfast cereals, potato based snacks, and sliced potato chips and in the pre-treatment of green coffee beans. In all of these applications, the enzyme treatment takes place upstream in the food production process and the enzyme is largely heat inactivated during subsequent steps where the heat treatment is excessive, i.e. extrusion and toasting of breakfast cereals, frying of potato based snacks or chips and roasting of coffee beans. Therefore </w:t>
      </w:r>
      <w:r w:rsidRPr="00D65AFB">
        <w:rPr>
          <w:rFonts w:cs="Arial"/>
          <w:color w:val="000000" w:themeColor="text1"/>
        </w:rPr>
        <w:t xml:space="preserve">any residual enzyme in the final food would be present as denatured protein and undergo normal proteolytic digestion in the gastrointestinal tract. </w:t>
      </w:r>
      <w:r w:rsidRPr="00D65AFB">
        <w:rPr>
          <w:rFonts w:eastAsiaTheme="minorHAnsi" w:cs="Arial"/>
          <w:color w:val="000000" w:themeColor="text1"/>
          <w:lang w:bidi="ar-SA"/>
        </w:rPr>
        <w:t xml:space="preserve">It has also been noted </w:t>
      </w:r>
      <w:r>
        <w:rPr>
          <w:rFonts w:eastAsiaTheme="minorHAnsi" w:cs="Arial"/>
          <w:noProof/>
          <w:color w:val="000000" w:themeColor="text1"/>
          <w:lang w:bidi="ar-SA"/>
        </w:rPr>
        <w:t>(Olempska-Beer 2008)</w:t>
      </w:r>
      <w:r w:rsidRPr="00D65AFB">
        <w:rPr>
          <w:rFonts w:eastAsiaTheme="minorHAnsi" w:cs="Arial"/>
          <w:color w:val="000000" w:themeColor="text1"/>
          <w:lang w:bidi="ar-SA"/>
        </w:rPr>
        <w:t xml:space="preserve"> that as a result of the catalytic activity of asparaginase, low levels of L-aspartic acid and ammonia are expected to be formed in food but this is not of concern since both compounds are present in the human diet.</w:t>
      </w:r>
    </w:p>
    <w:p w14:paraId="6E681D47" w14:textId="77777777" w:rsidR="009A51A2" w:rsidRPr="009265D9" w:rsidRDefault="009A51A2" w:rsidP="00F14DD2">
      <w:pPr>
        <w:autoSpaceDE w:val="0"/>
        <w:autoSpaceDN w:val="0"/>
        <w:adjustRightInd w:val="0"/>
        <w:rPr>
          <w:rFonts w:eastAsiaTheme="minorHAnsi" w:cs="Arial"/>
          <w:color w:val="000000" w:themeColor="text1"/>
          <w:lang w:bidi="ar-SA"/>
        </w:rPr>
      </w:pPr>
    </w:p>
    <w:p w14:paraId="2B382966" w14:textId="77777777" w:rsidR="009A51A2" w:rsidRDefault="009A51A2" w:rsidP="00F14DD2">
      <w:pPr>
        <w:rPr>
          <w:rFonts w:cs="Arial"/>
          <w:color w:val="000000" w:themeColor="text1"/>
        </w:rPr>
      </w:pPr>
      <w:r w:rsidRPr="009265D9">
        <w:rPr>
          <w:rFonts w:cs="Arial"/>
          <w:color w:val="000000" w:themeColor="text1"/>
        </w:rPr>
        <w:t>To confirm the digestibility of asparaginase, potential cleavage sites were investigated by FSANZ using the amino acid sequence of asparaginase and the PeptideCutter tool in the ExPASy Proteomics Site (</w:t>
      </w:r>
      <w:hyperlink r:id="rId17" w:history="1">
        <w:r w:rsidRPr="009265D9">
          <w:rPr>
            <w:rStyle w:val="Hyperlink"/>
            <w:rFonts w:cs="Arial"/>
            <w:color w:val="0000FF"/>
          </w:rPr>
          <w:t>http://web.expasy.org/peptide_cutter/</w:t>
        </w:r>
      </w:hyperlink>
      <w:r w:rsidRPr="009265D9">
        <w:rPr>
          <w:rFonts w:cs="Arial"/>
          <w:color w:val="000000" w:themeColor="text1"/>
          <w:u w:val="single"/>
        </w:rPr>
        <w:t xml:space="preserve">). </w:t>
      </w:r>
      <w:r w:rsidRPr="009265D9">
        <w:rPr>
          <w:rFonts w:cs="Arial"/>
          <w:color w:val="000000" w:themeColor="text1"/>
        </w:rPr>
        <w:t>Asparaginase has multiple cleavage sites for pepsin (68 sites at pH 1.3 and 88 sites at pH &gt;2), trypsin (35 sites), chymotrypsin (21 high-specificity sites, 67 low-specificity sites) and endopeptidases (6</w:t>
      </w:r>
      <w:r w:rsidR="00F14DD2">
        <w:rPr>
          <w:rFonts w:cs="Arial"/>
          <w:color w:val="000000" w:themeColor="text1"/>
        </w:rPr>
        <w:t>3 </w:t>
      </w:r>
      <w:r w:rsidRPr="009265D9">
        <w:rPr>
          <w:rFonts w:cs="Arial"/>
          <w:color w:val="000000" w:themeColor="text1"/>
        </w:rPr>
        <w:t>sites). On this basis, asparaginase is considered likely to be as susceptible to digestion as the vast majority of dietary proteins.</w:t>
      </w:r>
      <w:r w:rsidRPr="007301B8">
        <w:rPr>
          <w:rFonts w:cs="Arial"/>
          <w:color w:val="000000" w:themeColor="text1"/>
        </w:rPr>
        <w:t xml:space="preserve"> </w:t>
      </w:r>
    </w:p>
    <w:p w14:paraId="24990A98" w14:textId="77777777" w:rsidR="009A51A2" w:rsidRPr="003B718C" w:rsidRDefault="009A51A2" w:rsidP="00F14DD2">
      <w:pPr>
        <w:autoSpaceDE w:val="0"/>
        <w:autoSpaceDN w:val="0"/>
        <w:adjustRightInd w:val="0"/>
        <w:rPr>
          <w:rFonts w:eastAsiaTheme="minorHAnsi" w:cs="Arial"/>
          <w:color w:val="000000" w:themeColor="text1"/>
          <w:lang w:bidi="ar-SA"/>
        </w:rPr>
      </w:pPr>
    </w:p>
    <w:p w14:paraId="1E382936" w14:textId="77777777" w:rsidR="009A51A2" w:rsidRPr="003B718C" w:rsidRDefault="009A51A2" w:rsidP="00F14DD2">
      <w:pPr>
        <w:autoSpaceDE w:val="0"/>
        <w:autoSpaceDN w:val="0"/>
        <w:adjustRightInd w:val="0"/>
        <w:rPr>
          <w:rFonts w:eastAsiaTheme="minorHAnsi" w:cs="Arial"/>
          <w:color w:val="000000" w:themeColor="text1"/>
          <w:lang w:bidi="ar-SA"/>
        </w:rPr>
      </w:pPr>
      <w:r w:rsidRPr="003B718C">
        <w:rPr>
          <w:rFonts w:eastAsiaTheme="minorHAnsi" w:cs="Arial"/>
          <w:color w:val="000000" w:themeColor="text1"/>
          <w:lang w:bidi="ar-SA"/>
        </w:rPr>
        <w:t>Health Canada has a comprehensive Q &amp; A section on the asparaginases from two GM sources on its website (</w:t>
      </w:r>
      <w:hyperlink r:id="rId18" w:history="1">
        <w:r w:rsidRPr="003B718C">
          <w:rPr>
            <w:rStyle w:val="Hyperlink"/>
            <w:rFonts w:eastAsiaTheme="minorHAnsi" w:cs="Arial"/>
            <w:lang w:bidi="ar-SA"/>
          </w:rPr>
          <w:t>http://www.hc-sc.gc.ca/fn-an/securit/addit/asparaginase_qs_as-eng.php</w:t>
        </w:r>
      </w:hyperlink>
      <w:r w:rsidRPr="003B718C">
        <w:rPr>
          <w:rFonts w:eastAsiaTheme="minorHAnsi" w:cs="Arial"/>
          <w:color w:val="000000" w:themeColor="text1"/>
          <w:lang w:bidi="ar-SA"/>
        </w:rPr>
        <w:t xml:space="preserve">) </w:t>
      </w:r>
    </w:p>
    <w:p w14:paraId="6B91B4BC" w14:textId="77777777" w:rsidR="009A51A2" w:rsidRPr="003B718C" w:rsidRDefault="009A51A2" w:rsidP="00F14DD2">
      <w:pPr>
        <w:autoSpaceDE w:val="0"/>
        <w:autoSpaceDN w:val="0"/>
        <w:adjustRightInd w:val="0"/>
        <w:rPr>
          <w:rFonts w:ascii="Helvetica" w:eastAsiaTheme="minorHAnsi" w:hAnsi="Helvetica" w:cs="Helvetica"/>
          <w:color w:val="000000" w:themeColor="text1"/>
          <w:sz w:val="18"/>
          <w:szCs w:val="18"/>
          <w:lang w:bidi="ar-SA"/>
        </w:rPr>
      </w:pPr>
    </w:p>
    <w:p w14:paraId="4FCF925F" w14:textId="77777777" w:rsidR="009A51A2" w:rsidRDefault="009A51A2" w:rsidP="00F14DD2">
      <w:pPr>
        <w:rPr>
          <w:rFonts w:cs="Arial"/>
          <w:color w:val="000000" w:themeColor="text1"/>
        </w:rPr>
      </w:pPr>
      <w:r w:rsidRPr="003B718C">
        <w:rPr>
          <w:rFonts w:cs="Arial"/>
          <w:color w:val="000000" w:themeColor="text1"/>
        </w:rPr>
        <w:t>Bioinformatic</w:t>
      </w:r>
      <w:r w:rsidRPr="00154EC7">
        <w:rPr>
          <w:rFonts w:cs="Arial"/>
          <w:color w:val="000000" w:themeColor="text1"/>
        </w:rPr>
        <w:t xml:space="preserve"> analyses were performed to assess the similarity to known allergens and toxins of the asparaginase</w:t>
      </w:r>
      <w:r>
        <w:rPr>
          <w:rFonts w:cs="Arial"/>
          <w:color w:val="000000" w:themeColor="text1"/>
        </w:rPr>
        <w:t xml:space="preserve"> produced by strain MOL2940</w:t>
      </w:r>
      <w:r w:rsidRPr="00154EC7">
        <w:rPr>
          <w:rFonts w:cs="Arial"/>
          <w:color w:val="000000" w:themeColor="text1"/>
        </w:rPr>
        <w:t>.</w:t>
      </w:r>
    </w:p>
    <w:p w14:paraId="692F2CF0" w14:textId="77777777" w:rsidR="009A51A2" w:rsidRDefault="009A51A2" w:rsidP="00F14DD2">
      <w:pPr>
        <w:rPr>
          <w:rFonts w:cs="Arial"/>
          <w:color w:val="000000" w:themeColor="text1"/>
        </w:rPr>
      </w:pPr>
    </w:p>
    <w:p w14:paraId="51DBD8A4" w14:textId="77777777" w:rsidR="009A51A2" w:rsidRPr="00DD28F2" w:rsidRDefault="009A51A2" w:rsidP="00F14DD2">
      <w:pPr>
        <w:pBdr>
          <w:top w:val="single" w:sz="4" w:space="1" w:color="auto"/>
          <w:left w:val="single" w:sz="4" w:space="0" w:color="auto"/>
          <w:bottom w:val="single" w:sz="4" w:space="1" w:color="auto"/>
          <w:right w:val="single" w:sz="4" w:space="4" w:color="auto"/>
        </w:pBdr>
        <w:rPr>
          <w:rFonts w:cs="Arial"/>
          <w:b/>
          <w:color w:val="000000" w:themeColor="text1"/>
          <w:sz w:val="20"/>
          <w:szCs w:val="20"/>
        </w:rPr>
      </w:pPr>
      <w:r w:rsidRPr="00DD28F2">
        <w:rPr>
          <w:rFonts w:cs="Arial"/>
          <w:b/>
          <w:color w:val="000000" w:themeColor="text1"/>
          <w:sz w:val="20"/>
          <w:szCs w:val="20"/>
        </w:rPr>
        <w:t>Report submitted</w:t>
      </w:r>
    </w:p>
    <w:p w14:paraId="7A12E32B" w14:textId="77777777" w:rsidR="009A51A2" w:rsidRPr="00DD28F2" w:rsidRDefault="009A51A2" w:rsidP="00F14DD2">
      <w:pPr>
        <w:pBdr>
          <w:top w:val="single" w:sz="4" w:space="1" w:color="auto"/>
          <w:left w:val="single" w:sz="4" w:space="0" w:color="auto"/>
          <w:bottom w:val="single" w:sz="4" w:space="1" w:color="auto"/>
          <w:right w:val="single" w:sz="4" w:space="4" w:color="auto"/>
        </w:pBdr>
        <w:rPr>
          <w:rFonts w:cs="Arial"/>
          <w:b/>
          <w:color w:val="000000" w:themeColor="text1"/>
          <w:sz w:val="20"/>
          <w:szCs w:val="20"/>
        </w:rPr>
      </w:pPr>
    </w:p>
    <w:p w14:paraId="41A1CF6C" w14:textId="77777777" w:rsidR="009A51A2" w:rsidRPr="00DD28F2" w:rsidRDefault="009A51A2" w:rsidP="00F14DD2">
      <w:pPr>
        <w:pBdr>
          <w:top w:val="single" w:sz="4" w:space="1" w:color="auto"/>
          <w:left w:val="single" w:sz="4" w:space="0" w:color="auto"/>
          <w:bottom w:val="single" w:sz="4" w:space="1" w:color="auto"/>
          <w:right w:val="single" w:sz="4" w:space="4" w:color="auto"/>
        </w:pBdr>
        <w:rPr>
          <w:rFonts w:cs="Arial"/>
          <w:color w:val="000000" w:themeColor="text1"/>
          <w:sz w:val="20"/>
          <w:szCs w:val="20"/>
        </w:rPr>
      </w:pPr>
      <w:r w:rsidRPr="00DD28F2">
        <w:rPr>
          <w:rFonts w:cs="Arial"/>
          <w:color w:val="000000" w:themeColor="text1"/>
          <w:sz w:val="20"/>
          <w:szCs w:val="20"/>
        </w:rPr>
        <w:t>F</w:t>
      </w:r>
      <w:r>
        <w:rPr>
          <w:rFonts w:cs="Arial"/>
          <w:color w:val="000000" w:themeColor="text1"/>
          <w:sz w:val="20"/>
          <w:szCs w:val="20"/>
        </w:rPr>
        <w:t>riis, E.</w:t>
      </w:r>
      <w:r w:rsidRPr="00DD28F2">
        <w:rPr>
          <w:rFonts w:cs="Arial"/>
          <w:color w:val="000000" w:themeColor="text1"/>
          <w:sz w:val="20"/>
          <w:szCs w:val="20"/>
        </w:rPr>
        <w:t xml:space="preserve"> (2013). Sequence homology of asparaginase from MOL2940 to known toxins,</w:t>
      </w:r>
      <w:r>
        <w:rPr>
          <w:rFonts w:cs="Arial"/>
          <w:color w:val="000000" w:themeColor="text1"/>
          <w:sz w:val="20"/>
          <w:szCs w:val="20"/>
        </w:rPr>
        <w:t xml:space="preserve"> and A</w:t>
      </w:r>
      <w:r w:rsidRPr="00DD28F2">
        <w:rPr>
          <w:rFonts w:cs="Arial"/>
          <w:color w:val="000000" w:themeColor="text1"/>
          <w:sz w:val="20"/>
          <w:szCs w:val="20"/>
        </w:rPr>
        <w:t>llergen analysis of asparaginase from MOL2940. Novozymes Report No. 2013-09763 (unpublished).</w:t>
      </w:r>
    </w:p>
    <w:p w14:paraId="779F442A" w14:textId="17F20C77" w:rsidR="009A51A2" w:rsidRDefault="0025773B" w:rsidP="00F14DD2">
      <w:pPr>
        <w:pStyle w:val="Heading3"/>
      </w:pPr>
      <w:bookmarkStart w:id="30" w:name="_Toc422315740"/>
      <w:r>
        <w:t>3.3.1</w:t>
      </w:r>
      <w:r>
        <w:tab/>
      </w:r>
      <w:r w:rsidR="009A51A2">
        <w:t>Bioinformatic analysis for potential allergenicity</w:t>
      </w:r>
      <w:bookmarkEnd w:id="30"/>
    </w:p>
    <w:p w14:paraId="3406E89C" w14:textId="77777777" w:rsidR="009A51A2" w:rsidRPr="00432664" w:rsidRDefault="009A51A2" w:rsidP="00F14DD2">
      <w:pPr>
        <w:rPr>
          <w:rFonts w:cs="Arial"/>
          <w:color w:val="000000" w:themeColor="text1"/>
        </w:rPr>
      </w:pPr>
      <w:r w:rsidRPr="00432664">
        <w:rPr>
          <w:rFonts w:cs="Arial"/>
          <w:color w:val="000000" w:themeColor="text1"/>
        </w:rPr>
        <w:t xml:space="preserve">The </w:t>
      </w:r>
      <w:r w:rsidRPr="00432664">
        <w:rPr>
          <w:rFonts w:cs="Arial"/>
          <w:i/>
          <w:color w:val="000000" w:themeColor="text1"/>
        </w:rPr>
        <w:t xml:space="preserve">in silico </w:t>
      </w:r>
      <w:r w:rsidRPr="00432664">
        <w:rPr>
          <w:rFonts w:cs="Arial"/>
          <w:color w:val="000000" w:themeColor="text1"/>
        </w:rPr>
        <w:t>analyses compared the asparaginase sequence with known allergens in two datasets:</w:t>
      </w:r>
    </w:p>
    <w:p w14:paraId="08166AFD" w14:textId="77777777" w:rsidR="009A51A2" w:rsidRPr="00432664" w:rsidRDefault="009A51A2" w:rsidP="00F14DD2">
      <w:pPr>
        <w:rPr>
          <w:rFonts w:cs="Arial"/>
          <w:color w:val="000000" w:themeColor="text1"/>
        </w:rPr>
      </w:pPr>
    </w:p>
    <w:p w14:paraId="5F1315DE" w14:textId="77777777" w:rsidR="009A51A2" w:rsidRPr="00432664" w:rsidRDefault="009A51A2" w:rsidP="00F14DD2">
      <w:pPr>
        <w:pStyle w:val="FSBullet1"/>
        <w:rPr>
          <w:rStyle w:val="Hyperlink"/>
          <w:color w:val="000000" w:themeColor="text1"/>
        </w:rPr>
      </w:pPr>
      <w:r w:rsidRPr="00432664">
        <w:t xml:space="preserve">the FARRP (Food Allergy Research and Resource Program) dataset within AllergenOnline (University of Nebraska; </w:t>
      </w:r>
      <w:hyperlink r:id="rId19" w:history="1">
        <w:r w:rsidRPr="00432664">
          <w:rPr>
            <w:rStyle w:val="Hyperlink"/>
            <w:color w:val="0000FF"/>
          </w:rPr>
          <w:t>http://www.allergenonline.org/</w:t>
        </w:r>
        <w:r w:rsidRPr="00432664">
          <w:rPr>
            <w:rStyle w:val="Hyperlink"/>
            <w:color w:val="000000" w:themeColor="text1"/>
          </w:rPr>
          <w:t>)</w:t>
        </w:r>
      </w:hyperlink>
      <w:r w:rsidRPr="00432664">
        <w:rPr>
          <w:rStyle w:val="Hyperlink"/>
          <w:color w:val="000000" w:themeColor="text1"/>
        </w:rPr>
        <w:t xml:space="preserve">. </w:t>
      </w:r>
    </w:p>
    <w:p w14:paraId="7A3ADB0F" w14:textId="77777777" w:rsidR="009A51A2" w:rsidRPr="00432664" w:rsidRDefault="009A51A2" w:rsidP="00F14DD2">
      <w:pPr>
        <w:pStyle w:val="FSBullet1"/>
        <w:rPr>
          <w:rFonts w:eastAsiaTheme="minorHAnsi"/>
        </w:rPr>
      </w:pPr>
      <w:r w:rsidRPr="00432664">
        <w:rPr>
          <w:rStyle w:val="Hyperlink"/>
          <w:color w:val="000000" w:themeColor="text1"/>
        </w:rPr>
        <w:t xml:space="preserve">the dataset within the </w:t>
      </w:r>
      <w:r w:rsidRPr="00432664">
        <w:rPr>
          <w:rFonts w:eastAsiaTheme="minorHAnsi"/>
        </w:rPr>
        <w:t>World Health Organization and International Union of Immunological Societies (WHO/IUIS) Allergen Nomenclature Sub-committee. (</w:t>
      </w:r>
      <w:hyperlink r:id="rId20" w:history="1">
        <w:r w:rsidRPr="00432664">
          <w:rPr>
            <w:rStyle w:val="Hyperlink"/>
            <w:rFonts w:eastAsiaTheme="minorHAnsi"/>
            <w:color w:val="0000FF"/>
          </w:rPr>
          <w:t>http://www.allergen.org/</w:t>
        </w:r>
      </w:hyperlink>
      <w:r w:rsidRPr="00432664">
        <w:rPr>
          <w:rFonts w:eastAsiaTheme="minorHAnsi"/>
        </w:rPr>
        <w:t>).</w:t>
      </w:r>
    </w:p>
    <w:p w14:paraId="3EF2C07E" w14:textId="77777777" w:rsidR="009A51A2" w:rsidRPr="00432664" w:rsidRDefault="009A51A2" w:rsidP="00F14DD2">
      <w:pPr>
        <w:rPr>
          <w:rFonts w:cs="Arial"/>
          <w:color w:val="000000" w:themeColor="text1"/>
        </w:rPr>
      </w:pPr>
    </w:p>
    <w:p w14:paraId="01CF66C9" w14:textId="77777777" w:rsidR="009A51A2" w:rsidRPr="00432664" w:rsidRDefault="009A51A2" w:rsidP="00F14DD2">
      <w:pPr>
        <w:rPr>
          <w:rFonts w:cs="Arial"/>
          <w:color w:val="000000" w:themeColor="text1"/>
        </w:rPr>
      </w:pPr>
      <w:r w:rsidRPr="00432664">
        <w:rPr>
          <w:rFonts w:cs="Arial"/>
          <w:color w:val="000000" w:themeColor="text1"/>
        </w:rPr>
        <w:t>Three types of analyses were used to search the databases:</w:t>
      </w:r>
    </w:p>
    <w:p w14:paraId="0CA6EBAA" w14:textId="78CA32AA" w:rsidR="0010323C" w:rsidRDefault="0010323C" w:rsidP="00F14DD2">
      <w:pPr>
        <w:rPr>
          <w:rFonts w:cs="Arial"/>
          <w:color w:val="000000" w:themeColor="text1"/>
        </w:rPr>
      </w:pPr>
      <w:r>
        <w:rPr>
          <w:rFonts w:cs="Arial"/>
          <w:color w:val="000000" w:themeColor="text1"/>
        </w:rPr>
        <w:br w:type="page"/>
      </w:r>
    </w:p>
    <w:p w14:paraId="7AAB868A" w14:textId="10663C5D" w:rsidR="009A51A2" w:rsidRDefault="009A51A2" w:rsidP="00A40C64">
      <w:pPr>
        <w:pStyle w:val="ListParagraph"/>
        <w:widowControl/>
        <w:numPr>
          <w:ilvl w:val="0"/>
          <w:numId w:val="22"/>
        </w:numPr>
        <w:ind w:left="567" w:hanging="567"/>
        <w:rPr>
          <w:rFonts w:cs="Arial"/>
          <w:color w:val="000000" w:themeColor="text1"/>
        </w:rPr>
      </w:pPr>
      <w:r w:rsidRPr="00432664">
        <w:rPr>
          <w:rFonts w:cs="Arial"/>
          <w:color w:val="000000" w:themeColor="text1"/>
        </w:rPr>
        <w:lastRenderedPageBreak/>
        <w:t xml:space="preserve">the FASTA algorithm </w:t>
      </w:r>
      <w:r w:rsidRPr="00432664">
        <w:rPr>
          <w:rFonts w:cs="Arial"/>
          <w:noProof/>
          <w:color w:val="000000" w:themeColor="text1"/>
        </w:rPr>
        <w:t>(Pearson and Lipman 1988)</w:t>
      </w:r>
      <w:r w:rsidRPr="00432664">
        <w:rPr>
          <w:rFonts w:cs="Arial"/>
          <w:color w:val="000000" w:themeColor="text1"/>
        </w:rPr>
        <w:t xml:space="preserve"> version 3.4, using the BLOSUM50 scoring matrix </w:t>
      </w:r>
      <w:r w:rsidRPr="00432664">
        <w:rPr>
          <w:rFonts w:cs="Arial"/>
          <w:noProof/>
          <w:color w:val="000000" w:themeColor="text1"/>
        </w:rPr>
        <w:t>(Henikoff and Henikoff 1992)</w:t>
      </w:r>
      <w:r w:rsidRPr="00432664">
        <w:rPr>
          <w:rFonts w:cs="Arial"/>
          <w:color w:val="000000" w:themeColor="text1"/>
        </w:rPr>
        <w:t>. The E-score</w:t>
      </w:r>
      <w:r w:rsidRPr="00432664">
        <w:rPr>
          <w:rStyle w:val="FootnoteReference"/>
          <w:rFonts w:cs="Arial"/>
          <w:color w:val="000000" w:themeColor="text1"/>
        </w:rPr>
        <w:footnoteReference w:id="3"/>
      </w:r>
      <w:r w:rsidRPr="00432664">
        <w:rPr>
          <w:rFonts w:cs="Arial"/>
          <w:color w:val="000000" w:themeColor="text1"/>
        </w:rPr>
        <w:t xml:space="preserve"> generated by this indicates whether there are any alignments that meet or exceed the Codex Alimentarius </w:t>
      </w:r>
      <w:r w:rsidRPr="00432664">
        <w:rPr>
          <w:rFonts w:cs="Arial"/>
          <w:noProof/>
          <w:color w:val="000000" w:themeColor="text1"/>
        </w:rPr>
        <w:t>(Codex 2003)</w:t>
      </w:r>
      <w:r w:rsidRPr="00432664">
        <w:rPr>
          <w:rFonts w:cs="Arial"/>
          <w:color w:val="000000" w:themeColor="text1"/>
        </w:rPr>
        <w:t xml:space="preserve"> FASTA alignment threshold (35% identity over 80 amino acids) for potential allergenicity. This threshold aims to detect potential conformational IgE-epitopes.</w:t>
      </w:r>
    </w:p>
    <w:p w14:paraId="48F8EB43" w14:textId="77777777" w:rsidR="00FC00E9" w:rsidRDefault="00FC00E9" w:rsidP="00FC00E9">
      <w:pPr>
        <w:pStyle w:val="ListParagraph"/>
        <w:widowControl/>
        <w:ind w:left="567"/>
        <w:rPr>
          <w:rFonts w:cs="Arial"/>
          <w:color w:val="000000" w:themeColor="text1"/>
        </w:rPr>
      </w:pPr>
    </w:p>
    <w:p w14:paraId="21554C4B" w14:textId="77777777" w:rsidR="009A51A2" w:rsidRDefault="009A51A2" w:rsidP="00A40C64">
      <w:pPr>
        <w:pStyle w:val="ListParagraph"/>
        <w:widowControl/>
        <w:numPr>
          <w:ilvl w:val="0"/>
          <w:numId w:val="22"/>
        </w:numPr>
        <w:ind w:left="567" w:hanging="567"/>
        <w:rPr>
          <w:rFonts w:cs="Arial"/>
          <w:color w:val="000000" w:themeColor="text1"/>
        </w:rPr>
      </w:pPr>
      <w:r w:rsidRPr="00432664">
        <w:rPr>
          <w:rFonts w:cs="Arial"/>
          <w:color w:val="000000" w:themeColor="text1"/>
        </w:rPr>
        <w:t>The same as a) but with scaling enabled in order to find any matches that may have high identity over windows shorter than 80 amino acids.</w:t>
      </w:r>
    </w:p>
    <w:p w14:paraId="7F67F3D7" w14:textId="77777777" w:rsidR="00A40C64" w:rsidRPr="00FC00E9" w:rsidRDefault="00A40C64" w:rsidP="00FC00E9">
      <w:pPr>
        <w:widowControl/>
        <w:rPr>
          <w:rFonts w:cs="Arial"/>
          <w:color w:val="000000" w:themeColor="text1"/>
        </w:rPr>
      </w:pPr>
    </w:p>
    <w:p w14:paraId="605CA0A7" w14:textId="6CDEDA87" w:rsidR="009A51A2" w:rsidRPr="00FC00E9" w:rsidRDefault="009A51A2" w:rsidP="0010323C">
      <w:pPr>
        <w:pStyle w:val="ListParagraph"/>
        <w:widowControl/>
        <w:numPr>
          <w:ilvl w:val="0"/>
          <w:numId w:val="22"/>
        </w:numPr>
        <w:ind w:left="567" w:right="-144" w:hanging="567"/>
        <w:rPr>
          <w:rFonts w:cs="Arial"/>
          <w:color w:val="000000" w:themeColor="text1"/>
        </w:rPr>
      </w:pPr>
      <w:r w:rsidRPr="00FC00E9">
        <w:rPr>
          <w:rFonts w:cs="Arial"/>
          <w:color w:val="000000" w:themeColor="text1"/>
        </w:rPr>
        <w:t xml:space="preserve">The Needleman-Wunsch global alignment algorithm </w:t>
      </w:r>
      <w:r w:rsidRPr="00FC00E9">
        <w:rPr>
          <w:rFonts w:cs="Arial"/>
          <w:noProof/>
          <w:color w:val="000000" w:themeColor="text1"/>
        </w:rPr>
        <w:t>(Needleman and Wunsch 1970)</w:t>
      </w:r>
      <w:r w:rsidRPr="00FC00E9">
        <w:rPr>
          <w:rFonts w:cs="Arial"/>
          <w:color w:val="000000" w:themeColor="text1"/>
        </w:rPr>
        <w:t xml:space="preserve"> in the program package EMBOSS (</w:t>
      </w:r>
      <w:hyperlink r:id="rId21" w:history="1">
        <w:r w:rsidRPr="00FC00E9">
          <w:rPr>
            <w:rStyle w:val="Hyperlink"/>
            <w:rFonts w:cs="Arial"/>
            <w:color w:val="0000FF"/>
          </w:rPr>
          <w:t>http://www.ebi.ac.uk/Tools/emboss/</w:t>
        </w:r>
      </w:hyperlink>
      <w:r w:rsidRPr="00FC00E9">
        <w:rPr>
          <w:rFonts w:cs="Arial"/>
          <w:color w:val="000000" w:themeColor="text1"/>
        </w:rPr>
        <w:t xml:space="preserve">). This </w:t>
      </w:r>
      <w:r w:rsidRPr="00FC00E9">
        <w:rPr>
          <w:rFonts w:cs="Arial"/>
          <w:color w:val="000000" w:themeColor="text1"/>
          <w:lang w:val="en"/>
        </w:rPr>
        <w:t xml:space="preserve">explores all possible alignments and chooses the best one (the optimal global alignment). Hence it can </w:t>
      </w:r>
      <w:r w:rsidRPr="00FC00E9">
        <w:rPr>
          <w:rFonts w:cs="Arial"/>
          <w:color w:val="000000" w:themeColor="text1"/>
        </w:rPr>
        <w:t>identify those hits with more than 35% identity over the full length of the sequences.</w:t>
      </w:r>
    </w:p>
    <w:p w14:paraId="5C8C047A" w14:textId="77777777" w:rsidR="009A51A2" w:rsidRPr="00432664" w:rsidRDefault="009A51A2" w:rsidP="00F14DD2">
      <w:pPr>
        <w:rPr>
          <w:rFonts w:cs="Arial"/>
          <w:color w:val="000000" w:themeColor="text1"/>
        </w:rPr>
      </w:pPr>
    </w:p>
    <w:p w14:paraId="0294A60C" w14:textId="77777777" w:rsidR="009A51A2" w:rsidRPr="00432664" w:rsidRDefault="009A51A2" w:rsidP="00F14DD2">
      <w:pPr>
        <w:rPr>
          <w:rFonts w:cs="Arial"/>
          <w:color w:val="000000" w:themeColor="text1"/>
        </w:rPr>
      </w:pPr>
      <w:r w:rsidRPr="00432664">
        <w:rPr>
          <w:rFonts w:cs="Arial"/>
          <w:color w:val="000000" w:themeColor="text1"/>
        </w:rPr>
        <w:t xml:space="preserve">In none of the analyses was any significant homology with any known allergens found. The conclusion from these bioinformatic analyses is that asparaginase from </w:t>
      </w:r>
      <w:r w:rsidRPr="00432664">
        <w:rPr>
          <w:rFonts w:cs="Arial"/>
          <w:i/>
          <w:color w:val="000000" w:themeColor="text1"/>
        </w:rPr>
        <w:t xml:space="preserve">B. </w:t>
      </w:r>
      <w:r w:rsidRPr="00432664">
        <w:rPr>
          <w:rFonts w:cs="Arial"/>
          <w:color w:val="000000" w:themeColor="text1"/>
        </w:rPr>
        <w:t>subtilis strain MOL2940 does not show biologically relevant homology to any known allergen and on this basis is unlikely to be allergenic.</w:t>
      </w:r>
    </w:p>
    <w:p w14:paraId="1BB2D927" w14:textId="66113394" w:rsidR="009A51A2" w:rsidRDefault="0025773B" w:rsidP="00F14DD2">
      <w:pPr>
        <w:pStyle w:val="Heading3"/>
      </w:pPr>
      <w:bookmarkStart w:id="31" w:name="_Toc422315741"/>
      <w:r>
        <w:t>3.3.2</w:t>
      </w:r>
      <w:r>
        <w:tab/>
      </w:r>
      <w:r w:rsidR="009A51A2">
        <w:t>Bioinformatic analysis for potential toxicity</w:t>
      </w:r>
      <w:bookmarkEnd w:id="31"/>
    </w:p>
    <w:p w14:paraId="374168E4" w14:textId="256DF41B" w:rsidR="009A51A2" w:rsidRPr="00432664" w:rsidRDefault="009A51A2" w:rsidP="00F14DD2">
      <w:pPr>
        <w:autoSpaceDE w:val="0"/>
        <w:autoSpaceDN w:val="0"/>
        <w:adjustRightInd w:val="0"/>
        <w:rPr>
          <w:rFonts w:eastAsiaTheme="minorHAnsi" w:cs="Arial"/>
          <w:color w:val="000000" w:themeColor="text1"/>
          <w:lang w:bidi="ar-SA"/>
        </w:rPr>
      </w:pPr>
      <w:r w:rsidRPr="00432664">
        <w:rPr>
          <w:rFonts w:eastAsiaTheme="minorHAnsi" w:cs="Arial"/>
          <w:color w:val="000000" w:themeColor="text1"/>
          <w:lang w:bidi="ar-SA"/>
        </w:rPr>
        <w:t>The asparaginase sequence was compared to sequences present in the UniProt database (</w:t>
      </w:r>
      <w:hyperlink r:id="rId22" w:history="1">
        <w:r w:rsidRPr="00DD28F2">
          <w:rPr>
            <w:rStyle w:val="Hyperlink"/>
            <w:rFonts w:eastAsiaTheme="minorHAnsi" w:cs="Arial"/>
            <w:color w:val="0000FF"/>
            <w:lang w:bidi="ar-SA"/>
          </w:rPr>
          <w:t>http://www.uniprot.org/</w:t>
        </w:r>
      </w:hyperlink>
      <w:r w:rsidRPr="00432664">
        <w:rPr>
          <w:rFonts w:eastAsiaTheme="minorHAnsi" w:cs="Arial"/>
          <w:color w:val="000000" w:themeColor="text1"/>
          <w:lang w:bidi="ar-SA"/>
        </w:rPr>
        <w:t>) containing entries from Swiss-Prot and TrEMBL and using the term ‘toxin’ to refine the search. The comparison method used a ClustalW 2.0.10 sequence alignment program (</w:t>
      </w:r>
      <w:hyperlink r:id="rId23" w:history="1">
        <w:r w:rsidRPr="00DD28F2">
          <w:rPr>
            <w:rStyle w:val="Hyperlink"/>
            <w:rFonts w:eastAsiaTheme="minorHAnsi" w:cs="Arial"/>
            <w:color w:val="0000FF"/>
            <w:lang w:bidi="ar-SA"/>
          </w:rPr>
          <w:t>http://www.clustal.org/clustal2/</w:t>
        </w:r>
      </w:hyperlink>
      <w:r w:rsidRPr="00432664">
        <w:rPr>
          <w:rFonts w:eastAsiaTheme="minorHAnsi" w:cs="Arial"/>
          <w:color w:val="000000" w:themeColor="text1"/>
          <w:lang w:bidi="ar-SA"/>
        </w:rPr>
        <w:t xml:space="preserve">) </w:t>
      </w:r>
      <w:r w:rsidRPr="00432664">
        <w:rPr>
          <w:rFonts w:eastAsiaTheme="minorHAnsi" w:cs="Arial"/>
          <w:noProof/>
          <w:color w:val="000000" w:themeColor="text1"/>
          <w:lang w:bidi="ar-SA"/>
        </w:rPr>
        <w:t>(Larkin et al. 2007)</w:t>
      </w:r>
      <w:r w:rsidRPr="00432664">
        <w:rPr>
          <w:rFonts w:eastAsiaTheme="minorHAnsi" w:cs="Arial"/>
          <w:color w:val="000000" w:themeColor="text1"/>
          <w:lang w:bidi="ar-SA"/>
        </w:rPr>
        <w:t xml:space="preserve"> to align each sequence from the database with the </w:t>
      </w:r>
      <w:r w:rsidR="00D47AB1">
        <w:rPr>
          <w:rFonts w:eastAsiaTheme="minorHAnsi" w:cs="Arial"/>
          <w:color w:val="000000" w:themeColor="text1"/>
          <w:lang w:bidi="ar-SA"/>
        </w:rPr>
        <w:t>asparaginase</w:t>
      </w:r>
      <w:r w:rsidR="00D47AB1" w:rsidRPr="00432664">
        <w:rPr>
          <w:rFonts w:eastAsiaTheme="minorHAnsi" w:cs="Arial"/>
          <w:color w:val="000000" w:themeColor="text1"/>
          <w:lang w:bidi="ar-SA"/>
        </w:rPr>
        <w:t xml:space="preserve"> </w:t>
      </w:r>
      <w:r w:rsidRPr="00432664">
        <w:rPr>
          <w:rFonts w:eastAsiaTheme="minorHAnsi" w:cs="Arial"/>
          <w:color w:val="000000" w:themeColor="text1"/>
          <w:lang w:bidi="ar-SA"/>
        </w:rPr>
        <w:t xml:space="preserve">sequence. </w:t>
      </w:r>
    </w:p>
    <w:p w14:paraId="6361B463" w14:textId="77777777" w:rsidR="009A51A2" w:rsidRPr="00432664" w:rsidRDefault="009A51A2" w:rsidP="00F14DD2">
      <w:pPr>
        <w:autoSpaceDE w:val="0"/>
        <w:autoSpaceDN w:val="0"/>
        <w:adjustRightInd w:val="0"/>
        <w:rPr>
          <w:rFonts w:eastAsiaTheme="minorHAnsi" w:cs="Arial"/>
          <w:color w:val="000000" w:themeColor="text1"/>
          <w:lang w:bidi="ar-SA"/>
        </w:rPr>
      </w:pPr>
    </w:p>
    <w:p w14:paraId="365237B2" w14:textId="77777777" w:rsidR="009A51A2" w:rsidRPr="00432664" w:rsidRDefault="009A51A2" w:rsidP="00F14DD2">
      <w:pPr>
        <w:autoSpaceDE w:val="0"/>
        <w:autoSpaceDN w:val="0"/>
        <w:adjustRightInd w:val="0"/>
        <w:rPr>
          <w:rFonts w:eastAsiaTheme="minorHAnsi" w:cs="Arial"/>
          <w:color w:val="000000" w:themeColor="text1"/>
          <w:lang w:bidi="ar-SA"/>
        </w:rPr>
      </w:pPr>
      <w:r w:rsidRPr="00432664">
        <w:rPr>
          <w:rFonts w:eastAsiaTheme="minorHAnsi" w:cs="Arial"/>
          <w:color w:val="000000" w:themeColor="text1"/>
          <w:lang w:bidi="ar-SA"/>
        </w:rPr>
        <w:t>The greatest homology found was 16.9%, which indicates that the asparaginase is unlikely to be toxic.</w:t>
      </w:r>
    </w:p>
    <w:p w14:paraId="0B2F7990" w14:textId="492A81BE" w:rsidR="009A51A2" w:rsidRDefault="00D86754" w:rsidP="00F14DD2">
      <w:pPr>
        <w:pStyle w:val="Heading2"/>
      </w:pPr>
      <w:bookmarkStart w:id="32" w:name="_Toc422315742"/>
      <w:r>
        <w:t>3.4</w:t>
      </w:r>
      <w:r>
        <w:tab/>
      </w:r>
      <w:r w:rsidR="009A51A2">
        <w:t>Evaluation of unpublished toxicity studies</w:t>
      </w:r>
      <w:bookmarkEnd w:id="32"/>
    </w:p>
    <w:p w14:paraId="3757513F" w14:textId="77777777" w:rsidR="009A51A2" w:rsidRPr="005E6EF7" w:rsidRDefault="009A51A2" w:rsidP="00F14DD2">
      <w:pPr>
        <w:pBdr>
          <w:top w:val="single" w:sz="4" w:space="1" w:color="auto"/>
          <w:left w:val="single" w:sz="4" w:space="0" w:color="auto"/>
          <w:bottom w:val="single" w:sz="4" w:space="1" w:color="auto"/>
          <w:right w:val="single" w:sz="4" w:space="4" w:color="auto"/>
        </w:pBdr>
        <w:rPr>
          <w:rFonts w:cs="Arial"/>
          <w:b/>
          <w:color w:val="000000" w:themeColor="text1"/>
          <w:sz w:val="20"/>
          <w:szCs w:val="20"/>
        </w:rPr>
      </w:pPr>
      <w:r w:rsidRPr="005E6EF7">
        <w:rPr>
          <w:rFonts w:cs="Arial"/>
          <w:b/>
          <w:color w:val="000000" w:themeColor="text1"/>
          <w:sz w:val="20"/>
          <w:szCs w:val="20"/>
        </w:rPr>
        <w:t>Report submitted</w:t>
      </w:r>
    </w:p>
    <w:p w14:paraId="2BD49FC0" w14:textId="77777777" w:rsidR="009A51A2" w:rsidRPr="005E6EF7" w:rsidRDefault="009A51A2" w:rsidP="00F14DD2">
      <w:pPr>
        <w:pBdr>
          <w:top w:val="single" w:sz="4" w:space="1" w:color="auto"/>
          <w:left w:val="single" w:sz="4" w:space="0" w:color="auto"/>
          <w:bottom w:val="single" w:sz="4" w:space="1" w:color="auto"/>
          <w:right w:val="single" w:sz="4" w:space="4" w:color="auto"/>
        </w:pBdr>
        <w:rPr>
          <w:rFonts w:cs="Arial"/>
          <w:b/>
          <w:color w:val="000000" w:themeColor="text1"/>
          <w:sz w:val="20"/>
          <w:szCs w:val="20"/>
        </w:rPr>
      </w:pPr>
    </w:p>
    <w:p w14:paraId="170155A1" w14:textId="77777777" w:rsidR="009A51A2" w:rsidRPr="005E6EF7" w:rsidRDefault="009A51A2" w:rsidP="00F14DD2">
      <w:pPr>
        <w:pBdr>
          <w:top w:val="single" w:sz="4" w:space="1" w:color="auto"/>
          <w:left w:val="single" w:sz="4" w:space="0" w:color="auto"/>
          <w:bottom w:val="single" w:sz="4" w:space="1" w:color="auto"/>
          <w:right w:val="single" w:sz="4" w:space="4" w:color="auto"/>
        </w:pBdr>
        <w:rPr>
          <w:rFonts w:cs="Arial"/>
          <w:color w:val="000000" w:themeColor="text1"/>
          <w:sz w:val="20"/>
          <w:szCs w:val="20"/>
        </w:rPr>
      </w:pPr>
      <w:r w:rsidRPr="005E6EF7">
        <w:rPr>
          <w:rFonts w:cs="Arial"/>
          <w:color w:val="000000" w:themeColor="text1"/>
          <w:sz w:val="20"/>
          <w:szCs w:val="20"/>
        </w:rPr>
        <w:t>Lichtenberg, J. (2013). Summary of toxicity data. Asparaginase PPV33595</w:t>
      </w:r>
      <w:r w:rsidRPr="005E6EF7">
        <w:rPr>
          <w:rFonts w:eastAsiaTheme="minorHAnsi" w:cs="Arial"/>
          <w:bCs/>
          <w:color w:val="000000" w:themeColor="text1"/>
          <w:sz w:val="20"/>
          <w:szCs w:val="20"/>
          <w:lang w:bidi="ar-SA"/>
        </w:rPr>
        <w:t xml:space="preserve">. </w:t>
      </w:r>
      <w:r w:rsidRPr="005E6EF7">
        <w:rPr>
          <w:rFonts w:cs="Arial"/>
          <w:color w:val="000000" w:themeColor="text1"/>
          <w:sz w:val="20"/>
          <w:szCs w:val="20"/>
        </w:rPr>
        <w:t>File ID # 2013-02837-02, Novozymes A/S (unpublished).</w:t>
      </w:r>
    </w:p>
    <w:p w14:paraId="293EC2E7" w14:textId="77777777" w:rsidR="009A51A2" w:rsidRPr="00880245" w:rsidRDefault="009A51A2" w:rsidP="00F14DD2">
      <w:pPr>
        <w:autoSpaceDE w:val="0"/>
        <w:autoSpaceDN w:val="0"/>
        <w:adjustRightInd w:val="0"/>
        <w:rPr>
          <w:rFonts w:cs="Arial"/>
          <w:color w:val="000000" w:themeColor="text1"/>
        </w:rPr>
      </w:pPr>
    </w:p>
    <w:p w14:paraId="67C7E158" w14:textId="77777777" w:rsidR="009A51A2" w:rsidRDefault="009A51A2" w:rsidP="00F14DD2">
      <w:pPr>
        <w:autoSpaceDE w:val="0"/>
        <w:autoSpaceDN w:val="0"/>
        <w:adjustRightInd w:val="0"/>
        <w:rPr>
          <w:rFonts w:cs="Arial"/>
          <w:color w:val="000000" w:themeColor="text1"/>
        </w:rPr>
      </w:pPr>
      <w:r w:rsidRPr="00880245">
        <w:rPr>
          <w:rFonts w:cs="Arial"/>
          <w:color w:val="000000" w:themeColor="text1"/>
        </w:rPr>
        <w:t>Unpublished toxicity studies on a representative asparaginase preparation were submitted by the Applicant and independently evaluated by FSANZ. These studies comprised</w:t>
      </w:r>
      <w:r>
        <w:rPr>
          <w:rFonts w:cs="Arial"/>
          <w:color w:val="000000" w:themeColor="text1"/>
        </w:rPr>
        <w:t>:</w:t>
      </w:r>
    </w:p>
    <w:p w14:paraId="5BD44514" w14:textId="77777777" w:rsidR="00A40C64" w:rsidRDefault="00A40C64" w:rsidP="00F14DD2">
      <w:pPr>
        <w:autoSpaceDE w:val="0"/>
        <w:autoSpaceDN w:val="0"/>
        <w:adjustRightInd w:val="0"/>
        <w:rPr>
          <w:rFonts w:cs="Arial"/>
          <w:color w:val="000000" w:themeColor="text1"/>
        </w:rPr>
      </w:pPr>
    </w:p>
    <w:p w14:paraId="7A1CED78" w14:textId="77777777" w:rsidR="009A51A2" w:rsidRPr="00E04856" w:rsidRDefault="009A51A2" w:rsidP="00F14DD2">
      <w:pPr>
        <w:pStyle w:val="FSBullet1"/>
      </w:pPr>
      <w:r w:rsidRPr="00E04856">
        <w:t xml:space="preserve">two genotoxicity test - an Ames test conducted in accordance with OECD test Guideline 471 </w:t>
      </w:r>
      <w:r w:rsidRPr="00E04856">
        <w:rPr>
          <w:noProof/>
        </w:rPr>
        <w:t>(OECD 1997)</w:t>
      </w:r>
      <w:r w:rsidRPr="00E04856">
        <w:t xml:space="preserve"> and an </w:t>
      </w:r>
      <w:r w:rsidRPr="00E04856">
        <w:rPr>
          <w:i/>
        </w:rPr>
        <w:t>in vitro</w:t>
      </w:r>
      <w:r w:rsidRPr="00E04856">
        <w:t xml:space="preserve"> micronucleus test conducted in accordance with OECD test Guideline 487 </w:t>
      </w:r>
      <w:r w:rsidRPr="00E04856">
        <w:rPr>
          <w:noProof/>
        </w:rPr>
        <w:t>(OECD 2010)</w:t>
      </w:r>
    </w:p>
    <w:p w14:paraId="42CF0224" w14:textId="77777777" w:rsidR="009A51A2" w:rsidRPr="00E04856" w:rsidRDefault="009A51A2" w:rsidP="00F14DD2">
      <w:pPr>
        <w:pStyle w:val="FSBullet1"/>
      </w:pPr>
      <w:r w:rsidRPr="00E04856">
        <w:t xml:space="preserve">an </w:t>
      </w:r>
      <w:r w:rsidRPr="00E04856">
        <w:rPr>
          <w:i/>
        </w:rPr>
        <w:t>in vitro</w:t>
      </w:r>
      <w:r w:rsidRPr="00E04856">
        <w:t xml:space="preserve"> cytotoxicity test</w:t>
      </w:r>
    </w:p>
    <w:p w14:paraId="1A91E7FC" w14:textId="77777777" w:rsidR="009A51A2" w:rsidRPr="00E04856" w:rsidRDefault="009A51A2" w:rsidP="00F14DD2">
      <w:pPr>
        <w:pStyle w:val="FSBullet1"/>
      </w:pPr>
      <w:r w:rsidRPr="00E04856">
        <w:t xml:space="preserve">a 90-day oral toxicity study in rats conducted in accordance with OECD Test Guideline 408 </w:t>
      </w:r>
      <w:r w:rsidRPr="00E04856">
        <w:rPr>
          <w:noProof/>
        </w:rPr>
        <w:t>(OECD 1998)</w:t>
      </w:r>
      <w:r w:rsidRPr="00E04856">
        <w:t xml:space="preserve">. </w:t>
      </w:r>
    </w:p>
    <w:p w14:paraId="6A7D7E45" w14:textId="77777777" w:rsidR="009A51A2" w:rsidRDefault="009A51A2" w:rsidP="00F14DD2">
      <w:pPr>
        <w:autoSpaceDE w:val="0"/>
        <w:autoSpaceDN w:val="0"/>
        <w:adjustRightInd w:val="0"/>
        <w:rPr>
          <w:rFonts w:cs="Arial"/>
          <w:color w:val="000000" w:themeColor="text1"/>
        </w:rPr>
      </w:pPr>
    </w:p>
    <w:p w14:paraId="5097F20F" w14:textId="77777777" w:rsidR="0010323C" w:rsidRDefault="009A51A2" w:rsidP="00244F76">
      <w:pPr>
        <w:keepNext/>
        <w:widowControl/>
        <w:autoSpaceDE w:val="0"/>
        <w:autoSpaceDN w:val="0"/>
        <w:adjustRightInd w:val="0"/>
        <w:rPr>
          <w:rFonts w:cs="Arial"/>
          <w:color w:val="000000" w:themeColor="text1"/>
        </w:rPr>
      </w:pPr>
      <w:r w:rsidRPr="00880245">
        <w:rPr>
          <w:rFonts w:cs="Arial"/>
          <w:color w:val="000000" w:themeColor="text1"/>
        </w:rPr>
        <w:t xml:space="preserve">The test substance was asparaginase preparation (designated as toxbatch PPV33595) prepared to the manufacturer’s specifications by mixing three sub-batches. </w:t>
      </w:r>
      <w:r w:rsidR="0010323C">
        <w:rPr>
          <w:rFonts w:cs="Arial"/>
          <w:color w:val="000000" w:themeColor="text1"/>
        </w:rPr>
        <w:br w:type="page"/>
      </w:r>
    </w:p>
    <w:p w14:paraId="6B620118" w14:textId="5C8E0D0F" w:rsidR="009A51A2" w:rsidRPr="00880245" w:rsidRDefault="009A51A2" w:rsidP="00244F76">
      <w:pPr>
        <w:keepNext/>
        <w:widowControl/>
        <w:autoSpaceDE w:val="0"/>
        <w:autoSpaceDN w:val="0"/>
        <w:adjustRightInd w:val="0"/>
        <w:rPr>
          <w:rFonts w:cs="Arial"/>
          <w:color w:val="000000" w:themeColor="text1"/>
        </w:rPr>
      </w:pPr>
      <w:r w:rsidRPr="00880245">
        <w:rPr>
          <w:rFonts w:cs="Arial"/>
          <w:color w:val="000000" w:themeColor="text1"/>
        </w:rPr>
        <w:lastRenderedPageBreak/>
        <w:t xml:space="preserve">The test substance was supplied in liquid form (dissolved in water) and differed from the actual product, Acrylaway HighT </w:t>
      </w:r>
      <w:r w:rsidR="00A64391">
        <w:rPr>
          <w:rFonts w:cs="Arial"/>
          <w:color w:val="000000" w:themeColor="text1"/>
        </w:rPr>
        <w:t>L</w:t>
      </w:r>
      <w:r w:rsidR="00A64391" w:rsidRPr="00880245">
        <w:rPr>
          <w:rFonts w:cs="Arial"/>
          <w:color w:val="000000" w:themeColor="text1"/>
        </w:rPr>
        <w:t xml:space="preserve"> </w:t>
      </w:r>
      <w:r w:rsidRPr="00880245">
        <w:rPr>
          <w:rFonts w:cs="Arial"/>
          <w:color w:val="000000" w:themeColor="text1"/>
        </w:rPr>
        <w:t>and Acrylaway HighT BG. A comparison of PPV33595, Acrylaway HighT L and Acrylaway HighT BG is given in</w:t>
      </w:r>
      <w:r w:rsidR="006B2116">
        <w:rPr>
          <w:rFonts w:cs="Arial"/>
          <w:color w:val="000000" w:themeColor="text1"/>
        </w:rPr>
        <w:t xml:space="preserve"> </w:t>
      </w:r>
      <w:r w:rsidR="006B2116">
        <w:rPr>
          <w:rFonts w:cs="Arial"/>
          <w:color w:val="000000" w:themeColor="text1"/>
        </w:rPr>
        <w:fldChar w:fldCharType="begin"/>
      </w:r>
      <w:r w:rsidR="006B2116">
        <w:rPr>
          <w:rFonts w:cs="Arial"/>
          <w:color w:val="000000" w:themeColor="text1"/>
        </w:rPr>
        <w:instrText xml:space="preserve"> REF _Ref414278812 \h </w:instrText>
      </w:r>
      <w:r w:rsidR="006B2116">
        <w:rPr>
          <w:rFonts w:cs="Arial"/>
          <w:color w:val="000000" w:themeColor="text1"/>
        </w:rPr>
      </w:r>
      <w:r w:rsidR="006B2116">
        <w:rPr>
          <w:rFonts w:cs="Arial"/>
          <w:color w:val="000000" w:themeColor="text1"/>
        </w:rPr>
        <w:fldChar w:fldCharType="separate"/>
      </w:r>
      <w:r w:rsidR="007A7B2C" w:rsidRPr="00D86754">
        <w:rPr>
          <w:szCs w:val="22"/>
        </w:rPr>
        <w:t xml:space="preserve">Table </w:t>
      </w:r>
      <w:r w:rsidR="007A7B2C">
        <w:rPr>
          <w:noProof/>
          <w:szCs w:val="22"/>
        </w:rPr>
        <w:t>0</w:t>
      </w:r>
      <w:r w:rsidR="006B2116">
        <w:rPr>
          <w:rFonts w:cs="Arial"/>
          <w:color w:val="000000" w:themeColor="text1"/>
        </w:rPr>
        <w:fldChar w:fldCharType="end"/>
      </w:r>
      <w:r w:rsidR="00244F76" w:rsidRPr="00880245">
        <w:rPr>
          <w:rFonts w:cs="Arial"/>
          <w:color w:val="000000" w:themeColor="text1"/>
        </w:rPr>
        <w:t xml:space="preserve"> </w:t>
      </w:r>
      <w:r w:rsidRPr="00880245">
        <w:rPr>
          <w:rFonts w:cs="Arial"/>
          <w:color w:val="000000" w:themeColor="text1"/>
        </w:rPr>
        <w:t>.</w:t>
      </w:r>
    </w:p>
    <w:p w14:paraId="29D0E25E" w14:textId="77777777" w:rsidR="009A51A2" w:rsidRPr="00880245" w:rsidRDefault="009A51A2" w:rsidP="00F14DD2">
      <w:pPr>
        <w:rPr>
          <w:rFonts w:cs="Arial"/>
          <w:color w:val="000000" w:themeColor="text1"/>
        </w:rPr>
      </w:pPr>
    </w:p>
    <w:p w14:paraId="6F06DF52" w14:textId="372D4538" w:rsidR="00A40C64" w:rsidRDefault="006B2116" w:rsidP="006B2116">
      <w:pPr>
        <w:pStyle w:val="FSTableHeading"/>
        <w:keepNext/>
        <w:keepLines/>
        <w:ind w:left="1134" w:hanging="1134"/>
        <w:jc w:val="left"/>
        <w:rPr>
          <w:rFonts w:ascii="Arial" w:hAnsi="Arial"/>
          <w:sz w:val="22"/>
          <w:szCs w:val="22"/>
        </w:rPr>
      </w:pPr>
      <w:bookmarkStart w:id="33" w:name="_Ref414278812"/>
      <w:r w:rsidRPr="00D86754">
        <w:rPr>
          <w:sz w:val="22"/>
          <w:szCs w:val="22"/>
        </w:rPr>
        <w:t xml:space="preserve">Table </w:t>
      </w:r>
      <w:r w:rsidRPr="00D86754">
        <w:rPr>
          <w:sz w:val="22"/>
          <w:szCs w:val="22"/>
        </w:rPr>
        <w:fldChar w:fldCharType="begin"/>
      </w:r>
      <w:r w:rsidRPr="00D86754">
        <w:rPr>
          <w:sz w:val="22"/>
          <w:szCs w:val="22"/>
        </w:rPr>
        <w:instrText xml:space="preserve"> STYLEREF 1 \s </w:instrText>
      </w:r>
      <w:r w:rsidRPr="00D86754">
        <w:rPr>
          <w:sz w:val="22"/>
          <w:szCs w:val="22"/>
        </w:rPr>
        <w:fldChar w:fldCharType="separate"/>
      </w:r>
      <w:r w:rsidR="007A7B2C">
        <w:rPr>
          <w:noProof/>
          <w:sz w:val="22"/>
          <w:szCs w:val="22"/>
        </w:rPr>
        <w:t>0</w:t>
      </w:r>
      <w:r w:rsidRPr="00D86754">
        <w:rPr>
          <w:sz w:val="22"/>
          <w:szCs w:val="22"/>
        </w:rPr>
        <w:fldChar w:fldCharType="end"/>
      </w:r>
      <w:bookmarkEnd w:id="33"/>
      <w:r w:rsidR="009A51A2" w:rsidRPr="00D86754">
        <w:rPr>
          <w:sz w:val="22"/>
          <w:szCs w:val="22"/>
        </w:rPr>
        <w:t>:</w:t>
      </w:r>
      <w:r w:rsidR="009A51A2" w:rsidRPr="00D86754">
        <w:rPr>
          <w:sz w:val="22"/>
          <w:szCs w:val="22"/>
        </w:rPr>
        <w:tab/>
      </w:r>
      <w:r w:rsidR="009A51A2" w:rsidRPr="00D86754">
        <w:rPr>
          <w:rFonts w:ascii="Arial" w:hAnsi="Arial"/>
          <w:sz w:val="22"/>
          <w:szCs w:val="22"/>
        </w:rPr>
        <w:t>Comparison of typical Acrylaway HighT L, Acrylaway HighT BG and toxbatch PPV33595</w:t>
      </w:r>
    </w:p>
    <w:p w14:paraId="3CF499EB" w14:textId="77777777" w:rsidR="0025773B" w:rsidRPr="00D86754" w:rsidRDefault="0025773B" w:rsidP="006B2116">
      <w:pPr>
        <w:pStyle w:val="FSTableHeading"/>
        <w:keepNext/>
        <w:keepLines/>
        <w:ind w:left="1134" w:hanging="1134"/>
        <w:jc w:val="left"/>
        <w:rPr>
          <w:sz w:val="22"/>
          <w:szCs w:val="22"/>
        </w:rPr>
      </w:pPr>
    </w:p>
    <w:tbl>
      <w:tblPr>
        <w:tblStyle w:val="TableGrid"/>
        <w:tblW w:w="0" w:type="auto"/>
        <w:jc w:val="center"/>
        <w:tblInd w:w="-562" w:type="dxa"/>
        <w:tblLook w:val="04A0" w:firstRow="1" w:lastRow="0" w:firstColumn="1" w:lastColumn="0" w:noHBand="0" w:noVBand="1"/>
      </w:tblPr>
      <w:tblGrid>
        <w:gridCol w:w="3298"/>
        <w:gridCol w:w="1852"/>
        <w:gridCol w:w="1706"/>
        <w:gridCol w:w="1608"/>
      </w:tblGrid>
      <w:tr w:rsidR="009A51A2" w:rsidRPr="00B52BF6" w14:paraId="607EE3FA" w14:textId="77777777" w:rsidTr="00F14DD2">
        <w:trPr>
          <w:trHeight w:val="340"/>
          <w:jc w:val="center"/>
        </w:trPr>
        <w:tc>
          <w:tcPr>
            <w:tcW w:w="3298" w:type="dxa"/>
            <w:shd w:val="clear" w:color="auto" w:fill="C6D9F1" w:themeFill="text2" w:themeFillTint="33"/>
            <w:vAlign w:val="center"/>
          </w:tcPr>
          <w:p w14:paraId="19BEE9B6" w14:textId="77777777" w:rsidR="009A51A2" w:rsidRPr="0010323C" w:rsidRDefault="009A51A2" w:rsidP="006B2116">
            <w:pPr>
              <w:keepNext/>
              <w:keepLines/>
              <w:jc w:val="center"/>
              <w:rPr>
                <w:rFonts w:ascii="Arial" w:hAnsi="Arial" w:cs="Arial"/>
                <w:b/>
                <w:color w:val="000000" w:themeColor="text1"/>
                <w:szCs w:val="22"/>
              </w:rPr>
            </w:pPr>
            <w:r w:rsidRPr="0010323C">
              <w:rPr>
                <w:rFonts w:ascii="Arial" w:hAnsi="Arial" w:cs="Arial"/>
                <w:b/>
                <w:color w:val="000000" w:themeColor="text1"/>
                <w:szCs w:val="22"/>
              </w:rPr>
              <w:t>Characteristic</w:t>
            </w:r>
          </w:p>
        </w:tc>
        <w:tc>
          <w:tcPr>
            <w:tcW w:w="1852" w:type="dxa"/>
            <w:shd w:val="clear" w:color="auto" w:fill="C6D9F1" w:themeFill="text2" w:themeFillTint="33"/>
            <w:vAlign w:val="center"/>
          </w:tcPr>
          <w:p w14:paraId="4C18A449" w14:textId="77777777" w:rsidR="009A51A2" w:rsidRPr="0010323C" w:rsidRDefault="009A51A2" w:rsidP="006B2116">
            <w:pPr>
              <w:keepNext/>
              <w:keepLines/>
              <w:jc w:val="center"/>
              <w:rPr>
                <w:rFonts w:ascii="Arial" w:hAnsi="Arial" w:cs="Arial"/>
                <w:b/>
                <w:color w:val="000000" w:themeColor="text1"/>
                <w:szCs w:val="22"/>
              </w:rPr>
            </w:pPr>
            <w:r w:rsidRPr="0010323C">
              <w:rPr>
                <w:rFonts w:ascii="Arial" w:hAnsi="Arial" w:cs="Arial"/>
                <w:b/>
                <w:color w:val="000000" w:themeColor="text1"/>
                <w:szCs w:val="22"/>
              </w:rPr>
              <w:t>Acrylaway HighT L</w:t>
            </w:r>
          </w:p>
        </w:tc>
        <w:tc>
          <w:tcPr>
            <w:tcW w:w="1706" w:type="dxa"/>
            <w:shd w:val="clear" w:color="auto" w:fill="C6D9F1" w:themeFill="text2" w:themeFillTint="33"/>
            <w:vAlign w:val="center"/>
          </w:tcPr>
          <w:p w14:paraId="6863750F" w14:textId="77777777" w:rsidR="009A51A2" w:rsidRPr="0010323C" w:rsidRDefault="009A51A2" w:rsidP="006B2116">
            <w:pPr>
              <w:keepNext/>
              <w:keepLines/>
              <w:jc w:val="center"/>
              <w:rPr>
                <w:rFonts w:ascii="Arial" w:hAnsi="Arial" w:cs="Arial"/>
                <w:b/>
                <w:color w:val="000000" w:themeColor="text1"/>
                <w:szCs w:val="22"/>
              </w:rPr>
            </w:pPr>
            <w:r w:rsidRPr="0010323C">
              <w:rPr>
                <w:rFonts w:ascii="Arial" w:hAnsi="Arial" w:cs="Arial"/>
                <w:b/>
                <w:color w:val="000000" w:themeColor="text1"/>
                <w:szCs w:val="22"/>
              </w:rPr>
              <w:t>Acrylaway HighT BG</w:t>
            </w:r>
          </w:p>
        </w:tc>
        <w:tc>
          <w:tcPr>
            <w:tcW w:w="1608" w:type="dxa"/>
            <w:shd w:val="clear" w:color="auto" w:fill="C6D9F1" w:themeFill="text2" w:themeFillTint="33"/>
            <w:vAlign w:val="center"/>
          </w:tcPr>
          <w:p w14:paraId="4A8EB9E8" w14:textId="77777777" w:rsidR="009A51A2" w:rsidRPr="0010323C" w:rsidRDefault="009A51A2" w:rsidP="006B2116">
            <w:pPr>
              <w:keepNext/>
              <w:keepLines/>
              <w:jc w:val="center"/>
              <w:rPr>
                <w:rFonts w:ascii="Arial" w:hAnsi="Arial" w:cs="Arial"/>
                <w:b/>
                <w:color w:val="000000" w:themeColor="text1"/>
                <w:szCs w:val="22"/>
              </w:rPr>
            </w:pPr>
            <w:r w:rsidRPr="0010323C">
              <w:rPr>
                <w:rFonts w:ascii="Arial" w:hAnsi="Arial" w:cs="Arial"/>
                <w:b/>
                <w:color w:val="000000" w:themeColor="text1"/>
                <w:szCs w:val="22"/>
              </w:rPr>
              <w:t>PPV33595</w:t>
            </w:r>
          </w:p>
        </w:tc>
      </w:tr>
      <w:tr w:rsidR="009A51A2" w:rsidRPr="00B52BF6" w14:paraId="55C2FAA7" w14:textId="77777777" w:rsidTr="00F14DD2">
        <w:trPr>
          <w:trHeight w:val="340"/>
          <w:jc w:val="center"/>
        </w:trPr>
        <w:tc>
          <w:tcPr>
            <w:tcW w:w="3298" w:type="dxa"/>
            <w:vAlign w:val="center"/>
          </w:tcPr>
          <w:p w14:paraId="7EFCE0D5"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Activity</w:t>
            </w:r>
          </w:p>
        </w:tc>
        <w:tc>
          <w:tcPr>
            <w:tcW w:w="1852" w:type="dxa"/>
            <w:shd w:val="clear" w:color="auto" w:fill="auto"/>
            <w:vAlign w:val="center"/>
          </w:tcPr>
          <w:p w14:paraId="464A449D" w14:textId="77777777" w:rsidR="009A51A2" w:rsidRPr="0010323C" w:rsidRDefault="009A51A2" w:rsidP="006B2116">
            <w:pPr>
              <w:keepNext/>
              <w:keepLines/>
              <w:jc w:val="center"/>
              <w:rPr>
                <w:rFonts w:ascii="Arial" w:hAnsi="Arial" w:cs="Arial"/>
                <w:color w:val="000000" w:themeColor="text1"/>
                <w:szCs w:val="22"/>
                <w:vertAlign w:val="superscript"/>
              </w:rPr>
            </w:pPr>
            <w:r w:rsidRPr="0010323C">
              <w:rPr>
                <w:rFonts w:ascii="Arial" w:hAnsi="Arial" w:cs="Arial"/>
                <w:color w:val="000000" w:themeColor="text1"/>
                <w:szCs w:val="22"/>
              </w:rPr>
              <w:t>6</w:t>
            </w:r>
            <w:r w:rsidR="00F14DD2" w:rsidRPr="0010323C">
              <w:rPr>
                <w:rFonts w:ascii="Arial" w:hAnsi="Arial" w:cs="Arial"/>
                <w:color w:val="000000" w:themeColor="text1"/>
                <w:szCs w:val="22"/>
              </w:rPr>
              <w:t>,</w:t>
            </w:r>
            <w:r w:rsidRPr="0010323C">
              <w:rPr>
                <w:rFonts w:ascii="Arial" w:hAnsi="Arial" w:cs="Arial"/>
                <w:color w:val="000000" w:themeColor="text1"/>
                <w:szCs w:val="22"/>
              </w:rPr>
              <w:t>000 TASU/g</w:t>
            </w:r>
            <w:r w:rsidRPr="0010323C">
              <w:rPr>
                <w:rFonts w:ascii="Arial" w:hAnsi="Arial" w:cs="Arial"/>
                <w:color w:val="000000" w:themeColor="text1"/>
                <w:szCs w:val="22"/>
                <w:vertAlign w:val="superscript"/>
              </w:rPr>
              <w:t>1</w:t>
            </w:r>
          </w:p>
        </w:tc>
        <w:tc>
          <w:tcPr>
            <w:tcW w:w="1706" w:type="dxa"/>
            <w:vAlign w:val="center"/>
          </w:tcPr>
          <w:p w14:paraId="2A3710D4"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6</w:t>
            </w:r>
            <w:r w:rsidR="00F14DD2" w:rsidRPr="0010323C">
              <w:rPr>
                <w:rFonts w:ascii="Arial" w:hAnsi="Arial" w:cs="Arial"/>
                <w:color w:val="000000" w:themeColor="text1"/>
                <w:szCs w:val="22"/>
              </w:rPr>
              <w:t>,</w:t>
            </w:r>
            <w:r w:rsidRPr="0010323C">
              <w:rPr>
                <w:rFonts w:ascii="Arial" w:hAnsi="Arial" w:cs="Arial"/>
                <w:color w:val="000000" w:themeColor="text1"/>
                <w:szCs w:val="22"/>
              </w:rPr>
              <w:t>000 TASU/g</w:t>
            </w:r>
          </w:p>
        </w:tc>
        <w:tc>
          <w:tcPr>
            <w:tcW w:w="1608" w:type="dxa"/>
            <w:vAlign w:val="center"/>
          </w:tcPr>
          <w:p w14:paraId="1D8D6E08"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55</w:t>
            </w:r>
            <w:r w:rsidR="00F14DD2" w:rsidRPr="0010323C">
              <w:rPr>
                <w:rFonts w:ascii="Arial" w:hAnsi="Arial" w:cs="Arial"/>
                <w:color w:val="000000" w:themeColor="text1"/>
                <w:szCs w:val="22"/>
              </w:rPr>
              <w:t>,</w:t>
            </w:r>
            <w:r w:rsidRPr="0010323C">
              <w:rPr>
                <w:rFonts w:ascii="Arial" w:hAnsi="Arial" w:cs="Arial"/>
                <w:color w:val="000000" w:themeColor="text1"/>
                <w:szCs w:val="22"/>
              </w:rPr>
              <w:t>200 TASU/g</w:t>
            </w:r>
          </w:p>
        </w:tc>
      </w:tr>
      <w:tr w:rsidR="009A51A2" w:rsidRPr="00B52BF6" w14:paraId="32936C38" w14:textId="77777777" w:rsidTr="00F14DD2">
        <w:trPr>
          <w:trHeight w:val="340"/>
          <w:jc w:val="center"/>
        </w:trPr>
        <w:tc>
          <w:tcPr>
            <w:tcW w:w="3298" w:type="dxa"/>
            <w:vAlign w:val="center"/>
          </w:tcPr>
          <w:p w14:paraId="3416B907" w14:textId="77777777" w:rsidR="00F14DD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Total Organic Solids (TOS)</w:t>
            </w:r>
          </w:p>
          <w:p w14:paraId="66C50BA5"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(approx. % w/w)</w:t>
            </w:r>
          </w:p>
        </w:tc>
        <w:tc>
          <w:tcPr>
            <w:tcW w:w="1852" w:type="dxa"/>
            <w:vAlign w:val="center"/>
          </w:tcPr>
          <w:p w14:paraId="305CAB6F"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0.8</w:t>
            </w:r>
          </w:p>
        </w:tc>
        <w:tc>
          <w:tcPr>
            <w:tcW w:w="1706" w:type="dxa"/>
            <w:vAlign w:val="center"/>
          </w:tcPr>
          <w:p w14:paraId="6E2989C7"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0.8</w:t>
            </w:r>
          </w:p>
        </w:tc>
        <w:tc>
          <w:tcPr>
            <w:tcW w:w="1608" w:type="dxa"/>
            <w:vAlign w:val="center"/>
          </w:tcPr>
          <w:p w14:paraId="4A9789EF"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11.4</w:t>
            </w:r>
          </w:p>
        </w:tc>
      </w:tr>
      <w:tr w:rsidR="009A51A2" w:rsidRPr="00B52BF6" w14:paraId="030727C5" w14:textId="77777777" w:rsidTr="00F14DD2">
        <w:trPr>
          <w:trHeight w:val="340"/>
          <w:jc w:val="center"/>
        </w:trPr>
        <w:tc>
          <w:tcPr>
            <w:tcW w:w="3298" w:type="dxa"/>
            <w:vAlign w:val="center"/>
          </w:tcPr>
          <w:p w14:paraId="5CAB6461"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Water(approx. % w/w)</w:t>
            </w:r>
          </w:p>
        </w:tc>
        <w:tc>
          <w:tcPr>
            <w:tcW w:w="1852" w:type="dxa"/>
            <w:vAlign w:val="center"/>
          </w:tcPr>
          <w:p w14:paraId="3636B461"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47</w:t>
            </w:r>
          </w:p>
        </w:tc>
        <w:tc>
          <w:tcPr>
            <w:tcW w:w="1706" w:type="dxa"/>
            <w:vAlign w:val="center"/>
          </w:tcPr>
          <w:p w14:paraId="6BB2D097"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4</w:t>
            </w:r>
          </w:p>
        </w:tc>
        <w:tc>
          <w:tcPr>
            <w:tcW w:w="1608" w:type="dxa"/>
            <w:vAlign w:val="center"/>
          </w:tcPr>
          <w:p w14:paraId="45F92B83"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86.9</w:t>
            </w:r>
          </w:p>
        </w:tc>
      </w:tr>
      <w:tr w:rsidR="009A51A2" w:rsidRPr="00B52BF6" w14:paraId="175C30A0" w14:textId="77777777" w:rsidTr="00F14DD2">
        <w:trPr>
          <w:trHeight w:val="340"/>
          <w:jc w:val="center"/>
        </w:trPr>
        <w:tc>
          <w:tcPr>
            <w:tcW w:w="3298" w:type="dxa"/>
            <w:vAlign w:val="center"/>
          </w:tcPr>
          <w:p w14:paraId="448D689D" w14:textId="77777777" w:rsidR="00F14DD2" w:rsidRPr="0010323C" w:rsidRDefault="00F14DD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Sodium chloride</w:t>
            </w:r>
          </w:p>
          <w:p w14:paraId="7FF323C7"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(approx. % w/w)</w:t>
            </w:r>
          </w:p>
        </w:tc>
        <w:tc>
          <w:tcPr>
            <w:tcW w:w="1852" w:type="dxa"/>
            <w:vAlign w:val="center"/>
          </w:tcPr>
          <w:p w14:paraId="2DB08AD8"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5</w:t>
            </w:r>
          </w:p>
        </w:tc>
        <w:tc>
          <w:tcPr>
            <w:tcW w:w="1706" w:type="dxa"/>
            <w:vAlign w:val="center"/>
          </w:tcPr>
          <w:p w14:paraId="68CB5C8E"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3</w:t>
            </w:r>
          </w:p>
        </w:tc>
        <w:tc>
          <w:tcPr>
            <w:tcW w:w="1608" w:type="dxa"/>
            <w:vAlign w:val="center"/>
          </w:tcPr>
          <w:p w14:paraId="5CAA967D" w14:textId="77777777" w:rsidR="009A51A2" w:rsidRPr="0010323C" w:rsidRDefault="009A51A2" w:rsidP="006B2116">
            <w:pPr>
              <w:keepNext/>
              <w:keepLines/>
              <w:jc w:val="center"/>
              <w:rPr>
                <w:rFonts w:ascii="Arial" w:hAnsi="Arial" w:cs="Arial"/>
                <w:color w:val="000000" w:themeColor="text1"/>
                <w:szCs w:val="22"/>
              </w:rPr>
            </w:pPr>
          </w:p>
        </w:tc>
      </w:tr>
      <w:tr w:rsidR="009A51A2" w:rsidRPr="00B52BF6" w14:paraId="4DD33A94" w14:textId="77777777" w:rsidTr="00F14DD2">
        <w:trPr>
          <w:trHeight w:val="340"/>
          <w:jc w:val="center"/>
        </w:trPr>
        <w:tc>
          <w:tcPr>
            <w:tcW w:w="3298" w:type="dxa"/>
            <w:vAlign w:val="center"/>
          </w:tcPr>
          <w:p w14:paraId="46C21D3A"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Sorbitol (approx. % w/w)</w:t>
            </w:r>
          </w:p>
        </w:tc>
        <w:tc>
          <w:tcPr>
            <w:tcW w:w="1852" w:type="dxa"/>
            <w:vAlign w:val="center"/>
          </w:tcPr>
          <w:p w14:paraId="1FE80F44"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46.7</w:t>
            </w:r>
          </w:p>
        </w:tc>
        <w:tc>
          <w:tcPr>
            <w:tcW w:w="1706" w:type="dxa"/>
            <w:vAlign w:val="center"/>
          </w:tcPr>
          <w:p w14:paraId="249E6B56"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w:t>
            </w:r>
          </w:p>
        </w:tc>
        <w:tc>
          <w:tcPr>
            <w:tcW w:w="1608" w:type="dxa"/>
            <w:vAlign w:val="center"/>
          </w:tcPr>
          <w:p w14:paraId="6C888E97" w14:textId="77777777" w:rsidR="009A51A2" w:rsidRPr="0010323C" w:rsidRDefault="009A51A2" w:rsidP="006B2116">
            <w:pPr>
              <w:keepNext/>
              <w:keepLines/>
              <w:jc w:val="center"/>
              <w:rPr>
                <w:rFonts w:ascii="Arial" w:hAnsi="Arial" w:cs="Arial"/>
                <w:color w:val="000000" w:themeColor="text1"/>
                <w:szCs w:val="22"/>
              </w:rPr>
            </w:pPr>
          </w:p>
        </w:tc>
      </w:tr>
      <w:tr w:rsidR="009A51A2" w:rsidRPr="00B52BF6" w14:paraId="781049DC" w14:textId="77777777" w:rsidTr="00F14DD2">
        <w:trPr>
          <w:trHeight w:val="340"/>
          <w:jc w:val="center"/>
        </w:trPr>
        <w:tc>
          <w:tcPr>
            <w:tcW w:w="3298" w:type="dxa"/>
            <w:vAlign w:val="center"/>
          </w:tcPr>
          <w:p w14:paraId="3B7B260B" w14:textId="77777777" w:rsidR="00F14DD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Sodium benzoate</w:t>
            </w:r>
          </w:p>
          <w:p w14:paraId="7E6F4B82"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(approx. %w/v)</w:t>
            </w:r>
          </w:p>
        </w:tc>
        <w:tc>
          <w:tcPr>
            <w:tcW w:w="1852" w:type="dxa"/>
            <w:vAlign w:val="center"/>
          </w:tcPr>
          <w:p w14:paraId="0EB0C06D"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0.3</w:t>
            </w:r>
          </w:p>
        </w:tc>
        <w:tc>
          <w:tcPr>
            <w:tcW w:w="1706" w:type="dxa"/>
            <w:vAlign w:val="center"/>
          </w:tcPr>
          <w:p w14:paraId="2DD2D55D"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w:t>
            </w:r>
          </w:p>
        </w:tc>
        <w:tc>
          <w:tcPr>
            <w:tcW w:w="1608" w:type="dxa"/>
            <w:vAlign w:val="center"/>
          </w:tcPr>
          <w:p w14:paraId="0C501A5E" w14:textId="77777777" w:rsidR="009A51A2" w:rsidRPr="0010323C" w:rsidRDefault="009A51A2" w:rsidP="006B2116">
            <w:pPr>
              <w:keepNext/>
              <w:keepLines/>
              <w:jc w:val="center"/>
              <w:rPr>
                <w:rFonts w:ascii="Arial" w:hAnsi="Arial" w:cs="Arial"/>
                <w:color w:val="000000" w:themeColor="text1"/>
                <w:szCs w:val="22"/>
              </w:rPr>
            </w:pPr>
          </w:p>
        </w:tc>
      </w:tr>
      <w:tr w:rsidR="009A51A2" w:rsidRPr="00B52BF6" w14:paraId="69645816" w14:textId="77777777" w:rsidTr="00F14DD2">
        <w:trPr>
          <w:trHeight w:val="340"/>
          <w:jc w:val="center"/>
        </w:trPr>
        <w:tc>
          <w:tcPr>
            <w:tcW w:w="3298" w:type="dxa"/>
            <w:vAlign w:val="center"/>
          </w:tcPr>
          <w:p w14:paraId="23EE623A" w14:textId="77777777" w:rsidR="00F14DD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Potassium sorbate</w:t>
            </w:r>
          </w:p>
          <w:p w14:paraId="0B3B14BA"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(approx. w/v)</w:t>
            </w:r>
          </w:p>
        </w:tc>
        <w:tc>
          <w:tcPr>
            <w:tcW w:w="1852" w:type="dxa"/>
            <w:vAlign w:val="center"/>
          </w:tcPr>
          <w:p w14:paraId="7496EC3F"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0.2</w:t>
            </w:r>
          </w:p>
        </w:tc>
        <w:tc>
          <w:tcPr>
            <w:tcW w:w="1706" w:type="dxa"/>
            <w:vAlign w:val="center"/>
          </w:tcPr>
          <w:p w14:paraId="5CF2346E"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w:t>
            </w:r>
          </w:p>
        </w:tc>
        <w:tc>
          <w:tcPr>
            <w:tcW w:w="1608" w:type="dxa"/>
            <w:vAlign w:val="center"/>
          </w:tcPr>
          <w:p w14:paraId="52D2506D" w14:textId="77777777" w:rsidR="009A51A2" w:rsidRPr="0010323C" w:rsidRDefault="009A51A2" w:rsidP="006B2116">
            <w:pPr>
              <w:keepNext/>
              <w:keepLines/>
              <w:jc w:val="center"/>
              <w:rPr>
                <w:rFonts w:ascii="Arial" w:hAnsi="Arial" w:cs="Arial"/>
                <w:color w:val="000000" w:themeColor="text1"/>
                <w:szCs w:val="22"/>
              </w:rPr>
            </w:pPr>
          </w:p>
        </w:tc>
      </w:tr>
      <w:tr w:rsidR="009A51A2" w:rsidRPr="00B52BF6" w14:paraId="274CEBEA" w14:textId="77777777" w:rsidTr="00F14DD2">
        <w:trPr>
          <w:trHeight w:val="340"/>
          <w:jc w:val="center"/>
        </w:trPr>
        <w:tc>
          <w:tcPr>
            <w:tcW w:w="3298" w:type="dxa"/>
            <w:vAlign w:val="center"/>
          </w:tcPr>
          <w:p w14:paraId="499432D0"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Corn flour (approx. w/v)</w:t>
            </w:r>
          </w:p>
        </w:tc>
        <w:tc>
          <w:tcPr>
            <w:tcW w:w="1852" w:type="dxa"/>
            <w:vAlign w:val="center"/>
          </w:tcPr>
          <w:p w14:paraId="556E21D7"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w:t>
            </w:r>
          </w:p>
        </w:tc>
        <w:tc>
          <w:tcPr>
            <w:tcW w:w="1706" w:type="dxa"/>
            <w:vAlign w:val="center"/>
          </w:tcPr>
          <w:p w14:paraId="7D150B7F"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91.9</w:t>
            </w:r>
          </w:p>
        </w:tc>
        <w:tc>
          <w:tcPr>
            <w:tcW w:w="1608" w:type="dxa"/>
            <w:vAlign w:val="center"/>
          </w:tcPr>
          <w:p w14:paraId="2B66F189" w14:textId="77777777" w:rsidR="009A51A2" w:rsidRPr="0010323C" w:rsidRDefault="009A51A2" w:rsidP="006B2116">
            <w:pPr>
              <w:keepNext/>
              <w:keepLines/>
              <w:jc w:val="center"/>
              <w:rPr>
                <w:rFonts w:ascii="Arial" w:hAnsi="Arial" w:cs="Arial"/>
                <w:color w:val="000000" w:themeColor="text1"/>
                <w:szCs w:val="22"/>
              </w:rPr>
            </w:pPr>
          </w:p>
        </w:tc>
      </w:tr>
      <w:tr w:rsidR="009A51A2" w:rsidRPr="00B52BF6" w14:paraId="5A7602CB" w14:textId="77777777" w:rsidTr="00F14DD2">
        <w:trPr>
          <w:trHeight w:val="340"/>
          <w:jc w:val="center"/>
        </w:trPr>
        <w:tc>
          <w:tcPr>
            <w:tcW w:w="3298" w:type="dxa"/>
            <w:vAlign w:val="center"/>
          </w:tcPr>
          <w:p w14:paraId="4D032D00"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Dextrin (approx. w/v)</w:t>
            </w:r>
          </w:p>
        </w:tc>
        <w:tc>
          <w:tcPr>
            <w:tcW w:w="1852" w:type="dxa"/>
            <w:vAlign w:val="center"/>
          </w:tcPr>
          <w:p w14:paraId="0DE22D4C"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w:t>
            </w:r>
          </w:p>
        </w:tc>
        <w:tc>
          <w:tcPr>
            <w:tcW w:w="1706" w:type="dxa"/>
            <w:vAlign w:val="center"/>
          </w:tcPr>
          <w:p w14:paraId="38F07D59"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0.3</w:t>
            </w:r>
          </w:p>
        </w:tc>
        <w:tc>
          <w:tcPr>
            <w:tcW w:w="1608" w:type="dxa"/>
            <w:vAlign w:val="center"/>
          </w:tcPr>
          <w:p w14:paraId="7D0596C5" w14:textId="77777777" w:rsidR="009A51A2" w:rsidRPr="0010323C" w:rsidRDefault="009A51A2" w:rsidP="006B2116">
            <w:pPr>
              <w:keepNext/>
              <w:keepLines/>
              <w:jc w:val="center"/>
              <w:rPr>
                <w:rFonts w:ascii="Arial" w:hAnsi="Arial" w:cs="Arial"/>
                <w:color w:val="000000" w:themeColor="text1"/>
                <w:szCs w:val="22"/>
              </w:rPr>
            </w:pPr>
          </w:p>
        </w:tc>
      </w:tr>
      <w:tr w:rsidR="009A51A2" w:rsidRPr="00B52BF6" w14:paraId="2F16B89A" w14:textId="77777777" w:rsidTr="00F14DD2">
        <w:trPr>
          <w:trHeight w:val="340"/>
          <w:jc w:val="center"/>
        </w:trPr>
        <w:tc>
          <w:tcPr>
            <w:tcW w:w="3298" w:type="dxa"/>
            <w:vAlign w:val="center"/>
          </w:tcPr>
          <w:p w14:paraId="7C560FEB"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Dry Matter (approx. w/v)</w:t>
            </w:r>
          </w:p>
        </w:tc>
        <w:tc>
          <w:tcPr>
            <w:tcW w:w="1852" w:type="dxa"/>
            <w:vAlign w:val="center"/>
          </w:tcPr>
          <w:p w14:paraId="0CAD92F9"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w:t>
            </w:r>
          </w:p>
        </w:tc>
        <w:tc>
          <w:tcPr>
            <w:tcW w:w="1706" w:type="dxa"/>
            <w:vAlign w:val="center"/>
          </w:tcPr>
          <w:p w14:paraId="79EC23CF"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w:t>
            </w:r>
          </w:p>
        </w:tc>
        <w:tc>
          <w:tcPr>
            <w:tcW w:w="1608" w:type="dxa"/>
            <w:vAlign w:val="center"/>
          </w:tcPr>
          <w:p w14:paraId="7326B5BB" w14:textId="77777777" w:rsidR="009A51A2" w:rsidRPr="0010323C" w:rsidRDefault="009A51A2" w:rsidP="006B2116">
            <w:pPr>
              <w:keepNext/>
              <w:keepLines/>
              <w:jc w:val="center"/>
              <w:rPr>
                <w:rFonts w:ascii="Arial" w:hAnsi="Arial" w:cs="Arial"/>
                <w:color w:val="000000" w:themeColor="text1"/>
                <w:szCs w:val="22"/>
              </w:rPr>
            </w:pPr>
            <w:r w:rsidRPr="0010323C">
              <w:rPr>
                <w:rFonts w:ascii="Arial" w:hAnsi="Arial" w:cs="Arial"/>
                <w:color w:val="000000" w:themeColor="text1"/>
                <w:szCs w:val="22"/>
              </w:rPr>
              <w:t>13.1</w:t>
            </w:r>
          </w:p>
        </w:tc>
      </w:tr>
    </w:tbl>
    <w:p w14:paraId="15B4B48E" w14:textId="77777777" w:rsidR="009A51A2" w:rsidRPr="0010323C" w:rsidRDefault="009A51A2" w:rsidP="006B2116">
      <w:pPr>
        <w:keepNext/>
        <w:keepLines/>
        <w:autoSpaceDE w:val="0"/>
        <w:autoSpaceDN w:val="0"/>
        <w:adjustRightInd w:val="0"/>
        <w:rPr>
          <w:rFonts w:eastAsiaTheme="minorHAnsi" w:cs="Arial"/>
          <w:color w:val="000000" w:themeColor="text1"/>
          <w:sz w:val="18"/>
          <w:szCs w:val="20"/>
          <w:lang w:bidi="ar-SA"/>
        </w:rPr>
      </w:pPr>
      <w:r w:rsidRPr="0010323C">
        <w:rPr>
          <w:rFonts w:cs="Arial"/>
          <w:color w:val="000000" w:themeColor="text1"/>
          <w:sz w:val="18"/>
          <w:szCs w:val="20"/>
          <w:vertAlign w:val="superscript"/>
        </w:rPr>
        <w:t xml:space="preserve">1 </w:t>
      </w:r>
      <w:r w:rsidRPr="0010323C">
        <w:rPr>
          <w:rFonts w:cs="Arial"/>
          <w:color w:val="000000" w:themeColor="text1"/>
          <w:sz w:val="18"/>
          <w:szCs w:val="20"/>
        </w:rPr>
        <w:t>TASU = Thermostable Asparaginase</w:t>
      </w:r>
      <w:r w:rsidRPr="0010323C">
        <w:rPr>
          <w:rFonts w:eastAsiaTheme="minorHAnsi" w:cs="Arial"/>
          <w:color w:val="000000" w:themeColor="text1"/>
          <w:sz w:val="18"/>
          <w:szCs w:val="20"/>
          <w:lang w:bidi="ar-SA"/>
        </w:rPr>
        <w:t xml:space="preserve"> Units (calculation method provided by Applicant)</w:t>
      </w:r>
    </w:p>
    <w:p w14:paraId="507F5F70" w14:textId="07573CB6" w:rsidR="009A51A2" w:rsidRDefault="0025773B" w:rsidP="00F14DD2">
      <w:pPr>
        <w:pStyle w:val="Heading3"/>
      </w:pPr>
      <w:bookmarkStart w:id="34" w:name="_Toc422315743"/>
      <w:r>
        <w:t>3.4.1</w:t>
      </w:r>
      <w:r>
        <w:tab/>
      </w:r>
      <w:r w:rsidR="009A51A2">
        <w:t>Genotoxicity</w:t>
      </w:r>
      <w:bookmarkEnd w:id="34"/>
    </w:p>
    <w:p w14:paraId="417D19D7" w14:textId="77777777" w:rsidR="009A51A2" w:rsidRPr="008C3269" w:rsidRDefault="009A51A2" w:rsidP="00F14DD2">
      <w:pPr>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8C3269">
        <w:rPr>
          <w:rFonts w:cs="Arial"/>
          <w:b/>
          <w:color w:val="000000" w:themeColor="text1"/>
          <w:sz w:val="20"/>
          <w:szCs w:val="20"/>
        </w:rPr>
        <w:t>Individual studies</w:t>
      </w:r>
    </w:p>
    <w:p w14:paraId="775511E3" w14:textId="77777777" w:rsidR="009A51A2" w:rsidRPr="008C3269" w:rsidRDefault="009A51A2" w:rsidP="00F14DD2">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r w:rsidRPr="008C3269">
        <w:rPr>
          <w:rFonts w:cs="Arial"/>
          <w:color w:val="000000" w:themeColor="text1"/>
          <w:sz w:val="20"/>
          <w:szCs w:val="20"/>
        </w:rPr>
        <w:t xml:space="preserve">Pedersen, P.B. (2013). </w:t>
      </w:r>
      <w:r w:rsidRPr="008C3269">
        <w:rPr>
          <w:rFonts w:eastAsiaTheme="minorHAnsi" w:cs="Arial"/>
          <w:bCs/>
          <w:color w:val="000000" w:themeColor="text1"/>
          <w:sz w:val="20"/>
          <w:szCs w:val="20"/>
          <w:lang w:bidi="ar-SA"/>
        </w:rPr>
        <w:t xml:space="preserve">Asparaginase, batch PPV33595: Test for mutagenic activity with strains of </w:t>
      </w:r>
      <w:r w:rsidRPr="008C3269">
        <w:rPr>
          <w:rFonts w:eastAsiaTheme="minorHAnsi" w:cs="Arial"/>
          <w:bCs/>
          <w:i/>
          <w:color w:val="000000" w:themeColor="text1"/>
          <w:sz w:val="20"/>
          <w:szCs w:val="20"/>
          <w:lang w:bidi="ar-SA"/>
        </w:rPr>
        <w:t xml:space="preserve">Salmonella typhimurium </w:t>
      </w:r>
      <w:r w:rsidRPr="008C3269">
        <w:rPr>
          <w:rFonts w:eastAsiaTheme="minorHAnsi" w:cs="Arial"/>
          <w:bCs/>
          <w:color w:val="000000" w:themeColor="text1"/>
          <w:sz w:val="20"/>
          <w:szCs w:val="20"/>
          <w:lang w:bidi="ar-SA"/>
        </w:rPr>
        <w:t xml:space="preserve">and </w:t>
      </w:r>
      <w:r w:rsidRPr="008C3269">
        <w:rPr>
          <w:rFonts w:eastAsiaTheme="minorHAnsi" w:cs="Arial"/>
          <w:bCs/>
          <w:i/>
          <w:color w:val="000000" w:themeColor="text1"/>
          <w:sz w:val="20"/>
          <w:szCs w:val="20"/>
          <w:lang w:bidi="ar-SA"/>
        </w:rPr>
        <w:t>Escherichia coli</w:t>
      </w:r>
      <w:r>
        <w:rPr>
          <w:rFonts w:eastAsiaTheme="minorHAnsi" w:cs="Arial"/>
          <w:bCs/>
          <w:color w:val="000000" w:themeColor="text1"/>
          <w:sz w:val="20"/>
          <w:szCs w:val="20"/>
          <w:lang w:bidi="ar-SA"/>
        </w:rPr>
        <w:t>. Novozymes reference no.</w:t>
      </w:r>
      <w:r w:rsidRPr="008C3269">
        <w:rPr>
          <w:rFonts w:cs="Arial"/>
          <w:color w:val="000000" w:themeColor="text1"/>
          <w:sz w:val="20"/>
          <w:szCs w:val="20"/>
        </w:rPr>
        <w:t xml:space="preserve"> 20128071 (File 2013-01259-01), Novozymes A/S (unpublished).</w:t>
      </w:r>
    </w:p>
    <w:p w14:paraId="159C27EE" w14:textId="77777777" w:rsidR="009A51A2" w:rsidRPr="008C3269" w:rsidRDefault="009A51A2" w:rsidP="00F14DD2">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r w:rsidRPr="008C3269">
        <w:rPr>
          <w:rFonts w:cs="Arial"/>
          <w:color w:val="000000" w:themeColor="text1"/>
          <w:sz w:val="20"/>
          <w:szCs w:val="20"/>
        </w:rPr>
        <w:t xml:space="preserve">May, K. (2012). Asparaginase, PPV33595: </w:t>
      </w:r>
      <w:r w:rsidRPr="008C3269">
        <w:rPr>
          <w:rFonts w:cs="Arial"/>
          <w:i/>
          <w:color w:val="000000" w:themeColor="text1"/>
          <w:sz w:val="20"/>
          <w:szCs w:val="20"/>
        </w:rPr>
        <w:t>In vitro</w:t>
      </w:r>
      <w:r w:rsidRPr="008C3269">
        <w:rPr>
          <w:rFonts w:cs="Arial"/>
          <w:color w:val="000000" w:themeColor="text1"/>
          <w:sz w:val="20"/>
          <w:szCs w:val="20"/>
        </w:rPr>
        <w:t xml:space="preserve"> micronucleus test in cultured human lymphocytes </w:t>
      </w:r>
      <w:r w:rsidRPr="008C3269">
        <w:rPr>
          <w:rFonts w:eastAsiaTheme="minorHAnsi" w:cs="Arial"/>
          <w:bCs/>
          <w:color w:val="000000" w:themeColor="text1"/>
          <w:sz w:val="20"/>
          <w:szCs w:val="20"/>
          <w:lang w:bidi="ar-SA"/>
        </w:rPr>
        <w:t xml:space="preserve"> Huntingdon Life Sciences study no. LKG0062</w:t>
      </w:r>
      <w:r>
        <w:rPr>
          <w:rFonts w:eastAsiaTheme="minorHAnsi" w:cs="Arial"/>
          <w:bCs/>
          <w:color w:val="000000" w:themeColor="text1"/>
          <w:sz w:val="20"/>
          <w:szCs w:val="20"/>
          <w:lang w:bidi="ar-SA"/>
        </w:rPr>
        <w:t>,Novozymes reference no. 20126013 (File 2012-19300-01)</w:t>
      </w:r>
      <w:r w:rsidRPr="008C3269">
        <w:rPr>
          <w:rFonts w:eastAsiaTheme="minorHAnsi" w:cs="Arial"/>
          <w:bCs/>
          <w:color w:val="000000" w:themeColor="text1"/>
          <w:sz w:val="20"/>
          <w:szCs w:val="20"/>
          <w:lang w:bidi="ar-SA"/>
        </w:rPr>
        <w:t xml:space="preserve"> (unpublished)</w:t>
      </w:r>
    </w:p>
    <w:p w14:paraId="22B48FAF" w14:textId="77777777" w:rsidR="009A51A2" w:rsidRPr="004058DC" w:rsidRDefault="009A51A2" w:rsidP="00F14DD2">
      <w:pPr>
        <w:rPr>
          <w:rFonts w:cs="Arial"/>
          <w:color w:val="000000" w:themeColor="text1"/>
        </w:rPr>
      </w:pPr>
    </w:p>
    <w:p w14:paraId="03F8E539" w14:textId="116D0AF6" w:rsidR="009A51A2" w:rsidRPr="004058DC" w:rsidRDefault="009A51A2" w:rsidP="00F14DD2">
      <w:pPr>
        <w:autoSpaceDE w:val="0"/>
        <w:autoSpaceDN w:val="0"/>
        <w:adjustRightInd w:val="0"/>
        <w:rPr>
          <w:rFonts w:eastAsiaTheme="minorHAnsi" w:cs="Arial"/>
          <w:color w:val="000000" w:themeColor="text1"/>
          <w:lang w:bidi="ar-SA"/>
        </w:rPr>
      </w:pPr>
      <w:r>
        <w:rPr>
          <w:rFonts w:cs="Arial"/>
          <w:color w:val="000000" w:themeColor="text1"/>
        </w:rPr>
        <w:t>The outcomes</w:t>
      </w:r>
      <w:r w:rsidRPr="004058DC">
        <w:rPr>
          <w:rFonts w:cs="Arial"/>
          <w:color w:val="000000" w:themeColor="text1"/>
        </w:rPr>
        <w:t xml:space="preserve"> of these </w:t>
      </w:r>
      <w:r w:rsidRPr="004058DC">
        <w:rPr>
          <w:rFonts w:cs="Arial"/>
          <w:i/>
          <w:color w:val="000000" w:themeColor="text1"/>
        </w:rPr>
        <w:t>in vitro</w:t>
      </w:r>
      <w:r w:rsidRPr="004058DC">
        <w:rPr>
          <w:rFonts w:cs="Arial"/>
          <w:color w:val="000000" w:themeColor="text1"/>
        </w:rPr>
        <w:t xml:space="preserve"> studies are summarised in</w:t>
      </w:r>
      <w:r w:rsidR="006B2116">
        <w:rPr>
          <w:rFonts w:cs="Arial"/>
          <w:color w:val="000000" w:themeColor="text1"/>
        </w:rPr>
        <w:t xml:space="preserve"> </w:t>
      </w:r>
      <w:r w:rsidR="006B2116">
        <w:rPr>
          <w:rFonts w:cs="Arial"/>
          <w:color w:val="000000" w:themeColor="text1"/>
        </w:rPr>
        <w:fldChar w:fldCharType="begin"/>
      </w:r>
      <w:r w:rsidR="006B2116">
        <w:rPr>
          <w:rFonts w:cs="Arial"/>
          <w:color w:val="000000" w:themeColor="text1"/>
        </w:rPr>
        <w:instrText xml:space="preserve"> REF _Ref414278929 \h </w:instrText>
      </w:r>
      <w:r w:rsidR="006B2116">
        <w:rPr>
          <w:rFonts w:cs="Arial"/>
          <w:color w:val="000000" w:themeColor="text1"/>
        </w:rPr>
      </w:r>
      <w:r w:rsidR="006B2116">
        <w:rPr>
          <w:rFonts w:cs="Arial"/>
          <w:color w:val="000000" w:themeColor="text1"/>
        </w:rPr>
        <w:fldChar w:fldCharType="separate"/>
      </w:r>
      <w:r w:rsidR="007A7B2C" w:rsidRPr="0025773B">
        <w:rPr>
          <w:szCs w:val="22"/>
        </w:rPr>
        <w:t xml:space="preserve">Table </w:t>
      </w:r>
      <w:r w:rsidR="006B2116">
        <w:rPr>
          <w:rFonts w:cs="Arial"/>
          <w:color w:val="000000" w:themeColor="text1"/>
        </w:rPr>
        <w:fldChar w:fldCharType="end"/>
      </w:r>
      <w:r w:rsidRPr="004058DC">
        <w:rPr>
          <w:rFonts w:cs="Arial"/>
          <w:color w:val="000000" w:themeColor="text1"/>
        </w:rPr>
        <w:t xml:space="preserve">. Negative (water vehicle) and positive controls were tested in each study and gave expected results. The micronucleus study comprised two experiments that involved two different exposure times and S9 presence/absence. </w:t>
      </w:r>
      <w:r>
        <w:rPr>
          <w:rFonts w:cs="Arial"/>
          <w:color w:val="000000" w:themeColor="text1"/>
        </w:rPr>
        <w:t>Both studies gave negative results.</w:t>
      </w:r>
    </w:p>
    <w:p w14:paraId="7E7E7B78" w14:textId="77777777" w:rsidR="009A51A2" w:rsidRDefault="009A51A2" w:rsidP="00F14DD2">
      <w:pPr>
        <w:rPr>
          <w:rFonts w:cs="Arial"/>
          <w:color w:val="000000" w:themeColor="text1"/>
        </w:rPr>
      </w:pPr>
    </w:p>
    <w:p w14:paraId="55539A89" w14:textId="0E828C6D" w:rsidR="006B2116" w:rsidRDefault="006B2116" w:rsidP="006B2116">
      <w:pPr>
        <w:pStyle w:val="FSTableHeading"/>
        <w:keepNext/>
        <w:keepLines/>
        <w:ind w:left="1134" w:hanging="1134"/>
        <w:jc w:val="left"/>
        <w:rPr>
          <w:rFonts w:ascii="Arial" w:hAnsi="Arial"/>
          <w:color w:val="000000" w:themeColor="text1"/>
          <w:sz w:val="22"/>
          <w:szCs w:val="22"/>
        </w:rPr>
      </w:pPr>
      <w:bookmarkStart w:id="35" w:name="_Ref414278929"/>
      <w:r w:rsidRPr="0025773B">
        <w:rPr>
          <w:sz w:val="22"/>
          <w:szCs w:val="22"/>
        </w:rPr>
        <w:lastRenderedPageBreak/>
        <w:t xml:space="preserve">Table </w:t>
      </w:r>
      <w:bookmarkEnd w:id="35"/>
      <w:r w:rsidR="00FC00E9" w:rsidRPr="0025773B">
        <w:rPr>
          <w:sz w:val="22"/>
          <w:szCs w:val="22"/>
        </w:rPr>
        <w:t>4</w:t>
      </w:r>
      <w:r w:rsidRPr="0025773B">
        <w:rPr>
          <w:sz w:val="22"/>
          <w:szCs w:val="22"/>
        </w:rPr>
        <w:t>:</w:t>
      </w:r>
      <w:r w:rsidRPr="0025773B">
        <w:rPr>
          <w:sz w:val="22"/>
          <w:szCs w:val="22"/>
        </w:rPr>
        <w:tab/>
      </w:r>
      <w:r w:rsidRPr="0025773B">
        <w:rPr>
          <w:rFonts w:ascii="Arial" w:hAnsi="Arial"/>
          <w:color w:val="000000" w:themeColor="text1"/>
          <w:sz w:val="22"/>
          <w:szCs w:val="22"/>
        </w:rPr>
        <w:t>Summary of genotoxicity test results</w:t>
      </w:r>
    </w:p>
    <w:p w14:paraId="38C0B483" w14:textId="77777777" w:rsidR="0025773B" w:rsidRPr="0025773B" w:rsidRDefault="0025773B" w:rsidP="006B2116">
      <w:pPr>
        <w:pStyle w:val="FSTableHeading"/>
        <w:keepNext/>
        <w:keepLines/>
        <w:ind w:left="1134" w:hanging="1134"/>
        <w:jc w:val="left"/>
        <w:rPr>
          <w:color w:val="000000" w:themeColor="text1"/>
          <w:sz w:val="22"/>
          <w:szCs w:val="22"/>
        </w:rPr>
      </w:pPr>
    </w:p>
    <w:tbl>
      <w:tblPr>
        <w:tblStyle w:val="TableGrid"/>
        <w:tblW w:w="0" w:type="auto"/>
        <w:tblInd w:w="108" w:type="dxa"/>
        <w:tblLook w:val="04A0" w:firstRow="1" w:lastRow="0" w:firstColumn="1" w:lastColumn="0" w:noHBand="0" w:noVBand="1"/>
      </w:tblPr>
      <w:tblGrid>
        <w:gridCol w:w="1430"/>
        <w:gridCol w:w="1831"/>
        <w:gridCol w:w="1984"/>
        <w:gridCol w:w="2410"/>
        <w:gridCol w:w="992"/>
      </w:tblGrid>
      <w:tr w:rsidR="009A51A2" w:rsidRPr="004058DC" w14:paraId="732994A6" w14:textId="77777777" w:rsidTr="00F14DD2">
        <w:trPr>
          <w:trHeight w:val="619"/>
          <w:tblHeader/>
        </w:trPr>
        <w:tc>
          <w:tcPr>
            <w:tcW w:w="1430" w:type="dxa"/>
            <w:shd w:val="clear" w:color="auto" w:fill="C6D9F1" w:themeFill="text2" w:themeFillTint="33"/>
            <w:vAlign w:val="center"/>
          </w:tcPr>
          <w:p w14:paraId="035C61D9" w14:textId="77777777" w:rsidR="009A51A2" w:rsidRPr="004058DC" w:rsidRDefault="009A51A2" w:rsidP="006B2116">
            <w:pPr>
              <w:keepNext/>
              <w:keepLines/>
              <w:jc w:val="center"/>
              <w:rPr>
                <w:rFonts w:ascii="Arial" w:hAnsi="Arial" w:cs="Arial"/>
                <w:b/>
                <w:color w:val="000000" w:themeColor="text1"/>
                <w:sz w:val="18"/>
                <w:szCs w:val="18"/>
              </w:rPr>
            </w:pPr>
            <w:r w:rsidRPr="004058DC">
              <w:rPr>
                <w:rFonts w:ascii="Arial" w:hAnsi="Arial" w:cs="Arial"/>
                <w:b/>
                <w:color w:val="000000" w:themeColor="text1"/>
                <w:sz w:val="18"/>
                <w:szCs w:val="18"/>
              </w:rPr>
              <w:t>Test</w:t>
            </w:r>
          </w:p>
        </w:tc>
        <w:tc>
          <w:tcPr>
            <w:tcW w:w="1831" w:type="dxa"/>
            <w:shd w:val="clear" w:color="auto" w:fill="C6D9F1" w:themeFill="text2" w:themeFillTint="33"/>
            <w:vAlign w:val="center"/>
          </w:tcPr>
          <w:p w14:paraId="0A2280C7" w14:textId="77777777" w:rsidR="009A51A2" w:rsidRPr="004058DC" w:rsidRDefault="009A51A2" w:rsidP="006B2116">
            <w:pPr>
              <w:keepNext/>
              <w:keepLines/>
              <w:jc w:val="center"/>
              <w:rPr>
                <w:rFonts w:ascii="Arial" w:hAnsi="Arial" w:cs="Arial"/>
                <w:b/>
                <w:color w:val="000000" w:themeColor="text1"/>
                <w:sz w:val="18"/>
                <w:szCs w:val="18"/>
              </w:rPr>
            </w:pPr>
            <w:r w:rsidRPr="004058DC">
              <w:rPr>
                <w:rFonts w:ascii="Arial" w:hAnsi="Arial" w:cs="Arial"/>
                <w:b/>
                <w:color w:val="000000" w:themeColor="text1"/>
                <w:sz w:val="18"/>
                <w:szCs w:val="18"/>
              </w:rPr>
              <w:t>Test system</w:t>
            </w:r>
          </w:p>
        </w:tc>
        <w:tc>
          <w:tcPr>
            <w:tcW w:w="1984" w:type="dxa"/>
            <w:shd w:val="clear" w:color="auto" w:fill="C6D9F1" w:themeFill="text2" w:themeFillTint="33"/>
            <w:vAlign w:val="center"/>
          </w:tcPr>
          <w:p w14:paraId="68B2F595" w14:textId="77777777" w:rsidR="009A51A2" w:rsidRPr="004058DC" w:rsidRDefault="009A51A2" w:rsidP="006B2116">
            <w:pPr>
              <w:keepNext/>
              <w:keepLines/>
              <w:jc w:val="center"/>
              <w:rPr>
                <w:rFonts w:ascii="Arial" w:hAnsi="Arial" w:cs="Arial"/>
                <w:b/>
                <w:color w:val="000000" w:themeColor="text1"/>
                <w:sz w:val="18"/>
                <w:szCs w:val="18"/>
              </w:rPr>
            </w:pPr>
            <w:r w:rsidRPr="004058DC">
              <w:rPr>
                <w:rFonts w:ascii="Arial" w:hAnsi="Arial" w:cs="Arial"/>
                <w:b/>
                <w:color w:val="000000" w:themeColor="text1"/>
                <w:sz w:val="18"/>
                <w:szCs w:val="18"/>
              </w:rPr>
              <w:t>Test article</w:t>
            </w:r>
          </w:p>
        </w:tc>
        <w:tc>
          <w:tcPr>
            <w:tcW w:w="2410" w:type="dxa"/>
            <w:shd w:val="clear" w:color="auto" w:fill="C6D9F1" w:themeFill="text2" w:themeFillTint="33"/>
            <w:vAlign w:val="center"/>
          </w:tcPr>
          <w:p w14:paraId="3484442C" w14:textId="77777777" w:rsidR="009A51A2" w:rsidRPr="004058DC" w:rsidRDefault="009A51A2" w:rsidP="006B2116">
            <w:pPr>
              <w:keepNext/>
              <w:keepLines/>
              <w:jc w:val="center"/>
              <w:rPr>
                <w:rFonts w:ascii="Arial" w:hAnsi="Arial" w:cs="Arial"/>
                <w:b/>
                <w:color w:val="000000" w:themeColor="text1"/>
                <w:sz w:val="18"/>
                <w:szCs w:val="18"/>
              </w:rPr>
            </w:pPr>
            <w:r w:rsidRPr="004058DC">
              <w:rPr>
                <w:rFonts w:ascii="Arial" w:hAnsi="Arial" w:cs="Arial"/>
                <w:b/>
                <w:color w:val="000000" w:themeColor="text1"/>
                <w:sz w:val="18"/>
                <w:szCs w:val="18"/>
              </w:rPr>
              <w:t>Concentration or dose range</w:t>
            </w:r>
          </w:p>
        </w:tc>
        <w:tc>
          <w:tcPr>
            <w:tcW w:w="992" w:type="dxa"/>
            <w:shd w:val="clear" w:color="auto" w:fill="C6D9F1" w:themeFill="text2" w:themeFillTint="33"/>
            <w:vAlign w:val="center"/>
          </w:tcPr>
          <w:p w14:paraId="51382D2A" w14:textId="77777777" w:rsidR="009A51A2" w:rsidRPr="004058DC" w:rsidRDefault="009A51A2" w:rsidP="006B2116">
            <w:pPr>
              <w:keepNext/>
              <w:keepLines/>
              <w:jc w:val="center"/>
              <w:rPr>
                <w:rFonts w:ascii="Arial" w:hAnsi="Arial" w:cs="Arial"/>
                <w:b/>
                <w:color w:val="000000" w:themeColor="text1"/>
                <w:sz w:val="18"/>
                <w:szCs w:val="18"/>
              </w:rPr>
            </w:pPr>
            <w:r w:rsidRPr="004058DC">
              <w:rPr>
                <w:rFonts w:ascii="Arial" w:hAnsi="Arial" w:cs="Arial"/>
                <w:b/>
                <w:color w:val="000000" w:themeColor="text1"/>
                <w:sz w:val="18"/>
                <w:szCs w:val="18"/>
              </w:rPr>
              <w:t>Result</w:t>
            </w:r>
          </w:p>
        </w:tc>
      </w:tr>
      <w:tr w:rsidR="009A51A2" w:rsidRPr="004058DC" w14:paraId="645E7A80" w14:textId="77777777" w:rsidTr="00F14DD2">
        <w:trPr>
          <w:trHeight w:val="1267"/>
        </w:trPr>
        <w:tc>
          <w:tcPr>
            <w:tcW w:w="1430" w:type="dxa"/>
            <w:vAlign w:val="center"/>
          </w:tcPr>
          <w:p w14:paraId="1D388FD4" w14:textId="77777777" w:rsidR="009A51A2" w:rsidRPr="004058DC" w:rsidRDefault="009A51A2" w:rsidP="006B2116">
            <w:pPr>
              <w:keepNext/>
              <w:keepLines/>
              <w:rPr>
                <w:rFonts w:ascii="Arial" w:hAnsi="Arial" w:cs="Arial"/>
                <w:color w:val="000000" w:themeColor="text1"/>
                <w:sz w:val="18"/>
                <w:szCs w:val="18"/>
              </w:rPr>
            </w:pPr>
            <w:r w:rsidRPr="004058DC">
              <w:rPr>
                <w:rFonts w:ascii="Arial" w:hAnsi="Arial" w:cs="Arial"/>
                <w:color w:val="000000" w:themeColor="text1"/>
                <w:sz w:val="18"/>
                <w:szCs w:val="18"/>
              </w:rPr>
              <w:t>Bacterial reverse mutation (Ames test)</w:t>
            </w:r>
          </w:p>
        </w:tc>
        <w:tc>
          <w:tcPr>
            <w:tcW w:w="1831" w:type="dxa"/>
            <w:vAlign w:val="center"/>
          </w:tcPr>
          <w:p w14:paraId="1DF284AB" w14:textId="77777777" w:rsidR="009A51A2" w:rsidRPr="004058DC" w:rsidRDefault="009A51A2" w:rsidP="006B2116">
            <w:pPr>
              <w:keepNext/>
              <w:keepLines/>
              <w:ind w:left="22"/>
              <w:rPr>
                <w:rFonts w:ascii="Arial" w:hAnsi="Arial" w:cs="Arial"/>
                <w:color w:val="000000" w:themeColor="text1"/>
                <w:sz w:val="18"/>
                <w:szCs w:val="18"/>
              </w:rPr>
            </w:pPr>
            <w:r w:rsidRPr="004058DC">
              <w:rPr>
                <w:rFonts w:ascii="Arial" w:hAnsi="Arial" w:cs="Arial"/>
                <w:i/>
                <w:color w:val="000000" w:themeColor="text1"/>
                <w:sz w:val="18"/>
                <w:szCs w:val="18"/>
              </w:rPr>
              <w:t>Salmonella typhimurium</w:t>
            </w:r>
            <w:r w:rsidRPr="004058DC">
              <w:rPr>
                <w:rFonts w:ascii="Arial" w:hAnsi="Arial" w:cs="Arial"/>
                <w:color w:val="000000" w:themeColor="text1"/>
                <w:sz w:val="18"/>
                <w:szCs w:val="18"/>
              </w:rPr>
              <w:t xml:space="preserve"> strains TA 98, 100, 1535 &amp; 1537</w:t>
            </w:r>
          </w:p>
          <w:p w14:paraId="7BD866FD" w14:textId="77777777" w:rsidR="009A51A2" w:rsidRPr="004058DC" w:rsidRDefault="009A51A2" w:rsidP="006B2116">
            <w:pPr>
              <w:keepNext/>
              <w:keepLines/>
              <w:ind w:left="22"/>
              <w:rPr>
                <w:rFonts w:ascii="Arial" w:hAnsi="Arial" w:cs="Arial"/>
                <w:color w:val="000000" w:themeColor="text1"/>
                <w:sz w:val="18"/>
                <w:szCs w:val="18"/>
              </w:rPr>
            </w:pPr>
          </w:p>
          <w:p w14:paraId="37F3F411" w14:textId="77777777" w:rsidR="009A51A2" w:rsidRPr="004058DC" w:rsidRDefault="009A51A2" w:rsidP="006B2116">
            <w:pPr>
              <w:keepNext/>
              <w:keepLines/>
              <w:ind w:left="22"/>
              <w:rPr>
                <w:rFonts w:ascii="Arial" w:hAnsi="Arial" w:cs="Arial"/>
                <w:color w:val="000000" w:themeColor="text1"/>
                <w:sz w:val="18"/>
                <w:szCs w:val="18"/>
              </w:rPr>
            </w:pPr>
            <w:r w:rsidRPr="004058DC">
              <w:rPr>
                <w:rFonts w:ascii="Arial" w:hAnsi="Arial" w:cs="Arial"/>
                <w:i/>
                <w:color w:val="000000" w:themeColor="text1"/>
                <w:sz w:val="18"/>
                <w:szCs w:val="18"/>
              </w:rPr>
              <w:t>Escherichia coli</w:t>
            </w:r>
            <w:r w:rsidRPr="004058DC">
              <w:rPr>
                <w:rFonts w:ascii="Arial" w:hAnsi="Arial" w:cs="Arial"/>
                <w:color w:val="000000" w:themeColor="text1"/>
                <w:sz w:val="18"/>
                <w:szCs w:val="18"/>
              </w:rPr>
              <w:t xml:space="preserve"> strain WP2 </w:t>
            </w:r>
            <w:r w:rsidRPr="004058DC">
              <w:rPr>
                <w:rFonts w:ascii="Arial" w:hAnsi="Arial" w:cs="Arial"/>
                <w:i/>
                <w:color w:val="000000" w:themeColor="text1"/>
                <w:sz w:val="18"/>
                <w:szCs w:val="18"/>
              </w:rPr>
              <w:t>uvrApKM101</w:t>
            </w:r>
          </w:p>
        </w:tc>
        <w:tc>
          <w:tcPr>
            <w:tcW w:w="1984" w:type="dxa"/>
            <w:vAlign w:val="center"/>
          </w:tcPr>
          <w:p w14:paraId="24E70944" w14:textId="77777777" w:rsidR="009A51A2" w:rsidRPr="004058DC" w:rsidRDefault="009A51A2" w:rsidP="006B2116">
            <w:pPr>
              <w:keepNext/>
              <w:keepLines/>
              <w:rPr>
                <w:rFonts w:ascii="Arial" w:hAnsi="Arial" w:cs="Arial"/>
                <w:color w:val="000000" w:themeColor="text1"/>
                <w:sz w:val="18"/>
                <w:szCs w:val="18"/>
              </w:rPr>
            </w:pPr>
            <w:r w:rsidRPr="004058DC">
              <w:rPr>
                <w:rFonts w:ascii="Arial" w:hAnsi="Arial" w:cs="Arial"/>
                <w:color w:val="000000" w:themeColor="text1"/>
                <w:sz w:val="18"/>
                <w:szCs w:val="18"/>
              </w:rPr>
              <w:t xml:space="preserve">asparaginase obtained from </w:t>
            </w:r>
            <w:r w:rsidRPr="004058DC">
              <w:rPr>
                <w:rFonts w:ascii="Arial" w:hAnsi="Arial" w:cs="Arial"/>
                <w:i/>
                <w:color w:val="000000" w:themeColor="text1"/>
                <w:sz w:val="18"/>
                <w:szCs w:val="18"/>
              </w:rPr>
              <w:t>B. subtilis</w:t>
            </w:r>
          </w:p>
          <w:p w14:paraId="4E5B4E6B" w14:textId="77777777" w:rsidR="009A51A2" w:rsidRPr="004058DC" w:rsidRDefault="009A51A2" w:rsidP="006B2116">
            <w:pPr>
              <w:keepNext/>
              <w:keepLines/>
              <w:rPr>
                <w:rFonts w:ascii="Arial" w:hAnsi="Arial" w:cs="Arial"/>
                <w:color w:val="000000" w:themeColor="text1"/>
                <w:sz w:val="18"/>
                <w:szCs w:val="18"/>
              </w:rPr>
            </w:pPr>
          </w:p>
          <w:p w14:paraId="1FDC3B1C" w14:textId="77777777" w:rsidR="009A51A2" w:rsidRPr="004058DC" w:rsidRDefault="009A51A2" w:rsidP="006B2116">
            <w:pPr>
              <w:keepNext/>
              <w:keepLines/>
              <w:rPr>
                <w:rFonts w:ascii="Arial" w:hAnsi="Arial" w:cs="Arial"/>
                <w:color w:val="000000" w:themeColor="text1"/>
                <w:sz w:val="18"/>
                <w:szCs w:val="18"/>
              </w:rPr>
            </w:pPr>
            <w:r w:rsidRPr="004058DC">
              <w:rPr>
                <w:rFonts w:ascii="Arial" w:hAnsi="Arial" w:cs="Arial"/>
                <w:color w:val="000000" w:themeColor="text1"/>
                <w:sz w:val="18"/>
                <w:szCs w:val="18"/>
              </w:rPr>
              <w:t>(Batch No.PV33595)</w:t>
            </w:r>
          </w:p>
          <w:p w14:paraId="5ED46BA6" w14:textId="77777777" w:rsidR="009A51A2" w:rsidRPr="004058DC" w:rsidRDefault="009A51A2" w:rsidP="006B2116">
            <w:pPr>
              <w:keepNext/>
              <w:keepLines/>
              <w:rPr>
                <w:rFonts w:ascii="Arial" w:hAnsi="Arial" w:cs="Arial"/>
                <w:color w:val="000000" w:themeColor="text1"/>
                <w:sz w:val="18"/>
                <w:szCs w:val="18"/>
              </w:rPr>
            </w:pPr>
          </w:p>
          <w:p w14:paraId="1632AE47" w14:textId="77777777" w:rsidR="009A51A2" w:rsidRPr="004058DC" w:rsidRDefault="009A51A2" w:rsidP="006B2116">
            <w:pPr>
              <w:keepNext/>
              <w:keepLines/>
              <w:rPr>
                <w:rFonts w:ascii="Arial" w:hAnsi="Arial" w:cs="Arial"/>
                <w:color w:val="000000" w:themeColor="text1"/>
                <w:sz w:val="18"/>
                <w:szCs w:val="18"/>
              </w:rPr>
            </w:pPr>
            <w:r w:rsidRPr="004058DC">
              <w:rPr>
                <w:rFonts w:ascii="Arial" w:hAnsi="Arial" w:cs="Arial"/>
                <w:color w:val="000000" w:themeColor="text1"/>
                <w:sz w:val="18"/>
                <w:szCs w:val="18"/>
              </w:rPr>
              <w:t>Water vehicle</w:t>
            </w:r>
          </w:p>
        </w:tc>
        <w:tc>
          <w:tcPr>
            <w:tcW w:w="2410" w:type="dxa"/>
            <w:vAlign w:val="center"/>
          </w:tcPr>
          <w:p w14:paraId="31548DA5" w14:textId="77777777" w:rsidR="009A51A2" w:rsidRPr="004058DC" w:rsidRDefault="009A51A2" w:rsidP="006B2116">
            <w:pPr>
              <w:keepNext/>
              <w:keepLines/>
              <w:autoSpaceDE w:val="0"/>
              <w:autoSpaceDN w:val="0"/>
              <w:adjustRightInd w:val="0"/>
              <w:rPr>
                <w:rFonts w:ascii="Arial" w:hAnsi="Arial" w:cs="Arial"/>
                <w:color w:val="000000" w:themeColor="text1"/>
                <w:sz w:val="18"/>
                <w:szCs w:val="18"/>
                <w:vertAlign w:val="superscript"/>
              </w:rPr>
            </w:pPr>
            <w:r w:rsidRPr="004058DC">
              <w:rPr>
                <w:rFonts w:ascii="Arial" w:eastAsiaTheme="minorHAnsi" w:hAnsi="Arial" w:cs="Arial"/>
                <w:color w:val="000000" w:themeColor="text1"/>
                <w:sz w:val="18"/>
                <w:szCs w:val="18"/>
                <w:lang w:bidi="ar-SA"/>
              </w:rPr>
              <w:t>156–5000 μg</w:t>
            </w:r>
            <w:r w:rsidR="00F14DD2">
              <w:rPr>
                <w:rFonts w:ascii="Arial" w:eastAsiaTheme="minorHAnsi" w:hAnsi="Arial" w:cs="Arial"/>
                <w:color w:val="000000" w:themeColor="text1"/>
                <w:sz w:val="18"/>
                <w:szCs w:val="18"/>
                <w:lang w:bidi="ar-SA"/>
              </w:rPr>
              <w:t xml:space="preserve"> </w:t>
            </w:r>
            <w:r w:rsidRPr="004058DC">
              <w:rPr>
                <w:rFonts w:ascii="Arial" w:eastAsiaTheme="minorHAnsi" w:hAnsi="Arial" w:cs="Arial"/>
                <w:color w:val="000000" w:themeColor="text1"/>
                <w:sz w:val="18"/>
                <w:szCs w:val="18"/>
                <w:lang w:bidi="ar-SA"/>
              </w:rPr>
              <w:t>test substance</w:t>
            </w:r>
            <w:r w:rsidR="00F14DD2">
              <w:rPr>
                <w:rFonts w:ascii="Arial" w:eastAsiaTheme="minorHAnsi" w:hAnsi="Arial" w:cs="Arial"/>
                <w:color w:val="000000" w:themeColor="text1"/>
                <w:sz w:val="18"/>
                <w:szCs w:val="18"/>
                <w:lang w:bidi="ar-SA"/>
              </w:rPr>
              <w:t xml:space="preserve"> </w:t>
            </w:r>
            <w:r w:rsidRPr="004058DC">
              <w:rPr>
                <w:rFonts w:ascii="Arial" w:eastAsiaTheme="minorHAnsi" w:hAnsi="Arial" w:cs="Arial"/>
                <w:color w:val="000000" w:themeColor="text1"/>
                <w:sz w:val="18"/>
                <w:szCs w:val="18"/>
                <w:lang w:bidi="ar-SA"/>
              </w:rPr>
              <w:t>(in solution) per</w:t>
            </w:r>
            <w:r w:rsidR="00F14DD2">
              <w:rPr>
                <w:rFonts w:ascii="Arial" w:eastAsiaTheme="minorHAnsi" w:hAnsi="Arial" w:cs="Arial"/>
                <w:color w:val="000000" w:themeColor="text1"/>
                <w:sz w:val="18"/>
                <w:szCs w:val="18"/>
                <w:lang w:bidi="ar-SA"/>
              </w:rPr>
              <w:t xml:space="preserve"> </w:t>
            </w:r>
            <w:r w:rsidRPr="004058DC">
              <w:rPr>
                <w:rFonts w:ascii="Arial" w:eastAsiaTheme="minorHAnsi" w:hAnsi="Arial" w:cs="Arial"/>
                <w:color w:val="000000" w:themeColor="text1"/>
                <w:sz w:val="18"/>
                <w:szCs w:val="18"/>
                <w:lang w:bidi="ar-SA"/>
              </w:rPr>
              <w:t>millilitre ± S9</w:t>
            </w:r>
            <w:r w:rsidRPr="004058DC">
              <w:rPr>
                <w:rFonts w:ascii="Arial" w:eastAsiaTheme="minorHAnsi" w:hAnsi="Arial" w:cs="Arial"/>
                <w:color w:val="000000" w:themeColor="text1"/>
                <w:sz w:val="18"/>
                <w:szCs w:val="18"/>
                <w:vertAlign w:val="superscript"/>
                <w:lang w:bidi="ar-SA"/>
              </w:rPr>
              <w:t>1</w:t>
            </w:r>
          </w:p>
        </w:tc>
        <w:tc>
          <w:tcPr>
            <w:tcW w:w="992" w:type="dxa"/>
            <w:vAlign w:val="center"/>
          </w:tcPr>
          <w:p w14:paraId="13CAC118" w14:textId="77777777" w:rsidR="009A51A2" w:rsidRPr="004058DC" w:rsidRDefault="009A51A2" w:rsidP="006B2116">
            <w:pPr>
              <w:keepNext/>
              <w:keepLines/>
              <w:jc w:val="center"/>
              <w:rPr>
                <w:rFonts w:ascii="Arial" w:hAnsi="Arial" w:cs="Arial"/>
                <w:color w:val="000000" w:themeColor="text1"/>
                <w:sz w:val="18"/>
                <w:szCs w:val="18"/>
              </w:rPr>
            </w:pPr>
            <w:r w:rsidRPr="004058DC">
              <w:rPr>
                <w:rFonts w:ascii="Arial" w:hAnsi="Arial" w:cs="Arial"/>
                <w:color w:val="000000" w:themeColor="text1"/>
                <w:sz w:val="18"/>
                <w:szCs w:val="18"/>
              </w:rPr>
              <w:t>Negative</w:t>
            </w:r>
          </w:p>
        </w:tc>
      </w:tr>
      <w:tr w:rsidR="009A51A2" w:rsidRPr="004058DC" w14:paraId="40A8E20F" w14:textId="77777777" w:rsidTr="00F14DD2">
        <w:trPr>
          <w:trHeight w:val="1267"/>
        </w:trPr>
        <w:tc>
          <w:tcPr>
            <w:tcW w:w="1430" w:type="dxa"/>
            <w:vAlign w:val="center"/>
          </w:tcPr>
          <w:p w14:paraId="178E76F7" w14:textId="77777777" w:rsidR="009A51A2" w:rsidRPr="004058DC" w:rsidRDefault="009A51A2" w:rsidP="006B2116">
            <w:pPr>
              <w:keepNext/>
              <w:keepLines/>
              <w:rPr>
                <w:rFonts w:ascii="Arial" w:hAnsi="Arial" w:cs="Arial"/>
                <w:color w:val="000000" w:themeColor="text1"/>
                <w:sz w:val="18"/>
                <w:szCs w:val="18"/>
              </w:rPr>
            </w:pPr>
            <w:r w:rsidRPr="004058DC">
              <w:rPr>
                <w:rFonts w:ascii="Arial" w:hAnsi="Arial" w:cs="Arial"/>
                <w:i/>
                <w:color w:val="000000" w:themeColor="text1"/>
                <w:sz w:val="18"/>
                <w:szCs w:val="18"/>
              </w:rPr>
              <w:t>In vitro</w:t>
            </w:r>
            <w:r w:rsidRPr="004058DC">
              <w:rPr>
                <w:rFonts w:ascii="Arial" w:hAnsi="Arial" w:cs="Arial"/>
                <w:color w:val="000000" w:themeColor="text1"/>
                <w:sz w:val="18"/>
                <w:szCs w:val="18"/>
              </w:rPr>
              <w:t xml:space="preserve"> micronucleus test</w:t>
            </w:r>
          </w:p>
        </w:tc>
        <w:tc>
          <w:tcPr>
            <w:tcW w:w="1831" w:type="dxa"/>
            <w:vAlign w:val="center"/>
          </w:tcPr>
          <w:p w14:paraId="4F769BE0" w14:textId="77777777" w:rsidR="009A51A2" w:rsidRPr="004058DC" w:rsidRDefault="009A51A2" w:rsidP="006B2116">
            <w:pPr>
              <w:keepNext/>
              <w:keepLines/>
              <w:ind w:left="21" w:hanging="21"/>
              <w:rPr>
                <w:rFonts w:ascii="Arial" w:hAnsi="Arial" w:cs="Arial"/>
                <w:color w:val="000000" w:themeColor="text1"/>
                <w:sz w:val="18"/>
                <w:szCs w:val="18"/>
              </w:rPr>
            </w:pPr>
            <w:r w:rsidRPr="004058DC">
              <w:rPr>
                <w:rFonts w:ascii="Arial" w:hAnsi="Arial" w:cs="Arial"/>
                <w:color w:val="000000" w:themeColor="text1"/>
                <w:sz w:val="18"/>
                <w:szCs w:val="18"/>
              </w:rPr>
              <w:t>Human lymphocytes prepared from the pooled blood of 2 healthy, non-smoking  male donors</w:t>
            </w:r>
          </w:p>
        </w:tc>
        <w:tc>
          <w:tcPr>
            <w:tcW w:w="1984" w:type="dxa"/>
            <w:vAlign w:val="center"/>
          </w:tcPr>
          <w:p w14:paraId="1446B86B" w14:textId="77777777" w:rsidR="009A51A2" w:rsidRPr="004058DC" w:rsidRDefault="009A51A2" w:rsidP="006B2116">
            <w:pPr>
              <w:keepNext/>
              <w:keepLines/>
              <w:rPr>
                <w:rFonts w:ascii="Arial" w:hAnsi="Arial" w:cs="Arial"/>
                <w:color w:val="000000" w:themeColor="text1"/>
                <w:sz w:val="18"/>
                <w:szCs w:val="18"/>
              </w:rPr>
            </w:pPr>
            <w:r w:rsidRPr="004058DC">
              <w:rPr>
                <w:rFonts w:ascii="Arial" w:hAnsi="Arial" w:cs="Arial"/>
                <w:color w:val="000000" w:themeColor="text1"/>
                <w:sz w:val="18"/>
                <w:szCs w:val="18"/>
              </w:rPr>
              <w:t>As above</w:t>
            </w:r>
          </w:p>
        </w:tc>
        <w:tc>
          <w:tcPr>
            <w:tcW w:w="2410" w:type="dxa"/>
            <w:vAlign w:val="center"/>
          </w:tcPr>
          <w:p w14:paraId="781DA4C1" w14:textId="77777777" w:rsidR="009A51A2" w:rsidRPr="00F14DD2" w:rsidRDefault="009A51A2" w:rsidP="006B2116">
            <w:pPr>
              <w:keepNext/>
              <w:keepLines/>
              <w:autoSpaceDE w:val="0"/>
              <w:autoSpaceDN w:val="0"/>
              <w:adjustRightInd w:val="0"/>
              <w:rPr>
                <w:rFonts w:ascii="Arial" w:eastAsiaTheme="minorHAnsi" w:hAnsi="Arial" w:cs="Arial"/>
                <w:color w:val="000000" w:themeColor="text1"/>
                <w:sz w:val="18"/>
                <w:szCs w:val="18"/>
                <w:lang w:bidi="ar-SA"/>
              </w:rPr>
            </w:pPr>
            <w:r w:rsidRPr="00F14DD2">
              <w:rPr>
                <w:rFonts w:ascii="Arial" w:eastAsiaTheme="minorHAnsi" w:hAnsi="Arial" w:cs="Arial"/>
                <w:color w:val="000000" w:themeColor="text1"/>
                <w:sz w:val="18"/>
                <w:szCs w:val="18"/>
                <w:lang w:bidi="ar-SA"/>
              </w:rPr>
              <w:t>1</w:t>
            </w:r>
            <w:r w:rsidRPr="00F14DD2">
              <w:rPr>
                <w:rFonts w:ascii="Arial" w:eastAsiaTheme="minorHAnsi" w:hAnsi="Arial" w:cs="Arial"/>
                <w:color w:val="000000" w:themeColor="text1"/>
                <w:sz w:val="18"/>
                <w:szCs w:val="18"/>
                <w:vertAlign w:val="superscript"/>
                <w:lang w:bidi="ar-SA"/>
              </w:rPr>
              <w:t>st</w:t>
            </w:r>
            <w:r w:rsidRPr="00F14DD2">
              <w:rPr>
                <w:rFonts w:ascii="Arial" w:eastAsiaTheme="minorHAnsi" w:hAnsi="Arial" w:cs="Arial"/>
                <w:color w:val="000000" w:themeColor="text1"/>
                <w:sz w:val="18"/>
                <w:szCs w:val="18"/>
                <w:lang w:bidi="ar-SA"/>
              </w:rPr>
              <w:t xml:space="preserve"> experiment (3 h exposure): 0.16, 0.31, 0.63, 1.25, 2.5 % (v/v) ± S9</w:t>
            </w:r>
          </w:p>
          <w:p w14:paraId="24466FAF" w14:textId="77777777" w:rsidR="009A51A2" w:rsidRPr="00F14DD2" w:rsidRDefault="009A51A2" w:rsidP="006B2116">
            <w:pPr>
              <w:keepNext/>
              <w:keepLines/>
              <w:autoSpaceDE w:val="0"/>
              <w:autoSpaceDN w:val="0"/>
              <w:adjustRightInd w:val="0"/>
              <w:rPr>
                <w:rFonts w:ascii="Arial" w:eastAsiaTheme="minorHAnsi" w:hAnsi="Arial" w:cs="Arial"/>
                <w:color w:val="000000" w:themeColor="text1"/>
                <w:sz w:val="18"/>
                <w:szCs w:val="18"/>
                <w:lang w:bidi="ar-SA"/>
              </w:rPr>
            </w:pPr>
          </w:p>
          <w:p w14:paraId="3D3751E2" w14:textId="77777777" w:rsidR="009A51A2" w:rsidRPr="00F14DD2" w:rsidRDefault="009A51A2" w:rsidP="006B2116">
            <w:pPr>
              <w:keepNext/>
              <w:keepLines/>
              <w:autoSpaceDE w:val="0"/>
              <w:autoSpaceDN w:val="0"/>
              <w:adjustRightInd w:val="0"/>
              <w:rPr>
                <w:rFonts w:ascii="Arial" w:hAnsi="Arial" w:cs="Arial"/>
                <w:color w:val="000000" w:themeColor="text1"/>
                <w:sz w:val="18"/>
                <w:szCs w:val="18"/>
              </w:rPr>
            </w:pPr>
            <w:r w:rsidRPr="00F14DD2">
              <w:rPr>
                <w:rFonts w:ascii="Arial" w:eastAsiaTheme="minorHAnsi" w:hAnsi="Arial" w:cs="Arial"/>
                <w:color w:val="000000" w:themeColor="text1"/>
                <w:sz w:val="18"/>
                <w:szCs w:val="18"/>
                <w:lang w:bidi="ar-SA"/>
              </w:rPr>
              <w:t xml:space="preserve">2nd experiment (20 h exposure) : 0.16, 0.31, 0.63, 1.25, 2.5 % (v/v −S9 </w:t>
            </w:r>
          </w:p>
        </w:tc>
        <w:tc>
          <w:tcPr>
            <w:tcW w:w="992" w:type="dxa"/>
            <w:vAlign w:val="center"/>
          </w:tcPr>
          <w:p w14:paraId="0E4D259E" w14:textId="77777777" w:rsidR="009A51A2" w:rsidRPr="004058DC" w:rsidRDefault="009A51A2" w:rsidP="006B2116">
            <w:pPr>
              <w:keepNext/>
              <w:keepLines/>
              <w:jc w:val="center"/>
              <w:rPr>
                <w:rFonts w:ascii="Arial" w:hAnsi="Arial" w:cs="Arial"/>
                <w:color w:val="000000" w:themeColor="text1"/>
                <w:sz w:val="18"/>
                <w:szCs w:val="18"/>
              </w:rPr>
            </w:pPr>
            <w:r w:rsidRPr="004058DC">
              <w:rPr>
                <w:rFonts w:ascii="Arial" w:hAnsi="Arial" w:cs="Arial"/>
                <w:color w:val="000000" w:themeColor="text1"/>
                <w:sz w:val="18"/>
                <w:szCs w:val="18"/>
              </w:rPr>
              <w:t>Negative</w:t>
            </w:r>
          </w:p>
        </w:tc>
      </w:tr>
    </w:tbl>
    <w:p w14:paraId="29F5341D" w14:textId="77777777" w:rsidR="009A51A2" w:rsidRPr="004058DC" w:rsidRDefault="009A51A2" w:rsidP="006B2116">
      <w:pPr>
        <w:pStyle w:val="TableFootnote"/>
        <w:keepNext/>
        <w:keepLines/>
        <w:spacing w:before="0" w:after="0"/>
        <w:rPr>
          <w:rFonts w:ascii="Arial" w:hAnsi="Arial"/>
          <w:color w:val="000000" w:themeColor="text1"/>
          <w:sz w:val="16"/>
          <w:szCs w:val="16"/>
        </w:rPr>
      </w:pPr>
      <w:r w:rsidRPr="004058DC">
        <w:rPr>
          <w:rFonts w:ascii="Arial" w:hAnsi="Arial"/>
          <w:color w:val="000000" w:themeColor="text1"/>
          <w:sz w:val="16"/>
          <w:szCs w:val="16"/>
        </w:rPr>
        <w:t>S-9 = metabolic activation system comprising liver preparation from rats induced with Aroclor 1254</w:t>
      </w:r>
    </w:p>
    <w:p w14:paraId="3EDD0E22" w14:textId="00AEB0E1" w:rsidR="009A51A2" w:rsidRDefault="0025773B" w:rsidP="00F14DD2">
      <w:pPr>
        <w:pStyle w:val="Heading3"/>
      </w:pPr>
      <w:bookmarkStart w:id="36" w:name="_Toc422315744"/>
      <w:r>
        <w:t>3.4.2</w:t>
      </w:r>
      <w:r>
        <w:tab/>
      </w:r>
      <w:r w:rsidR="009A51A2">
        <w:t>Cytotoxicity</w:t>
      </w:r>
      <w:bookmarkEnd w:id="36"/>
    </w:p>
    <w:p w14:paraId="417400C6" w14:textId="77777777" w:rsidR="009A51A2" w:rsidRPr="00FF669F" w:rsidRDefault="009A51A2" w:rsidP="00F14DD2">
      <w:pPr>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FF669F">
        <w:rPr>
          <w:rFonts w:cs="Arial"/>
          <w:b/>
          <w:color w:val="000000" w:themeColor="text1"/>
          <w:sz w:val="20"/>
          <w:szCs w:val="20"/>
        </w:rPr>
        <w:t>Individual study</w:t>
      </w:r>
    </w:p>
    <w:p w14:paraId="1A4E7E47" w14:textId="77777777" w:rsidR="009A51A2" w:rsidRPr="00FF669F" w:rsidRDefault="009A51A2" w:rsidP="00F14DD2">
      <w:pPr>
        <w:pBdr>
          <w:top w:val="single" w:sz="4" w:space="1" w:color="auto"/>
          <w:left w:val="single" w:sz="4" w:space="1" w:color="auto"/>
          <w:bottom w:val="single" w:sz="4" w:space="1" w:color="auto"/>
          <w:right w:val="single" w:sz="4" w:space="4" w:color="auto"/>
        </w:pBdr>
        <w:rPr>
          <w:rFonts w:cs="Arial"/>
          <w:b/>
          <w:color w:val="000000" w:themeColor="text1"/>
          <w:sz w:val="20"/>
          <w:szCs w:val="20"/>
        </w:rPr>
      </w:pPr>
    </w:p>
    <w:p w14:paraId="504F352C" w14:textId="77777777" w:rsidR="009A51A2" w:rsidRPr="008466F2" w:rsidRDefault="009A51A2" w:rsidP="00F14DD2">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r w:rsidRPr="00FF669F">
        <w:rPr>
          <w:rFonts w:cs="Arial"/>
          <w:color w:val="000000" w:themeColor="text1"/>
          <w:sz w:val="20"/>
          <w:szCs w:val="20"/>
        </w:rPr>
        <w:t xml:space="preserve">Birkved, F.K. (2012). Asparaginase, batch PPV33595 </w:t>
      </w:r>
      <w:r w:rsidRPr="00FF669F">
        <w:rPr>
          <w:rFonts w:cs="Arial"/>
          <w:i/>
          <w:color w:val="000000" w:themeColor="text1"/>
          <w:sz w:val="20"/>
          <w:szCs w:val="20"/>
        </w:rPr>
        <w:t>In vitro</w:t>
      </w:r>
      <w:r w:rsidRPr="00FF669F">
        <w:rPr>
          <w:rFonts w:cs="Arial"/>
          <w:color w:val="000000" w:themeColor="text1"/>
          <w:sz w:val="20"/>
          <w:szCs w:val="20"/>
        </w:rPr>
        <w:t xml:space="preserve"> cytotoxicity test: Neutral red uptake in BALB/c 3T3 cell culture. Novozymes reference no. 20128030. File No: 2012-07837-01 (unpublished).</w:t>
      </w:r>
    </w:p>
    <w:p w14:paraId="09B7A87D" w14:textId="77777777" w:rsidR="009A51A2" w:rsidRPr="00C00739" w:rsidRDefault="009A51A2" w:rsidP="00F14DD2">
      <w:pPr>
        <w:autoSpaceDE w:val="0"/>
        <w:autoSpaceDN w:val="0"/>
        <w:adjustRightInd w:val="0"/>
        <w:rPr>
          <w:rFonts w:eastAsiaTheme="minorHAnsi" w:cs="Arial"/>
          <w:lang w:bidi="ar-SA"/>
        </w:rPr>
      </w:pPr>
    </w:p>
    <w:p w14:paraId="65C76C2B" w14:textId="77777777" w:rsidR="009A51A2" w:rsidRPr="00C00739" w:rsidRDefault="009A51A2" w:rsidP="00F14DD2">
      <w:pPr>
        <w:autoSpaceDE w:val="0"/>
        <w:autoSpaceDN w:val="0"/>
        <w:adjustRightInd w:val="0"/>
        <w:rPr>
          <w:rFonts w:eastAsiaTheme="minorHAnsi" w:cs="Arial"/>
          <w:lang w:bidi="ar-SA"/>
        </w:rPr>
      </w:pPr>
      <w:r w:rsidRPr="00C00739">
        <w:rPr>
          <w:rFonts w:eastAsiaTheme="minorHAnsi" w:cs="Arial"/>
          <w:lang w:bidi="ar-SA"/>
        </w:rPr>
        <w:t xml:space="preserve">The neutral red uptake assay is a widely used cytotoxicity test </w:t>
      </w:r>
      <w:r>
        <w:rPr>
          <w:rFonts w:eastAsiaTheme="minorHAnsi" w:cs="Arial"/>
          <w:noProof/>
          <w:lang w:bidi="ar-SA"/>
        </w:rPr>
        <w:t>(Repetto et al. 2008)</w:t>
      </w:r>
      <w:r w:rsidRPr="00C00739">
        <w:rPr>
          <w:rFonts w:eastAsiaTheme="minorHAnsi" w:cs="Arial"/>
          <w:lang w:bidi="ar-SA"/>
        </w:rPr>
        <w:t xml:space="preserve">. </w:t>
      </w:r>
    </w:p>
    <w:p w14:paraId="2E8DA6A2" w14:textId="77777777" w:rsidR="009A51A2" w:rsidRPr="00C00739" w:rsidRDefault="009A51A2" w:rsidP="00F14DD2">
      <w:pPr>
        <w:autoSpaceDE w:val="0"/>
        <w:autoSpaceDN w:val="0"/>
        <w:adjustRightInd w:val="0"/>
        <w:rPr>
          <w:rFonts w:eastAsiaTheme="minorHAnsi" w:cs="Arial"/>
          <w:lang w:bidi="ar-SA"/>
        </w:rPr>
      </w:pPr>
    </w:p>
    <w:p w14:paraId="0B3E55BE" w14:textId="77777777" w:rsidR="009A51A2" w:rsidRPr="00C00739" w:rsidRDefault="009A51A2" w:rsidP="00F14DD2">
      <w:pPr>
        <w:autoSpaceDE w:val="0"/>
        <w:autoSpaceDN w:val="0"/>
        <w:adjustRightInd w:val="0"/>
        <w:rPr>
          <w:rFonts w:eastAsiaTheme="minorHAnsi" w:cs="Arial"/>
          <w:lang w:bidi="ar-SA"/>
        </w:rPr>
      </w:pPr>
      <w:r w:rsidRPr="00C00739">
        <w:rPr>
          <w:rFonts w:eastAsiaTheme="minorHAnsi" w:cs="Arial"/>
          <w:lang w:bidi="ar-SA"/>
        </w:rPr>
        <w:t>BALB/c 3T3 fibroblasts were incubated for 48 h in asparaginase batch PPV33595 at concentrations ranging from 0 – 30 mg/ml. The cells were then incubated in a medium containing neutral red and the uptake of dye (as measured by the amount of dye subsequently extracted from the cells) was determined spectrophotometrically by reading the absorbance at 540 nm.</w:t>
      </w:r>
      <w:r>
        <w:rPr>
          <w:rFonts w:eastAsiaTheme="minorHAnsi" w:cs="Arial"/>
          <w:lang w:bidi="ar-SA"/>
        </w:rPr>
        <w:t xml:space="preserve"> The amount of dye </w:t>
      </w:r>
      <w:r w:rsidRPr="00C00739">
        <w:rPr>
          <w:rFonts w:eastAsiaTheme="minorHAnsi" w:cs="Arial"/>
          <w:lang w:bidi="ar-SA"/>
        </w:rPr>
        <w:t>provides a quantitative estimation of the number of viable cells remaining after exposure to the test article. The concentration of test article required to reduce cell viability to 50% of that of the untreated control is</w:t>
      </w:r>
      <w:r>
        <w:rPr>
          <w:rFonts w:eastAsiaTheme="minorHAnsi" w:cs="Arial"/>
          <w:lang w:bidi="ar-SA"/>
        </w:rPr>
        <w:t xml:space="preserve"> designated the NRU</w:t>
      </w:r>
      <w:r w:rsidRPr="00C00739">
        <w:rPr>
          <w:rFonts w:eastAsiaTheme="minorHAnsi" w:cs="Arial"/>
          <w:vertAlign w:val="subscript"/>
          <w:lang w:bidi="ar-SA"/>
        </w:rPr>
        <w:t>50</w:t>
      </w:r>
      <w:r w:rsidRPr="00C00739">
        <w:rPr>
          <w:rFonts w:eastAsiaTheme="minorHAnsi" w:cs="Arial"/>
          <w:lang w:bidi="ar-SA"/>
        </w:rPr>
        <w:t>.</w:t>
      </w:r>
    </w:p>
    <w:p w14:paraId="716C1909" w14:textId="77777777" w:rsidR="009A51A2" w:rsidRDefault="009A51A2" w:rsidP="00F14DD2">
      <w:pPr>
        <w:autoSpaceDE w:val="0"/>
        <w:autoSpaceDN w:val="0"/>
        <w:adjustRightInd w:val="0"/>
        <w:rPr>
          <w:rFonts w:eastAsiaTheme="minorHAnsi" w:cs="Arial"/>
          <w:lang w:bidi="ar-SA"/>
        </w:rPr>
      </w:pPr>
    </w:p>
    <w:p w14:paraId="5B096541" w14:textId="77777777" w:rsidR="009A51A2" w:rsidRPr="003B718C" w:rsidRDefault="009A51A2" w:rsidP="00F14DD2">
      <w:pPr>
        <w:autoSpaceDE w:val="0"/>
        <w:autoSpaceDN w:val="0"/>
        <w:adjustRightInd w:val="0"/>
        <w:rPr>
          <w:rFonts w:eastAsiaTheme="minorHAnsi" w:cs="Arial"/>
          <w:lang w:bidi="ar-SA"/>
        </w:rPr>
      </w:pPr>
      <w:r>
        <w:rPr>
          <w:rFonts w:eastAsiaTheme="minorHAnsi" w:cs="Arial"/>
          <w:lang w:bidi="ar-SA"/>
        </w:rPr>
        <w:t>The NRU</w:t>
      </w:r>
      <w:r>
        <w:rPr>
          <w:rFonts w:eastAsiaTheme="minorHAnsi" w:cs="Arial"/>
          <w:vertAlign w:val="subscript"/>
          <w:lang w:bidi="ar-SA"/>
        </w:rPr>
        <w:t>50</w:t>
      </w:r>
      <w:r>
        <w:rPr>
          <w:rFonts w:eastAsiaTheme="minorHAnsi" w:cs="Arial"/>
          <w:lang w:bidi="ar-SA"/>
        </w:rPr>
        <w:t xml:space="preserve"> for asparaginase, batch PPV</w:t>
      </w:r>
      <w:r w:rsidR="008B03C7">
        <w:rPr>
          <w:rFonts w:eastAsiaTheme="minorHAnsi" w:cs="Arial"/>
          <w:lang w:bidi="ar-SA"/>
        </w:rPr>
        <w:t>33595 was determined to be 5.72 </w:t>
      </w:r>
      <w:r>
        <w:rPr>
          <w:rFonts w:eastAsiaTheme="minorHAnsi" w:cs="Arial"/>
          <w:lang w:bidi="ar-SA"/>
        </w:rPr>
        <w:t xml:space="preserve">mg/ml. This figure serves to corroborate the negative results from the </w:t>
      </w:r>
      <w:r w:rsidRPr="003B718C">
        <w:rPr>
          <w:rFonts w:eastAsiaTheme="minorHAnsi" w:cs="Arial"/>
          <w:i/>
          <w:lang w:bidi="ar-SA"/>
        </w:rPr>
        <w:t>in vitro</w:t>
      </w:r>
      <w:r>
        <w:rPr>
          <w:rFonts w:eastAsiaTheme="minorHAnsi" w:cs="Arial"/>
          <w:lang w:bidi="ar-SA"/>
        </w:rPr>
        <w:t xml:space="preserve"> micronucleus test.</w:t>
      </w:r>
    </w:p>
    <w:p w14:paraId="127E598A" w14:textId="318024FF" w:rsidR="009A51A2" w:rsidRPr="008466F2" w:rsidRDefault="0025773B" w:rsidP="00F14DD2">
      <w:pPr>
        <w:pStyle w:val="Heading3"/>
      </w:pPr>
      <w:bookmarkStart w:id="37" w:name="_Toc422315745"/>
      <w:r>
        <w:t>3.4.3</w:t>
      </w:r>
      <w:r>
        <w:tab/>
      </w:r>
      <w:r w:rsidR="009A51A2" w:rsidRPr="008466F2">
        <w:t>Subchronic toxicity study</w:t>
      </w:r>
      <w:bookmarkEnd w:id="37"/>
    </w:p>
    <w:p w14:paraId="143DBE54" w14:textId="77777777" w:rsidR="009A51A2" w:rsidRPr="008466F2" w:rsidRDefault="009A51A2" w:rsidP="00F14DD2">
      <w:pPr>
        <w:pBdr>
          <w:top w:val="single" w:sz="4" w:space="1" w:color="auto"/>
          <w:left w:val="single" w:sz="4" w:space="1" w:color="auto"/>
          <w:bottom w:val="single" w:sz="4" w:space="1" w:color="auto"/>
          <w:right w:val="single" w:sz="4" w:space="4" w:color="auto"/>
        </w:pBdr>
        <w:rPr>
          <w:rFonts w:cs="Arial"/>
          <w:b/>
          <w:color w:val="000000" w:themeColor="text1"/>
          <w:sz w:val="20"/>
          <w:szCs w:val="20"/>
        </w:rPr>
      </w:pPr>
      <w:r w:rsidRPr="008466F2">
        <w:rPr>
          <w:rFonts w:cs="Arial"/>
          <w:b/>
          <w:color w:val="000000" w:themeColor="text1"/>
          <w:sz w:val="20"/>
          <w:szCs w:val="20"/>
        </w:rPr>
        <w:t>Individual study</w:t>
      </w:r>
    </w:p>
    <w:p w14:paraId="1FBB6307" w14:textId="77777777" w:rsidR="009A51A2" w:rsidRPr="008466F2" w:rsidRDefault="009A51A2" w:rsidP="00F14DD2">
      <w:pPr>
        <w:pBdr>
          <w:top w:val="single" w:sz="4" w:space="1" w:color="auto"/>
          <w:left w:val="single" w:sz="4" w:space="1" w:color="auto"/>
          <w:bottom w:val="single" w:sz="4" w:space="1" w:color="auto"/>
          <w:right w:val="single" w:sz="4" w:space="4" w:color="auto"/>
        </w:pBdr>
        <w:rPr>
          <w:rFonts w:cs="Arial"/>
          <w:b/>
          <w:color w:val="000000" w:themeColor="text1"/>
          <w:sz w:val="20"/>
          <w:szCs w:val="20"/>
        </w:rPr>
      </w:pPr>
    </w:p>
    <w:p w14:paraId="72D2B418" w14:textId="77777777" w:rsidR="009A51A2" w:rsidRPr="009606C5" w:rsidRDefault="009A51A2" w:rsidP="00F14DD2">
      <w:pPr>
        <w:pBdr>
          <w:top w:val="single" w:sz="4" w:space="1" w:color="auto"/>
          <w:left w:val="single" w:sz="4" w:space="1" w:color="auto"/>
          <w:bottom w:val="single" w:sz="4" w:space="1" w:color="auto"/>
          <w:right w:val="single" w:sz="4" w:space="4" w:color="auto"/>
        </w:pBdr>
        <w:ind w:left="284" w:hanging="284"/>
        <w:rPr>
          <w:rFonts w:cs="Arial"/>
          <w:color w:val="000000" w:themeColor="text1"/>
          <w:sz w:val="20"/>
          <w:szCs w:val="20"/>
        </w:rPr>
      </w:pPr>
      <w:r w:rsidRPr="008466F2">
        <w:rPr>
          <w:rFonts w:cs="Arial"/>
          <w:color w:val="000000" w:themeColor="text1"/>
          <w:sz w:val="20"/>
          <w:szCs w:val="20"/>
        </w:rPr>
        <w:t xml:space="preserve">Ellemann-Laursen, S. (2012). </w:t>
      </w:r>
      <w:r w:rsidRPr="008466F2">
        <w:rPr>
          <w:rFonts w:eastAsiaTheme="minorHAnsi" w:cs="Arial"/>
          <w:bCs/>
          <w:color w:val="000000" w:themeColor="text1"/>
          <w:sz w:val="20"/>
          <w:szCs w:val="20"/>
          <w:lang w:bidi="ar-SA"/>
        </w:rPr>
        <w:t xml:space="preserve">Asparaginase PPV33595: 90-days oral gavage toxicity study in rats. </w:t>
      </w:r>
      <w:r w:rsidRPr="009606C5">
        <w:rPr>
          <w:rFonts w:eastAsiaTheme="minorHAnsi" w:cs="Arial"/>
          <w:bCs/>
          <w:color w:val="000000" w:themeColor="text1"/>
          <w:sz w:val="20"/>
          <w:szCs w:val="20"/>
          <w:lang w:bidi="ar-SA"/>
        </w:rPr>
        <w:t>Study</w:t>
      </w:r>
      <w:r w:rsidRPr="009606C5">
        <w:rPr>
          <w:rFonts w:cs="Arial"/>
          <w:color w:val="000000" w:themeColor="text1"/>
          <w:sz w:val="20"/>
          <w:szCs w:val="20"/>
        </w:rPr>
        <w:t xml:space="preserve"> # 74826, CiToxLAB Scantox , Novozymes reference no. 20126001 (File 2012-18820-01) (unpublished).</w:t>
      </w:r>
    </w:p>
    <w:p w14:paraId="1853F189" w14:textId="77777777" w:rsidR="009A51A2" w:rsidRPr="009606C5" w:rsidRDefault="009A51A2" w:rsidP="00F14DD2">
      <w:pPr>
        <w:rPr>
          <w:rFonts w:cs="Arial"/>
          <w:color w:val="000000" w:themeColor="text1"/>
        </w:rPr>
      </w:pPr>
    </w:p>
    <w:p w14:paraId="084935BD" w14:textId="77777777" w:rsidR="0010323C" w:rsidRDefault="009A51A2" w:rsidP="0025773B">
      <w:r w:rsidRPr="009606C5">
        <w:t>The PPV33595 asparaginase preparation was administered by gavage to groups of 10 male and 10 female SPF Sprague Dawley (strain Ntac:SD) rats/sex</w:t>
      </w:r>
      <w:r>
        <w:t>.</w:t>
      </w:r>
      <w:r w:rsidRPr="009606C5">
        <w:t xml:space="preserve"> Rats were sourced from Taconic Europe A/S (Ejby, Denmark), were approximately 5 weeks old and had body weights within a range of 123 – 165 g for males and 108 – 153 g for females at the commencement of dosing. </w:t>
      </w:r>
      <w:r>
        <w:t xml:space="preserve">The asparaginase preparation was tested </w:t>
      </w:r>
      <w:r w:rsidRPr="009606C5">
        <w:t xml:space="preserve">at doses of 0, 1.0, 3.3 or </w:t>
      </w:r>
      <w:r w:rsidR="008B03C7">
        <w:t>10.0 </w:t>
      </w:r>
      <w:r>
        <w:t>ml</w:t>
      </w:r>
      <w:r w:rsidRPr="009606C5">
        <w:t>/kg/d for 90/91</w:t>
      </w:r>
      <w:r>
        <w:t xml:space="preserve"> days (water vehicle), meaning that the actual administered doses were different for male and female rats.</w:t>
      </w:r>
      <w:r w:rsidRPr="009606C5">
        <w:t xml:space="preserve"> </w:t>
      </w:r>
      <w:r w:rsidR="0010323C">
        <w:br w:type="page"/>
      </w:r>
    </w:p>
    <w:p w14:paraId="6765CF23" w14:textId="5A8A576F" w:rsidR="009A51A2" w:rsidRPr="009606C5" w:rsidRDefault="009A51A2" w:rsidP="0025773B">
      <w:pPr>
        <w:rPr>
          <w:rFonts w:eastAsiaTheme="minorHAnsi"/>
          <w:lang w:bidi="ar-SA"/>
        </w:rPr>
      </w:pPr>
      <w:r w:rsidRPr="009606C5">
        <w:lastRenderedPageBreak/>
        <w:t xml:space="preserve">Rats were housed under standard conditions, with food and water available </w:t>
      </w:r>
      <w:r w:rsidRPr="009606C5">
        <w:rPr>
          <w:i/>
        </w:rPr>
        <w:t>ad libitum</w:t>
      </w:r>
      <w:r w:rsidRPr="009606C5">
        <w:t xml:space="preserve">. Standard gross toxicological endpoints were recorded during the treatment period (deaths, clinical signs, bodyweight and food consumption). Ophthalmoscopy was performed prior to treatment and on day 90. </w:t>
      </w:r>
      <w:r w:rsidRPr="009606C5">
        <w:rPr>
          <w:rFonts w:eastAsiaTheme="minorHAnsi"/>
          <w:lang w:bidi="ar-SA"/>
        </w:rPr>
        <w:t xml:space="preserve">Pre-treatment and before termination, the animals were examined with respect to motor activity (open field test) and reactivity to different types of stimuli. </w:t>
      </w:r>
      <w:r w:rsidRPr="009606C5">
        <w:t xml:space="preserve">Blood was collected on day 91 for the analysis of standard haematology and clinical chemistry parameters and a bone marrow smear was taken at necropsy. Following sacrifice, rats were necropsied, organ weights recorded and standard tissues prepared for histopathology. </w:t>
      </w:r>
    </w:p>
    <w:p w14:paraId="47C85EA9" w14:textId="77777777" w:rsidR="009A51A2" w:rsidRPr="009606C5" w:rsidRDefault="009A51A2" w:rsidP="00F14DD2">
      <w:pPr>
        <w:rPr>
          <w:rFonts w:cs="Arial"/>
          <w:color w:val="000000" w:themeColor="text1"/>
        </w:rPr>
      </w:pPr>
    </w:p>
    <w:p w14:paraId="6CE45747" w14:textId="77777777" w:rsidR="009A51A2" w:rsidRPr="009606C5" w:rsidRDefault="009A51A2" w:rsidP="00F14DD2">
      <w:pPr>
        <w:rPr>
          <w:rFonts w:cs="Arial"/>
          <w:color w:val="000000" w:themeColor="text1"/>
        </w:rPr>
      </w:pPr>
      <w:r w:rsidRPr="009606C5">
        <w:rPr>
          <w:rFonts w:cs="Arial"/>
          <w:color w:val="000000" w:themeColor="text1"/>
        </w:rPr>
        <w:t>There were no deaths, clinical signs, motor activity abnormalities or ophthalmic abnormalities attributable to administration of the test substance. Bodyweight gain and food consumption were comparable across all groups. There was no treatment-related effect on any haematology or clinical chemistry parameter. There were no treatment-related macroscopic abnormalities, differences in organ weights or histopathological findings. The NOAEL (No Observed Adverse Effect Level) for both males and females was</w:t>
      </w:r>
      <w:r w:rsidR="008B03C7">
        <w:rPr>
          <w:rFonts w:cs="Arial"/>
          <w:color w:val="000000" w:themeColor="text1"/>
        </w:rPr>
        <w:t xml:space="preserve"> 1.207 g </w:t>
      </w:r>
      <w:r w:rsidRPr="009606C5">
        <w:rPr>
          <w:rFonts w:cs="Arial"/>
          <w:color w:val="000000" w:themeColor="text1"/>
        </w:rPr>
        <w:t>TOS/kg bw/d, the highest dose tested.</w:t>
      </w:r>
    </w:p>
    <w:p w14:paraId="0EF52F7D" w14:textId="199CA027" w:rsidR="009A51A2" w:rsidRDefault="00D86754" w:rsidP="00F14DD2">
      <w:pPr>
        <w:pStyle w:val="Heading2"/>
      </w:pPr>
      <w:bookmarkStart w:id="38" w:name="_Toc422315746"/>
      <w:r>
        <w:t>3.5</w:t>
      </w:r>
      <w:r>
        <w:tab/>
      </w:r>
      <w:r w:rsidR="009A51A2">
        <w:t>Hazard assessment conclusions</w:t>
      </w:r>
      <w:bookmarkEnd w:id="38"/>
    </w:p>
    <w:p w14:paraId="6F2B8914" w14:textId="77777777" w:rsidR="009A51A2" w:rsidRPr="009265D9" w:rsidRDefault="009A51A2" w:rsidP="00F14DD2">
      <w:pPr>
        <w:rPr>
          <w:rFonts w:cs="Arial"/>
          <w:color w:val="000000" w:themeColor="text1"/>
        </w:rPr>
      </w:pPr>
      <w:r w:rsidRPr="009265D9">
        <w:rPr>
          <w:rFonts w:cs="Arial"/>
          <w:color w:val="000000" w:themeColor="text1"/>
        </w:rPr>
        <w:t xml:space="preserve">There are no public health and safety issues associated with the use of Acrylaway HighT, containing an asparaginase produced by GM </w:t>
      </w:r>
      <w:r w:rsidRPr="009265D9">
        <w:rPr>
          <w:rFonts w:cs="Arial"/>
          <w:i/>
          <w:color w:val="000000" w:themeColor="text1"/>
        </w:rPr>
        <w:t>B</w:t>
      </w:r>
      <w:r w:rsidR="00F14DD2">
        <w:rPr>
          <w:rFonts w:cs="Arial"/>
          <w:i/>
          <w:color w:val="000000" w:themeColor="text1"/>
        </w:rPr>
        <w:t>.</w:t>
      </w:r>
      <w:r w:rsidRPr="009265D9">
        <w:rPr>
          <w:rFonts w:cs="Arial"/>
          <w:i/>
          <w:color w:val="000000" w:themeColor="text1"/>
        </w:rPr>
        <w:t xml:space="preserve"> subtilis </w:t>
      </w:r>
      <w:r w:rsidRPr="009265D9">
        <w:rPr>
          <w:rFonts w:cs="Arial"/>
          <w:color w:val="000000" w:themeColor="text1"/>
        </w:rPr>
        <w:t>strain MOL2940, as a food processing aid on the basis of the following considerations:</w:t>
      </w:r>
    </w:p>
    <w:p w14:paraId="7436A6B8" w14:textId="77777777" w:rsidR="009A51A2" w:rsidRPr="009265D9" w:rsidRDefault="009A51A2" w:rsidP="00F14DD2">
      <w:pPr>
        <w:rPr>
          <w:rFonts w:cs="Arial"/>
          <w:color w:val="000000" w:themeColor="text1"/>
        </w:rPr>
      </w:pPr>
    </w:p>
    <w:p w14:paraId="6FA6D49B" w14:textId="77777777" w:rsidR="009A51A2" w:rsidRDefault="009A51A2" w:rsidP="007D724C">
      <w:pPr>
        <w:pStyle w:val="FSBullet1"/>
      </w:pPr>
      <w:r w:rsidRPr="009265D9">
        <w:t xml:space="preserve">The production organism </w:t>
      </w:r>
      <w:r w:rsidRPr="009265D9">
        <w:rPr>
          <w:i/>
        </w:rPr>
        <w:t>B. subtilis</w:t>
      </w:r>
      <w:r w:rsidRPr="009265D9">
        <w:t xml:space="preserve">, is not toxigenic, pathogenic or sporogenic and is absent in the final enzyme preparation proposed to be used as a food processing aid. Further, </w:t>
      </w:r>
      <w:r w:rsidRPr="009265D9">
        <w:rPr>
          <w:i/>
          <w:lang w:val="en-AU"/>
        </w:rPr>
        <w:t>B. subtilis</w:t>
      </w:r>
      <w:r w:rsidRPr="009265D9">
        <w:t xml:space="preserve"> has a history of safe use as the production organism for a number of enzyme processing aids that are already permitted in the Code.</w:t>
      </w:r>
    </w:p>
    <w:p w14:paraId="6E373092" w14:textId="77777777" w:rsidR="007D724C" w:rsidRPr="007D724C" w:rsidRDefault="007D724C" w:rsidP="007D724C">
      <w:pPr>
        <w:rPr>
          <w:lang w:bidi="ar-SA"/>
        </w:rPr>
      </w:pPr>
    </w:p>
    <w:p w14:paraId="564F5164" w14:textId="77777777" w:rsidR="009A51A2" w:rsidRDefault="009A51A2" w:rsidP="007D724C">
      <w:pPr>
        <w:pStyle w:val="FSBullet1"/>
        <w:rPr>
          <w:lang w:val="en-AU"/>
        </w:rPr>
      </w:pPr>
      <w:r w:rsidRPr="009265D9">
        <w:rPr>
          <w:lang w:val="en-AU"/>
        </w:rPr>
        <w:t>Residual enzyme is expected to be present in the final food but would be inactive and susceptible to digestion like any other dietary protein.</w:t>
      </w:r>
    </w:p>
    <w:p w14:paraId="3BF24903" w14:textId="77777777" w:rsidR="007D724C" w:rsidRPr="007D724C" w:rsidRDefault="007D724C" w:rsidP="007D724C">
      <w:pPr>
        <w:rPr>
          <w:lang w:val="en-AU" w:bidi="ar-SA"/>
        </w:rPr>
      </w:pPr>
    </w:p>
    <w:p w14:paraId="58E7D034" w14:textId="77777777" w:rsidR="009A51A2" w:rsidRDefault="009A51A2" w:rsidP="007D724C">
      <w:pPr>
        <w:pStyle w:val="FSBullet1"/>
        <w:rPr>
          <w:lang w:val="en-AU"/>
        </w:rPr>
      </w:pPr>
      <w:r w:rsidRPr="009265D9">
        <w:rPr>
          <w:lang w:val="en-AU"/>
        </w:rPr>
        <w:t>Bioinformatic analysis indicated that the enzyme has no biologically relevant homology to known protein allergens or toxins.</w:t>
      </w:r>
    </w:p>
    <w:p w14:paraId="502B4C1B" w14:textId="77777777" w:rsidR="007D724C" w:rsidRPr="007D724C" w:rsidRDefault="007D724C" w:rsidP="007D724C">
      <w:pPr>
        <w:rPr>
          <w:lang w:val="en-AU" w:bidi="ar-SA"/>
        </w:rPr>
      </w:pPr>
    </w:p>
    <w:p w14:paraId="28139342" w14:textId="77777777" w:rsidR="009A51A2" w:rsidRDefault="009A51A2" w:rsidP="007D724C">
      <w:pPr>
        <w:pStyle w:val="FSBullet1"/>
        <w:rPr>
          <w:lang w:val="en-AU"/>
        </w:rPr>
      </w:pPr>
      <w:r w:rsidRPr="009265D9">
        <w:rPr>
          <w:lang w:val="en-AU"/>
        </w:rPr>
        <w:t xml:space="preserve">The enzyme </w:t>
      </w:r>
      <w:r>
        <w:rPr>
          <w:lang w:val="en-AU"/>
        </w:rPr>
        <w:t xml:space="preserve">preparation </w:t>
      </w:r>
      <w:r w:rsidRPr="009265D9">
        <w:rPr>
          <w:lang w:val="en-AU"/>
        </w:rPr>
        <w:t xml:space="preserve">caused no observable effects at the highest tested doses in a 90-day toxicity study in rats. The NOAEL was </w:t>
      </w:r>
      <w:r w:rsidR="008B03C7">
        <w:t>1.207 g </w:t>
      </w:r>
      <w:r w:rsidRPr="009265D9">
        <w:t>TOS/kg bw/d</w:t>
      </w:r>
      <w:r w:rsidRPr="009265D9">
        <w:rPr>
          <w:lang w:val="en-AU"/>
        </w:rPr>
        <w:t>, the highest dose tested.</w:t>
      </w:r>
    </w:p>
    <w:p w14:paraId="12051097" w14:textId="77777777" w:rsidR="007D724C" w:rsidRPr="007D724C" w:rsidRDefault="007D724C" w:rsidP="007D724C">
      <w:pPr>
        <w:rPr>
          <w:lang w:val="en-AU" w:bidi="ar-SA"/>
        </w:rPr>
      </w:pPr>
    </w:p>
    <w:p w14:paraId="675A1A83" w14:textId="77777777" w:rsidR="009A51A2" w:rsidRDefault="009A51A2" w:rsidP="007D724C">
      <w:pPr>
        <w:pStyle w:val="FSBullet1"/>
        <w:rPr>
          <w:lang w:val="en-AU"/>
        </w:rPr>
      </w:pPr>
      <w:r w:rsidRPr="009265D9">
        <w:rPr>
          <w:lang w:val="en-AU"/>
        </w:rPr>
        <w:t xml:space="preserve">The enzyme preparation was not genotoxic </w:t>
      </w:r>
      <w:r w:rsidRPr="009265D9">
        <w:rPr>
          <w:i/>
          <w:lang w:val="en-AU"/>
        </w:rPr>
        <w:t>in vitro</w:t>
      </w:r>
      <w:r w:rsidRPr="009265D9">
        <w:rPr>
          <w:lang w:val="en-AU"/>
        </w:rPr>
        <w:t>.</w:t>
      </w:r>
    </w:p>
    <w:p w14:paraId="06B8137F" w14:textId="77777777" w:rsidR="007D724C" w:rsidRPr="007D724C" w:rsidRDefault="007D724C" w:rsidP="007D724C">
      <w:pPr>
        <w:rPr>
          <w:lang w:val="en-AU" w:bidi="ar-SA"/>
        </w:rPr>
      </w:pPr>
    </w:p>
    <w:p w14:paraId="5ED0A4EF" w14:textId="59AE9C83" w:rsidR="009A51A2" w:rsidRDefault="009A51A2" w:rsidP="0025773B">
      <w:pPr>
        <w:rPr>
          <w:lang w:val="en-AU"/>
        </w:rPr>
      </w:pPr>
      <w:r>
        <w:rPr>
          <w:rFonts w:eastAsiaTheme="minorHAnsi"/>
          <w:lang w:bidi="ar-SA"/>
        </w:rPr>
        <w:t xml:space="preserve">It is noted that </w:t>
      </w:r>
      <w:r w:rsidRPr="00D65AFB">
        <w:rPr>
          <w:rFonts w:eastAsiaTheme="minorHAnsi"/>
          <w:lang w:bidi="ar-SA"/>
        </w:rPr>
        <w:t xml:space="preserve">JECFA allocated an acceptable daily intake (ADI) “not specified” for asparaginase from both </w:t>
      </w:r>
      <w:r w:rsidRPr="00452E8D">
        <w:rPr>
          <w:rFonts w:eastAsiaTheme="minorHAnsi"/>
          <w:i/>
          <w:lang w:bidi="ar-SA"/>
        </w:rPr>
        <w:t>Aspergillus oryzae</w:t>
      </w:r>
      <w:r w:rsidRPr="00D65AFB">
        <w:rPr>
          <w:rFonts w:eastAsiaTheme="minorHAnsi"/>
          <w:lang w:bidi="ar-SA"/>
        </w:rPr>
        <w:t xml:space="preserve"> expressed in </w:t>
      </w:r>
      <w:r w:rsidRPr="00452E8D">
        <w:rPr>
          <w:rFonts w:eastAsiaTheme="minorHAnsi"/>
          <w:i/>
          <w:lang w:bidi="ar-SA"/>
        </w:rPr>
        <w:t xml:space="preserve">A. oryzae </w:t>
      </w:r>
      <w:r>
        <w:rPr>
          <w:rFonts w:eastAsiaTheme="minorHAnsi"/>
          <w:noProof/>
          <w:lang w:bidi="ar-SA"/>
        </w:rPr>
        <w:t>(JECFA 2007)</w:t>
      </w:r>
      <w:r w:rsidRPr="00D65AFB">
        <w:rPr>
          <w:rFonts w:eastAsiaTheme="minorHAnsi"/>
          <w:lang w:bidi="ar-SA"/>
        </w:rPr>
        <w:t xml:space="preserve"> and </w:t>
      </w:r>
      <w:r w:rsidR="008B03C7">
        <w:rPr>
          <w:rFonts w:eastAsiaTheme="minorHAnsi"/>
          <w:i/>
          <w:iCs/>
          <w:lang w:bidi="ar-SA"/>
        </w:rPr>
        <w:t>A. </w:t>
      </w:r>
      <w:r w:rsidRPr="00D65AFB">
        <w:rPr>
          <w:rFonts w:eastAsiaTheme="minorHAnsi"/>
          <w:i/>
          <w:iCs/>
          <w:lang w:bidi="ar-SA"/>
        </w:rPr>
        <w:t>niger</w:t>
      </w:r>
      <w:r w:rsidRPr="00D65AFB">
        <w:rPr>
          <w:rFonts w:eastAsiaTheme="minorHAnsi"/>
          <w:lang w:bidi="ar-SA"/>
        </w:rPr>
        <w:t xml:space="preserve"> expressed in </w:t>
      </w:r>
      <w:r w:rsidRPr="00D65AFB">
        <w:rPr>
          <w:rFonts w:eastAsiaTheme="minorHAnsi"/>
          <w:i/>
          <w:iCs/>
          <w:lang w:bidi="ar-SA"/>
        </w:rPr>
        <w:t xml:space="preserve">A. niger </w:t>
      </w:r>
      <w:r>
        <w:rPr>
          <w:rFonts w:eastAsiaTheme="minorHAnsi"/>
          <w:noProof/>
          <w:lang w:bidi="ar-SA"/>
        </w:rPr>
        <w:t>(Mueller et al. 2009)</w:t>
      </w:r>
      <w:r w:rsidRPr="00D65AFB">
        <w:rPr>
          <w:rFonts w:eastAsiaTheme="minorHAnsi"/>
          <w:lang w:bidi="ar-SA"/>
        </w:rPr>
        <w:t>.</w:t>
      </w:r>
      <w:r>
        <w:rPr>
          <w:rFonts w:eastAsiaTheme="minorHAnsi"/>
          <w:lang w:bidi="ar-SA"/>
        </w:rPr>
        <w:t xml:space="preserve"> </w:t>
      </w:r>
      <w:r w:rsidRPr="009265D9">
        <w:rPr>
          <w:lang w:val="en-AU"/>
        </w:rPr>
        <w:t>Based on the reviewed toxicological data, it is concluded that in the absence of any identifiable hazard, an Acceptable Daily Intake (ADI) ‘not specified’ is appropriate</w:t>
      </w:r>
      <w:r>
        <w:rPr>
          <w:lang w:val="en-AU"/>
        </w:rPr>
        <w:t xml:space="preserve"> for asparaginase from </w:t>
      </w:r>
      <w:r w:rsidRPr="009265D9">
        <w:rPr>
          <w:i/>
          <w:lang w:val="en-AU"/>
        </w:rPr>
        <w:t>B. subtilis.</w:t>
      </w:r>
      <w:r w:rsidRPr="009265D9">
        <w:rPr>
          <w:lang w:val="en-AU"/>
        </w:rPr>
        <w:t xml:space="preserve"> A dietary exposure assessment </w:t>
      </w:r>
      <w:r w:rsidR="000E6DD2">
        <w:rPr>
          <w:lang w:val="en-AU"/>
        </w:rPr>
        <w:t>wa</w:t>
      </w:r>
      <w:r w:rsidR="000E6DD2" w:rsidRPr="009265D9">
        <w:rPr>
          <w:lang w:val="en-AU"/>
        </w:rPr>
        <w:t xml:space="preserve">s </w:t>
      </w:r>
      <w:r w:rsidRPr="009265D9">
        <w:rPr>
          <w:lang w:val="en-AU"/>
        </w:rPr>
        <w:t>therefore not required.</w:t>
      </w:r>
    </w:p>
    <w:p w14:paraId="1C180742" w14:textId="77777777" w:rsidR="0025773B" w:rsidRPr="009265D9" w:rsidRDefault="0025773B" w:rsidP="0025773B">
      <w:pPr>
        <w:rPr>
          <w:lang w:val="en-AU"/>
        </w:rPr>
      </w:pPr>
    </w:p>
    <w:p w14:paraId="05544EB4" w14:textId="4A362A1F" w:rsidR="009A51A2" w:rsidRDefault="00484A31" w:rsidP="00F14DD2">
      <w:pPr>
        <w:pStyle w:val="Heading1"/>
      </w:pPr>
      <w:bookmarkStart w:id="39" w:name="_Toc422315747"/>
      <w:r>
        <w:t>4</w:t>
      </w:r>
      <w:r>
        <w:tab/>
      </w:r>
      <w:r w:rsidR="009A51A2">
        <w:t>Conclusion</w:t>
      </w:r>
      <w:bookmarkEnd w:id="39"/>
    </w:p>
    <w:p w14:paraId="0E5BF5C2" w14:textId="3514BE02" w:rsidR="00EB3EBB" w:rsidRDefault="00EB3EBB" w:rsidP="00EB3EBB">
      <w:r>
        <w:t xml:space="preserve">This risk assessment considered the technological suitability, potential hazard of the production microorganism and the potential hazard of the asparaginase enzyme preparation isolated from a genetically modified </w:t>
      </w:r>
      <w:r w:rsidRPr="00EB3EBB">
        <w:rPr>
          <w:i/>
        </w:rPr>
        <w:t>Bacillus subtilis</w:t>
      </w:r>
      <w:r>
        <w:t xml:space="preserve"> </w:t>
      </w:r>
      <w:r w:rsidRPr="00F145AC">
        <w:t>expressing a</w:t>
      </w:r>
      <w:r w:rsidR="000E6DD2">
        <w:t>n</w:t>
      </w:r>
      <w:r>
        <w:t xml:space="preserve"> asparaginase</w:t>
      </w:r>
      <w:r w:rsidRPr="00F145AC">
        <w:t xml:space="preserve"> gene from </w:t>
      </w:r>
      <w:r>
        <w:rPr>
          <w:i/>
        </w:rPr>
        <w:t>Pyrococcus furiosus</w:t>
      </w:r>
      <w:r>
        <w:t>.</w:t>
      </w:r>
    </w:p>
    <w:p w14:paraId="78EFC6F3" w14:textId="77777777" w:rsidR="00EB3EBB" w:rsidRDefault="00EB3EBB" w:rsidP="00EB3EBB"/>
    <w:p w14:paraId="21B05051" w14:textId="77777777" w:rsidR="009A51A2" w:rsidRDefault="00EB3EBB" w:rsidP="00EB3EBB">
      <w:r>
        <w:lastRenderedPageBreak/>
        <w:t xml:space="preserve">It was concluded that the proposed use of the enzyme was technologically justified in the form and prescribed amounts. The evidence presented was sufficient to determine that no safety concerns with production microorganisms or the enzyme exist. Thus asparaginase derived from </w:t>
      </w:r>
      <w:r w:rsidRPr="00EB3EBB">
        <w:rPr>
          <w:i/>
        </w:rPr>
        <w:t>B. subtilis</w:t>
      </w:r>
      <w:r>
        <w:t xml:space="preserve"> is unlikely to pose any health risk when used as a food processing aid.</w:t>
      </w:r>
    </w:p>
    <w:p w14:paraId="1AFAD1D0" w14:textId="77777777" w:rsidR="00484A31" w:rsidRDefault="00484A31" w:rsidP="00EB3EBB"/>
    <w:p w14:paraId="0405E675" w14:textId="77777777" w:rsidR="009A51A2" w:rsidRDefault="009A51A2" w:rsidP="00CA7732">
      <w:pPr>
        <w:pStyle w:val="Heading1"/>
        <w:keepLines/>
      </w:pPr>
      <w:bookmarkStart w:id="40" w:name="_Toc422315748"/>
      <w:r>
        <w:t>References</w:t>
      </w:r>
      <w:bookmarkEnd w:id="40"/>
    </w:p>
    <w:p w14:paraId="7166BE5D" w14:textId="77777777" w:rsidR="009A51A2" w:rsidRPr="000236E2" w:rsidRDefault="009A51A2" w:rsidP="00CA7732">
      <w:pPr>
        <w:keepNext/>
        <w:keepLines/>
        <w:tabs>
          <w:tab w:val="left" w:pos="0"/>
        </w:tabs>
        <w:spacing w:after="240"/>
        <w:rPr>
          <w:rFonts w:cs="Arial"/>
          <w:noProof/>
          <w:sz w:val="20"/>
          <w:szCs w:val="20"/>
        </w:rPr>
      </w:pPr>
      <w:r w:rsidRPr="000236E2">
        <w:rPr>
          <w:rFonts w:cs="Arial"/>
          <w:noProof/>
          <w:sz w:val="20"/>
          <w:szCs w:val="20"/>
        </w:rPr>
        <w:t xml:space="preserve">Arthur TM, Bosilevac JM, Kalchayanand N, Wells JE, Shackelford SD, Wheeler TL, Koohmaraie M (2010) Evaluation of a direct-fed microbial product effect on the prevalence and load of </w:t>
      </w:r>
      <w:r w:rsidRPr="000236E2">
        <w:rPr>
          <w:rFonts w:cs="Arial"/>
          <w:i/>
          <w:noProof/>
          <w:sz w:val="20"/>
          <w:szCs w:val="20"/>
        </w:rPr>
        <w:t>Escherichia coli</w:t>
      </w:r>
      <w:r w:rsidRPr="000236E2">
        <w:rPr>
          <w:rFonts w:cs="Arial"/>
          <w:noProof/>
          <w:sz w:val="20"/>
          <w:szCs w:val="20"/>
        </w:rPr>
        <w:t xml:space="preserve"> O157:H7 in feedlot cattle. J Food Prot 73(2):366–371</w:t>
      </w:r>
    </w:p>
    <w:p w14:paraId="0DA1E7E8" w14:textId="77777777" w:rsidR="009A51A2" w:rsidRPr="000236E2" w:rsidRDefault="009A51A2" w:rsidP="00F14DD2">
      <w:pPr>
        <w:tabs>
          <w:tab w:val="left" w:pos="0"/>
        </w:tabs>
        <w:rPr>
          <w:rFonts w:cs="Arial"/>
          <w:noProof/>
          <w:sz w:val="20"/>
          <w:szCs w:val="20"/>
        </w:rPr>
      </w:pPr>
      <w:r w:rsidRPr="000236E2">
        <w:rPr>
          <w:rFonts w:cs="Arial"/>
          <w:noProof/>
          <w:sz w:val="20"/>
          <w:szCs w:val="20"/>
        </w:rPr>
        <w:t xml:space="preserve">Banke, N., Rasmussen, M. D., Pedersen, P. E., Borchert, M. S., Thomas, M. (2014) Production of polypeptides without secretion signal in </w:t>
      </w:r>
      <w:r w:rsidRPr="000236E2">
        <w:rPr>
          <w:rFonts w:cs="Arial"/>
          <w:i/>
          <w:noProof/>
          <w:sz w:val="20"/>
          <w:szCs w:val="20"/>
        </w:rPr>
        <w:t>Bacillus</w:t>
      </w:r>
      <w:r w:rsidRPr="000236E2">
        <w:rPr>
          <w:rFonts w:cs="Arial"/>
          <w:noProof/>
          <w:sz w:val="20"/>
          <w:szCs w:val="20"/>
        </w:rPr>
        <w:t>. Patent WO 2014/202793 A1.</w:t>
      </w:r>
    </w:p>
    <w:p w14:paraId="174A54F9" w14:textId="77777777" w:rsidR="009A51A2" w:rsidRPr="000236E2" w:rsidRDefault="00F95926" w:rsidP="00F14DD2">
      <w:pPr>
        <w:tabs>
          <w:tab w:val="left" w:pos="0"/>
        </w:tabs>
        <w:spacing w:after="240"/>
        <w:rPr>
          <w:rFonts w:cs="Arial"/>
          <w:noProof/>
          <w:sz w:val="20"/>
          <w:szCs w:val="20"/>
          <w:u w:val="single"/>
        </w:rPr>
      </w:pPr>
      <w:hyperlink r:id="rId24" w:history="1">
        <w:r w:rsidR="000236E2" w:rsidRPr="00531BD8">
          <w:rPr>
            <w:rStyle w:val="Hyperlink"/>
            <w:rFonts w:cs="Arial"/>
            <w:noProof/>
            <w:sz w:val="20"/>
            <w:szCs w:val="20"/>
          </w:rPr>
          <w:t>http://patentscope.wipo.int/search/en/detail.jsf</w:t>
        </w:r>
      </w:hyperlink>
    </w:p>
    <w:p w14:paraId="19AA95F2"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Baxevanis AD (2005) Assessing Pairwise Sequence Similarity: BLAST and FASTA. Ch 11 In: Baxevanis AD, Ouellette BFF (eds) Bioinformatics: A Practical Guide to the Analysis of Genes and Proteins. John Wiley &amp; Sons, Inc., p. 295–324</w:t>
      </w:r>
    </w:p>
    <w:p w14:paraId="40473550" w14:textId="77777777" w:rsidR="009A51A2" w:rsidRPr="000236E2" w:rsidRDefault="009A51A2" w:rsidP="00F14DD2">
      <w:pPr>
        <w:tabs>
          <w:tab w:val="left" w:pos="0"/>
        </w:tabs>
        <w:rPr>
          <w:rFonts w:cs="Arial"/>
          <w:noProof/>
          <w:sz w:val="20"/>
          <w:szCs w:val="20"/>
        </w:rPr>
      </w:pPr>
      <w:r w:rsidRPr="000236E2">
        <w:rPr>
          <w:rFonts w:cs="Arial"/>
          <w:noProof/>
          <w:sz w:val="20"/>
          <w:szCs w:val="20"/>
        </w:rPr>
        <w:t>Codex (2003) Guideline for the Conduct of Food Safety Assessment of Foods Derived from Recombinant-DNA Plants. CAC/GL 45-2003. Codex Alimentarius.</w:t>
      </w:r>
    </w:p>
    <w:p w14:paraId="06D51416" w14:textId="77777777" w:rsidR="009A51A2" w:rsidRPr="000236E2" w:rsidRDefault="00F95926" w:rsidP="00F14DD2">
      <w:pPr>
        <w:tabs>
          <w:tab w:val="left" w:pos="0"/>
        </w:tabs>
        <w:spacing w:after="240"/>
        <w:rPr>
          <w:rFonts w:cs="Arial"/>
          <w:noProof/>
          <w:sz w:val="20"/>
          <w:szCs w:val="20"/>
          <w:u w:val="single"/>
        </w:rPr>
      </w:pPr>
      <w:hyperlink r:id="rId25" w:history="1">
        <w:r w:rsidR="000236E2" w:rsidRPr="00531BD8">
          <w:rPr>
            <w:rStyle w:val="Hyperlink"/>
            <w:rFonts w:cs="Arial"/>
            <w:noProof/>
            <w:sz w:val="20"/>
            <w:szCs w:val="20"/>
          </w:rPr>
          <w:t>http://www.codexalimentarius.net/web/standard_list.do?lang=en</w:t>
        </w:r>
      </w:hyperlink>
    </w:p>
    <w:p w14:paraId="37703130"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 xml:space="preserve">Danicke S, Doll S (2010) A probiotic feed additive containing spores of </w:t>
      </w:r>
      <w:r w:rsidRPr="000236E2">
        <w:rPr>
          <w:rFonts w:cs="Arial"/>
          <w:i/>
          <w:noProof/>
          <w:sz w:val="20"/>
          <w:szCs w:val="20"/>
        </w:rPr>
        <w:t>Bacillus subtilis</w:t>
      </w:r>
      <w:r w:rsidRPr="000236E2">
        <w:rPr>
          <w:rFonts w:cs="Arial"/>
          <w:noProof/>
          <w:sz w:val="20"/>
          <w:szCs w:val="20"/>
        </w:rPr>
        <w:t xml:space="preserve"> and </w:t>
      </w:r>
      <w:r w:rsidR="000236E2">
        <w:rPr>
          <w:rFonts w:cs="Arial"/>
          <w:i/>
          <w:noProof/>
          <w:sz w:val="20"/>
          <w:szCs w:val="20"/>
        </w:rPr>
        <w:t>B. </w:t>
      </w:r>
      <w:r w:rsidRPr="000236E2">
        <w:rPr>
          <w:rFonts w:cs="Arial"/>
          <w:i/>
          <w:noProof/>
          <w:sz w:val="20"/>
          <w:szCs w:val="20"/>
        </w:rPr>
        <w:t>licheniformis</w:t>
      </w:r>
      <w:r w:rsidRPr="000236E2">
        <w:rPr>
          <w:rFonts w:cs="Arial"/>
          <w:noProof/>
          <w:sz w:val="20"/>
          <w:szCs w:val="20"/>
        </w:rPr>
        <w:t xml:space="preserve"> does not prevent absorption and toxic effects of the </w:t>
      </w:r>
      <w:r w:rsidRPr="000236E2">
        <w:rPr>
          <w:rFonts w:cs="Arial"/>
          <w:i/>
          <w:noProof/>
          <w:sz w:val="20"/>
          <w:szCs w:val="20"/>
        </w:rPr>
        <w:t>Fusarium</w:t>
      </w:r>
      <w:r w:rsidRPr="000236E2">
        <w:rPr>
          <w:rFonts w:cs="Arial"/>
          <w:noProof/>
          <w:sz w:val="20"/>
          <w:szCs w:val="20"/>
        </w:rPr>
        <w:t xml:space="preserve"> toxin deoxynivalenol in piglets. Food Chem Toxicol 48(1):152–158</w:t>
      </w:r>
    </w:p>
    <w:p w14:paraId="661BC3D2"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 xml:space="preserve">de Boer A, Diderichsen B+ (1991) On the safety of </w:t>
      </w:r>
      <w:r w:rsidRPr="000236E2">
        <w:rPr>
          <w:rFonts w:cs="Arial"/>
          <w:i/>
          <w:noProof/>
          <w:sz w:val="20"/>
          <w:szCs w:val="20"/>
        </w:rPr>
        <w:t>Bacillus subtilis</w:t>
      </w:r>
      <w:r w:rsidRPr="000236E2">
        <w:rPr>
          <w:rFonts w:cs="Arial"/>
          <w:noProof/>
          <w:sz w:val="20"/>
          <w:szCs w:val="20"/>
        </w:rPr>
        <w:t xml:space="preserve"> and </w:t>
      </w:r>
      <w:r w:rsidRPr="000236E2">
        <w:rPr>
          <w:rFonts w:cs="Arial"/>
          <w:i/>
          <w:noProof/>
          <w:sz w:val="20"/>
          <w:szCs w:val="20"/>
        </w:rPr>
        <w:t>B. amyloliquefaciens</w:t>
      </w:r>
      <w:r w:rsidRPr="000236E2">
        <w:rPr>
          <w:rFonts w:cs="Arial"/>
          <w:noProof/>
          <w:sz w:val="20"/>
          <w:szCs w:val="20"/>
        </w:rPr>
        <w:t>: a review. Applied Microbiology and Biotechnology 36(1):1–4</w:t>
      </w:r>
    </w:p>
    <w:p w14:paraId="523430C5"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 xml:space="preserve">Duc lH, Hong HA, Barbosa TM, Henriques AO, Cutting SM (2004) Characterization of </w:t>
      </w:r>
      <w:r w:rsidRPr="000236E2">
        <w:rPr>
          <w:rFonts w:cs="Arial"/>
          <w:i/>
          <w:noProof/>
          <w:sz w:val="20"/>
          <w:szCs w:val="20"/>
        </w:rPr>
        <w:t>Bacillus</w:t>
      </w:r>
      <w:r w:rsidRPr="000236E2">
        <w:rPr>
          <w:rFonts w:cs="Arial"/>
          <w:noProof/>
          <w:sz w:val="20"/>
          <w:szCs w:val="20"/>
        </w:rPr>
        <w:t xml:space="preserve"> probiotics available for human use. Appl Environ Microbiol 70(4):2161–2171</w:t>
      </w:r>
    </w:p>
    <w:p w14:paraId="373FDB78"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EFSA (2007) Introduction of a Qualified Presumption of Safety (QPS) approach for assessment of selected microorganisms referred to EFSA. Opinion of the Scientific Committee (Question No EFSA-Q-2005-293. The EFSA journal 587:1–16</w:t>
      </w:r>
    </w:p>
    <w:p w14:paraId="27D365A2"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Farzanfar A (2006) The use of probiotics in shrimp aquaculture. FEMS Immunol Med Microbiol 48(2):149–158</w:t>
      </w:r>
    </w:p>
    <w:p w14:paraId="73EEC5ED" w14:textId="77777777" w:rsidR="009A51A2" w:rsidRPr="000236E2" w:rsidRDefault="009A51A2" w:rsidP="00CA7732">
      <w:pPr>
        <w:tabs>
          <w:tab w:val="left" w:pos="0"/>
        </w:tabs>
        <w:rPr>
          <w:rFonts w:cs="Arial"/>
          <w:noProof/>
          <w:sz w:val="20"/>
          <w:szCs w:val="20"/>
        </w:rPr>
      </w:pPr>
      <w:r w:rsidRPr="000236E2">
        <w:rPr>
          <w:rFonts w:cs="Arial"/>
          <w:noProof/>
          <w:sz w:val="20"/>
          <w:szCs w:val="20"/>
        </w:rPr>
        <w:t>FDA (1999) Agency response letter GRAS Notice no. GRN 000020. United States Food and Drug Administration.</w:t>
      </w:r>
    </w:p>
    <w:p w14:paraId="2A2BF947" w14:textId="77777777" w:rsidR="009A51A2" w:rsidRPr="000236E2" w:rsidRDefault="00F95926" w:rsidP="00CA7732">
      <w:pPr>
        <w:tabs>
          <w:tab w:val="left" w:pos="0"/>
        </w:tabs>
        <w:spacing w:after="240"/>
        <w:rPr>
          <w:rFonts w:cs="Arial"/>
          <w:noProof/>
          <w:sz w:val="20"/>
          <w:szCs w:val="20"/>
        </w:rPr>
      </w:pPr>
      <w:hyperlink r:id="rId26" w:history="1">
        <w:r w:rsidR="000236E2" w:rsidRPr="00531BD8">
          <w:rPr>
            <w:rStyle w:val="Hyperlink"/>
            <w:rFonts w:cs="Arial"/>
            <w:noProof/>
            <w:sz w:val="20"/>
            <w:szCs w:val="20"/>
          </w:rPr>
          <w:t>http://www.fda.gov/Food/FoodIngredientsPackaging/GenerallyRecognizedasSafeGRAS/GRASListings/ucm154884.htm</w:t>
        </w:r>
      </w:hyperlink>
      <w:r w:rsidR="009A51A2" w:rsidRPr="000236E2">
        <w:rPr>
          <w:rFonts w:cs="Arial"/>
          <w:noProof/>
          <w:sz w:val="20"/>
          <w:szCs w:val="20"/>
        </w:rPr>
        <w:t>. Accessed 6 April 2010</w:t>
      </w:r>
    </w:p>
    <w:p w14:paraId="7406ED16" w14:textId="77777777" w:rsidR="009A51A2" w:rsidRPr="000236E2" w:rsidRDefault="009A51A2" w:rsidP="00F14DD2">
      <w:pPr>
        <w:tabs>
          <w:tab w:val="left" w:pos="0"/>
        </w:tabs>
        <w:rPr>
          <w:rFonts w:cs="Arial"/>
          <w:noProof/>
          <w:sz w:val="20"/>
          <w:szCs w:val="20"/>
        </w:rPr>
      </w:pPr>
      <w:r w:rsidRPr="000236E2">
        <w:rPr>
          <w:rFonts w:cs="Arial"/>
          <w:noProof/>
          <w:sz w:val="20"/>
          <w:szCs w:val="20"/>
        </w:rPr>
        <w:t>FDA (2003) Agency response letter GRAS Notice no GRN 000114. United States Food and Drug Administration.</w:t>
      </w:r>
    </w:p>
    <w:p w14:paraId="48C24C18" w14:textId="77777777" w:rsidR="009A51A2" w:rsidRPr="000236E2" w:rsidRDefault="00F95926" w:rsidP="00F14DD2">
      <w:pPr>
        <w:tabs>
          <w:tab w:val="left" w:pos="0"/>
        </w:tabs>
        <w:spacing w:after="240"/>
        <w:rPr>
          <w:rFonts w:cs="Arial"/>
          <w:noProof/>
          <w:sz w:val="20"/>
          <w:szCs w:val="20"/>
        </w:rPr>
      </w:pPr>
      <w:hyperlink r:id="rId27" w:history="1">
        <w:r w:rsidR="000236E2" w:rsidRPr="00531BD8">
          <w:rPr>
            <w:rStyle w:val="Hyperlink"/>
            <w:rFonts w:cs="Arial"/>
            <w:noProof/>
            <w:sz w:val="20"/>
            <w:szCs w:val="20"/>
          </w:rPr>
          <w:t>http://www.accessdata.fda.gov/scripts/fcn/fcnDetailNavigation.cfm?rpt=grasListing&amp;id=114</w:t>
        </w:r>
      </w:hyperlink>
      <w:r w:rsidR="009A51A2" w:rsidRPr="000236E2">
        <w:rPr>
          <w:rFonts w:cs="Arial"/>
          <w:noProof/>
          <w:sz w:val="20"/>
          <w:szCs w:val="20"/>
        </w:rPr>
        <w:t>. Accessed 6 April 2010</w:t>
      </w:r>
    </w:p>
    <w:p w14:paraId="60EE0C29" w14:textId="77777777" w:rsidR="009A51A2" w:rsidRPr="000236E2" w:rsidRDefault="009A51A2" w:rsidP="00F14DD2">
      <w:pPr>
        <w:tabs>
          <w:tab w:val="left" w:pos="0"/>
        </w:tabs>
        <w:rPr>
          <w:rFonts w:cs="Arial"/>
          <w:noProof/>
          <w:sz w:val="20"/>
          <w:szCs w:val="20"/>
        </w:rPr>
      </w:pPr>
      <w:r w:rsidRPr="000236E2">
        <w:rPr>
          <w:rFonts w:cs="Arial"/>
          <w:noProof/>
          <w:sz w:val="20"/>
          <w:szCs w:val="20"/>
        </w:rPr>
        <w:t>FDA (2006) Agency response letter GRAS Notice no GRN 000205. United States Food and Drug Administration.</w:t>
      </w:r>
    </w:p>
    <w:p w14:paraId="275559C3" w14:textId="77777777" w:rsidR="009A51A2" w:rsidRPr="000236E2" w:rsidRDefault="00F95926" w:rsidP="00F14DD2">
      <w:pPr>
        <w:tabs>
          <w:tab w:val="left" w:pos="0"/>
        </w:tabs>
        <w:spacing w:after="240"/>
        <w:rPr>
          <w:rFonts w:cs="Arial"/>
          <w:noProof/>
          <w:sz w:val="20"/>
          <w:szCs w:val="20"/>
        </w:rPr>
      </w:pPr>
      <w:hyperlink r:id="rId28" w:history="1">
        <w:r w:rsidR="000236E2" w:rsidRPr="00531BD8">
          <w:rPr>
            <w:rStyle w:val="Hyperlink"/>
            <w:rFonts w:cs="Arial"/>
            <w:noProof/>
            <w:sz w:val="20"/>
            <w:szCs w:val="20"/>
          </w:rPr>
          <w:t>http://www.fda.gov/Food/FoodIngredientsPackaging/GenerallyRecognizedasSafeGRAS/GRASListings/ucm153757.htm</w:t>
        </w:r>
      </w:hyperlink>
      <w:r w:rsidR="009A51A2" w:rsidRPr="000236E2">
        <w:rPr>
          <w:rFonts w:cs="Arial"/>
          <w:noProof/>
          <w:sz w:val="20"/>
          <w:szCs w:val="20"/>
        </w:rPr>
        <w:t>. Accessed 6 April 2010</w:t>
      </w:r>
    </w:p>
    <w:p w14:paraId="6FD64A9A" w14:textId="77777777" w:rsidR="0010323C" w:rsidRDefault="0010323C" w:rsidP="00F14DD2">
      <w:pPr>
        <w:tabs>
          <w:tab w:val="left" w:pos="0"/>
        </w:tabs>
        <w:rPr>
          <w:rFonts w:cs="Arial"/>
          <w:noProof/>
          <w:sz w:val="20"/>
          <w:szCs w:val="20"/>
        </w:rPr>
      </w:pPr>
      <w:r>
        <w:rPr>
          <w:rFonts w:cs="Arial"/>
          <w:noProof/>
          <w:sz w:val="20"/>
          <w:szCs w:val="20"/>
        </w:rPr>
        <w:br w:type="page"/>
      </w:r>
    </w:p>
    <w:p w14:paraId="106151A7" w14:textId="46EC3C68" w:rsidR="009A51A2" w:rsidRPr="000236E2" w:rsidRDefault="009A51A2" w:rsidP="00F14DD2">
      <w:pPr>
        <w:tabs>
          <w:tab w:val="left" w:pos="0"/>
        </w:tabs>
        <w:rPr>
          <w:rFonts w:cs="Arial"/>
          <w:noProof/>
          <w:sz w:val="20"/>
          <w:szCs w:val="20"/>
        </w:rPr>
      </w:pPr>
      <w:r w:rsidRPr="000236E2">
        <w:rPr>
          <w:rFonts w:cs="Arial"/>
          <w:noProof/>
          <w:sz w:val="20"/>
          <w:szCs w:val="20"/>
        </w:rPr>
        <w:lastRenderedPageBreak/>
        <w:t>FDA (2009) Agency response letter GRAS Notice no GRN 000274. United States Food and Drug Administration.</w:t>
      </w:r>
    </w:p>
    <w:p w14:paraId="008635E9" w14:textId="77777777" w:rsidR="009A51A2" w:rsidRPr="000236E2" w:rsidRDefault="00F95926" w:rsidP="00F14DD2">
      <w:pPr>
        <w:tabs>
          <w:tab w:val="left" w:pos="0"/>
        </w:tabs>
        <w:spacing w:after="240"/>
        <w:rPr>
          <w:rFonts w:cs="Arial"/>
          <w:noProof/>
          <w:sz w:val="20"/>
          <w:szCs w:val="20"/>
        </w:rPr>
      </w:pPr>
      <w:hyperlink r:id="rId29" w:history="1">
        <w:r w:rsidR="000236E2" w:rsidRPr="00531BD8">
          <w:rPr>
            <w:rStyle w:val="Hyperlink"/>
            <w:rFonts w:cs="Arial"/>
            <w:noProof/>
            <w:sz w:val="20"/>
            <w:szCs w:val="20"/>
          </w:rPr>
          <w:t>http://www.fda.gov/Food/FoodIngredientsPackaging/GenerallyRecognizedasSafeGRAS/GRASListings/ucm185687.htm</w:t>
        </w:r>
      </w:hyperlink>
      <w:r w:rsidR="009A51A2" w:rsidRPr="000236E2">
        <w:rPr>
          <w:rFonts w:cs="Arial"/>
          <w:noProof/>
          <w:sz w:val="20"/>
          <w:szCs w:val="20"/>
        </w:rPr>
        <w:t>. Accessed 6 April 2010</w:t>
      </w:r>
    </w:p>
    <w:p w14:paraId="37CECEA3" w14:textId="77777777" w:rsidR="00A22D50" w:rsidRPr="00A22D50" w:rsidRDefault="00A22D50" w:rsidP="00A22D50">
      <w:pPr>
        <w:tabs>
          <w:tab w:val="left" w:pos="0"/>
        </w:tabs>
        <w:rPr>
          <w:rFonts w:cs="Arial"/>
          <w:noProof/>
          <w:sz w:val="20"/>
          <w:szCs w:val="20"/>
        </w:rPr>
      </w:pPr>
      <w:r w:rsidRPr="00A22D50">
        <w:rPr>
          <w:rFonts w:cs="Arial"/>
          <w:noProof/>
          <w:sz w:val="20"/>
          <w:szCs w:val="20"/>
        </w:rPr>
        <w:t>FoodDrinkEurope (2014) Acrylamide Toolbox 2013.</w:t>
      </w:r>
    </w:p>
    <w:p w14:paraId="3099AABC" w14:textId="119D6E3C" w:rsidR="00A22D50" w:rsidRDefault="00F95926" w:rsidP="00484A31">
      <w:pPr>
        <w:tabs>
          <w:tab w:val="left" w:pos="0"/>
        </w:tabs>
        <w:rPr>
          <w:rFonts w:cs="Arial"/>
          <w:noProof/>
          <w:sz w:val="20"/>
          <w:szCs w:val="20"/>
        </w:rPr>
      </w:pPr>
      <w:hyperlink r:id="rId30" w:history="1">
        <w:r w:rsidR="00484A31" w:rsidRPr="00657A24">
          <w:rPr>
            <w:rStyle w:val="Hyperlink"/>
            <w:rFonts w:cs="Arial"/>
            <w:noProof/>
            <w:sz w:val="20"/>
            <w:szCs w:val="20"/>
          </w:rPr>
          <w:t>http://www.fooddrinkeurope.eu/uploads/publications_documents/AcrylamideToolbox_2013.pdf. Accessed 23 March 2015</w:t>
        </w:r>
      </w:hyperlink>
    </w:p>
    <w:p w14:paraId="67E8BC95" w14:textId="77777777" w:rsidR="00484A31" w:rsidRDefault="00484A31" w:rsidP="00484A31">
      <w:pPr>
        <w:tabs>
          <w:tab w:val="left" w:pos="0"/>
        </w:tabs>
        <w:rPr>
          <w:rFonts w:cs="Arial"/>
          <w:noProof/>
          <w:sz w:val="20"/>
          <w:szCs w:val="20"/>
        </w:rPr>
      </w:pPr>
    </w:p>
    <w:p w14:paraId="1237AED0"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Henikoff S, Henikoff JG (1992) Amino acid substitution matrices from protein blocks. Proceedings of the National Academy of Sciences 89:10915–10919</w:t>
      </w:r>
    </w:p>
    <w:p w14:paraId="7D3A2418"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Henriksson A, Borody T, Clancy R (2005) Probiotics under the regulatory microscope. Expert Opin Drug Saf 4(6):1135–1143</w:t>
      </w:r>
    </w:p>
    <w:p w14:paraId="3A87B850"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 xml:space="preserve">Hosoi T, Kiuchi K (2008) Natto: A soybean food made by fermenting cooked soybean with </w:t>
      </w:r>
      <w:r w:rsidRPr="000236E2">
        <w:rPr>
          <w:rFonts w:cs="Arial"/>
          <w:i/>
          <w:noProof/>
          <w:sz w:val="20"/>
          <w:szCs w:val="20"/>
        </w:rPr>
        <w:t>Bacillus subtilis</w:t>
      </w:r>
      <w:r w:rsidRPr="000236E2">
        <w:rPr>
          <w:rFonts w:cs="Arial"/>
          <w:noProof/>
          <w:sz w:val="20"/>
          <w:szCs w:val="20"/>
        </w:rPr>
        <w:t xml:space="preserve"> (natto). In: Farnsworth ER (ed) Handbook of fermented functional foods. 2 ed, CRC Press, Florida, p. 268</w:t>
      </w:r>
    </w:p>
    <w:p w14:paraId="03B697D4"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 xml:space="preserve">Inatsu Y, Nakamura N, Yuriko Y, Fushimi T, Watanasiritum L, Kawamoto S (2006) Characterization of </w:t>
      </w:r>
      <w:r w:rsidRPr="000236E2">
        <w:rPr>
          <w:rFonts w:cs="Arial"/>
          <w:i/>
          <w:noProof/>
          <w:sz w:val="20"/>
          <w:szCs w:val="20"/>
        </w:rPr>
        <w:t>Bacillus subtilis</w:t>
      </w:r>
      <w:r w:rsidRPr="000236E2">
        <w:rPr>
          <w:rFonts w:cs="Arial"/>
          <w:noProof/>
          <w:sz w:val="20"/>
          <w:szCs w:val="20"/>
        </w:rPr>
        <w:t xml:space="preserve"> strains in Thua nao, a traditional fermented soybean food in northern Thailand. Lett Appl Microbiol 43(3):237–242</w:t>
      </w:r>
    </w:p>
    <w:p w14:paraId="0EEB4D6D" w14:textId="77777777" w:rsidR="009A51A2" w:rsidRPr="000236E2" w:rsidRDefault="009A51A2" w:rsidP="00F14DD2">
      <w:pPr>
        <w:tabs>
          <w:tab w:val="left" w:pos="0"/>
        </w:tabs>
        <w:rPr>
          <w:rFonts w:cs="Arial"/>
          <w:noProof/>
          <w:sz w:val="20"/>
          <w:szCs w:val="20"/>
        </w:rPr>
      </w:pPr>
      <w:r w:rsidRPr="000236E2">
        <w:rPr>
          <w:rFonts w:cs="Arial"/>
          <w:noProof/>
          <w:sz w:val="20"/>
          <w:szCs w:val="20"/>
        </w:rPr>
        <w:t>IUBMB (2015) EC 3.5.1.1.</w:t>
      </w:r>
    </w:p>
    <w:p w14:paraId="740604EB" w14:textId="77777777" w:rsidR="009A51A2" w:rsidRPr="000236E2" w:rsidRDefault="00F95926" w:rsidP="00F14DD2">
      <w:pPr>
        <w:tabs>
          <w:tab w:val="left" w:pos="0"/>
        </w:tabs>
        <w:spacing w:after="240"/>
        <w:rPr>
          <w:rFonts w:cs="Arial"/>
          <w:noProof/>
          <w:sz w:val="20"/>
          <w:szCs w:val="20"/>
        </w:rPr>
      </w:pPr>
      <w:hyperlink r:id="rId31" w:history="1">
        <w:r w:rsidR="000236E2" w:rsidRPr="00531BD8">
          <w:rPr>
            <w:rStyle w:val="Hyperlink"/>
            <w:rFonts w:cs="Arial"/>
            <w:noProof/>
            <w:sz w:val="20"/>
            <w:szCs w:val="20"/>
          </w:rPr>
          <w:t>http://www.enzyme-database.org/query.php?ec=3.5.1.1</w:t>
        </w:r>
      </w:hyperlink>
      <w:r w:rsidR="009A51A2" w:rsidRPr="000236E2">
        <w:rPr>
          <w:rFonts w:cs="Arial"/>
          <w:noProof/>
          <w:sz w:val="20"/>
          <w:szCs w:val="20"/>
        </w:rPr>
        <w:t>. Accessed 2 March 2015</w:t>
      </w:r>
    </w:p>
    <w:p w14:paraId="25F79FA9" w14:textId="77777777" w:rsidR="003F0A2E" w:rsidRPr="00E64D5B" w:rsidRDefault="003F0A2E" w:rsidP="003F0A2E">
      <w:pPr>
        <w:tabs>
          <w:tab w:val="left" w:pos="0"/>
        </w:tabs>
        <w:spacing w:after="240"/>
        <w:rPr>
          <w:rFonts w:cs="Arial"/>
          <w:noProof/>
          <w:color w:val="000000" w:themeColor="text1"/>
          <w:sz w:val="20"/>
          <w:szCs w:val="20"/>
        </w:rPr>
      </w:pPr>
      <w:r w:rsidRPr="00E64D5B">
        <w:rPr>
          <w:rFonts w:cs="Arial"/>
          <w:noProof/>
          <w:color w:val="000000" w:themeColor="text1"/>
          <w:sz w:val="20"/>
          <w:szCs w:val="20"/>
        </w:rPr>
        <w:t xml:space="preserve">JECFA (2001) General specifications and considerations for enzyme preparations used in food processing. </w:t>
      </w:r>
      <w:hyperlink r:id="rId32" w:history="1">
        <w:r w:rsidRPr="00E64D5B">
          <w:rPr>
            <w:rStyle w:val="Hyperlink"/>
            <w:rFonts w:cs="Arial"/>
            <w:noProof/>
            <w:sz w:val="20"/>
            <w:szCs w:val="20"/>
          </w:rPr>
          <w:t>http://www.fao.org/ag/agn/jecfa-additives/docs/enzymes_en.htm</w:t>
        </w:r>
      </w:hyperlink>
      <w:r w:rsidRPr="00E64D5B">
        <w:rPr>
          <w:rFonts w:cs="Arial"/>
          <w:noProof/>
          <w:color w:val="000000" w:themeColor="text1"/>
          <w:sz w:val="20"/>
          <w:szCs w:val="20"/>
        </w:rPr>
        <w:t xml:space="preserve"> </w:t>
      </w:r>
    </w:p>
    <w:p w14:paraId="27B4ECA4" w14:textId="77777777" w:rsidR="009A51A2" w:rsidRPr="000236E2" w:rsidRDefault="009A51A2" w:rsidP="00F14DD2">
      <w:pPr>
        <w:tabs>
          <w:tab w:val="left" w:pos="0"/>
        </w:tabs>
        <w:rPr>
          <w:rFonts w:cs="Arial"/>
          <w:noProof/>
          <w:sz w:val="20"/>
          <w:szCs w:val="20"/>
        </w:rPr>
      </w:pPr>
      <w:r w:rsidRPr="000236E2">
        <w:rPr>
          <w:rFonts w:cs="Arial"/>
          <w:noProof/>
          <w:sz w:val="20"/>
          <w:szCs w:val="20"/>
        </w:rPr>
        <w:t>JECFA (2007) Evaluation of certain food additives and contaminants. Sixty-eighth report of the Joint FAO/WHO Expert Committee on Food Additives.  World health Organization, Geneva.</w:t>
      </w:r>
    </w:p>
    <w:p w14:paraId="62E705AD" w14:textId="77777777" w:rsidR="009A51A2" w:rsidRPr="000236E2" w:rsidRDefault="00F95926" w:rsidP="00F14DD2">
      <w:pPr>
        <w:tabs>
          <w:tab w:val="left" w:pos="0"/>
        </w:tabs>
        <w:spacing w:after="240"/>
        <w:rPr>
          <w:rFonts w:cs="Arial"/>
          <w:noProof/>
          <w:sz w:val="20"/>
          <w:szCs w:val="20"/>
        </w:rPr>
      </w:pPr>
      <w:hyperlink r:id="rId33" w:history="1">
        <w:r w:rsidR="000236E2" w:rsidRPr="00531BD8">
          <w:rPr>
            <w:rStyle w:val="Hyperlink"/>
            <w:rFonts w:cs="Arial"/>
            <w:noProof/>
            <w:sz w:val="20"/>
            <w:szCs w:val="20"/>
          </w:rPr>
          <w:t>http://whqlibdoc.who.int/publications/2007/9789241209472_eng.pdf</w:t>
        </w:r>
      </w:hyperlink>
      <w:r w:rsidR="009A51A2" w:rsidRPr="000236E2">
        <w:rPr>
          <w:rFonts w:cs="Arial"/>
          <w:noProof/>
          <w:sz w:val="20"/>
          <w:szCs w:val="20"/>
        </w:rPr>
        <w:t xml:space="preserve">. </w:t>
      </w:r>
    </w:p>
    <w:p w14:paraId="53D19D3B"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 xml:space="preserve">Jennings MP, Beacham IR (1990) Analysis of the </w:t>
      </w:r>
      <w:r w:rsidRPr="000236E2">
        <w:rPr>
          <w:rFonts w:cs="Arial"/>
          <w:i/>
          <w:noProof/>
          <w:sz w:val="20"/>
          <w:szCs w:val="20"/>
        </w:rPr>
        <w:t>Escherichia coli</w:t>
      </w:r>
      <w:r w:rsidRPr="000236E2">
        <w:rPr>
          <w:rFonts w:cs="Arial"/>
          <w:noProof/>
          <w:sz w:val="20"/>
          <w:szCs w:val="20"/>
        </w:rPr>
        <w:t xml:space="preserve"> gene encoding L-asparaginase II, </w:t>
      </w:r>
      <w:r w:rsidRPr="000236E2">
        <w:rPr>
          <w:rFonts w:cs="Arial"/>
          <w:i/>
          <w:noProof/>
          <w:sz w:val="20"/>
          <w:szCs w:val="20"/>
        </w:rPr>
        <w:t>ansB</w:t>
      </w:r>
      <w:r w:rsidRPr="000236E2">
        <w:rPr>
          <w:rFonts w:cs="Arial"/>
          <w:noProof/>
          <w:sz w:val="20"/>
          <w:szCs w:val="20"/>
        </w:rPr>
        <w:t>, and its regulation by cyclic AMP receptor and FNR proteins. Journal of Bacteriology 172(3):1491–1498</w:t>
      </w:r>
    </w:p>
    <w:p w14:paraId="2B89C30A"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 xml:space="preserve">Klose V, Bruckbeck R, Henikl S, Schatzmayr G, Loibner AP (2009) Identification and antimicrobial susceptibility of porcine bacteria that inhibit the growth of </w:t>
      </w:r>
      <w:r w:rsidRPr="000236E2">
        <w:rPr>
          <w:rFonts w:cs="Arial"/>
          <w:i/>
          <w:noProof/>
          <w:sz w:val="20"/>
          <w:szCs w:val="20"/>
        </w:rPr>
        <w:t>Brachyspira hyodysenteriae</w:t>
      </w:r>
      <w:r w:rsidRPr="000236E2">
        <w:rPr>
          <w:rFonts w:cs="Arial"/>
          <w:noProof/>
          <w:sz w:val="20"/>
          <w:szCs w:val="20"/>
        </w:rPr>
        <w:t xml:space="preserve"> in vitro. J Appl Microbiol</w:t>
      </w:r>
    </w:p>
    <w:p w14:paraId="5F0C31F8"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Larkin MA, Blackshields G, Brown NP, Chenna R, McGettigan PA, McWilliam H, Valentin F, Wallace IM, Wilm A, Lopez R, Thompson JD, Gibson TJ, Higgins DG (2007) Clustal W and Clustal X version 2.0. Bioinformatics 23(21):2947–2948</w:t>
      </w:r>
    </w:p>
    <w:p w14:paraId="71E5E10A"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Lee KW, Lee SH, Lillehoj HS, Li GX, Jang SI, Babu US, Park MS, Kim DK, Lillehoj EP, Neumann AP, Rehberger TG, Siragusa GR (2010) Effects of direct-fed microbials on growth performance, gut morphometry, and immune characteristics in broiler chickens. Poult Sci 89(2):203–216</w:t>
      </w:r>
    </w:p>
    <w:p w14:paraId="1AF736B2"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 xml:space="preserve">Maeder DL, Weiss RB, Dunn DM, Cherry JL, Gonzalez JM, DiRuggiero J, Robb FT (1999) Divergence of the hyperthermophilic archaea </w:t>
      </w:r>
      <w:r w:rsidRPr="000236E2">
        <w:rPr>
          <w:rFonts w:cs="Arial"/>
          <w:i/>
          <w:noProof/>
          <w:sz w:val="20"/>
          <w:szCs w:val="20"/>
        </w:rPr>
        <w:t>Pyrococcus furiosis</w:t>
      </w:r>
      <w:r w:rsidRPr="000236E2">
        <w:rPr>
          <w:rFonts w:cs="Arial"/>
          <w:noProof/>
          <w:sz w:val="20"/>
          <w:szCs w:val="20"/>
        </w:rPr>
        <w:t xml:space="preserve"> and </w:t>
      </w:r>
      <w:r w:rsidRPr="000236E2">
        <w:rPr>
          <w:rFonts w:cs="Arial"/>
          <w:i/>
          <w:noProof/>
          <w:sz w:val="20"/>
          <w:szCs w:val="20"/>
        </w:rPr>
        <w:t>P. horikoshii</w:t>
      </w:r>
      <w:r w:rsidRPr="000236E2">
        <w:rPr>
          <w:rFonts w:cs="Arial"/>
          <w:noProof/>
          <w:sz w:val="20"/>
          <w:szCs w:val="20"/>
        </w:rPr>
        <w:t xml:space="preserve"> inferrred from complete genomic sequences. Genetics 152(4):1299–1305</w:t>
      </w:r>
    </w:p>
    <w:p w14:paraId="18F9FA19"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 xml:space="preserve">Mueller U, Walker R, Olempska-Beer Z, Leblanc J-C, Meyland I (2009) Asparaginase from </w:t>
      </w:r>
      <w:r w:rsidRPr="000236E2">
        <w:rPr>
          <w:rFonts w:cs="Arial"/>
          <w:i/>
          <w:noProof/>
          <w:sz w:val="20"/>
          <w:szCs w:val="20"/>
        </w:rPr>
        <w:t>Aspergillus nige</w:t>
      </w:r>
      <w:r w:rsidRPr="000236E2">
        <w:rPr>
          <w:rFonts w:cs="Arial"/>
          <w:noProof/>
          <w:sz w:val="20"/>
          <w:szCs w:val="20"/>
        </w:rPr>
        <w:t xml:space="preserve">r expressed in </w:t>
      </w:r>
      <w:r w:rsidRPr="000236E2">
        <w:rPr>
          <w:rFonts w:cs="Arial"/>
          <w:i/>
          <w:noProof/>
          <w:sz w:val="20"/>
          <w:szCs w:val="20"/>
        </w:rPr>
        <w:t>A.nige</w:t>
      </w:r>
      <w:r w:rsidRPr="000236E2">
        <w:rPr>
          <w:rFonts w:cs="Arial"/>
          <w:noProof/>
          <w:sz w:val="20"/>
          <w:szCs w:val="20"/>
        </w:rPr>
        <w:t>r. In:  Safety evaluation of certain food additives. Prepared by the 69th meeting of the Joint FAO/WHO Expert Committee on Food Additives (JECFA). WHO, Geneva,</w:t>
      </w:r>
    </w:p>
    <w:p w14:paraId="48FC43BC" w14:textId="77777777" w:rsidR="009A51A2" w:rsidRPr="000236E2" w:rsidRDefault="009A51A2" w:rsidP="00F14DD2">
      <w:pPr>
        <w:tabs>
          <w:tab w:val="left" w:pos="0"/>
        </w:tabs>
        <w:rPr>
          <w:rFonts w:cs="Arial"/>
          <w:noProof/>
          <w:sz w:val="20"/>
          <w:szCs w:val="20"/>
        </w:rPr>
      </w:pPr>
      <w:r w:rsidRPr="000236E2">
        <w:rPr>
          <w:rFonts w:cs="Arial"/>
          <w:noProof/>
          <w:sz w:val="20"/>
          <w:szCs w:val="20"/>
        </w:rPr>
        <w:t>Needleman SB, Wunsch CD (1970) A general method applicable to the search for similarities in the amino acid sequence of two proteins. Journal of Molecular Biology 48(3):443–453.</w:t>
      </w:r>
    </w:p>
    <w:p w14:paraId="10BF550C" w14:textId="77777777" w:rsidR="009A51A2" w:rsidRPr="000236E2" w:rsidRDefault="00F95926" w:rsidP="00F14DD2">
      <w:pPr>
        <w:tabs>
          <w:tab w:val="left" w:pos="0"/>
        </w:tabs>
        <w:spacing w:after="240"/>
        <w:rPr>
          <w:rFonts w:cs="Arial"/>
          <w:noProof/>
          <w:sz w:val="20"/>
          <w:szCs w:val="20"/>
        </w:rPr>
      </w:pPr>
      <w:hyperlink r:id="rId34" w:history="1">
        <w:r w:rsidR="000236E2" w:rsidRPr="00531BD8">
          <w:rPr>
            <w:rStyle w:val="Hyperlink"/>
            <w:rFonts w:cs="Arial"/>
            <w:noProof/>
            <w:sz w:val="20"/>
            <w:szCs w:val="20"/>
          </w:rPr>
          <w:t>http://www.sciencedirect.com/science/article/pii/0022283670900574</w:t>
        </w:r>
      </w:hyperlink>
      <w:r w:rsidR="009A51A2" w:rsidRPr="000236E2">
        <w:rPr>
          <w:rFonts w:cs="Arial"/>
          <w:noProof/>
          <w:sz w:val="20"/>
          <w:szCs w:val="20"/>
        </w:rPr>
        <w:t xml:space="preserve">. </w:t>
      </w:r>
    </w:p>
    <w:p w14:paraId="172E675B" w14:textId="77777777" w:rsidR="009A51A2" w:rsidRPr="000236E2" w:rsidRDefault="009A51A2" w:rsidP="00F14DD2">
      <w:pPr>
        <w:tabs>
          <w:tab w:val="left" w:pos="0"/>
        </w:tabs>
        <w:rPr>
          <w:rFonts w:cs="Arial"/>
          <w:noProof/>
          <w:sz w:val="20"/>
          <w:szCs w:val="20"/>
        </w:rPr>
      </w:pPr>
      <w:r w:rsidRPr="000236E2">
        <w:rPr>
          <w:rFonts w:cs="Arial"/>
          <w:noProof/>
          <w:sz w:val="20"/>
          <w:szCs w:val="20"/>
        </w:rPr>
        <w:lastRenderedPageBreak/>
        <w:t>OECD (1997) OECD Guideline for testing of chemicals. 471. Bacterial reverse mutation test. 471. Organisation for Economic Cooperation and Development.</w:t>
      </w:r>
    </w:p>
    <w:p w14:paraId="6A3FD829" w14:textId="77777777" w:rsidR="009A51A2" w:rsidRPr="000236E2" w:rsidRDefault="00F95926" w:rsidP="00F14DD2">
      <w:pPr>
        <w:tabs>
          <w:tab w:val="left" w:pos="0"/>
        </w:tabs>
        <w:spacing w:after="240"/>
        <w:rPr>
          <w:rFonts w:cs="Arial"/>
          <w:noProof/>
          <w:sz w:val="20"/>
          <w:szCs w:val="20"/>
          <w:u w:val="single"/>
        </w:rPr>
      </w:pPr>
      <w:hyperlink r:id="rId35" w:history="1">
        <w:r w:rsidR="000236E2" w:rsidRPr="00531BD8">
          <w:rPr>
            <w:rStyle w:val="Hyperlink"/>
            <w:rFonts w:cs="Arial"/>
            <w:noProof/>
            <w:sz w:val="20"/>
            <w:szCs w:val="20"/>
          </w:rPr>
          <w:t>http://www.oecd.org/chemicalsafety/risk-assessment/1948418.pdf</w:t>
        </w:r>
      </w:hyperlink>
    </w:p>
    <w:p w14:paraId="2E548F63" w14:textId="77777777" w:rsidR="009A51A2" w:rsidRPr="000236E2" w:rsidRDefault="009A51A2" w:rsidP="00F14DD2">
      <w:pPr>
        <w:tabs>
          <w:tab w:val="left" w:pos="0"/>
        </w:tabs>
        <w:rPr>
          <w:rFonts w:cs="Arial"/>
          <w:noProof/>
          <w:sz w:val="20"/>
          <w:szCs w:val="20"/>
        </w:rPr>
      </w:pPr>
      <w:r w:rsidRPr="000236E2">
        <w:rPr>
          <w:rFonts w:cs="Arial"/>
          <w:noProof/>
          <w:sz w:val="20"/>
          <w:szCs w:val="20"/>
        </w:rPr>
        <w:t>OECD (1998) OECD Guideline for the testing of chemicals.408. Repeated dose oral toxicity study in rodents. Organisation for Economic Corporation and Development.</w:t>
      </w:r>
    </w:p>
    <w:p w14:paraId="7D0D916B" w14:textId="77777777" w:rsidR="009A51A2" w:rsidRPr="000236E2" w:rsidRDefault="00F95926" w:rsidP="00F14DD2">
      <w:pPr>
        <w:tabs>
          <w:tab w:val="left" w:pos="0"/>
        </w:tabs>
        <w:spacing w:after="240"/>
        <w:rPr>
          <w:rFonts w:cs="Arial"/>
          <w:noProof/>
          <w:sz w:val="20"/>
          <w:szCs w:val="20"/>
          <w:u w:val="single"/>
        </w:rPr>
      </w:pPr>
      <w:hyperlink r:id="rId36" w:history="1">
        <w:r w:rsidR="000236E2" w:rsidRPr="00531BD8">
          <w:rPr>
            <w:rStyle w:val="Hyperlink"/>
            <w:rFonts w:cs="Arial"/>
            <w:noProof/>
            <w:sz w:val="20"/>
            <w:szCs w:val="20"/>
          </w:rPr>
          <w:t>http://www.oecdbookshop.org/oecd/display.asp?lang=EN&amp;sf1=identifiers&amp;st1=5lmqcr2k7p9x</w:t>
        </w:r>
      </w:hyperlink>
    </w:p>
    <w:p w14:paraId="0C90A884" w14:textId="77777777" w:rsidR="009A51A2" w:rsidRPr="000236E2" w:rsidRDefault="009A51A2" w:rsidP="00F14DD2">
      <w:pPr>
        <w:tabs>
          <w:tab w:val="left" w:pos="0"/>
        </w:tabs>
        <w:rPr>
          <w:rFonts w:cs="Arial"/>
          <w:noProof/>
          <w:sz w:val="20"/>
          <w:szCs w:val="20"/>
        </w:rPr>
      </w:pPr>
      <w:r w:rsidRPr="000236E2">
        <w:rPr>
          <w:rFonts w:cs="Arial"/>
          <w:noProof/>
          <w:sz w:val="20"/>
          <w:szCs w:val="20"/>
        </w:rPr>
        <w:t xml:space="preserve">OECD (2010) OECD Guideline for the testing of chemicals. 487. </w:t>
      </w:r>
      <w:r w:rsidRPr="000236E2">
        <w:rPr>
          <w:rFonts w:cs="Arial"/>
          <w:i/>
          <w:noProof/>
          <w:sz w:val="20"/>
          <w:szCs w:val="20"/>
        </w:rPr>
        <w:t>In vitro</w:t>
      </w:r>
      <w:r w:rsidRPr="000236E2">
        <w:rPr>
          <w:rFonts w:cs="Arial"/>
          <w:noProof/>
          <w:sz w:val="20"/>
          <w:szCs w:val="20"/>
        </w:rPr>
        <w:t xml:space="preserve"> mammalian cell micronucleus test. 487. Organisation for Economic Co-operation and Development.</w:t>
      </w:r>
    </w:p>
    <w:p w14:paraId="249D7FFC" w14:textId="77777777" w:rsidR="009A51A2" w:rsidRPr="000236E2" w:rsidRDefault="00F95926" w:rsidP="00F14DD2">
      <w:pPr>
        <w:tabs>
          <w:tab w:val="left" w:pos="0"/>
        </w:tabs>
        <w:spacing w:after="240"/>
        <w:rPr>
          <w:rFonts w:cs="Arial"/>
          <w:noProof/>
          <w:sz w:val="20"/>
          <w:szCs w:val="20"/>
          <w:u w:val="single"/>
        </w:rPr>
      </w:pPr>
      <w:hyperlink r:id="rId37" w:history="1">
        <w:r w:rsidR="000236E2" w:rsidRPr="00531BD8">
          <w:rPr>
            <w:rStyle w:val="Hyperlink"/>
            <w:rFonts w:cs="Arial"/>
            <w:noProof/>
            <w:sz w:val="20"/>
            <w:szCs w:val="20"/>
          </w:rPr>
          <w:t>http://ntp.niehs.nih.gov/iccvam/suppdocs/feddocs/oecd/oecd-tg487.pdf</w:t>
        </w:r>
      </w:hyperlink>
    </w:p>
    <w:p w14:paraId="4943AA95" w14:textId="77777777" w:rsidR="009A51A2" w:rsidRPr="000236E2" w:rsidRDefault="009A51A2" w:rsidP="00F14DD2">
      <w:pPr>
        <w:tabs>
          <w:tab w:val="left" w:pos="0"/>
        </w:tabs>
        <w:rPr>
          <w:rFonts w:cs="Arial"/>
          <w:noProof/>
          <w:sz w:val="20"/>
          <w:szCs w:val="20"/>
        </w:rPr>
      </w:pPr>
      <w:r w:rsidRPr="000236E2">
        <w:rPr>
          <w:rFonts w:cs="Arial"/>
          <w:noProof/>
          <w:sz w:val="20"/>
          <w:szCs w:val="20"/>
        </w:rPr>
        <w:t xml:space="preserve">Olempska-Beer Z (2008) Asparaginase from </w:t>
      </w:r>
      <w:r w:rsidRPr="000236E2">
        <w:rPr>
          <w:rFonts w:cs="Arial"/>
          <w:i/>
          <w:noProof/>
          <w:sz w:val="20"/>
          <w:szCs w:val="20"/>
        </w:rPr>
        <w:t>Aspergillus niger</w:t>
      </w:r>
      <w:r w:rsidRPr="000236E2">
        <w:rPr>
          <w:rFonts w:cs="Arial"/>
          <w:noProof/>
          <w:sz w:val="20"/>
          <w:szCs w:val="20"/>
        </w:rPr>
        <w:t xml:space="preserve"> expressed in </w:t>
      </w:r>
      <w:r w:rsidRPr="000236E2">
        <w:rPr>
          <w:rFonts w:cs="Arial"/>
          <w:i/>
          <w:noProof/>
          <w:sz w:val="20"/>
          <w:szCs w:val="20"/>
        </w:rPr>
        <w:t>A. niger</w:t>
      </w:r>
      <w:r w:rsidRPr="000236E2">
        <w:rPr>
          <w:rFonts w:cs="Arial"/>
          <w:noProof/>
          <w:sz w:val="20"/>
          <w:szCs w:val="20"/>
        </w:rPr>
        <w:t>. Chemical &amp; Technical Assessment prepared for the sixty-ninth meeting of the Joint FAO/WHO Expert Committte on Food Additives.</w:t>
      </w:r>
    </w:p>
    <w:p w14:paraId="43F3ED45" w14:textId="77777777" w:rsidR="009A51A2" w:rsidRPr="000236E2" w:rsidRDefault="00F95926" w:rsidP="00F14DD2">
      <w:pPr>
        <w:tabs>
          <w:tab w:val="left" w:pos="0"/>
        </w:tabs>
        <w:spacing w:after="240"/>
        <w:rPr>
          <w:rFonts w:cs="Arial"/>
          <w:noProof/>
          <w:sz w:val="20"/>
          <w:szCs w:val="20"/>
          <w:u w:val="single"/>
        </w:rPr>
      </w:pPr>
      <w:hyperlink r:id="rId38" w:history="1">
        <w:r w:rsidR="000236E2" w:rsidRPr="00531BD8">
          <w:rPr>
            <w:rStyle w:val="Hyperlink"/>
            <w:rFonts w:cs="Arial"/>
            <w:noProof/>
            <w:sz w:val="20"/>
            <w:szCs w:val="20"/>
          </w:rPr>
          <w:t>http://www.fao.org/fileadmin/templates/agns/pdf/jecfa/cta/69/Asparaginase_from_Aspergillus_niger.pdf</w:t>
        </w:r>
      </w:hyperlink>
    </w:p>
    <w:p w14:paraId="7FE2536B" w14:textId="77777777" w:rsidR="009A51A2" w:rsidRPr="000236E2" w:rsidRDefault="009A51A2" w:rsidP="00F14DD2">
      <w:pPr>
        <w:tabs>
          <w:tab w:val="left" w:pos="0"/>
        </w:tabs>
        <w:spacing w:after="240"/>
        <w:rPr>
          <w:rFonts w:cs="Arial"/>
          <w:noProof/>
          <w:sz w:val="20"/>
          <w:szCs w:val="20"/>
        </w:rPr>
      </w:pPr>
      <w:r w:rsidRPr="000236E2">
        <w:rPr>
          <w:rFonts w:cs="Arial"/>
          <w:noProof/>
          <w:sz w:val="20"/>
          <w:szCs w:val="20"/>
        </w:rPr>
        <w:t>Pearson WR, Lipman DJ (1988) Improved tools for biological sequence comparison. Proceedings of the National Academy of Sciences 85(8):2444–2448</w:t>
      </w:r>
    </w:p>
    <w:p w14:paraId="28A72A88" w14:textId="77777777" w:rsidR="009A51A2" w:rsidRPr="000236E2" w:rsidRDefault="009A51A2" w:rsidP="003F0A2E">
      <w:pPr>
        <w:tabs>
          <w:tab w:val="left" w:pos="0"/>
        </w:tabs>
        <w:spacing w:after="240"/>
        <w:rPr>
          <w:rFonts w:cs="Arial"/>
          <w:noProof/>
          <w:sz w:val="20"/>
          <w:szCs w:val="20"/>
        </w:rPr>
      </w:pPr>
      <w:r w:rsidRPr="000236E2">
        <w:rPr>
          <w:rFonts w:cs="Arial"/>
          <w:noProof/>
          <w:sz w:val="20"/>
          <w:szCs w:val="20"/>
        </w:rPr>
        <w:t>Repetto G, del Peso A, Zurita JL (2008) Neutral red uptake assay for the estimation of cell viability/cytotoxicity. Nature Protocols 3(7):1125–1131</w:t>
      </w:r>
    </w:p>
    <w:p w14:paraId="30176438" w14:textId="77777777" w:rsidR="009A51A2" w:rsidRPr="000236E2" w:rsidRDefault="009A51A2" w:rsidP="00F14DD2">
      <w:pPr>
        <w:tabs>
          <w:tab w:val="left" w:pos="0"/>
        </w:tabs>
        <w:rPr>
          <w:rFonts w:cs="Arial"/>
          <w:noProof/>
          <w:sz w:val="20"/>
          <w:szCs w:val="20"/>
        </w:rPr>
      </w:pPr>
      <w:r w:rsidRPr="000236E2">
        <w:rPr>
          <w:rFonts w:cs="Arial"/>
          <w:noProof/>
          <w:sz w:val="20"/>
          <w:szCs w:val="20"/>
        </w:rPr>
        <w:t xml:space="preserve">US EPA (1997) Final risk assessment of </w:t>
      </w:r>
      <w:r w:rsidRPr="000236E2">
        <w:rPr>
          <w:rFonts w:cs="Arial"/>
          <w:i/>
          <w:noProof/>
          <w:sz w:val="20"/>
          <w:szCs w:val="20"/>
        </w:rPr>
        <w:t>Bacillus subtilis.</w:t>
      </w:r>
    </w:p>
    <w:p w14:paraId="0C6C96C2" w14:textId="77777777" w:rsidR="00D5526B" w:rsidRDefault="00F95926" w:rsidP="003F0A2E">
      <w:pPr>
        <w:tabs>
          <w:tab w:val="left" w:pos="0"/>
        </w:tabs>
        <w:spacing w:after="240"/>
        <w:rPr>
          <w:rFonts w:cs="Arial"/>
          <w:noProof/>
          <w:sz w:val="20"/>
          <w:szCs w:val="20"/>
          <w:u w:val="single"/>
        </w:rPr>
      </w:pPr>
      <w:hyperlink r:id="rId39" w:history="1">
        <w:r w:rsidR="000236E2" w:rsidRPr="00531BD8">
          <w:rPr>
            <w:rStyle w:val="Hyperlink"/>
            <w:rFonts w:cs="Arial"/>
            <w:noProof/>
            <w:sz w:val="20"/>
            <w:szCs w:val="20"/>
          </w:rPr>
          <w:t>http://www.epa.gov/biotech_rule/pubs/pdf/fra009.pdf</w:t>
        </w:r>
      </w:hyperlink>
    </w:p>
    <w:p w14:paraId="3CE03EDC" w14:textId="77777777" w:rsidR="003F0A2E" w:rsidRDefault="003F0A2E" w:rsidP="003F0A2E">
      <w:pPr>
        <w:tabs>
          <w:tab w:val="left" w:pos="0"/>
        </w:tabs>
        <w:spacing w:after="240"/>
        <w:rPr>
          <w:rStyle w:val="Hyperlink"/>
          <w:rFonts w:cs="Arial"/>
          <w:noProof/>
          <w:sz w:val="20"/>
          <w:szCs w:val="20"/>
        </w:rPr>
      </w:pPr>
      <w:r w:rsidRPr="00E64D5B">
        <w:rPr>
          <w:rFonts w:cs="Arial"/>
          <w:noProof/>
          <w:color w:val="000000" w:themeColor="text1"/>
          <w:sz w:val="20"/>
          <w:szCs w:val="20"/>
        </w:rPr>
        <w:t xml:space="preserve">U.S.Pharmacopeial Convention (2014) Food Chemicals Codex. </w:t>
      </w:r>
      <w:hyperlink r:id="rId40" w:history="1">
        <w:r w:rsidRPr="00E64D5B">
          <w:rPr>
            <w:rStyle w:val="Hyperlink"/>
            <w:rFonts w:cs="Arial"/>
            <w:noProof/>
            <w:sz w:val="20"/>
            <w:szCs w:val="20"/>
          </w:rPr>
          <w:t>http://www.usp.org/food-ingredients/food-chemicals-codex</w:t>
        </w:r>
      </w:hyperlink>
    </w:p>
    <w:p w14:paraId="17E6F403" w14:textId="77777777" w:rsidR="000E6DD2" w:rsidRPr="00E64D5B" w:rsidRDefault="000E6DD2" w:rsidP="003F0A2E">
      <w:pPr>
        <w:tabs>
          <w:tab w:val="left" w:pos="0"/>
        </w:tabs>
        <w:spacing w:after="240"/>
        <w:rPr>
          <w:rFonts w:cs="Arial"/>
          <w:noProof/>
          <w:color w:val="000000" w:themeColor="text1"/>
          <w:sz w:val="20"/>
          <w:szCs w:val="20"/>
        </w:rPr>
      </w:pPr>
    </w:p>
    <w:sectPr w:rsidR="000E6DD2" w:rsidRPr="00E64D5B" w:rsidSect="003D5885">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F03210" w14:textId="77777777" w:rsidR="00F95926" w:rsidRDefault="00F95926" w:rsidP="009A51A2">
      <w:r>
        <w:separator/>
      </w:r>
    </w:p>
  </w:endnote>
  <w:endnote w:type="continuationSeparator" w:id="0">
    <w:p w14:paraId="777F7DDB" w14:textId="77777777" w:rsidR="00F95926" w:rsidRDefault="00F95926" w:rsidP="009A5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91C61" w14:textId="77777777" w:rsidR="003D5885" w:rsidRDefault="003D5885"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82A350" w14:textId="77777777" w:rsidR="003D5885" w:rsidRDefault="003D58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2B35ED" w14:textId="77777777" w:rsidR="003D5885" w:rsidRDefault="003D5885" w:rsidP="00F14D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A7B2C">
      <w:rPr>
        <w:rStyle w:val="PageNumber"/>
        <w:noProof/>
      </w:rPr>
      <w:t>1</w:t>
    </w:r>
    <w:r>
      <w:rPr>
        <w:rStyle w:val="PageNumber"/>
      </w:rPr>
      <w:fldChar w:fldCharType="end"/>
    </w:r>
  </w:p>
  <w:p w14:paraId="46C0A7A1" w14:textId="77777777" w:rsidR="003D5885" w:rsidRDefault="003D5885">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38860" w14:textId="77777777" w:rsidR="006D66CA" w:rsidRDefault="006D6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91C58" w14:textId="77777777" w:rsidR="00F95926" w:rsidRDefault="00F95926" w:rsidP="009A51A2">
      <w:r>
        <w:separator/>
      </w:r>
    </w:p>
  </w:footnote>
  <w:footnote w:type="continuationSeparator" w:id="0">
    <w:p w14:paraId="128E36F8" w14:textId="77777777" w:rsidR="00F95926" w:rsidRDefault="00F95926" w:rsidP="009A51A2">
      <w:r>
        <w:continuationSeparator/>
      </w:r>
    </w:p>
  </w:footnote>
  <w:footnote w:id="1">
    <w:p w14:paraId="17DDAA6B" w14:textId="77777777" w:rsidR="003D5885" w:rsidRPr="0084108A" w:rsidRDefault="003D5885" w:rsidP="00F14DD2">
      <w:pPr>
        <w:pStyle w:val="FootnoteText"/>
        <w:rPr>
          <w:sz w:val="18"/>
        </w:rPr>
      </w:pPr>
      <w:r w:rsidRPr="0084108A">
        <w:rPr>
          <w:rStyle w:val="FootnoteReference"/>
          <w:sz w:val="18"/>
        </w:rPr>
        <w:footnoteRef/>
      </w:r>
      <w:r w:rsidRPr="0084108A">
        <w:rPr>
          <w:sz w:val="18"/>
        </w:rPr>
        <w:t xml:space="preserve"> International Union of Biochemistry and Molecular Biology</w:t>
      </w:r>
    </w:p>
  </w:footnote>
  <w:footnote w:id="2">
    <w:p w14:paraId="2DDF7F79" w14:textId="77777777" w:rsidR="003D5885" w:rsidRPr="00FC00E9" w:rsidRDefault="003D5885" w:rsidP="00F14DD2">
      <w:pPr>
        <w:pStyle w:val="FootnoteText"/>
        <w:rPr>
          <w:color w:val="000000" w:themeColor="text1"/>
          <w:sz w:val="18"/>
          <w:lang w:val="en-AU"/>
        </w:rPr>
      </w:pPr>
      <w:r w:rsidRPr="00FC00E9">
        <w:rPr>
          <w:rStyle w:val="FootnoteReference"/>
          <w:sz w:val="18"/>
        </w:rPr>
        <w:footnoteRef/>
      </w:r>
      <w:r w:rsidRPr="00FC00E9">
        <w:rPr>
          <w:sz w:val="18"/>
        </w:rPr>
        <w:t xml:space="preserve"> </w:t>
      </w:r>
      <w:r w:rsidRPr="00FC00E9">
        <w:rPr>
          <w:color w:val="000000" w:themeColor="text1"/>
          <w:sz w:val="18"/>
          <w:lang w:val="en-AU"/>
        </w:rPr>
        <w:t xml:space="preserve">Surfactin is a lipopeptide with exceptional surface activity that is produced by </w:t>
      </w:r>
      <w:r w:rsidRPr="00FC00E9">
        <w:rPr>
          <w:i/>
          <w:color w:val="000000" w:themeColor="text1"/>
          <w:sz w:val="18"/>
          <w:lang w:val="en-AU"/>
        </w:rPr>
        <w:t>B. subtilis</w:t>
      </w:r>
      <w:r w:rsidRPr="00FC00E9">
        <w:rPr>
          <w:color w:val="000000" w:themeColor="text1"/>
          <w:sz w:val="18"/>
          <w:lang w:val="en-AU"/>
        </w:rPr>
        <w:t xml:space="preserve"> and </w:t>
      </w:r>
      <w:r w:rsidRPr="00FC00E9">
        <w:rPr>
          <w:rFonts w:cs="Arial"/>
          <w:color w:val="000000" w:themeColor="text1"/>
          <w:sz w:val="18"/>
          <w:lang w:val="en"/>
        </w:rPr>
        <w:t>enhances the spreading of multicellular colonies on nutrient substrates.</w:t>
      </w:r>
    </w:p>
  </w:footnote>
  <w:footnote w:id="3">
    <w:p w14:paraId="722A0C10" w14:textId="77777777" w:rsidR="003D5885" w:rsidRPr="00FC00E9" w:rsidRDefault="003D5885" w:rsidP="00F14DD2">
      <w:pPr>
        <w:pStyle w:val="FootnoteText"/>
        <w:rPr>
          <w:sz w:val="18"/>
          <w:lang w:val="en-AU"/>
        </w:rPr>
      </w:pPr>
      <w:r w:rsidRPr="00FC00E9">
        <w:rPr>
          <w:rStyle w:val="FootnoteReference"/>
          <w:sz w:val="18"/>
        </w:rPr>
        <w:footnoteRef/>
      </w:r>
      <w:r w:rsidRPr="00FC00E9">
        <w:rPr>
          <w:sz w:val="18"/>
        </w:rPr>
        <w:t xml:space="preserve"> </w:t>
      </w:r>
      <w:r w:rsidRPr="00FC00E9">
        <w:rPr>
          <w:rFonts w:cs="Arial"/>
          <w:color w:val="000000" w:themeColor="text1"/>
          <w:sz w:val="18"/>
          <w:szCs w:val="18"/>
        </w:rPr>
        <w:t>Comparisons between highly homologous proteins yield E-values approaching zero, indicating the very low probability that such matches would occur by chance. A larger E-value indicates a lower degree of similarity. Commonly, for protein-based searches, hits with E-values of 10</w:t>
      </w:r>
      <w:r w:rsidRPr="00FC00E9">
        <w:rPr>
          <w:rFonts w:cs="Arial"/>
          <w:color w:val="000000" w:themeColor="text1"/>
          <w:sz w:val="18"/>
          <w:szCs w:val="18"/>
          <w:vertAlign w:val="superscript"/>
        </w:rPr>
        <w:t>-3</w:t>
      </w:r>
      <w:r w:rsidRPr="00FC00E9">
        <w:rPr>
          <w:rFonts w:cs="Arial"/>
          <w:color w:val="000000" w:themeColor="text1"/>
          <w:sz w:val="18"/>
          <w:szCs w:val="18"/>
        </w:rPr>
        <w:t xml:space="preserve"> or less and sequence identity of 25% or more are considered significant although any conclusions reached need to be tempered by an investigation of the biology behind the putative homology </w:t>
      </w:r>
      <w:r w:rsidRPr="00FC00E9">
        <w:rPr>
          <w:rFonts w:cs="Arial"/>
          <w:noProof/>
          <w:color w:val="000000" w:themeColor="text1"/>
          <w:sz w:val="18"/>
          <w:szCs w:val="18"/>
        </w:rPr>
        <w:t>(Baxevanis 2005)</w:t>
      </w:r>
      <w:r w:rsidRPr="00FC00E9">
        <w:rPr>
          <w:rFonts w:cs="Arial"/>
          <w:color w:val="000000" w:themeColor="text1"/>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C40623" w14:textId="77777777" w:rsidR="006D66CA" w:rsidRDefault="006D66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B4B32" w14:textId="77777777" w:rsidR="006D66CA" w:rsidRDefault="006D66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6082A1" w14:textId="77777777" w:rsidR="003D5885" w:rsidRDefault="003D5885">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pStyle w:val="FS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8B726F"/>
    <w:multiLevelType w:val="hybridMultilevel"/>
    <w:tmpl w:val="87428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5B6D96"/>
    <w:multiLevelType w:val="hybridMultilevel"/>
    <w:tmpl w:val="DF6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9890467"/>
    <w:multiLevelType w:val="hybridMultilevel"/>
    <w:tmpl w:val="2042D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CB002A"/>
    <w:multiLevelType w:val="hybridMultilevel"/>
    <w:tmpl w:val="01F43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E96A16"/>
    <w:multiLevelType w:val="hybridMultilevel"/>
    <w:tmpl w:val="461E492E"/>
    <w:lvl w:ilvl="0" w:tplc="87ECC8C2">
      <w:start w:val="1"/>
      <w:numFmt w:val="lowerLetter"/>
      <w:lvlText w:val="%1)"/>
      <w:lvlJc w:val="left"/>
      <w:pPr>
        <w:ind w:left="720" w:hanging="360"/>
      </w:pPr>
      <w:rPr>
        <w:rFonts w:ascii="Arial" w:hAnsi="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947DBE"/>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4273095D"/>
    <w:multiLevelType w:val="hybridMultilevel"/>
    <w:tmpl w:val="DA78F074"/>
    <w:lvl w:ilvl="0" w:tplc="62E4550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
    <w:nsid w:val="4D4D4D20"/>
    <w:multiLevelType w:val="hybridMultilevel"/>
    <w:tmpl w:val="3064B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567756E2"/>
    <w:multiLevelType w:val="hybridMultilevel"/>
    <w:tmpl w:val="B7802080"/>
    <w:lvl w:ilvl="0" w:tplc="80A261D6">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755AD1"/>
    <w:multiLevelType w:val="hybridMultilevel"/>
    <w:tmpl w:val="407E9A48"/>
    <w:lvl w:ilvl="0" w:tplc="EEB42172">
      <w:start w:val="1"/>
      <w:numFmt w:val="bullet"/>
      <w:pStyle w:val="142tabletext1"/>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14">
    <w:nsid w:val="7D5C7F0E"/>
    <w:multiLevelType w:val="multilevel"/>
    <w:tmpl w:val="60D431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788" w:hanging="504"/>
      </w:pPr>
      <w:rPr>
        <w:rFonts w:hint="default"/>
      </w:rPr>
    </w:lvl>
    <w:lvl w:ilvl="3">
      <w:start w:val="1"/>
      <w:numFmt w:val="decimal"/>
      <w:lvlText w:val="%1.%2.%3.%4."/>
      <w:lvlJc w:val="left"/>
      <w:pPr>
        <w:ind w:left="9578" w:hanging="648"/>
      </w:pPr>
      <w:rPr>
        <w:rFonts w:hint="default"/>
      </w:rPr>
    </w:lvl>
    <w:lvl w:ilvl="4">
      <w:start w:val="1"/>
      <w:numFmt w:val="decimal"/>
      <w:pStyle w:val="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13"/>
  </w:num>
  <w:num w:numId="9">
    <w:abstractNumId w:val="9"/>
  </w:num>
  <w:num w:numId="10">
    <w:abstractNumId w:val="12"/>
  </w:num>
  <w:num w:numId="11">
    <w:abstractNumId w:val="13"/>
  </w:num>
  <w:num w:numId="12">
    <w:abstractNumId w:val="9"/>
  </w:num>
  <w:num w:numId="13">
    <w:abstractNumId w:val="12"/>
  </w:num>
  <w:num w:numId="14">
    <w:abstractNumId w:val="0"/>
  </w:num>
  <w:num w:numId="15">
    <w:abstractNumId w:val="6"/>
  </w:num>
  <w:num w:numId="16">
    <w:abstractNumId w:val="10"/>
  </w:num>
  <w:num w:numId="17">
    <w:abstractNumId w:val="5"/>
  </w:num>
  <w:num w:numId="18">
    <w:abstractNumId w:val="14"/>
  </w:num>
  <w:num w:numId="19">
    <w:abstractNumId w:val="1"/>
  </w:num>
  <w:num w:numId="20">
    <w:abstractNumId w:val="11"/>
  </w:num>
  <w:num w:numId="21">
    <w:abstractNumId w:val="4"/>
  </w:num>
  <w:num w:numId="22">
    <w:abstractNumId w:val="7"/>
  </w:num>
  <w:num w:numId="23">
    <w:abstractNumId w:val="2"/>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0&lt;/Enabled&gt;&lt;ScanUnformatted&gt;1&lt;/ScanUnformatted&gt;&lt;ScanChanges&gt;1&lt;/ScanChanges&gt;&lt;/ENInstantFormat&gt;"/>
    <w:docVar w:name="REFMGR.Libraries" w:val="&lt;ENLibraries&gt;&lt;Libraries&gt;&lt;item&gt;pss_references&lt;/item&gt;&lt;/Libraries&gt;&lt;/ENLibraries&gt;"/>
  </w:docVars>
  <w:rsids>
    <w:rsidRoot w:val="009A51A2"/>
    <w:rsid w:val="0000542C"/>
    <w:rsid w:val="00021F68"/>
    <w:rsid w:val="000236E2"/>
    <w:rsid w:val="00041643"/>
    <w:rsid w:val="000622E7"/>
    <w:rsid w:val="00066854"/>
    <w:rsid w:val="00066D85"/>
    <w:rsid w:val="000A38F8"/>
    <w:rsid w:val="000B7934"/>
    <w:rsid w:val="000D6C17"/>
    <w:rsid w:val="000E6047"/>
    <w:rsid w:val="000E6DD2"/>
    <w:rsid w:val="000F2196"/>
    <w:rsid w:val="0010323C"/>
    <w:rsid w:val="00132C95"/>
    <w:rsid w:val="00164B77"/>
    <w:rsid w:val="001734EA"/>
    <w:rsid w:val="00184403"/>
    <w:rsid w:val="00191770"/>
    <w:rsid w:val="001B3752"/>
    <w:rsid w:val="001B6539"/>
    <w:rsid w:val="001C5126"/>
    <w:rsid w:val="001D4012"/>
    <w:rsid w:val="001E696B"/>
    <w:rsid w:val="00212DA7"/>
    <w:rsid w:val="002232B1"/>
    <w:rsid w:val="00224388"/>
    <w:rsid w:val="00225621"/>
    <w:rsid w:val="00233C5C"/>
    <w:rsid w:val="00234C31"/>
    <w:rsid w:val="00244F76"/>
    <w:rsid w:val="0025773B"/>
    <w:rsid w:val="00272D39"/>
    <w:rsid w:val="00291D39"/>
    <w:rsid w:val="002B4F1A"/>
    <w:rsid w:val="002D080A"/>
    <w:rsid w:val="003130D7"/>
    <w:rsid w:val="003149D9"/>
    <w:rsid w:val="003218E7"/>
    <w:rsid w:val="0032424B"/>
    <w:rsid w:val="003274DF"/>
    <w:rsid w:val="0033021F"/>
    <w:rsid w:val="00341D25"/>
    <w:rsid w:val="003B37A6"/>
    <w:rsid w:val="003C06DB"/>
    <w:rsid w:val="003C5331"/>
    <w:rsid w:val="003D5885"/>
    <w:rsid w:val="003D6040"/>
    <w:rsid w:val="003F0A2E"/>
    <w:rsid w:val="00404702"/>
    <w:rsid w:val="00440DF8"/>
    <w:rsid w:val="00441D77"/>
    <w:rsid w:val="00443F05"/>
    <w:rsid w:val="00443FBA"/>
    <w:rsid w:val="00480F30"/>
    <w:rsid w:val="00481722"/>
    <w:rsid w:val="00484A31"/>
    <w:rsid w:val="00486619"/>
    <w:rsid w:val="004B2838"/>
    <w:rsid w:val="004D3868"/>
    <w:rsid w:val="004E1B44"/>
    <w:rsid w:val="004E6694"/>
    <w:rsid w:val="004F0E30"/>
    <w:rsid w:val="004F61BD"/>
    <w:rsid w:val="00514B72"/>
    <w:rsid w:val="005248B8"/>
    <w:rsid w:val="0054036E"/>
    <w:rsid w:val="005918F5"/>
    <w:rsid w:val="005B578D"/>
    <w:rsid w:val="005B71FC"/>
    <w:rsid w:val="005C1996"/>
    <w:rsid w:val="005F64A2"/>
    <w:rsid w:val="00611D72"/>
    <w:rsid w:val="00630D7D"/>
    <w:rsid w:val="00632E29"/>
    <w:rsid w:val="00640653"/>
    <w:rsid w:val="00653012"/>
    <w:rsid w:val="006761C8"/>
    <w:rsid w:val="0068049E"/>
    <w:rsid w:val="00697B2C"/>
    <w:rsid w:val="006B2116"/>
    <w:rsid w:val="006B268F"/>
    <w:rsid w:val="006B6900"/>
    <w:rsid w:val="006D0C21"/>
    <w:rsid w:val="006D473E"/>
    <w:rsid w:val="006D66CA"/>
    <w:rsid w:val="007629F9"/>
    <w:rsid w:val="00783064"/>
    <w:rsid w:val="00793DE6"/>
    <w:rsid w:val="007A7B2C"/>
    <w:rsid w:val="007D724C"/>
    <w:rsid w:val="007F6456"/>
    <w:rsid w:val="00801C93"/>
    <w:rsid w:val="0081383E"/>
    <w:rsid w:val="00830393"/>
    <w:rsid w:val="00833D5A"/>
    <w:rsid w:val="00836257"/>
    <w:rsid w:val="00860EE7"/>
    <w:rsid w:val="00877A81"/>
    <w:rsid w:val="008931F6"/>
    <w:rsid w:val="008B03C7"/>
    <w:rsid w:val="008D0EE5"/>
    <w:rsid w:val="008E2339"/>
    <w:rsid w:val="008F5AE4"/>
    <w:rsid w:val="00923D5B"/>
    <w:rsid w:val="00935023"/>
    <w:rsid w:val="00974F21"/>
    <w:rsid w:val="009804CA"/>
    <w:rsid w:val="009806A5"/>
    <w:rsid w:val="0099307D"/>
    <w:rsid w:val="009A0662"/>
    <w:rsid w:val="009A283B"/>
    <w:rsid w:val="009A36F8"/>
    <w:rsid w:val="009A51A2"/>
    <w:rsid w:val="009B7724"/>
    <w:rsid w:val="009C0BFA"/>
    <w:rsid w:val="009E265A"/>
    <w:rsid w:val="009F07B3"/>
    <w:rsid w:val="00A22D50"/>
    <w:rsid w:val="00A25B29"/>
    <w:rsid w:val="00A26F82"/>
    <w:rsid w:val="00A30000"/>
    <w:rsid w:val="00A35C15"/>
    <w:rsid w:val="00A40C64"/>
    <w:rsid w:val="00A552D6"/>
    <w:rsid w:val="00A60613"/>
    <w:rsid w:val="00A64391"/>
    <w:rsid w:val="00A64841"/>
    <w:rsid w:val="00A6799C"/>
    <w:rsid w:val="00A8311D"/>
    <w:rsid w:val="00AE1AA7"/>
    <w:rsid w:val="00B30485"/>
    <w:rsid w:val="00B53154"/>
    <w:rsid w:val="00B56E79"/>
    <w:rsid w:val="00B61503"/>
    <w:rsid w:val="00BA070B"/>
    <w:rsid w:val="00BC2133"/>
    <w:rsid w:val="00BD4278"/>
    <w:rsid w:val="00BE4F3A"/>
    <w:rsid w:val="00BE65AB"/>
    <w:rsid w:val="00BF4688"/>
    <w:rsid w:val="00C019A6"/>
    <w:rsid w:val="00C224CF"/>
    <w:rsid w:val="00C24145"/>
    <w:rsid w:val="00C404D7"/>
    <w:rsid w:val="00C4256D"/>
    <w:rsid w:val="00C572A2"/>
    <w:rsid w:val="00C60118"/>
    <w:rsid w:val="00CA7732"/>
    <w:rsid w:val="00CB474D"/>
    <w:rsid w:val="00CC09D0"/>
    <w:rsid w:val="00D42007"/>
    <w:rsid w:val="00D47AB1"/>
    <w:rsid w:val="00D5526B"/>
    <w:rsid w:val="00D66962"/>
    <w:rsid w:val="00D86754"/>
    <w:rsid w:val="00D87D9C"/>
    <w:rsid w:val="00D92B3B"/>
    <w:rsid w:val="00D96D30"/>
    <w:rsid w:val="00DA5895"/>
    <w:rsid w:val="00DA7DED"/>
    <w:rsid w:val="00DE0A95"/>
    <w:rsid w:val="00DE362E"/>
    <w:rsid w:val="00DF4A30"/>
    <w:rsid w:val="00E0050C"/>
    <w:rsid w:val="00E03B8B"/>
    <w:rsid w:val="00E12968"/>
    <w:rsid w:val="00E2450C"/>
    <w:rsid w:val="00E340B5"/>
    <w:rsid w:val="00E4001E"/>
    <w:rsid w:val="00E53ACA"/>
    <w:rsid w:val="00E66421"/>
    <w:rsid w:val="00E67E64"/>
    <w:rsid w:val="00E72E9F"/>
    <w:rsid w:val="00E9409E"/>
    <w:rsid w:val="00EB3EBB"/>
    <w:rsid w:val="00EB7A41"/>
    <w:rsid w:val="00EC0B5B"/>
    <w:rsid w:val="00ED455F"/>
    <w:rsid w:val="00EE7FFE"/>
    <w:rsid w:val="00EF08FE"/>
    <w:rsid w:val="00F14863"/>
    <w:rsid w:val="00F14D09"/>
    <w:rsid w:val="00F14DD2"/>
    <w:rsid w:val="00F21047"/>
    <w:rsid w:val="00F4105E"/>
    <w:rsid w:val="00F604D3"/>
    <w:rsid w:val="00F616DA"/>
    <w:rsid w:val="00F76F95"/>
    <w:rsid w:val="00F95926"/>
    <w:rsid w:val="00FA3DCD"/>
    <w:rsid w:val="00FC00E9"/>
    <w:rsid w:val="00FC54D2"/>
    <w:rsid w:val="00FD4466"/>
    <w:rsid w:val="00FD4B8D"/>
    <w:rsid w:val="00FF3689"/>
    <w:rsid w:val="00FF55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AC2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lassic 4"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B793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484A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D86754"/>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25773B"/>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autoRedefine/>
    <w:uiPriority w:val="9"/>
    <w:unhideWhenUsed/>
    <w:qFormat/>
    <w:rsid w:val="003D5885"/>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9A51A2"/>
    <w:pPr>
      <w:keepNext/>
      <w:numPr>
        <w:ilvl w:val="4"/>
        <w:numId w:val="18"/>
      </w:numPr>
      <w:spacing w:before="240" w:after="240"/>
      <w:outlineLvl w:val="4"/>
    </w:pPr>
    <w:rPr>
      <w:i/>
      <w:szCs w:val="22"/>
      <w:lang w:bidi="ar-SA"/>
    </w:rPr>
  </w:style>
  <w:style w:type="paragraph" w:styleId="Heading6">
    <w:name w:val="heading 6"/>
    <w:basedOn w:val="Normal"/>
    <w:next w:val="Normal"/>
    <w:link w:val="Heading6Char"/>
    <w:uiPriority w:val="9"/>
    <w:unhideWhenUsed/>
    <w:rsid w:val="009A51A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9A51A2"/>
    <w:pPr>
      <w:spacing w:before="240" w:after="60"/>
      <w:outlineLvl w:val="6"/>
    </w:pPr>
  </w:style>
  <w:style w:type="paragraph" w:styleId="Heading8">
    <w:name w:val="heading 8"/>
    <w:basedOn w:val="Normal"/>
    <w:next w:val="Normal"/>
    <w:link w:val="Heading8Char"/>
    <w:uiPriority w:val="9"/>
    <w:unhideWhenUsed/>
    <w:rsid w:val="009A51A2"/>
    <w:pPr>
      <w:spacing w:before="240" w:after="60"/>
      <w:outlineLvl w:val="7"/>
    </w:pPr>
    <w:rPr>
      <w:i/>
      <w:iCs/>
    </w:rPr>
  </w:style>
  <w:style w:type="paragraph" w:styleId="Heading9">
    <w:name w:val="heading 9"/>
    <w:basedOn w:val="Normal"/>
    <w:next w:val="Normal"/>
    <w:link w:val="Heading9Char"/>
    <w:uiPriority w:val="9"/>
    <w:unhideWhenUsed/>
    <w:rsid w:val="009A51A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484A31"/>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D86754"/>
    <w:rPr>
      <w:rFonts w:eastAsia="Times New Roman"/>
      <w:b/>
      <w:bCs/>
      <w:sz w:val="28"/>
      <w:lang w:val="en-GB"/>
    </w:rPr>
  </w:style>
  <w:style w:type="character" w:customStyle="1" w:styleId="Heading3Char">
    <w:name w:val="Heading 3 Char"/>
    <w:aliases w:val="FSHeading 3 Char,Subheading 1 Char"/>
    <w:link w:val="Heading3"/>
    <w:uiPriority w:val="9"/>
    <w:rsid w:val="0025773B"/>
    <w:rPr>
      <w:rFonts w:eastAsia="Times New Roman" w:cs="Times New Roman"/>
      <w:b/>
      <w:bCs/>
      <w:color w:val="000000" w:themeColor="text1"/>
      <w:szCs w:val="24"/>
      <w:lang w:val="en-GB" w:eastAsia="en-AU"/>
    </w:rPr>
  </w:style>
  <w:style w:type="character" w:customStyle="1" w:styleId="Heading4Char">
    <w:name w:val="Heading 4 Char"/>
    <w:aliases w:val="FSHeading 4 Char,Subheading 2 Char"/>
    <w:link w:val="Heading4"/>
    <w:uiPriority w:val="9"/>
    <w:rsid w:val="003D5885"/>
    <w:rPr>
      <w:rFonts w:eastAsia="Times New Roman" w:cs="Times New Roman"/>
      <w:b/>
      <w:bCs/>
      <w:i/>
      <w:iCs/>
      <w:lang w:val="en-GB"/>
    </w:rPr>
  </w:style>
  <w:style w:type="character" w:customStyle="1" w:styleId="Heading5Char">
    <w:name w:val="Heading 5 Char"/>
    <w:aliases w:val="FSHeading 5 Char,Subheading 3 Char"/>
    <w:link w:val="Heading5"/>
    <w:uiPriority w:val="9"/>
    <w:rsid w:val="009A51A2"/>
    <w:rPr>
      <w:rFonts w:eastAsia="Times New Roman" w:cs="Times New Roman"/>
      <w:i/>
      <w:lang w:val="en-GB"/>
    </w:rPr>
  </w:style>
  <w:style w:type="character" w:customStyle="1" w:styleId="Heading6Char">
    <w:name w:val="Heading 6 Char"/>
    <w:basedOn w:val="DefaultParagraphFont"/>
    <w:link w:val="Heading6"/>
    <w:uiPriority w:val="9"/>
    <w:rsid w:val="009A51A2"/>
    <w:rPr>
      <w:rFonts w:eastAsia="Times New Roman" w:cs="Arial Unicode MS"/>
      <w:b/>
      <w:bCs/>
      <w:lang w:val="en-GB" w:bidi="en-US"/>
    </w:rPr>
  </w:style>
  <w:style w:type="paragraph" w:customStyle="1" w:styleId="Table2">
    <w:name w:val="Table 2"/>
    <w:basedOn w:val="Normal"/>
    <w:rsid w:val="009A51A2"/>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9A51A2"/>
    <w:pPr>
      <w:keepNext/>
      <w:jc w:val="center"/>
    </w:pPr>
    <w:rPr>
      <w:iCs/>
      <w:smallCaps/>
      <w:sz w:val="20"/>
      <w:szCs w:val="20"/>
    </w:rPr>
  </w:style>
  <w:style w:type="paragraph" w:customStyle="1" w:styleId="142Tabletext10">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0"/>
    <w:uiPriority w:val="22"/>
    <w:rsid w:val="006D473E"/>
    <w:rPr>
      <w:rFonts w:eastAsia="Times New Roman" w:cs="Times New Roman"/>
      <w:sz w:val="18"/>
      <w:szCs w:val="20"/>
      <w:lang w:val="en-GB"/>
    </w:rPr>
  </w:style>
  <w:style w:type="paragraph" w:customStyle="1" w:styleId="142Tabletext2">
    <w:name w:val="1.4.2 Table text2"/>
    <w:basedOn w:val="142Tabletext10"/>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9A51A2"/>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9A51A2"/>
    <w:pPr>
      <w:tabs>
        <w:tab w:val="left" w:pos="851"/>
      </w:tabs>
    </w:pPr>
    <w:rPr>
      <w:b/>
      <w:szCs w:val="20"/>
    </w:rPr>
  </w:style>
  <w:style w:type="paragraph" w:customStyle="1" w:styleId="ClauseList">
    <w:name w:val="Clause List"/>
    <w:basedOn w:val="Clause"/>
    <w:next w:val="Normal"/>
    <w:rsid w:val="009A51A2"/>
  </w:style>
  <w:style w:type="paragraph" w:customStyle="1" w:styleId="Definition">
    <w:name w:val="Definition"/>
    <w:basedOn w:val="Normal"/>
    <w:next w:val="Normal"/>
    <w:rsid w:val="009A51A2"/>
    <w:pPr>
      <w:ind w:left="1701" w:hanging="851"/>
    </w:pPr>
    <w:rPr>
      <w:szCs w:val="20"/>
    </w:rPr>
  </w:style>
  <w:style w:type="paragraph" w:customStyle="1" w:styleId="DivisionHeading">
    <w:name w:val="Division Heading"/>
    <w:basedOn w:val="Normal"/>
    <w:next w:val="Normal"/>
    <w:rsid w:val="009A51A2"/>
    <w:pPr>
      <w:tabs>
        <w:tab w:val="left" w:pos="851"/>
      </w:tabs>
      <w:jc w:val="center"/>
    </w:pPr>
    <w:rPr>
      <w:b/>
      <w:sz w:val="28"/>
      <w:szCs w:val="20"/>
    </w:rPr>
  </w:style>
  <w:style w:type="paragraph" w:customStyle="1" w:styleId="EditorialNoteLine1">
    <w:name w:val="Editorial Note Line 1"/>
    <w:basedOn w:val="Normal"/>
    <w:next w:val="Normal"/>
    <w:rsid w:val="009A51A2"/>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9A51A2"/>
    <w:rPr>
      <w:b w:val="0"/>
    </w:rPr>
  </w:style>
  <w:style w:type="paragraph" w:styleId="Footer">
    <w:name w:val="footer"/>
    <w:aliases w:val="FSFooter"/>
    <w:basedOn w:val="Normal"/>
    <w:link w:val="FooterChar"/>
    <w:rsid w:val="009A51A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qFormat/>
    <w:rsid w:val="009A51A2"/>
    <w:rPr>
      <w:sz w:val="20"/>
      <w:szCs w:val="20"/>
    </w:rPr>
  </w:style>
  <w:style w:type="character" w:customStyle="1" w:styleId="FootnoteTextChar">
    <w:name w:val="Footnote Text Char"/>
    <w:aliases w:val="Footnotes Text Char,FSFootnotes Text Char"/>
    <w:basedOn w:val="DefaultParagraphFont"/>
    <w:link w:val="FootnoteText"/>
    <w:rsid w:val="009A51A2"/>
    <w:rPr>
      <w:rFonts w:eastAsia="Times New Roman" w:cs="Times New Roman"/>
      <w:sz w:val="20"/>
      <w:szCs w:val="20"/>
      <w:lang w:val="en-GB" w:bidi="en-US"/>
    </w:rPr>
  </w:style>
  <w:style w:type="paragraph" w:customStyle="1" w:styleId="FSBullet1">
    <w:name w:val="FSBullet 1"/>
    <w:basedOn w:val="Normal"/>
    <w:next w:val="Normal"/>
    <w:link w:val="FSBullet1Char"/>
    <w:qFormat/>
    <w:rsid w:val="009A51A2"/>
    <w:pPr>
      <w:widowControl/>
      <w:numPr>
        <w:numId w:val="15"/>
      </w:numPr>
      <w:ind w:left="567" w:hanging="567"/>
    </w:pPr>
    <w:rPr>
      <w:rFonts w:cs="Arial"/>
      <w:lang w:bidi="ar-SA"/>
    </w:rPr>
  </w:style>
  <w:style w:type="character" w:customStyle="1" w:styleId="FSBullet1Char">
    <w:name w:val="FSBullet 1 Char"/>
    <w:link w:val="FSBullet1"/>
    <w:rsid w:val="009A51A2"/>
    <w:rPr>
      <w:rFonts w:eastAsia="Times New Roman"/>
      <w:szCs w:val="24"/>
      <w:lang w:val="en-GB"/>
    </w:rPr>
  </w:style>
  <w:style w:type="paragraph" w:customStyle="1" w:styleId="FSBullet2">
    <w:name w:val="FSBullet 2"/>
    <w:basedOn w:val="Normal"/>
    <w:qFormat/>
    <w:rsid w:val="009A51A2"/>
    <w:pPr>
      <w:widowControl/>
      <w:numPr>
        <w:numId w:val="16"/>
      </w:numPr>
      <w:ind w:left="1134" w:hanging="567"/>
    </w:pPr>
    <w:rPr>
      <w:rFonts w:eastAsia="Calibri"/>
      <w:szCs w:val="22"/>
      <w:lang w:bidi="ar-SA"/>
    </w:rPr>
  </w:style>
  <w:style w:type="paragraph" w:customStyle="1" w:styleId="FSBullet3">
    <w:name w:val="FSBullet 3"/>
    <w:basedOn w:val="Normal"/>
    <w:qFormat/>
    <w:rsid w:val="009A51A2"/>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9A51A2"/>
  </w:style>
  <w:style w:type="character" w:customStyle="1" w:styleId="HeaderChar">
    <w:name w:val="Header Char"/>
    <w:aliases w:val="FSHeader Char"/>
    <w:basedOn w:val="DefaultParagraphFont"/>
    <w:link w:val="Header"/>
    <w:rsid w:val="009A51A2"/>
    <w:rPr>
      <w:rFonts w:eastAsia="Times New Roman" w:cs="Times New Roman"/>
      <w:szCs w:val="24"/>
      <w:lang w:val="en-GB" w:bidi="en-US"/>
    </w:rPr>
  </w:style>
  <w:style w:type="paragraph" w:customStyle="1" w:styleId="Paragraph">
    <w:name w:val="Paragraph"/>
    <w:basedOn w:val="Clause"/>
    <w:next w:val="Normal"/>
    <w:rsid w:val="009A51A2"/>
    <w:pPr>
      <w:tabs>
        <w:tab w:val="clear" w:pos="851"/>
      </w:tabs>
      <w:ind w:left="1702" w:hanging="851"/>
    </w:pPr>
  </w:style>
  <w:style w:type="paragraph" w:customStyle="1" w:styleId="ScheduleHeading">
    <w:name w:val="Schedule Heading"/>
    <w:basedOn w:val="Normal"/>
    <w:next w:val="Normal"/>
    <w:rsid w:val="009A51A2"/>
    <w:pPr>
      <w:tabs>
        <w:tab w:val="left" w:pos="851"/>
      </w:tabs>
      <w:jc w:val="center"/>
    </w:pPr>
    <w:rPr>
      <w:b/>
      <w:caps/>
      <w:szCs w:val="20"/>
    </w:rPr>
  </w:style>
  <w:style w:type="paragraph" w:customStyle="1" w:styleId="Standardtitle">
    <w:name w:val="Standard title"/>
    <w:basedOn w:val="Normal"/>
    <w:rsid w:val="009A51A2"/>
    <w:pPr>
      <w:tabs>
        <w:tab w:val="left" w:pos="851"/>
      </w:tabs>
      <w:jc w:val="center"/>
    </w:pPr>
    <w:rPr>
      <w:b/>
      <w:i/>
      <w:iCs/>
      <w:caps/>
      <w:sz w:val="28"/>
      <w:szCs w:val="20"/>
    </w:rPr>
  </w:style>
  <w:style w:type="paragraph" w:customStyle="1" w:styleId="Subclause">
    <w:name w:val="Subclause"/>
    <w:basedOn w:val="Clause"/>
    <w:rsid w:val="009A51A2"/>
    <w:pPr>
      <w:ind w:hanging="11"/>
    </w:pPr>
  </w:style>
  <w:style w:type="paragraph" w:customStyle="1" w:styleId="Subparagraph">
    <w:name w:val="Subparagraph"/>
    <w:basedOn w:val="Paragraph"/>
    <w:next w:val="Normal"/>
    <w:rsid w:val="009A51A2"/>
    <w:pPr>
      <w:ind w:left="2553"/>
    </w:pPr>
  </w:style>
  <w:style w:type="paragraph" w:customStyle="1" w:styleId="Table1">
    <w:name w:val="Table 1"/>
    <w:basedOn w:val="Normal"/>
    <w:rsid w:val="009A51A2"/>
    <w:pPr>
      <w:spacing w:after="120"/>
      <w:jc w:val="center"/>
    </w:pPr>
    <w:rPr>
      <w:b/>
      <w:bCs/>
      <w:sz w:val="20"/>
      <w:szCs w:val="20"/>
    </w:rPr>
  </w:style>
  <w:style w:type="paragraph" w:customStyle="1" w:styleId="TitleBorder">
    <w:name w:val="TitleBorder"/>
    <w:basedOn w:val="Normal"/>
    <w:rsid w:val="009A51A2"/>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9A51A2"/>
    <w:pPr>
      <w:ind w:left="720"/>
      <w:contextualSpacing/>
    </w:pPr>
  </w:style>
  <w:style w:type="character" w:customStyle="1" w:styleId="Heading7Char">
    <w:name w:val="Heading 7 Char"/>
    <w:basedOn w:val="DefaultParagraphFont"/>
    <w:link w:val="Heading7"/>
    <w:uiPriority w:val="9"/>
    <w:rsid w:val="009A51A2"/>
    <w:rPr>
      <w:rFonts w:eastAsia="Times New Roman" w:cs="Times New Roman"/>
      <w:szCs w:val="24"/>
      <w:lang w:val="en-GB" w:bidi="en-US"/>
    </w:rPr>
  </w:style>
  <w:style w:type="character" w:customStyle="1" w:styleId="Heading8Char">
    <w:name w:val="Heading 8 Char"/>
    <w:basedOn w:val="DefaultParagraphFont"/>
    <w:link w:val="Heading8"/>
    <w:uiPriority w:val="9"/>
    <w:rsid w:val="009A51A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A51A2"/>
    <w:rPr>
      <w:rFonts w:ascii="Cambria" w:eastAsia="Times New Roman" w:hAnsi="Cambria" w:cs="Times New Roman"/>
      <w:lang w:val="en-GB" w:bidi="en-US"/>
    </w:rPr>
  </w:style>
  <w:style w:type="character" w:styleId="Hyperlink">
    <w:name w:val="Hyperlink"/>
    <w:basedOn w:val="DefaultParagraphFont"/>
    <w:uiPriority w:val="99"/>
    <w:rsid w:val="009A51A2"/>
    <w:rPr>
      <w:rFonts w:ascii="Arial" w:hAnsi="Arial"/>
      <w:color w:val="3333FF"/>
      <w:u w:val="single"/>
    </w:rPr>
  </w:style>
  <w:style w:type="paragraph" w:customStyle="1" w:styleId="FSTitle">
    <w:name w:val="FS Title"/>
    <w:basedOn w:val="Normal"/>
    <w:qFormat/>
    <w:rsid w:val="009A51A2"/>
    <w:rPr>
      <w:rFonts w:cs="Tahoma"/>
      <w:bCs/>
      <w:sz w:val="32"/>
    </w:rPr>
  </w:style>
  <w:style w:type="paragraph" w:customStyle="1" w:styleId="FSDash">
    <w:name w:val="FS Dash"/>
    <w:basedOn w:val="Normal"/>
    <w:rsid w:val="009A51A2"/>
    <w:pPr>
      <w:ind w:left="1134" w:hanging="567"/>
    </w:pPr>
  </w:style>
  <w:style w:type="paragraph" w:styleId="TOC1">
    <w:name w:val="toc 1"/>
    <w:basedOn w:val="Normal"/>
    <w:next w:val="Normal"/>
    <w:autoRedefine/>
    <w:uiPriority w:val="39"/>
    <w:rsid w:val="009A51A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A51A2"/>
    <w:pPr>
      <w:ind w:left="220"/>
    </w:pPr>
    <w:rPr>
      <w:rFonts w:asciiTheme="minorHAnsi" w:hAnsiTheme="minorHAnsi" w:cstheme="minorHAnsi"/>
      <w:smallCaps/>
      <w:sz w:val="20"/>
      <w:szCs w:val="20"/>
    </w:rPr>
  </w:style>
  <w:style w:type="character" w:styleId="PageNumber">
    <w:name w:val="page number"/>
    <w:basedOn w:val="DefaultParagraphFont"/>
    <w:rsid w:val="009A51A2"/>
    <w:rPr>
      <w:rFonts w:ascii="Arial" w:hAnsi="Arial"/>
    </w:rPr>
  </w:style>
  <w:style w:type="paragraph" w:styleId="TOC3">
    <w:name w:val="toc 3"/>
    <w:basedOn w:val="Normal"/>
    <w:next w:val="Normal"/>
    <w:autoRedefine/>
    <w:uiPriority w:val="39"/>
    <w:rsid w:val="009A51A2"/>
    <w:pPr>
      <w:ind w:left="440"/>
    </w:pPr>
    <w:rPr>
      <w:rFonts w:asciiTheme="minorHAnsi" w:hAnsiTheme="minorHAnsi" w:cstheme="minorHAnsi"/>
      <w:i/>
      <w:iCs/>
      <w:sz w:val="20"/>
      <w:szCs w:val="20"/>
    </w:rPr>
  </w:style>
  <w:style w:type="paragraph" w:styleId="TOC4">
    <w:name w:val="toc 4"/>
    <w:basedOn w:val="Normal"/>
    <w:next w:val="Normal"/>
    <w:autoRedefine/>
    <w:semiHidden/>
    <w:rsid w:val="009A51A2"/>
    <w:pPr>
      <w:ind w:left="660"/>
    </w:pPr>
    <w:rPr>
      <w:rFonts w:asciiTheme="minorHAnsi" w:hAnsiTheme="minorHAnsi" w:cstheme="minorHAnsi"/>
      <w:sz w:val="18"/>
      <w:szCs w:val="18"/>
    </w:rPr>
  </w:style>
  <w:style w:type="paragraph" w:styleId="TOC5">
    <w:name w:val="toc 5"/>
    <w:basedOn w:val="Normal"/>
    <w:next w:val="Normal"/>
    <w:autoRedefine/>
    <w:semiHidden/>
    <w:rsid w:val="009A51A2"/>
    <w:pPr>
      <w:ind w:left="880"/>
    </w:pPr>
    <w:rPr>
      <w:rFonts w:asciiTheme="minorHAnsi" w:hAnsiTheme="minorHAnsi" w:cstheme="minorHAnsi"/>
      <w:sz w:val="18"/>
      <w:szCs w:val="18"/>
    </w:rPr>
  </w:style>
  <w:style w:type="character" w:styleId="FollowedHyperlink">
    <w:name w:val="FollowedHyperlink"/>
    <w:basedOn w:val="DefaultParagraphFont"/>
    <w:rsid w:val="009A51A2"/>
    <w:rPr>
      <w:rFonts w:ascii="Arial" w:hAnsi="Arial"/>
      <w:color w:val="3333FF"/>
      <w:sz w:val="22"/>
      <w:u w:val="single"/>
    </w:rPr>
  </w:style>
  <w:style w:type="paragraph" w:styleId="TOC6">
    <w:name w:val="toc 6"/>
    <w:basedOn w:val="Normal"/>
    <w:next w:val="Normal"/>
    <w:autoRedefine/>
    <w:semiHidden/>
    <w:rsid w:val="009A51A2"/>
    <w:pPr>
      <w:ind w:left="1100"/>
    </w:pPr>
    <w:rPr>
      <w:rFonts w:asciiTheme="minorHAnsi" w:hAnsiTheme="minorHAnsi" w:cstheme="minorHAnsi"/>
      <w:sz w:val="18"/>
      <w:szCs w:val="18"/>
    </w:rPr>
  </w:style>
  <w:style w:type="paragraph" w:customStyle="1" w:styleId="Box1">
    <w:name w:val="Box 1"/>
    <w:basedOn w:val="Normal"/>
    <w:rsid w:val="009A51A2"/>
    <w:pPr>
      <w:tabs>
        <w:tab w:val="num" w:pos="120"/>
      </w:tabs>
      <w:ind w:left="113" w:hanging="113"/>
    </w:pPr>
    <w:rPr>
      <w:sz w:val="16"/>
    </w:rPr>
  </w:style>
  <w:style w:type="paragraph" w:customStyle="1" w:styleId="Box2">
    <w:name w:val="Box 2"/>
    <w:basedOn w:val="Normal"/>
    <w:rsid w:val="009A51A2"/>
    <w:pPr>
      <w:tabs>
        <w:tab w:val="left" w:pos="4608"/>
        <w:tab w:val="left" w:pos="9180"/>
        <w:tab w:val="left" w:pos="9216"/>
      </w:tabs>
      <w:jc w:val="center"/>
    </w:pPr>
    <w:rPr>
      <w:b/>
      <w:bCs/>
      <w:i/>
      <w:iCs/>
      <w:color w:val="000000"/>
      <w:sz w:val="16"/>
    </w:rPr>
  </w:style>
  <w:style w:type="paragraph" w:customStyle="1" w:styleId="Box3">
    <w:name w:val="Box 3"/>
    <w:basedOn w:val="Normal"/>
    <w:rsid w:val="009A51A2"/>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9A51A2"/>
    <w:rPr>
      <w:b/>
      <w:bCs/>
      <w:iCs w:val="0"/>
    </w:rPr>
  </w:style>
  <w:style w:type="paragraph" w:customStyle="1" w:styleId="142tabletext1">
    <w:name w:val="1.4.2 table text1"/>
    <w:basedOn w:val="Normal"/>
    <w:rsid w:val="009A51A2"/>
    <w:pPr>
      <w:numPr>
        <w:numId w:val="8"/>
      </w:numPr>
      <w:ind w:left="142" w:hanging="142"/>
    </w:pPr>
    <w:rPr>
      <w:smallCaps/>
      <w:sz w:val="20"/>
      <w:szCs w:val="20"/>
    </w:rPr>
  </w:style>
  <w:style w:type="paragraph" w:customStyle="1" w:styleId="142tabletext20">
    <w:name w:val="1.4.2 table text2"/>
    <w:basedOn w:val="142tabletext1"/>
    <w:rsid w:val="009A51A2"/>
    <w:pPr>
      <w:jc w:val="right"/>
    </w:pPr>
  </w:style>
  <w:style w:type="paragraph" w:customStyle="1" w:styleId="Footnote">
    <w:name w:val="Footnote"/>
    <w:basedOn w:val="Normal"/>
    <w:rsid w:val="009A51A2"/>
    <w:pPr>
      <w:tabs>
        <w:tab w:val="left" w:pos="851"/>
      </w:tabs>
    </w:pPr>
    <w:rPr>
      <w:sz w:val="20"/>
      <w:szCs w:val="20"/>
    </w:rPr>
  </w:style>
  <w:style w:type="paragraph" w:customStyle="1" w:styleId="MiscellaneousHeading">
    <w:name w:val="Miscellaneous Heading"/>
    <w:basedOn w:val="Normal"/>
    <w:next w:val="Normal"/>
    <w:rsid w:val="009A51A2"/>
    <w:rPr>
      <w:b/>
      <w:szCs w:val="20"/>
    </w:rPr>
  </w:style>
  <w:style w:type="paragraph" w:customStyle="1" w:styleId="TableHeading">
    <w:name w:val="Table Heading"/>
    <w:basedOn w:val="Normal"/>
    <w:next w:val="Normal"/>
    <w:rsid w:val="009A51A2"/>
    <w:pPr>
      <w:tabs>
        <w:tab w:val="left" w:pos="851"/>
      </w:tabs>
      <w:jc w:val="center"/>
    </w:pPr>
    <w:rPr>
      <w:b/>
      <w:szCs w:val="20"/>
    </w:rPr>
  </w:style>
  <w:style w:type="paragraph" w:styleId="TOC7">
    <w:name w:val="toc 7"/>
    <w:basedOn w:val="Normal"/>
    <w:next w:val="Normal"/>
    <w:autoRedefine/>
    <w:semiHidden/>
    <w:rsid w:val="009A51A2"/>
    <w:pPr>
      <w:ind w:left="1320"/>
    </w:pPr>
    <w:rPr>
      <w:rFonts w:asciiTheme="minorHAnsi" w:hAnsiTheme="minorHAnsi" w:cstheme="minorHAnsi"/>
      <w:sz w:val="18"/>
      <w:szCs w:val="18"/>
    </w:rPr>
  </w:style>
  <w:style w:type="paragraph" w:styleId="TOC8">
    <w:name w:val="toc 8"/>
    <w:basedOn w:val="Normal"/>
    <w:next w:val="Normal"/>
    <w:autoRedefine/>
    <w:semiHidden/>
    <w:rsid w:val="009A51A2"/>
    <w:pPr>
      <w:ind w:left="1540"/>
    </w:pPr>
    <w:rPr>
      <w:rFonts w:asciiTheme="minorHAnsi" w:hAnsiTheme="minorHAnsi" w:cstheme="minorHAnsi"/>
      <w:sz w:val="18"/>
      <w:szCs w:val="18"/>
    </w:rPr>
  </w:style>
  <w:style w:type="paragraph" w:styleId="TOC9">
    <w:name w:val="toc 9"/>
    <w:basedOn w:val="Normal"/>
    <w:next w:val="Normal"/>
    <w:autoRedefine/>
    <w:semiHidden/>
    <w:rsid w:val="009A51A2"/>
    <w:pPr>
      <w:ind w:left="1760"/>
    </w:pPr>
    <w:rPr>
      <w:rFonts w:asciiTheme="minorHAnsi" w:hAnsiTheme="minorHAnsi" w:cstheme="minorHAnsi"/>
      <w:sz w:val="18"/>
      <w:szCs w:val="18"/>
    </w:rPr>
  </w:style>
  <w:style w:type="character" w:styleId="FootnoteReference">
    <w:name w:val="footnote reference"/>
    <w:basedOn w:val="DefaultParagraphFont"/>
    <w:rsid w:val="009A51A2"/>
    <w:rPr>
      <w:vertAlign w:val="superscript"/>
    </w:rPr>
  </w:style>
  <w:style w:type="paragraph" w:customStyle="1" w:styleId="FSDecisionHeading">
    <w:name w:val="FS Decision Heading"/>
    <w:basedOn w:val="Normal"/>
    <w:next w:val="FSDecisiontext"/>
    <w:qFormat/>
    <w:rsid w:val="009A51A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A51A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A51A2"/>
    <w:rPr>
      <w:rFonts w:ascii="Tahoma" w:hAnsi="Tahoma" w:cs="Tahoma"/>
      <w:sz w:val="16"/>
      <w:szCs w:val="16"/>
    </w:rPr>
  </w:style>
  <w:style w:type="character" w:customStyle="1" w:styleId="BalloonTextChar">
    <w:name w:val="Balloon Text Char"/>
    <w:basedOn w:val="DefaultParagraphFont"/>
    <w:link w:val="BalloonText"/>
    <w:semiHidden/>
    <w:rsid w:val="009A51A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A51A2"/>
    <w:pPr>
      <w:outlineLvl w:val="9"/>
    </w:pPr>
  </w:style>
  <w:style w:type="paragraph" w:customStyle="1" w:styleId="FSBullet">
    <w:name w:val="FS Bullet"/>
    <w:basedOn w:val="Normal"/>
    <w:next w:val="Normal"/>
    <w:link w:val="FSBulletChar"/>
    <w:rsid w:val="009A51A2"/>
    <w:pPr>
      <w:numPr>
        <w:numId w:val="14"/>
      </w:numPr>
      <w:ind w:left="567" w:hanging="567"/>
    </w:pPr>
    <w:rPr>
      <w:rFonts w:cs="Arial"/>
    </w:rPr>
  </w:style>
  <w:style w:type="character" w:customStyle="1" w:styleId="FSBulletChar">
    <w:name w:val="FS Bullet Char"/>
    <w:basedOn w:val="DefaultParagraphFont"/>
    <w:link w:val="FSBullet"/>
    <w:rsid w:val="009A51A2"/>
    <w:rPr>
      <w:rFonts w:eastAsia="Times New Roman"/>
      <w:szCs w:val="24"/>
      <w:lang w:val="en-GB" w:bidi="en-US"/>
    </w:rPr>
  </w:style>
  <w:style w:type="table" w:styleId="TableGrid">
    <w:name w:val="Table Grid"/>
    <w:basedOn w:val="TableNormal"/>
    <w:uiPriority w:val="59"/>
    <w:rsid w:val="009A51A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51A2"/>
    <w:rPr>
      <w:rFonts w:cs="Arial"/>
      <w:b/>
    </w:rPr>
  </w:style>
  <w:style w:type="paragraph" w:customStyle="1" w:styleId="FSTableHeading">
    <w:name w:val="FS Table Heading"/>
    <w:basedOn w:val="Normal"/>
    <w:qFormat/>
    <w:rsid w:val="009A51A2"/>
    <w:pPr>
      <w:jc w:val="center"/>
    </w:pPr>
    <w:rPr>
      <w:rFonts w:ascii="Arial Bold" w:hAnsi="Arial Bold" w:cs="Arial"/>
      <w:b/>
      <w:sz w:val="20"/>
      <w:szCs w:val="20"/>
    </w:rPr>
  </w:style>
  <w:style w:type="paragraph" w:customStyle="1" w:styleId="FSTableText">
    <w:name w:val="FS Table Text"/>
    <w:basedOn w:val="Normal"/>
    <w:qFormat/>
    <w:rsid w:val="009A51A2"/>
    <w:rPr>
      <w:rFonts w:cs="Arial"/>
      <w:sz w:val="20"/>
      <w:szCs w:val="20"/>
    </w:rPr>
  </w:style>
  <w:style w:type="paragraph" w:customStyle="1" w:styleId="FSFigureTitle">
    <w:name w:val="FS Figure Title"/>
    <w:basedOn w:val="Normal"/>
    <w:next w:val="Normal"/>
    <w:qFormat/>
    <w:rsid w:val="009A51A2"/>
    <w:rPr>
      <w:rFonts w:cs="Arial"/>
      <w:i/>
    </w:rPr>
  </w:style>
  <w:style w:type="character" w:styleId="CommentReference">
    <w:name w:val="annotation reference"/>
    <w:basedOn w:val="DefaultParagraphFont"/>
    <w:rsid w:val="009A51A2"/>
    <w:rPr>
      <w:sz w:val="16"/>
      <w:szCs w:val="16"/>
    </w:rPr>
  </w:style>
  <w:style w:type="paragraph" w:styleId="CommentText">
    <w:name w:val="annotation text"/>
    <w:basedOn w:val="Normal"/>
    <w:link w:val="CommentTextChar"/>
    <w:rsid w:val="009A51A2"/>
    <w:rPr>
      <w:sz w:val="20"/>
      <w:szCs w:val="20"/>
    </w:rPr>
  </w:style>
  <w:style w:type="character" w:customStyle="1" w:styleId="CommentTextChar">
    <w:name w:val="Comment Text Char"/>
    <w:basedOn w:val="DefaultParagraphFont"/>
    <w:link w:val="CommentText"/>
    <w:rsid w:val="009A51A2"/>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9A51A2"/>
    <w:rPr>
      <w:b/>
      <w:bCs/>
    </w:rPr>
  </w:style>
  <w:style w:type="character" w:customStyle="1" w:styleId="CommentSubjectChar">
    <w:name w:val="Comment Subject Char"/>
    <w:basedOn w:val="CommentTextChar"/>
    <w:link w:val="CommentSubject"/>
    <w:rsid w:val="009A51A2"/>
    <w:rPr>
      <w:rFonts w:eastAsia="Times New Roman" w:cs="Times New Roman"/>
      <w:b/>
      <w:bCs/>
      <w:sz w:val="20"/>
      <w:szCs w:val="20"/>
      <w:lang w:val="en-GB" w:bidi="en-US"/>
    </w:rPr>
  </w:style>
  <w:style w:type="paragraph" w:styleId="DocumentMap">
    <w:name w:val="Document Map"/>
    <w:basedOn w:val="Normal"/>
    <w:link w:val="DocumentMapChar"/>
    <w:rsid w:val="009A51A2"/>
    <w:rPr>
      <w:rFonts w:ascii="Tahoma" w:hAnsi="Tahoma" w:cs="Tahoma"/>
      <w:sz w:val="16"/>
      <w:szCs w:val="16"/>
    </w:rPr>
  </w:style>
  <w:style w:type="character" w:customStyle="1" w:styleId="DocumentMapChar">
    <w:name w:val="Document Map Char"/>
    <w:basedOn w:val="DefaultParagraphFont"/>
    <w:link w:val="DocumentMap"/>
    <w:rsid w:val="009A51A2"/>
    <w:rPr>
      <w:rFonts w:ascii="Tahoma" w:eastAsia="Times New Roman" w:hAnsi="Tahoma" w:cs="Tahoma"/>
      <w:sz w:val="16"/>
      <w:szCs w:val="16"/>
      <w:lang w:val="en-GB" w:bidi="en-US"/>
    </w:rPr>
  </w:style>
  <w:style w:type="table" w:styleId="MediumShading1-Accent3">
    <w:name w:val="Medium Shading 1 Accent 3"/>
    <w:basedOn w:val="TableNormal"/>
    <w:uiPriority w:val="63"/>
    <w:rsid w:val="009A51A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lassic4">
    <w:name w:val="Table Classic 4"/>
    <w:basedOn w:val="TableNormal"/>
    <w:rsid w:val="009A51A2"/>
    <w:pPr>
      <w:widowControl w:val="0"/>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A51A2"/>
    <w:rPr>
      <w:color w:val="808080"/>
    </w:rPr>
  </w:style>
  <w:style w:type="paragraph" w:customStyle="1" w:styleId="Default">
    <w:name w:val="Default"/>
    <w:rsid w:val="009A51A2"/>
    <w:pPr>
      <w:autoSpaceDE w:val="0"/>
      <w:autoSpaceDN w:val="0"/>
      <w:adjustRightInd w:val="0"/>
    </w:pPr>
    <w:rPr>
      <w:color w:val="000000"/>
      <w:sz w:val="24"/>
      <w:szCs w:val="24"/>
      <w:lang w:val="en-GB"/>
    </w:rPr>
  </w:style>
  <w:style w:type="paragraph" w:customStyle="1" w:styleId="TableFootnote">
    <w:name w:val="TableFootnote"/>
    <w:basedOn w:val="Normal"/>
    <w:rsid w:val="009A51A2"/>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6B2116"/>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qFormat="1"/>
    <w:lsdException w:name="footer" w:uiPriority="0" w:qFormat="1"/>
    <w:lsdException w:name="caption" w:uiPriority="35" w:qFormat="1"/>
    <w:lsdException w:name="footnote reference" w:uiPriority="0"/>
    <w:lsdException w:name="annotation reference" w:uiPriority="0"/>
    <w:lsdException w:name="page number" w:uiPriority="0"/>
    <w:lsdException w:name="Title" w:semiHidden="0" w:uiPriority="10" w:unhideWhenUsed="0"/>
    <w:lsdException w:name="Default Paragraph Font" w:uiPriority="1"/>
    <w:lsdException w:name="Subtitle" w:semiHidden="0" w:uiPriority="11" w:unhideWhenUsed="0"/>
    <w:lsdException w:name="FollowedHyperlink" w:uiPriority="0"/>
    <w:lsdException w:name="Strong" w:semiHidden="0" w:uiPriority="22" w:unhideWhenUsed="0"/>
    <w:lsdException w:name="Emphasis" w:semiHidden="0" w:uiPriority="20" w:unhideWhenUsed="0"/>
    <w:lsdException w:name="Document Map" w:uiPriority="0"/>
    <w:lsdException w:name="annotation subject" w:uiPriority="0"/>
    <w:lsdException w:name="Table Classic 4"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FS Normal"/>
    <w:qFormat/>
    <w:rsid w:val="000B7934"/>
    <w:pPr>
      <w:widowControl w:val="0"/>
    </w:pPr>
    <w:rPr>
      <w:rFonts w:eastAsia="Times New Roman" w:cs="Times New Roman"/>
      <w:szCs w:val="24"/>
      <w:lang w:val="en-GB" w:bidi="en-US"/>
    </w:rPr>
  </w:style>
  <w:style w:type="paragraph" w:styleId="Heading1">
    <w:name w:val="heading 1"/>
    <w:aliases w:val="FSHeading 1,Chapter heading"/>
    <w:basedOn w:val="Normal"/>
    <w:next w:val="Normal"/>
    <w:link w:val="Heading1Char"/>
    <w:uiPriority w:val="9"/>
    <w:qFormat/>
    <w:rsid w:val="00484A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D86754"/>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autoRedefine/>
    <w:uiPriority w:val="9"/>
    <w:unhideWhenUsed/>
    <w:qFormat/>
    <w:rsid w:val="0025773B"/>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autoRedefine/>
    <w:uiPriority w:val="9"/>
    <w:unhideWhenUsed/>
    <w:qFormat/>
    <w:rsid w:val="003D5885"/>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9A51A2"/>
    <w:pPr>
      <w:keepNext/>
      <w:numPr>
        <w:ilvl w:val="4"/>
        <w:numId w:val="18"/>
      </w:numPr>
      <w:spacing w:before="240" w:after="240"/>
      <w:outlineLvl w:val="4"/>
    </w:pPr>
    <w:rPr>
      <w:i/>
      <w:szCs w:val="22"/>
      <w:lang w:bidi="ar-SA"/>
    </w:rPr>
  </w:style>
  <w:style w:type="paragraph" w:styleId="Heading6">
    <w:name w:val="heading 6"/>
    <w:basedOn w:val="Normal"/>
    <w:next w:val="Normal"/>
    <w:link w:val="Heading6Char"/>
    <w:uiPriority w:val="9"/>
    <w:unhideWhenUsed/>
    <w:rsid w:val="009A51A2"/>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9A51A2"/>
    <w:pPr>
      <w:spacing w:before="240" w:after="60"/>
      <w:outlineLvl w:val="6"/>
    </w:pPr>
  </w:style>
  <w:style w:type="paragraph" w:styleId="Heading8">
    <w:name w:val="heading 8"/>
    <w:basedOn w:val="Normal"/>
    <w:next w:val="Normal"/>
    <w:link w:val="Heading8Char"/>
    <w:uiPriority w:val="9"/>
    <w:unhideWhenUsed/>
    <w:rsid w:val="009A51A2"/>
    <w:pPr>
      <w:spacing w:before="240" w:after="60"/>
      <w:outlineLvl w:val="7"/>
    </w:pPr>
    <w:rPr>
      <w:i/>
      <w:iCs/>
    </w:rPr>
  </w:style>
  <w:style w:type="paragraph" w:styleId="Heading9">
    <w:name w:val="heading 9"/>
    <w:basedOn w:val="Normal"/>
    <w:next w:val="Normal"/>
    <w:link w:val="Heading9Char"/>
    <w:uiPriority w:val="9"/>
    <w:unhideWhenUsed/>
    <w:rsid w:val="009A51A2"/>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484A31"/>
    <w:rPr>
      <w:rFonts w:eastAsia="Times New Roman" w:cs="Times New Roman"/>
      <w:b/>
      <w:bCs/>
      <w:sz w:val="36"/>
      <w:szCs w:val="28"/>
      <w:lang w:val="en-GB"/>
    </w:rPr>
  </w:style>
  <w:style w:type="character" w:customStyle="1" w:styleId="Heading2Char">
    <w:name w:val="Heading 2 Char"/>
    <w:aliases w:val="FSHeading 2 Char,Section heading Char"/>
    <w:link w:val="Heading2"/>
    <w:uiPriority w:val="9"/>
    <w:rsid w:val="00D86754"/>
    <w:rPr>
      <w:rFonts w:eastAsia="Times New Roman"/>
      <w:b/>
      <w:bCs/>
      <w:sz w:val="28"/>
      <w:lang w:val="en-GB"/>
    </w:rPr>
  </w:style>
  <w:style w:type="character" w:customStyle="1" w:styleId="Heading3Char">
    <w:name w:val="Heading 3 Char"/>
    <w:aliases w:val="FSHeading 3 Char,Subheading 1 Char"/>
    <w:link w:val="Heading3"/>
    <w:uiPriority w:val="9"/>
    <w:rsid w:val="0025773B"/>
    <w:rPr>
      <w:rFonts w:eastAsia="Times New Roman" w:cs="Times New Roman"/>
      <w:b/>
      <w:bCs/>
      <w:color w:val="000000" w:themeColor="text1"/>
      <w:szCs w:val="24"/>
      <w:lang w:val="en-GB" w:eastAsia="en-AU"/>
    </w:rPr>
  </w:style>
  <w:style w:type="character" w:customStyle="1" w:styleId="Heading4Char">
    <w:name w:val="Heading 4 Char"/>
    <w:aliases w:val="FSHeading 4 Char,Subheading 2 Char"/>
    <w:link w:val="Heading4"/>
    <w:uiPriority w:val="9"/>
    <w:rsid w:val="003D5885"/>
    <w:rPr>
      <w:rFonts w:eastAsia="Times New Roman" w:cs="Times New Roman"/>
      <w:b/>
      <w:bCs/>
      <w:i/>
      <w:iCs/>
      <w:lang w:val="en-GB"/>
    </w:rPr>
  </w:style>
  <w:style w:type="character" w:customStyle="1" w:styleId="Heading5Char">
    <w:name w:val="Heading 5 Char"/>
    <w:aliases w:val="FSHeading 5 Char,Subheading 3 Char"/>
    <w:link w:val="Heading5"/>
    <w:uiPriority w:val="9"/>
    <w:rsid w:val="009A51A2"/>
    <w:rPr>
      <w:rFonts w:eastAsia="Times New Roman" w:cs="Times New Roman"/>
      <w:i/>
      <w:lang w:val="en-GB"/>
    </w:rPr>
  </w:style>
  <w:style w:type="character" w:customStyle="1" w:styleId="Heading6Char">
    <w:name w:val="Heading 6 Char"/>
    <w:basedOn w:val="DefaultParagraphFont"/>
    <w:link w:val="Heading6"/>
    <w:uiPriority w:val="9"/>
    <w:rsid w:val="009A51A2"/>
    <w:rPr>
      <w:rFonts w:eastAsia="Times New Roman" w:cs="Arial Unicode MS"/>
      <w:b/>
      <w:bCs/>
      <w:lang w:val="en-GB" w:bidi="en-US"/>
    </w:rPr>
  </w:style>
  <w:style w:type="paragraph" w:customStyle="1" w:styleId="Table2">
    <w:name w:val="Table 2"/>
    <w:basedOn w:val="Normal"/>
    <w:rsid w:val="009A51A2"/>
    <w:pPr>
      <w:ind w:left="142" w:hanging="142"/>
    </w:pPr>
    <w:rPr>
      <w:bCs/>
      <w:sz w:val="20"/>
      <w:szCs w:val="20"/>
    </w:rPr>
  </w:style>
  <w:style w:type="paragraph" w:customStyle="1" w:styleId="131ItemHeading">
    <w:name w:val="1.3.1 Item Heading"/>
    <w:basedOn w:val="Table2"/>
    <w:next w:val="Table2"/>
    <w:uiPriority w:val="22"/>
    <w:qFormat/>
    <w:rsid w:val="00404702"/>
    <w:pPr>
      <w:keepNext/>
      <w:tabs>
        <w:tab w:val="left" w:pos="851"/>
      </w:tabs>
      <w:spacing w:after="200"/>
      <w:ind w:left="0" w:firstLine="0"/>
    </w:pPr>
    <w:rPr>
      <w:b/>
      <w:bCs w:val="0"/>
      <w:caps/>
    </w:rPr>
  </w:style>
  <w:style w:type="paragraph" w:customStyle="1" w:styleId="131Subitemheading">
    <w:name w:val="1.3.1 Subitem heading"/>
    <w:basedOn w:val="131ItemHeading"/>
    <w:next w:val="Table2"/>
    <w:uiPriority w:val="22"/>
    <w:qFormat/>
    <w:rsid w:val="00404702"/>
    <w:pPr>
      <w:spacing w:after="120"/>
    </w:pPr>
    <w:rPr>
      <w:caps w:val="0"/>
      <w:sz w:val="18"/>
    </w:rPr>
  </w:style>
  <w:style w:type="paragraph" w:customStyle="1" w:styleId="142Tableheading1">
    <w:name w:val="1.4.2 Table heading1"/>
    <w:basedOn w:val="Normal"/>
    <w:uiPriority w:val="22"/>
    <w:qFormat/>
    <w:rsid w:val="00404702"/>
    <w:pPr>
      <w:keepNext/>
      <w:jc w:val="center"/>
    </w:pPr>
    <w:rPr>
      <w:rFonts w:ascii="Arial Bold" w:hAnsi="Arial Bold"/>
      <w:b/>
      <w:bCs/>
      <w:iCs/>
      <w:sz w:val="18"/>
    </w:rPr>
  </w:style>
  <w:style w:type="paragraph" w:customStyle="1" w:styleId="142Tableheading2">
    <w:name w:val="1.4.2 Table heading2"/>
    <w:basedOn w:val="Normal"/>
    <w:rsid w:val="009A51A2"/>
    <w:pPr>
      <w:keepNext/>
      <w:jc w:val="center"/>
    </w:pPr>
    <w:rPr>
      <w:iCs/>
      <w:smallCaps/>
      <w:sz w:val="20"/>
      <w:szCs w:val="20"/>
    </w:rPr>
  </w:style>
  <w:style w:type="paragraph" w:customStyle="1" w:styleId="142Tabletext10">
    <w:name w:val="1.4.2 Table text1"/>
    <w:basedOn w:val="Normal"/>
    <w:link w:val="142Tabletext1Char"/>
    <w:uiPriority w:val="22"/>
    <w:qFormat/>
    <w:rsid w:val="00404702"/>
    <w:pPr>
      <w:ind w:left="142" w:hanging="142"/>
    </w:pPr>
    <w:rPr>
      <w:sz w:val="18"/>
      <w:szCs w:val="20"/>
    </w:rPr>
  </w:style>
  <w:style w:type="character" w:customStyle="1" w:styleId="142Tabletext1Char">
    <w:name w:val="1.4.2 Table text1 Char"/>
    <w:basedOn w:val="DefaultParagraphFont"/>
    <w:link w:val="142Tabletext10"/>
    <w:uiPriority w:val="22"/>
    <w:rsid w:val="006D473E"/>
    <w:rPr>
      <w:rFonts w:eastAsia="Times New Roman" w:cs="Times New Roman"/>
      <w:sz w:val="18"/>
      <w:szCs w:val="20"/>
      <w:lang w:val="en-GB"/>
    </w:rPr>
  </w:style>
  <w:style w:type="paragraph" w:customStyle="1" w:styleId="142Tabletext2">
    <w:name w:val="1.4.2 Table text2"/>
    <w:basedOn w:val="142Tabletext10"/>
    <w:uiPriority w:val="22"/>
    <w:qFormat/>
    <w:rsid w:val="00404702"/>
    <w:pPr>
      <w:jc w:val="right"/>
    </w:pPr>
  </w:style>
  <w:style w:type="paragraph" w:customStyle="1" w:styleId="Blankpage">
    <w:name w:val="Blank page"/>
    <w:basedOn w:val="Normal"/>
    <w:next w:val="Normal"/>
    <w:uiPriority w:val="23"/>
    <w:qFormat/>
    <w:rsid w:val="00404702"/>
    <w:pPr>
      <w:tabs>
        <w:tab w:val="left" w:pos="851"/>
      </w:tabs>
      <w:spacing w:before="6000"/>
      <w:jc w:val="center"/>
    </w:pPr>
    <w:rPr>
      <w:caps/>
      <w:szCs w:val="20"/>
    </w:rPr>
  </w:style>
  <w:style w:type="paragraph" w:customStyle="1" w:styleId="Clause">
    <w:name w:val="Clause"/>
    <w:basedOn w:val="Normal"/>
    <w:next w:val="Normal"/>
    <w:link w:val="ClauseChar"/>
    <w:rsid w:val="009A51A2"/>
    <w:pPr>
      <w:tabs>
        <w:tab w:val="left" w:pos="851"/>
      </w:tabs>
    </w:pPr>
    <w:rPr>
      <w:szCs w:val="20"/>
    </w:rPr>
  </w:style>
  <w:style w:type="character" w:customStyle="1" w:styleId="ClauseChar">
    <w:name w:val="Clause Char"/>
    <w:basedOn w:val="DefaultParagraphFont"/>
    <w:link w:val="Clause"/>
    <w:rsid w:val="00C019A6"/>
    <w:rPr>
      <w:rFonts w:eastAsia="Times New Roman" w:cs="Times New Roman"/>
      <w:szCs w:val="20"/>
      <w:lang w:val="en-GB" w:bidi="en-US"/>
    </w:rPr>
  </w:style>
  <w:style w:type="paragraph" w:customStyle="1" w:styleId="Clauseheading">
    <w:name w:val="Clause heading"/>
    <w:basedOn w:val="Normal"/>
    <w:next w:val="Normal"/>
    <w:rsid w:val="009A51A2"/>
    <w:pPr>
      <w:tabs>
        <w:tab w:val="left" w:pos="851"/>
      </w:tabs>
    </w:pPr>
    <w:rPr>
      <w:b/>
      <w:szCs w:val="20"/>
    </w:rPr>
  </w:style>
  <w:style w:type="paragraph" w:customStyle="1" w:styleId="ClauseList">
    <w:name w:val="Clause List"/>
    <w:basedOn w:val="Clause"/>
    <w:next w:val="Normal"/>
    <w:rsid w:val="009A51A2"/>
  </w:style>
  <w:style w:type="paragraph" w:customStyle="1" w:styleId="Definition">
    <w:name w:val="Definition"/>
    <w:basedOn w:val="Normal"/>
    <w:next w:val="Normal"/>
    <w:rsid w:val="009A51A2"/>
    <w:pPr>
      <w:ind w:left="1701" w:hanging="851"/>
    </w:pPr>
    <w:rPr>
      <w:szCs w:val="20"/>
    </w:rPr>
  </w:style>
  <w:style w:type="paragraph" w:customStyle="1" w:styleId="DivisionHeading">
    <w:name w:val="Division Heading"/>
    <w:basedOn w:val="Normal"/>
    <w:next w:val="Normal"/>
    <w:rsid w:val="009A51A2"/>
    <w:pPr>
      <w:tabs>
        <w:tab w:val="left" w:pos="851"/>
      </w:tabs>
      <w:jc w:val="center"/>
    </w:pPr>
    <w:rPr>
      <w:b/>
      <w:sz w:val="28"/>
      <w:szCs w:val="20"/>
    </w:rPr>
  </w:style>
  <w:style w:type="paragraph" w:customStyle="1" w:styleId="EditorialNoteLine1">
    <w:name w:val="Editorial Note Line 1"/>
    <w:basedOn w:val="Normal"/>
    <w:next w:val="Normal"/>
    <w:rsid w:val="009A51A2"/>
    <w:pPr>
      <w:pBdr>
        <w:top w:val="single" w:sz="6" w:space="0" w:color="auto"/>
        <w:left w:val="single" w:sz="6" w:space="0" w:color="auto"/>
        <w:bottom w:val="single" w:sz="6" w:space="0" w:color="auto"/>
        <w:right w:val="single" w:sz="6" w:space="0" w:color="auto"/>
      </w:pBdr>
      <w:tabs>
        <w:tab w:val="left" w:pos="851"/>
      </w:tabs>
    </w:pPr>
    <w:rPr>
      <w:b/>
      <w:szCs w:val="20"/>
    </w:rPr>
  </w:style>
  <w:style w:type="paragraph" w:customStyle="1" w:styleId="EditorialNotetext">
    <w:name w:val="Editorial Note text"/>
    <w:basedOn w:val="EditorialNoteLine1"/>
    <w:rsid w:val="009A51A2"/>
    <w:rPr>
      <w:b w:val="0"/>
    </w:rPr>
  </w:style>
  <w:style w:type="paragraph" w:styleId="Footer">
    <w:name w:val="footer"/>
    <w:aliases w:val="FSFooter"/>
    <w:basedOn w:val="Normal"/>
    <w:link w:val="FooterChar"/>
    <w:rsid w:val="009A51A2"/>
    <w:pPr>
      <w:tabs>
        <w:tab w:val="center" w:pos="4153"/>
        <w:tab w:val="right" w:pos="8306"/>
      </w:tabs>
    </w:pPr>
    <w:rPr>
      <w:sz w:val="20"/>
    </w:rPr>
  </w:style>
  <w:style w:type="character" w:customStyle="1" w:styleId="FooterChar">
    <w:name w:val="Footer Char"/>
    <w:aliases w:val="FSFooter Char"/>
    <w:basedOn w:val="DefaultParagraphFont"/>
    <w:link w:val="Footer"/>
    <w:rsid w:val="00E2450C"/>
    <w:rPr>
      <w:rFonts w:eastAsia="Times New Roman" w:cs="Times New Roman"/>
      <w:sz w:val="20"/>
      <w:szCs w:val="24"/>
      <w:lang w:val="en-GB" w:bidi="en-US"/>
    </w:rPr>
  </w:style>
  <w:style w:type="paragraph" w:styleId="FootnoteText">
    <w:name w:val="footnote text"/>
    <w:aliases w:val="Footnotes Text,FSFootnotes Text"/>
    <w:basedOn w:val="Normal"/>
    <w:link w:val="FootnoteTextChar"/>
    <w:qFormat/>
    <w:rsid w:val="009A51A2"/>
    <w:rPr>
      <w:sz w:val="20"/>
      <w:szCs w:val="20"/>
    </w:rPr>
  </w:style>
  <w:style w:type="character" w:customStyle="1" w:styleId="FootnoteTextChar">
    <w:name w:val="Footnote Text Char"/>
    <w:aliases w:val="Footnotes Text Char,FSFootnotes Text Char"/>
    <w:basedOn w:val="DefaultParagraphFont"/>
    <w:link w:val="FootnoteText"/>
    <w:rsid w:val="009A51A2"/>
    <w:rPr>
      <w:rFonts w:eastAsia="Times New Roman" w:cs="Times New Roman"/>
      <w:sz w:val="20"/>
      <w:szCs w:val="20"/>
      <w:lang w:val="en-GB" w:bidi="en-US"/>
    </w:rPr>
  </w:style>
  <w:style w:type="paragraph" w:customStyle="1" w:styleId="FSBullet1">
    <w:name w:val="FSBullet 1"/>
    <w:basedOn w:val="Normal"/>
    <w:next w:val="Normal"/>
    <w:link w:val="FSBullet1Char"/>
    <w:qFormat/>
    <w:rsid w:val="009A51A2"/>
    <w:pPr>
      <w:widowControl/>
      <w:numPr>
        <w:numId w:val="15"/>
      </w:numPr>
      <w:ind w:left="567" w:hanging="567"/>
    </w:pPr>
    <w:rPr>
      <w:rFonts w:cs="Arial"/>
      <w:lang w:bidi="ar-SA"/>
    </w:rPr>
  </w:style>
  <w:style w:type="character" w:customStyle="1" w:styleId="FSBullet1Char">
    <w:name w:val="FSBullet 1 Char"/>
    <w:link w:val="FSBullet1"/>
    <w:rsid w:val="009A51A2"/>
    <w:rPr>
      <w:rFonts w:eastAsia="Times New Roman"/>
      <w:szCs w:val="24"/>
      <w:lang w:val="en-GB"/>
    </w:rPr>
  </w:style>
  <w:style w:type="paragraph" w:customStyle="1" w:styleId="FSBullet2">
    <w:name w:val="FSBullet 2"/>
    <w:basedOn w:val="Normal"/>
    <w:qFormat/>
    <w:rsid w:val="009A51A2"/>
    <w:pPr>
      <w:widowControl/>
      <w:numPr>
        <w:numId w:val="16"/>
      </w:numPr>
      <w:ind w:left="1134" w:hanging="567"/>
    </w:pPr>
    <w:rPr>
      <w:rFonts w:eastAsia="Calibri"/>
      <w:szCs w:val="22"/>
      <w:lang w:bidi="ar-SA"/>
    </w:rPr>
  </w:style>
  <w:style w:type="paragraph" w:customStyle="1" w:styleId="FSBullet3">
    <w:name w:val="FSBullet 3"/>
    <w:basedOn w:val="Normal"/>
    <w:qFormat/>
    <w:rsid w:val="009A51A2"/>
    <w:pPr>
      <w:keepNext/>
      <w:widowControl/>
      <w:numPr>
        <w:numId w:val="17"/>
      </w:numPr>
      <w:ind w:left="1701" w:hanging="567"/>
    </w:pPr>
    <w:rPr>
      <w:rFonts w:eastAsia="Calibri"/>
      <w:b/>
      <w:szCs w:val="22"/>
      <w:lang w:bidi="ar-SA"/>
    </w:rPr>
  </w:style>
  <w:style w:type="paragraph" w:customStyle="1" w:styleId="FSCaption">
    <w:name w:val="FSCaption"/>
    <w:basedOn w:val="Normal"/>
    <w:uiPriority w:val="9"/>
    <w:qFormat/>
    <w:rsid w:val="00404702"/>
    <w:pPr>
      <w:keepNext/>
      <w:keepLines/>
      <w:spacing w:before="120"/>
    </w:pPr>
    <w:rPr>
      <w:i/>
      <w:sz w:val="16"/>
      <w:szCs w:val="16"/>
    </w:rPr>
  </w:style>
  <w:style w:type="paragraph" w:customStyle="1" w:styleId="FSCFootnote">
    <w:name w:val="FSCFootnote"/>
    <w:basedOn w:val="Normal"/>
    <w:next w:val="Normal"/>
    <w:uiPriority w:val="17"/>
    <w:qFormat/>
    <w:rsid w:val="00404702"/>
    <w:rPr>
      <w:sz w:val="16"/>
      <w:szCs w:val="20"/>
    </w:rPr>
  </w:style>
  <w:style w:type="paragraph" w:customStyle="1" w:styleId="FSCFooter">
    <w:name w:val="FSCFooter"/>
    <w:basedOn w:val="FSCFootnote"/>
    <w:uiPriority w:val="17"/>
    <w:qFormat/>
    <w:rsid w:val="00404702"/>
    <w:pPr>
      <w:tabs>
        <w:tab w:val="center" w:pos="4536"/>
        <w:tab w:val="right" w:pos="9070"/>
      </w:tabs>
    </w:pPr>
    <w:rPr>
      <w:sz w:val="18"/>
      <w:szCs w:val="18"/>
    </w:rPr>
  </w:style>
  <w:style w:type="paragraph" w:customStyle="1" w:styleId="FSPagenumber">
    <w:name w:val="FSPage number"/>
    <w:basedOn w:val="Normal"/>
    <w:uiPriority w:val="1"/>
    <w:qFormat/>
    <w:rsid w:val="00404702"/>
    <w:pPr>
      <w:jc w:val="center"/>
    </w:pPr>
    <w:rPr>
      <w:sz w:val="20"/>
      <w:szCs w:val="20"/>
    </w:rPr>
  </w:style>
  <w:style w:type="paragraph" w:customStyle="1" w:styleId="FSTableColumnRowheading">
    <w:name w:val="FSTable Column/Row heading"/>
    <w:basedOn w:val="Normal"/>
    <w:uiPriority w:val="8"/>
    <w:qFormat/>
    <w:rsid w:val="00404702"/>
    <w:pPr>
      <w:spacing w:before="120" w:after="120"/>
    </w:pPr>
    <w:rPr>
      <w:b/>
      <w:sz w:val="20"/>
      <w:szCs w:val="20"/>
    </w:rPr>
  </w:style>
  <w:style w:type="paragraph" w:customStyle="1" w:styleId="FSTableFigureHeading">
    <w:name w:val="FSTable/Figure Heading"/>
    <w:basedOn w:val="Normal"/>
    <w:uiPriority w:val="7"/>
    <w:qFormat/>
    <w:rsid w:val="00404702"/>
    <w:pPr>
      <w:spacing w:before="120" w:after="120"/>
      <w:ind w:left="1134" w:hanging="1134"/>
    </w:pPr>
    <w:rPr>
      <w:b/>
      <w:i/>
    </w:rPr>
  </w:style>
  <w:style w:type="paragraph" w:styleId="Header">
    <w:name w:val="header"/>
    <w:aliases w:val="FSHeader"/>
    <w:basedOn w:val="Normal"/>
    <w:link w:val="HeaderChar"/>
    <w:rsid w:val="009A51A2"/>
  </w:style>
  <w:style w:type="character" w:customStyle="1" w:styleId="HeaderChar">
    <w:name w:val="Header Char"/>
    <w:aliases w:val="FSHeader Char"/>
    <w:basedOn w:val="DefaultParagraphFont"/>
    <w:link w:val="Header"/>
    <w:rsid w:val="009A51A2"/>
    <w:rPr>
      <w:rFonts w:eastAsia="Times New Roman" w:cs="Times New Roman"/>
      <w:szCs w:val="24"/>
      <w:lang w:val="en-GB" w:bidi="en-US"/>
    </w:rPr>
  </w:style>
  <w:style w:type="paragraph" w:customStyle="1" w:styleId="Paragraph">
    <w:name w:val="Paragraph"/>
    <w:basedOn w:val="Clause"/>
    <w:next w:val="Normal"/>
    <w:rsid w:val="009A51A2"/>
    <w:pPr>
      <w:tabs>
        <w:tab w:val="clear" w:pos="851"/>
      </w:tabs>
      <w:ind w:left="1702" w:hanging="851"/>
    </w:pPr>
  </w:style>
  <w:style w:type="paragraph" w:customStyle="1" w:styleId="ScheduleHeading">
    <w:name w:val="Schedule Heading"/>
    <w:basedOn w:val="Normal"/>
    <w:next w:val="Normal"/>
    <w:rsid w:val="009A51A2"/>
    <w:pPr>
      <w:tabs>
        <w:tab w:val="left" w:pos="851"/>
      </w:tabs>
      <w:jc w:val="center"/>
    </w:pPr>
    <w:rPr>
      <w:b/>
      <w:caps/>
      <w:szCs w:val="20"/>
    </w:rPr>
  </w:style>
  <w:style w:type="paragraph" w:customStyle="1" w:styleId="Standardtitle">
    <w:name w:val="Standard title"/>
    <w:basedOn w:val="Normal"/>
    <w:rsid w:val="009A51A2"/>
    <w:pPr>
      <w:tabs>
        <w:tab w:val="left" w:pos="851"/>
      </w:tabs>
      <w:jc w:val="center"/>
    </w:pPr>
    <w:rPr>
      <w:b/>
      <w:i/>
      <w:iCs/>
      <w:caps/>
      <w:sz w:val="28"/>
      <w:szCs w:val="20"/>
    </w:rPr>
  </w:style>
  <w:style w:type="paragraph" w:customStyle="1" w:styleId="Subclause">
    <w:name w:val="Subclause"/>
    <w:basedOn w:val="Clause"/>
    <w:rsid w:val="009A51A2"/>
    <w:pPr>
      <w:ind w:hanging="11"/>
    </w:pPr>
  </w:style>
  <w:style w:type="paragraph" w:customStyle="1" w:styleId="Subparagraph">
    <w:name w:val="Subparagraph"/>
    <w:basedOn w:val="Paragraph"/>
    <w:next w:val="Normal"/>
    <w:rsid w:val="009A51A2"/>
    <w:pPr>
      <w:ind w:left="2553"/>
    </w:pPr>
  </w:style>
  <w:style w:type="paragraph" w:customStyle="1" w:styleId="Table1">
    <w:name w:val="Table 1"/>
    <w:basedOn w:val="Normal"/>
    <w:rsid w:val="009A51A2"/>
    <w:pPr>
      <w:spacing w:after="120"/>
      <w:jc w:val="center"/>
    </w:pPr>
    <w:rPr>
      <w:b/>
      <w:bCs/>
      <w:sz w:val="20"/>
      <w:szCs w:val="20"/>
    </w:rPr>
  </w:style>
  <w:style w:type="paragraph" w:customStyle="1" w:styleId="TitleBorder">
    <w:name w:val="TitleBorder"/>
    <w:basedOn w:val="Normal"/>
    <w:rsid w:val="009A51A2"/>
    <w:pPr>
      <w:pBdr>
        <w:bottom w:val="double" w:sz="6" w:space="0" w:color="auto"/>
      </w:pBdr>
      <w:tabs>
        <w:tab w:val="left" w:pos="851"/>
      </w:tabs>
    </w:pPr>
    <w:rPr>
      <w:b/>
      <w:szCs w:val="20"/>
    </w:rPr>
  </w:style>
  <w:style w:type="paragraph" w:styleId="NoSpacing">
    <w:name w:val="No Spacing"/>
    <w:uiPriority w:val="20"/>
    <w:rsid w:val="00E0050C"/>
    <w:pPr>
      <w:widowControl w:val="0"/>
    </w:pPr>
    <w:rPr>
      <w:rFonts w:cstheme="minorBidi"/>
      <w:lang w:val="en-GB"/>
    </w:rPr>
  </w:style>
  <w:style w:type="paragraph" w:styleId="Subtitle">
    <w:name w:val="Subtitle"/>
    <w:basedOn w:val="Normal"/>
    <w:next w:val="Normal"/>
    <w:link w:val="SubtitleChar"/>
    <w:uiPriority w:val="11"/>
    <w:rsid w:val="00E2450C"/>
    <w:pPr>
      <w:numPr>
        <w:ilvl w:val="1"/>
      </w:numPr>
      <w:ind w:left="567" w:hanging="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2450C"/>
    <w:rPr>
      <w:rFonts w:asciiTheme="majorHAnsi" w:eastAsiaTheme="majorEastAsia" w:hAnsiTheme="majorHAnsi" w:cstheme="majorBidi"/>
      <w:i/>
      <w:iCs/>
      <w:color w:val="4F81BD" w:themeColor="accent1"/>
      <w:spacing w:val="15"/>
      <w:sz w:val="24"/>
      <w:szCs w:val="24"/>
      <w:lang w:val="en-GB"/>
    </w:rPr>
  </w:style>
  <w:style w:type="character" w:styleId="IntenseEmphasis">
    <w:name w:val="Intense Emphasis"/>
    <w:basedOn w:val="DefaultParagraphFont"/>
    <w:uiPriority w:val="21"/>
    <w:rsid w:val="00DF4A30"/>
    <w:rPr>
      <w:b/>
      <w:bCs/>
      <w:i/>
      <w:iCs/>
      <w:color w:val="4F81BD" w:themeColor="accent1"/>
    </w:rPr>
  </w:style>
  <w:style w:type="paragraph" w:styleId="ListParagraph">
    <w:name w:val="List Paragraph"/>
    <w:basedOn w:val="Normal"/>
    <w:uiPriority w:val="34"/>
    <w:qFormat/>
    <w:rsid w:val="009A51A2"/>
    <w:pPr>
      <w:ind w:left="720"/>
      <w:contextualSpacing/>
    </w:pPr>
  </w:style>
  <w:style w:type="character" w:customStyle="1" w:styleId="Heading7Char">
    <w:name w:val="Heading 7 Char"/>
    <w:basedOn w:val="DefaultParagraphFont"/>
    <w:link w:val="Heading7"/>
    <w:uiPriority w:val="9"/>
    <w:rsid w:val="009A51A2"/>
    <w:rPr>
      <w:rFonts w:eastAsia="Times New Roman" w:cs="Times New Roman"/>
      <w:szCs w:val="24"/>
      <w:lang w:val="en-GB" w:bidi="en-US"/>
    </w:rPr>
  </w:style>
  <w:style w:type="character" w:customStyle="1" w:styleId="Heading8Char">
    <w:name w:val="Heading 8 Char"/>
    <w:basedOn w:val="DefaultParagraphFont"/>
    <w:link w:val="Heading8"/>
    <w:uiPriority w:val="9"/>
    <w:rsid w:val="009A51A2"/>
    <w:rPr>
      <w:rFonts w:eastAsia="Times New Roman" w:cs="Times New Roman"/>
      <w:i/>
      <w:iCs/>
      <w:szCs w:val="24"/>
      <w:lang w:val="en-GB" w:bidi="en-US"/>
    </w:rPr>
  </w:style>
  <w:style w:type="character" w:customStyle="1" w:styleId="Heading9Char">
    <w:name w:val="Heading 9 Char"/>
    <w:basedOn w:val="DefaultParagraphFont"/>
    <w:link w:val="Heading9"/>
    <w:uiPriority w:val="9"/>
    <w:rsid w:val="009A51A2"/>
    <w:rPr>
      <w:rFonts w:ascii="Cambria" w:eastAsia="Times New Roman" w:hAnsi="Cambria" w:cs="Times New Roman"/>
      <w:lang w:val="en-GB" w:bidi="en-US"/>
    </w:rPr>
  </w:style>
  <w:style w:type="character" w:styleId="Hyperlink">
    <w:name w:val="Hyperlink"/>
    <w:basedOn w:val="DefaultParagraphFont"/>
    <w:uiPriority w:val="99"/>
    <w:rsid w:val="009A51A2"/>
    <w:rPr>
      <w:rFonts w:ascii="Arial" w:hAnsi="Arial"/>
      <w:color w:val="3333FF"/>
      <w:u w:val="single"/>
    </w:rPr>
  </w:style>
  <w:style w:type="paragraph" w:customStyle="1" w:styleId="FSTitle">
    <w:name w:val="FS Title"/>
    <w:basedOn w:val="Normal"/>
    <w:qFormat/>
    <w:rsid w:val="009A51A2"/>
    <w:rPr>
      <w:rFonts w:cs="Tahoma"/>
      <w:bCs/>
      <w:sz w:val="32"/>
    </w:rPr>
  </w:style>
  <w:style w:type="paragraph" w:customStyle="1" w:styleId="FSDash">
    <w:name w:val="FS Dash"/>
    <w:basedOn w:val="Normal"/>
    <w:rsid w:val="009A51A2"/>
    <w:pPr>
      <w:ind w:left="1134" w:hanging="567"/>
    </w:pPr>
  </w:style>
  <w:style w:type="paragraph" w:styleId="TOC1">
    <w:name w:val="toc 1"/>
    <w:basedOn w:val="Normal"/>
    <w:next w:val="Normal"/>
    <w:autoRedefine/>
    <w:uiPriority w:val="39"/>
    <w:rsid w:val="009A51A2"/>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9A51A2"/>
    <w:pPr>
      <w:ind w:left="220"/>
    </w:pPr>
    <w:rPr>
      <w:rFonts w:asciiTheme="minorHAnsi" w:hAnsiTheme="minorHAnsi" w:cstheme="minorHAnsi"/>
      <w:smallCaps/>
      <w:sz w:val="20"/>
      <w:szCs w:val="20"/>
    </w:rPr>
  </w:style>
  <w:style w:type="character" w:styleId="PageNumber">
    <w:name w:val="page number"/>
    <w:basedOn w:val="DefaultParagraphFont"/>
    <w:rsid w:val="009A51A2"/>
    <w:rPr>
      <w:rFonts w:ascii="Arial" w:hAnsi="Arial"/>
    </w:rPr>
  </w:style>
  <w:style w:type="paragraph" w:styleId="TOC3">
    <w:name w:val="toc 3"/>
    <w:basedOn w:val="Normal"/>
    <w:next w:val="Normal"/>
    <w:autoRedefine/>
    <w:uiPriority w:val="39"/>
    <w:rsid w:val="009A51A2"/>
    <w:pPr>
      <w:ind w:left="440"/>
    </w:pPr>
    <w:rPr>
      <w:rFonts w:asciiTheme="minorHAnsi" w:hAnsiTheme="minorHAnsi" w:cstheme="minorHAnsi"/>
      <w:i/>
      <w:iCs/>
      <w:sz w:val="20"/>
      <w:szCs w:val="20"/>
    </w:rPr>
  </w:style>
  <w:style w:type="paragraph" w:styleId="TOC4">
    <w:name w:val="toc 4"/>
    <w:basedOn w:val="Normal"/>
    <w:next w:val="Normal"/>
    <w:autoRedefine/>
    <w:semiHidden/>
    <w:rsid w:val="009A51A2"/>
    <w:pPr>
      <w:ind w:left="660"/>
    </w:pPr>
    <w:rPr>
      <w:rFonts w:asciiTheme="minorHAnsi" w:hAnsiTheme="minorHAnsi" w:cstheme="minorHAnsi"/>
      <w:sz w:val="18"/>
      <w:szCs w:val="18"/>
    </w:rPr>
  </w:style>
  <w:style w:type="paragraph" w:styleId="TOC5">
    <w:name w:val="toc 5"/>
    <w:basedOn w:val="Normal"/>
    <w:next w:val="Normal"/>
    <w:autoRedefine/>
    <w:semiHidden/>
    <w:rsid w:val="009A51A2"/>
    <w:pPr>
      <w:ind w:left="880"/>
    </w:pPr>
    <w:rPr>
      <w:rFonts w:asciiTheme="minorHAnsi" w:hAnsiTheme="minorHAnsi" w:cstheme="minorHAnsi"/>
      <w:sz w:val="18"/>
      <w:szCs w:val="18"/>
    </w:rPr>
  </w:style>
  <w:style w:type="character" w:styleId="FollowedHyperlink">
    <w:name w:val="FollowedHyperlink"/>
    <w:basedOn w:val="DefaultParagraphFont"/>
    <w:rsid w:val="009A51A2"/>
    <w:rPr>
      <w:rFonts w:ascii="Arial" w:hAnsi="Arial"/>
      <w:color w:val="3333FF"/>
      <w:sz w:val="22"/>
      <w:u w:val="single"/>
    </w:rPr>
  </w:style>
  <w:style w:type="paragraph" w:styleId="TOC6">
    <w:name w:val="toc 6"/>
    <w:basedOn w:val="Normal"/>
    <w:next w:val="Normal"/>
    <w:autoRedefine/>
    <w:semiHidden/>
    <w:rsid w:val="009A51A2"/>
    <w:pPr>
      <w:ind w:left="1100"/>
    </w:pPr>
    <w:rPr>
      <w:rFonts w:asciiTheme="minorHAnsi" w:hAnsiTheme="minorHAnsi" w:cstheme="minorHAnsi"/>
      <w:sz w:val="18"/>
      <w:szCs w:val="18"/>
    </w:rPr>
  </w:style>
  <w:style w:type="paragraph" w:customStyle="1" w:styleId="Box1">
    <w:name w:val="Box 1"/>
    <w:basedOn w:val="Normal"/>
    <w:rsid w:val="009A51A2"/>
    <w:pPr>
      <w:tabs>
        <w:tab w:val="num" w:pos="120"/>
      </w:tabs>
      <w:ind w:left="113" w:hanging="113"/>
    </w:pPr>
    <w:rPr>
      <w:sz w:val="16"/>
    </w:rPr>
  </w:style>
  <w:style w:type="paragraph" w:customStyle="1" w:styleId="Box2">
    <w:name w:val="Box 2"/>
    <w:basedOn w:val="Normal"/>
    <w:rsid w:val="009A51A2"/>
    <w:pPr>
      <w:tabs>
        <w:tab w:val="left" w:pos="4608"/>
        <w:tab w:val="left" w:pos="9180"/>
        <w:tab w:val="left" w:pos="9216"/>
      </w:tabs>
      <w:jc w:val="center"/>
    </w:pPr>
    <w:rPr>
      <w:b/>
      <w:bCs/>
      <w:i/>
      <w:iCs/>
      <w:color w:val="000000"/>
      <w:sz w:val="16"/>
    </w:rPr>
  </w:style>
  <w:style w:type="paragraph" w:customStyle="1" w:styleId="Box3">
    <w:name w:val="Box 3"/>
    <w:basedOn w:val="Normal"/>
    <w:rsid w:val="009A51A2"/>
    <w:pPr>
      <w:tabs>
        <w:tab w:val="left" w:pos="4608"/>
        <w:tab w:val="left" w:pos="9180"/>
        <w:tab w:val="left" w:pos="9216"/>
      </w:tabs>
      <w:jc w:val="center"/>
    </w:pPr>
    <w:rPr>
      <w:b/>
      <w:bCs/>
      <w:i/>
      <w:iCs/>
      <w:color w:val="000000"/>
      <w:sz w:val="16"/>
    </w:rPr>
  </w:style>
  <w:style w:type="paragraph" w:customStyle="1" w:styleId="142tableheading10">
    <w:name w:val="1.4.2 table heading1"/>
    <w:basedOn w:val="142Tableheading2"/>
    <w:rsid w:val="009A51A2"/>
    <w:rPr>
      <w:b/>
      <w:bCs/>
      <w:iCs w:val="0"/>
    </w:rPr>
  </w:style>
  <w:style w:type="paragraph" w:customStyle="1" w:styleId="142tabletext1">
    <w:name w:val="1.4.2 table text1"/>
    <w:basedOn w:val="Normal"/>
    <w:rsid w:val="009A51A2"/>
    <w:pPr>
      <w:numPr>
        <w:numId w:val="8"/>
      </w:numPr>
      <w:ind w:left="142" w:hanging="142"/>
    </w:pPr>
    <w:rPr>
      <w:smallCaps/>
      <w:sz w:val="20"/>
      <w:szCs w:val="20"/>
    </w:rPr>
  </w:style>
  <w:style w:type="paragraph" w:customStyle="1" w:styleId="142tabletext20">
    <w:name w:val="1.4.2 table text2"/>
    <w:basedOn w:val="142tabletext1"/>
    <w:rsid w:val="009A51A2"/>
    <w:pPr>
      <w:jc w:val="right"/>
    </w:pPr>
  </w:style>
  <w:style w:type="paragraph" w:customStyle="1" w:styleId="Footnote">
    <w:name w:val="Footnote"/>
    <w:basedOn w:val="Normal"/>
    <w:rsid w:val="009A51A2"/>
    <w:pPr>
      <w:tabs>
        <w:tab w:val="left" w:pos="851"/>
      </w:tabs>
    </w:pPr>
    <w:rPr>
      <w:sz w:val="20"/>
      <w:szCs w:val="20"/>
    </w:rPr>
  </w:style>
  <w:style w:type="paragraph" w:customStyle="1" w:styleId="MiscellaneousHeading">
    <w:name w:val="Miscellaneous Heading"/>
    <w:basedOn w:val="Normal"/>
    <w:next w:val="Normal"/>
    <w:rsid w:val="009A51A2"/>
    <w:rPr>
      <w:b/>
      <w:szCs w:val="20"/>
    </w:rPr>
  </w:style>
  <w:style w:type="paragraph" w:customStyle="1" w:styleId="TableHeading">
    <w:name w:val="Table Heading"/>
    <w:basedOn w:val="Normal"/>
    <w:next w:val="Normal"/>
    <w:rsid w:val="009A51A2"/>
    <w:pPr>
      <w:tabs>
        <w:tab w:val="left" w:pos="851"/>
      </w:tabs>
      <w:jc w:val="center"/>
    </w:pPr>
    <w:rPr>
      <w:b/>
      <w:szCs w:val="20"/>
    </w:rPr>
  </w:style>
  <w:style w:type="paragraph" w:styleId="TOC7">
    <w:name w:val="toc 7"/>
    <w:basedOn w:val="Normal"/>
    <w:next w:val="Normal"/>
    <w:autoRedefine/>
    <w:semiHidden/>
    <w:rsid w:val="009A51A2"/>
    <w:pPr>
      <w:ind w:left="1320"/>
    </w:pPr>
    <w:rPr>
      <w:rFonts w:asciiTheme="minorHAnsi" w:hAnsiTheme="minorHAnsi" w:cstheme="minorHAnsi"/>
      <w:sz w:val="18"/>
      <w:szCs w:val="18"/>
    </w:rPr>
  </w:style>
  <w:style w:type="paragraph" w:styleId="TOC8">
    <w:name w:val="toc 8"/>
    <w:basedOn w:val="Normal"/>
    <w:next w:val="Normal"/>
    <w:autoRedefine/>
    <w:semiHidden/>
    <w:rsid w:val="009A51A2"/>
    <w:pPr>
      <w:ind w:left="1540"/>
    </w:pPr>
    <w:rPr>
      <w:rFonts w:asciiTheme="minorHAnsi" w:hAnsiTheme="minorHAnsi" w:cstheme="minorHAnsi"/>
      <w:sz w:val="18"/>
      <w:szCs w:val="18"/>
    </w:rPr>
  </w:style>
  <w:style w:type="paragraph" w:styleId="TOC9">
    <w:name w:val="toc 9"/>
    <w:basedOn w:val="Normal"/>
    <w:next w:val="Normal"/>
    <w:autoRedefine/>
    <w:semiHidden/>
    <w:rsid w:val="009A51A2"/>
    <w:pPr>
      <w:ind w:left="1760"/>
    </w:pPr>
    <w:rPr>
      <w:rFonts w:asciiTheme="minorHAnsi" w:hAnsiTheme="minorHAnsi" w:cstheme="minorHAnsi"/>
      <w:sz w:val="18"/>
      <w:szCs w:val="18"/>
    </w:rPr>
  </w:style>
  <w:style w:type="character" w:styleId="FootnoteReference">
    <w:name w:val="footnote reference"/>
    <w:basedOn w:val="DefaultParagraphFont"/>
    <w:rsid w:val="009A51A2"/>
    <w:rPr>
      <w:vertAlign w:val="superscript"/>
    </w:rPr>
  </w:style>
  <w:style w:type="paragraph" w:customStyle="1" w:styleId="FSDecisionHeading">
    <w:name w:val="FS Decision Heading"/>
    <w:basedOn w:val="Normal"/>
    <w:next w:val="FSDecisiontext"/>
    <w:qFormat/>
    <w:rsid w:val="009A51A2"/>
    <w:pPr>
      <w:pBdr>
        <w:top w:val="single" w:sz="4" w:space="1" w:color="auto"/>
        <w:left w:val="single" w:sz="4" w:space="4" w:color="auto"/>
        <w:bottom w:val="single" w:sz="4" w:space="1" w:color="auto"/>
        <w:right w:val="single" w:sz="4" w:space="4" w:color="auto"/>
      </w:pBdr>
    </w:pPr>
    <w:rPr>
      <w:rFonts w:ascii="Arial Bold" w:hAnsi="Arial Bold"/>
      <w:b/>
      <w:bCs/>
    </w:rPr>
  </w:style>
  <w:style w:type="paragraph" w:customStyle="1" w:styleId="FSDecisiontext">
    <w:name w:val="FS Decision text"/>
    <w:basedOn w:val="Normal"/>
    <w:qFormat/>
    <w:rsid w:val="009A51A2"/>
    <w:pPr>
      <w:pBdr>
        <w:top w:val="single" w:sz="4" w:space="1" w:color="auto"/>
        <w:left w:val="single" w:sz="4" w:space="4" w:color="auto"/>
        <w:bottom w:val="single" w:sz="4" w:space="1" w:color="auto"/>
        <w:right w:val="single" w:sz="4" w:space="4" w:color="auto"/>
      </w:pBdr>
    </w:pPr>
  </w:style>
  <w:style w:type="paragraph" w:styleId="BalloonText">
    <w:name w:val="Balloon Text"/>
    <w:basedOn w:val="Normal"/>
    <w:link w:val="BalloonTextChar"/>
    <w:semiHidden/>
    <w:rsid w:val="009A51A2"/>
    <w:rPr>
      <w:rFonts w:ascii="Tahoma" w:hAnsi="Tahoma" w:cs="Tahoma"/>
      <w:sz w:val="16"/>
      <w:szCs w:val="16"/>
    </w:rPr>
  </w:style>
  <w:style w:type="character" w:customStyle="1" w:styleId="BalloonTextChar">
    <w:name w:val="Balloon Text Char"/>
    <w:basedOn w:val="DefaultParagraphFont"/>
    <w:link w:val="BalloonText"/>
    <w:semiHidden/>
    <w:rsid w:val="009A51A2"/>
    <w:rPr>
      <w:rFonts w:ascii="Tahoma" w:eastAsia="Times New Roman" w:hAnsi="Tahoma" w:cs="Tahoma"/>
      <w:sz w:val="16"/>
      <w:szCs w:val="16"/>
      <w:lang w:val="en-GB" w:bidi="en-US"/>
    </w:rPr>
  </w:style>
  <w:style w:type="paragraph" w:styleId="TOCHeading">
    <w:name w:val="TOC Heading"/>
    <w:basedOn w:val="Heading1"/>
    <w:next w:val="Normal"/>
    <w:uiPriority w:val="39"/>
    <w:unhideWhenUsed/>
    <w:qFormat/>
    <w:rsid w:val="009A51A2"/>
    <w:pPr>
      <w:outlineLvl w:val="9"/>
    </w:pPr>
  </w:style>
  <w:style w:type="paragraph" w:customStyle="1" w:styleId="FSBullet">
    <w:name w:val="FS Bullet"/>
    <w:basedOn w:val="Normal"/>
    <w:next w:val="Normal"/>
    <w:link w:val="FSBulletChar"/>
    <w:rsid w:val="009A51A2"/>
    <w:pPr>
      <w:numPr>
        <w:numId w:val="14"/>
      </w:numPr>
      <w:ind w:left="567" w:hanging="567"/>
    </w:pPr>
    <w:rPr>
      <w:rFonts w:cs="Arial"/>
    </w:rPr>
  </w:style>
  <w:style w:type="character" w:customStyle="1" w:styleId="FSBulletChar">
    <w:name w:val="FS Bullet Char"/>
    <w:basedOn w:val="DefaultParagraphFont"/>
    <w:link w:val="FSBullet"/>
    <w:rsid w:val="009A51A2"/>
    <w:rPr>
      <w:rFonts w:eastAsia="Times New Roman"/>
      <w:szCs w:val="24"/>
      <w:lang w:val="en-GB" w:bidi="en-US"/>
    </w:rPr>
  </w:style>
  <w:style w:type="table" w:styleId="TableGrid">
    <w:name w:val="Table Grid"/>
    <w:basedOn w:val="TableNormal"/>
    <w:uiPriority w:val="59"/>
    <w:rsid w:val="009A51A2"/>
    <w:rPr>
      <w:rFonts w:ascii="Calibri" w:eastAsia="Times New Roman" w:hAnsi="Calibri"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9A51A2"/>
    <w:rPr>
      <w:rFonts w:cs="Arial"/>
      <w:b/>
    </w:rPr>
  </w:style>
  <w:style w:type="paragraph" w:customStyle="1" w:styleId="FSTableHeading">
    <w:name w:val="FS Table Heading"/>
    <w:basedOn w:val="Normal"/>
    <w:qFormat/>
    <w:rsid w:val="009A51A2"/>
    <w:pPr>
      <w:jc w:val="center"/>
    </w:pPr>
    <w:rPr>
      <w:rFonts w:ascii="Arial Bold" w:hAnsi="Arial Bold" w:cs="Arial"/>
      <w:b/>
      <w:sz w:val="20"/>
      <w:szCs w:val="20"/>
    </w:rPr>
  </w:style>
  <w:style w:type="paragraph" w:customStyle="1" w:styleId="FSTableText">
    <w:name w:val="FS Table Text"/>
    <w:basedOn w:val="Normal"/>
    <w:qFormat/>
    <w:rsid w:val="009A51A2"/>
    <w:rPr>
      <w:rFonts w:cs="Arial"/>
      <w:sz w:val="20"/>
      <w:szCs w:val="20"/>
    </w:rPr>
  </w:style>
  <w:style w:type="paragraph" w:customStyle="1" w:styleId="FSFigureTitle">
    <w:name w:val="FS Figure Title"/>
    <w:basedOn w:val="Normal"/>
    <w:next w:val="Normal"/>
    <w:qFormat/>
    <w:rsid w:val="009A51A2"/>
    <w:rPr>
      <w:rFonts w:cs="Arial"/>
      <w:i/>
    </w:rPr>
  </w:style>
  <w:style w:type="character" w:styleId="CommentReference">
    <w:name w:val="annotation reference"/>
    <w:basedOn w:val="DefaultParagraphFont"/>
    <w:rsid w:val="009A51A2"/>
    <w:rPr>
      <w:sz w:val="16"/>
      <w:szCs w:val="16"/>
    </w:rPr>
  </w:style>
  <w:style w:type="paragraph" w:styleId="CommentText">
    <w:name w:val="annotation text"/>
    <w:basedOn w:val="Normal"/>
    <w:link w:val="CommentTextChar"/>
    <w:rsid w:val="009A51A2"/>
    <w:rPr>
      <w:sz w:val="20"/>
      <w:szCs w:val="20"/>
    </w:rPr>
  </w:style>
  <w:style w:type="character" w:customStyle="1" w:styleId="CommentTextChar">
    <w:name w:val="Comment Text Char"/>
    <w:basedOn w:val="DefaultParagraphFont"/>
    <w:link w:val="CommentText"/>
    <w:rsid w:val="009A51A2"/>
    <w:rPr>
      <w:rFonts w:eastAsia="Times New Roman" w:cs="Times New Roman"/>
      <w:sz w:val="20"/>
      <w:szCs w:val="20"/>
      <w:lang w:val="en-GB" w:bidi="en-US"/>
    </w:rPr>
  </w:style>
  <w:style w:type="paragraph" w:styleId="CommentSubject">
    <w:name w:val="annotation subject"/>
    <w:basedOn w:val="CommentText"/>
    <w:next w:val="CommentText"/>
    <w:link w:val="CommentSubjectChar"/>
    <w:rsid w:val="009A51A2"/>
    <w:rPr>
      <w:b/>
      <w:bCs/>
    </w:rPr>
  </w:style>
  <w:style w:type="character" w:customStyle="1" w:styleId="CommentSubjectChar">
    <w:name w:val="Comment Subject Char"/>
    <w:basedOn w:val="CommentTextChar"/>
    <w:link w:val="CommentSubject"/>
    <w:rsid w:val="009A51A2"/>
    <w:rPr>
      <w:rFonts w:eastAsia="Times New Roman" w:cs="Times New Roman"/>
      <w:b/>
      <w:bCs/>
      <w:sz w:val="20"/>
      <w:szCs w:val="20"/>
      <w:lang w:val="en-GB" w:bidi="en-US"/>
    </w:rPr>
  </w:style>
  <w:style w:type="paragraph" w:styleId="DocumentMap">
    <w:name w:val="Document Map"/>
    <w:basedOn w:val="Normal"/>
    <w:link w:val="DocumentMapChar"/>
    <w:rsid w:val="009A51A2"/>
    <w:rPr>
      <w:rFonts w:ascii="Tahoma" w:hAnsi="Tahoma" w:cs="Tahoma"/>
      <w:sz w:val="16"/>
      <w:szCs w:val="16"/>
    </w:rPr>
  </w:style>
  <w:style w:type="character" w:customStyle="1" w:styleId="DocumentMapChar">
    <w:name w:val="Document Map Char"/>
    <w:basedOn w:val="DefaultParagraphFont"/>
    <w:link w:val="DocumentMap"/>
    <w:rsid w:val="009A51A2"/>
    <w:rPr>
      <w:rFonts w:ascii="Tahoma" w:eastAsia="Times New Roman" w:hAnsi="Tahoma" w:cs="Tahoma"/>
      <w:sz w:val="16"/>
      <w:szCs w:val="16"/>
      <w:lang w:val="en-GB" w:bidi="en-US"/>
    </w:rPr>
  </w:style>
  <w:style w:type="table" w:styleId="MediumShading1-Accent3">
    <w:name w:val="Medium Shading 1 Accent 3"/>
    <w:basedOn w:val="TableNormal"/>
    <w:uiPriority w:val="63"/>
    <w:rsid w:val="009A51A2"/>
    <w:rPr>
      <w:rFonts w:ascii="Calibri" w:eastAsia="Times New Roman" w:hAnsi="Calibri" w:cs="Times New Roman"/>
      <w:sz w:val="20"/>
      <w:szCs w:val="20"/>
      <w:lang w:val="en-GB" w:eastAsia="en-GB"/>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ableClassic4">
    <w:name w:val="Table Classic 4"/>
    <w:basedOn w:val="TableNormal"/>
    <w:rsid w:val="009A51A2"/>
    <w:pPr>
      <w:widowControl w:val="0"/>
    </w:pPr>
    <w:rPr>
      <w:rFonts w:ascii="Calibri" w:eastAsia="Times New Roman" w:hAnsi="Calibri"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9A51A2"/>
    <w:rPr>
      <w:color w:val="808080"/>
    </w:rPr>
  </w:style>
  <w:style w:type="paragraph" w:customStyle="1" w:styleId="Default">
    <w:name w:val="Default"/>
    <w:rsid w:val="009A51A2"/>
    <w:pPr>
      <w:autoSpaceDE w:val="0"/>
      <w:autoSpaceDN w:val="0"/>
      <w:adjustRightInd w:val="0"/>
    </w:pPr>
    <w:rPr>
      <w:color w:val="000000"/>
      <w:sz w:val="24"/>
      <w:szCs w:val="24"/>
      <w:lang w:val="en-GB"/>
    </w:rPr>
  </w:style>
  <w:style w:type="paragraph" w:customStyle="1" w:styleId="TableFootnote">
    <w:name w:val="TableFootnote"/>
    <w:basedOn w:val="Normal"/>
    <w:rsid w:val="009A51A2"/>
    <w:pPr>
      <w:spacing w:before="120" w:after="120"/>
    </w:pPr>
    <w:rPr>
      <w:rFonts w:ascii="Times New Roman" w:hAnsi="Times New Roman"/>
      <w:snapToGrid w:val="0"/>
      <w:sz w:val="20"/>
      <w:szCs w:val="20"/>
      <w:lang w:eastAsia="zh-CN" w:bidi="ar-SA"/>
    </w:rPr>
  </w:style>
  <w:style w:type="paragraph" w:styleId="Caption">
    <w:name w:val="caption"/>
    <w:basedOn w:val="Normal"/>
    <w:next w:val="Normal"/>
    <w:uiPriority w:val="35"/>
    <w:unhideWhenUsed/>
    <w:qFormat/>
    <w:rsid w:val="006B2116"/>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www.hc-sc.gc.ca/fn-an/securit/addit/asparaginase_qs_as-eng.php" TargetMode="External"/><Relationship Id="rId26" Type="http://schemas.openxmlformats.org/officeDocument/2006/relationships/hyperlink" Target="http://www.fda.gov/Food/FoodIngredientsPackaging/GenerallyRecognizedasSafeGRAS/GRASListings/ucm154884.htm" TargetMode="External"/><Relationship Id="rId39" Type="http://schemas.openxmlformats.org/officeDocument/2006/relationships/hyperlink" Target="http://www.epa.gov/biotech_rule/pubs/pdf/fra009.pdf" TargetMode="External"/><Relationship Id="rId21" Type="http://schemas.openxmlformats.org/officeDocument/2006/relationships/hyperlink" Target="http://www.ebi.ac.uk/Tools/emboss/" TargetMode="External"/><Relationship Id="rId34" Type="http://schemas.openxmlformats.org/officeDocument/2006/relationships/hyperlink" Target="http://www.sciencedirect.com/science/article/pii/0022283670900574" TargetMode="External"/><Relationship Id="rId42"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hyperlink" Target="http://www.fda.gov/Food/FoodIngredientsPackaging/GenerallyRecognizedasSafeGRAS/GRASListings/ucm185687.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patentscope.wipo.int/search/en/detail.jsf" TargetMode="External"/><Relationship Id="rId32" Type="http://schemas.openxmlformats.org/officeDocument/2006/relationships/hyperlink" Target="http://www.fao.org/ag/agn/jecfa-additives/docs/enzymes_en.htm" TargetMode="External"/><Relationship Id="rId37" Type="http://schemas.openxmlformats.org/officeDocument/2006/relationships/hyperlink" Target="http://ntp.niehs.nih.gov/iccvam/suppdocs/feddocs/oecd/oecd-tg487.pdf" TargetMode="External"/><Relationship Id="rId40" Type="http://schemas.openxmlformats.org/officeDocument/2006/relationships/hyperlink" Target="http://www.usp.org/food-ingredients/food-chemicals-codex" TargetMode="External"/><Relationship Id="rId45"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yperlink" Target="http://www.clustal.org/clustal2/" TargetMode="External"/><Relationship Id="rId28" Type="http://schemas.openxmlformats.org/officeDocument/2006/relationships/hyperlink" Target="http://www.fda.gov/Food/FoodIngredientsPackaging/GenerallyRecognizedasSafeGRAS/GRASListings/ucm153757.htm" TargetMode="External"/><Relationship Id="rId36" Type="http://schemas.openxmlformats.org/officeDocument/2006/relationships/hyperlink" Target="http://www.oecdbookshop.org/oecd/display.asp?lang=EN&amp;sf1=identifiers&amp;st1=5lmqcr2k7p9x" TargetMode="External"/><Relationship Id="rId10" Type="http://schemas.openxmlformats.org/officeDocument/2006/relationships/header" Target="header1.xml"/><Relationship Id="rId19" Type="http://schemas.openxmlformats.org/officeDocument/2006/relationships/hyperlink" Target="http://www.allergenonline.org/)" TargetMode="External"/><Relationship Id="rId31" Type="http://schemas.openxmlformats.org/officeDocument/2006/relationships/hyperlink" Target="http://www.enzyme-database.org/query.php?ec=3.5.1.1" TargetMode="External"/><Relationship Id="rId44"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uniprot.org/" TargetMode="External"/><Relationship Id="rId27" Type="http://schemas.openxmlformats.org/officeDocument/2006/relationships/hyperlink" Target="http://www.accessdata.fda.gov/scripts/fcn/fcnDetailNavigation.cfm?rpt=grasListing&amp;id=114" TargetMode="External"/><Relationship Id="rId30" Type="http://schemas.openxmlformats.org/officeDocument/2006/relationships/hyperlink" Target="http://www.fooddrinkeurope.eu/uploads/publications_documents/AcrylamideToolbox_2013.pdf.%20Accessed%2023%20March%202015" TargetMode="External"/><Relationship Id="rId35" Type="http://schemas.openxmlformats.org/officeDocument/2006/relationships/hyperlink" Target="http://www.oecd.org/chemicalsafety/risk-assessment/1948418.pdf" TargetMode="External"/><Relationship Id="rId43" Type="http://schemas.openxmlformats.org/officeDocument/2006/relationships/customXml" Target="../customXml/item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eb.expasy.org/peptide_cutter/" TargetMode="External"/><Relationship Id="rId25" Type="http://schemas.openxmlformats.org/officeDocument/2006/relationships/hyperlink" Target="http://www.codexalimentarius.net/web/standard_list.do?lang=en" TargetMode="External"/><Relationship Id="rId33" Type="http://schemas.openxmlformats.org/officeDocument/2006/relationships/hyperlink" Target="http://whqlibdoc.who.int/publications/2007/9789241209472_eng.pdf" TargetMode="External"/><Relationship Id="rId38" Type="http://schemas.openxmlformats.org/officeDocument/2006/relationships/hyperlink" Target="http://www.fao.org/fileadmin/templates/agns/pdf/jecfa/cta/69/Asparaginase_from_Aspergillus_niger.pdf" TargetMode="External"/><Relationship Id="rId20" Type="http://schemas.openxmlformats.org/officeDocument/2006/relationships/hyperlink" Target="http://www.allergen.org/" TargetMode="External"/><Relationship Id="rId4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9E01F2A-5F23-4B21-BBA1-95C9D7325D10}"/>
</file>

<file path=customXml/itemProps2.xml><?xml version="1.0" encoding="utf-8"?>
<ds:datastoreItem xmlns:ds="http://schemas.openxmlformats.org/officeDocument/2006/customXml" ds:itemID="{4B67C69E-D189-4FC6-8745-3957FE62DC31}"/>
</file>

<file path=customXml/itemProps3.xml><?xml version="1.0" encoding="utf-8"?>
<ds:datastoreItem xmlns:ds="http://schemas.openxmlformats.org/officeDocument/2006/customXml" ds:itemID="{72EA0B08-AAE6-49D7-B8D3-E53E5494D5CA}"/>
</file>

<file path=customXml/itemProps4.xml><?xml version="1.0" encoding="utf-8"?>
<ds:datastoreItem xmlns:ds="http://schemas.openxmlformats.org/officeDocument/2006/customXml" ds:itemID="{688DE2D0-C39C-4527-BBD0-D0E0D057110A}"/>
</file>

<file path=docProps/app.xml><?xml version="1.0" encoding="utf-8"?>
<Properties xmlns="http://schemas.openxmlformats.org/officeDocument/2006/extended-properties" xmlns:vt="http://schemas.openxmlformats.org/officeDocument/2006/docPropsVTypes">
  <Template>Normal</Template>
  <TotalTime>0</TotalTime>
  <Pages>1</Pages>
  <Words>7593</Words>
  <Characters>43285</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A1107-CFS-SD1</dc:title>
  <dc:creator/>
  <cp:lastModifiedBy/>
  <cp:revision>1</cp:revision>
  <dcterms:created xsi:type="dcterms:W3CDTF">2015-06-17T05:58:00Z</dcterms:created>
  <dcterms:modified xsi:type="dcterms:W3CDTF">2015-06-17T06:00:00Z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