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E420CA" w14:textId="1F5CB7BE" w:rsidR="00E203C2" w:rsidRDefault="00E203C2" w:rsidP="00E203C2">
      <w:r>
        <w:rPr>
          <w:noProof/>
          <w:lang w:eastAsia="en-GB" w:bidi="ar-SA"/>
        </w:rPr>
        <w:drawing>
          <wp:inline distT="0" distB="0" distL="0" distR="0" wp14:anchorId="35B120EF" wp14:editId="4301AADF">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1CCAE06B" w14:textId="77777777" w:rsidR="00E203C2" w:rsidRDefault="00E203C2" w:rsidP="00E203C2"/>
    <w:p w14:paraId="2AF5496D" w14:textId="77777777" w:rsidR="001F1829" w:rsidRDefault="001F1829" w:rsidP="001F1829">
      <w:pPr>
        <w:widowControl/>
        <w:rPr>
          <w:b/>
          <w:sz w:val="28"/>
          <w:szCs w:val="28"/>
          <w:lang w:bidi="ar-SA"/>
        </w:rPr>
      </w:pPr>
      <w:r>
        <w:rPr>
          <w:b/>
          <w:sz w:val="28"/>
          <w:szCs w:val="28"/>
          <w:lang w:bidi="ar-SA"/>
        </w:rPr>
        <w:t>18 January 2016</w:t>
      </w:r>
    </w:p>
    <w:p w14:paraId="1F0EABBF" w14:textId="77777777" w:rsidR="001F1829" w:rsidRDefault="001F1829" w:rsidP="001F1829">
      <w:pPr>
        <w:widowControl/>
        <w:rPr>
          <w:b/>
          <w:sz w:val="28"/>
          <w:szCs w:val="28"/>
          <w:lang w:bidi="ar-SA"/>
        </w:rPr>
      </w:pPr>
      <w:r>
        <w:rPr>
          <w:b/>
          <w:sz w:val="28"/>
          <w:szCs w:val="28"/>
          <w:lang w:bidi="ar-SA"/>
        </w:rPr>
        <w:t>[01–16]</w:t>
      </w:r>
    </w:p>
    <w:p w14:paraId="4891498A" w14:textId="77777777" w:rsidR="00BA24E2" w:rsidRDefault="00BA24E2" w:rsidP="00E203C2"/>
    <w:p w14:paraId="2430A054" w14:textId="48E18061" w:rsidR="00E203C2" w:rsidRDefault="000427B2" w:rsidP="00F9520E">
      <w:pPr>
        <w:pStyle w:val="FSTitle"/>
        <w:rPr>
          <w:b/>
          <w:color w:val="FF0000"/>
        </w:rPr>
      </w:pPr>
      <w:r w:rsidRPr="00351927">
        <w:rPr>
          <w:b/>
        </w:rPr>
        <w:t>C</w:t>
      </w:r>
      <w:r w:rsidR="00D8470F" w:rsidRPr="00351927">
        <w:rPr>
          <w:b/>
        </w:rPr>
        <w:t>all</w:t>
      </w:r>
      <w:r w:rsidRPr="00351927">
        <w:rPr>
          <w:b/>
        </w:rPr>
        <w:t xml:space="preserve"> </w:t>
      </w:r>
      <w:r w:rsidR="00D8470F" w:rsidRPr="00351927">
        <w:rPr>
          <w:b/>
        </w:rPr>
        <w:t>for</w:t>
      </w:r>
      <w:r w:rsidRPr="00351927">
        <w:rPr>
          <w:b/>
        </w:rPr>
        <w:t xml:space="preserve"> </w:t>
      </w:r>
      <w:r w:rsidR="00D8470F" w:rsidRPr="00351927">
        <w:rPr>
          <w:b/>
        </w:rPr>
        <w:t>submissions</w:t>
      </w:r>
      <w:r w:rsidRPr="00351927">
        <w:rPr>
          <w:b/>
        </w:rPr>
        <w:t xml:space="preserve"> – </w:t>
      </w:r>
      <w:r w:rsidR="00D056F1" w:rsidRPr="00F9520E">
        <w:rPr>
          <w:b/>
        </w:rPr>
        <w:t>A</w:t>
      </w:r>
      <w:r w:rsidR="00A91DF1" w:rsidRPr="00F9520E">
        <w:rPr>
          <w:b/>
        </w:rPr>
        <w:t>pplication</w:t>
      </w:r>
      <w:r w:rsidR="00F9520E" w:rsidRPr="00F9520E">
        <w:rPr>
          <w:b/>
        </w:rPr>
        <w:t xml:space="preserve"> A1109</w:t>
      </w:r>
    </w:p>
    <w:p w14:paraId="750D08F0" w14:textId="77777777" w:rsidR="00F9520E" w:rsidRPr="00F9520E" w:rsidRDefault="00F9520E" w:rsidP="00FF6690"/>
    <w:p w14:paraId="7883893C" w14:textId="1A4026E3" w:rsidR="00D056F1" w:rsidRPr="00F9520E" w:rsidRDefault="00F9520E" w:rsidP="002432EE">
      <w:pPr>
        <w:pStyle w:val="FSTitle"/>
      </w:pPr>
      <w:r w:rsidRPr="00F9520E">
        <w:t xml:space="preserve">Glutaminase from </w:t>
      </w:r>
      <w:r w:rsidRPr="00F9520E">
        <w:rPr>
          <w:i/>
        </w:rPr>
        <w:t xml:space="preserve">Bacillus amyloliquefaciens </w:t>
      </w:r>
      <w:r w:rsidRPr="00F9520E">
        <w:t>as a Processing Aid (Enzyme)</w:t>
      </w:r>
    </w:p>
    <w:p w14:paraId="6934B104" w14:textId="77777777" w:rsidR="00E203C2" w:rsidRPr="00E81F6E" w:rsidRDefault="00E203C2" w:rsidP="00E203C2">
      <w:pPr>
        <w:pBdr>
          <w:bottom w:val="single" w:sz="12" w:space="1" w:color="auto"/>
        </w:pBdr>
        <w:spacing w:line="280" w:lineRule="exact"/>
        <w:rPr>
          <w:rFonts w:cs="Arial"/>
          <w:bCs/>
        </w:rPr>
      </w:pPr>
    </w:p>
    <w:p w14:paraId="2577C7C9" w14:textId="77777777" w:rsidR="00E203C2" w:rsidRPr="00E81F6E" w:rsidRDefault="00E203C2" w:rsidP="00E203C2"/>
    <w:p w14:paraId="7F3841FB" w14:textId="1A0819CB" w:rsidR="00E063C6" w:rsidRPr="00BB73D7" w:rsidRDefault="00E063C6" w:rsidP="00E203C2">
      <w:pPr>
        <w:rPr>
          <w:sz w:val="20"/>
          <w:szCs w:val="20"/>
        </w:rPr>
      </w:pPr>
      <w:r w:rsidRPr="00BB73D7">
        <w:rPr>
          <w:sz w:val="20"/>
          <w:szCs w:val="20"/>
        </w:rPr>
        <w:t xml:space="preserve">FSANZ </w:t>
      </w:r>
      <w:r w:rsidR="00D81D38" w:rsidRPr="00BB73D7">
        <w:rPr>
          <w:sz w:val="20"/>
          <w:szCs w:val="20"/>
        </w:rPr>
        <w:t>has assessed an A</w:t>
      </w:r>
      <w:r w:rsidR="00BB73D7" w:rsidRPr="00BB73D7">
        <w:rPr>
          <w:sz w:val="20"/>
          <w:szCs w:val="20"/>
        </w:rPr>
        <w:t>pplication made by Amano Enzyme Inc.</w:t>
      </w:r>
      <w:r w:rsidR="007C174F" w:rsidRPr="00BB73D7">
        <w:rPr>
          <w:sz w:val="20"/>
          <w:szCs w:val="20"/>
        </w:rPr>
        <w:t>to</w:t>
      </w:r>
      <w:r w:rsidR="00351B07" w:rsidRPr="00BB73D7">
        <w:rPr>
          <w:sz w:val="20"/>
          <w:szCs w:val="20"/>
        </w:rPr>
        <w:t xml:space="preserve"> </w:t>
      </w:r>
      <w:r w:rsidR="00BB73D7" w:rsidRPr="00BB73D7">
        <w:rPr>
          <w:sz w:val="20"/>
          <w:szCs w:val="20"/>
        </w:rPr>
        <w:t xml:space="preserve">permit glutaminase </w:t>
      </w:r>
      <w:r w:rsidR="0095122A">
        <w:rPr>
          <w:sz w:val="20"/>
          <w:szCs w:val="20"/>
        </w:rPr>
        <w:t>sourced</w:t>
      </w:r>
      <w:r w:rsidR="00BB73D7" w:rsidRPr="00BB73D7">
        <w:rPr>
          <w:sz w:val="20"/>
          <w:szCs w:val="20"/>
        </w:rPr>
        <w:t xml:space="preserve"> from </w:t>
      </w:r>
      <w:r w:rsidR="00BB73D7" w:rsidRPr="00BB73D7">
        <w:rPr>
          <w:i/>
          <w:sz w:val="20"/>
          <w:szCs w:val="20"/>
        </w:rPr>
        <w:t xml:space="preserve">Bacillus amyloliquefaciens </w:t>
      </w:r>
      <w:r w:rsidR="00BB73D7" w:rsidRPr="00BB73D7">
        <w:rPr>
          <w:sz w:val="20"/>
          <w:szCs w:val="20"/>
        </w:rPr>
        <w:t xml:space="preserve">as a processing aid in the production of certain seasoning ingredients or </w:t>
      </w:r>
      <w:proofErr w:type="gramStart"/>
      <w:r w:rsidR="00BB73D7" w:rsidRPr="00BB73D7">
        <w:rPr>
          <w:sz w:val="20"/>
          <w:szCs w:val="20"/>
        </w:rPr>
        <w:t>food</w:t>
      </w:r>
      <w:r w:rsidR="007D21F5">
        <w:rPr>
          <w:sz w:val="20"/>
          <w:szCs w:val="20"/>
        </w:rPr>
        <w:t xml:space="preserve"> products </w:t>
      </w:r>
      <w:r w:rsidR="00BB73D7" w:rsidRPr="00BB73D7">
        <w:rPr>
          <w:sz w:val="20"/>
          <w:szCs w:val="20"/>
        </w:rPr>
        <w:t xml:space="preserve">used </w:t>
      </w:r>
      <w:r w:rsidR="007D21F5">
        <w:rPr>
          <w:sz w:val="20"/>
          <w:szCs w:val="20"/>
        </w:rPr>
        <w:t xml:space="preserve">as </w:t>
      </w:r>
      <w:r w:rsidR="00BB73D7" w:rsidRPr="00BB73D7">
        <w:rPr>
          <w:sz w:val="20"/>
          <w:szCs w:val="20"/>
        </w:rPr>
        <w:t>seasoning</w:t>
      </w:r>
      <w:r w:rsidR="007D21F5">
        <w:rPr>
          <w:sz w:val="20"/>
          <w:szCs w:val="20"/>
        </w:rPr>
        <w:t>s</w:t>
      </w:r>
      <w:r w:rsidR="00413CA8" w:rsidRPr="00BB73D7">
        <w:rPr>
          <w:sz w:val="20"/>
          <w:szCs w:val="20"/>
        </w:rPr>
        <w:t xml:space="preserve"> and has</w:t>
      </w:r>
      <w:proofErr w:type="gramEnd"/>
      <w:r w:rsidR="00413CA8" w:rsidRPr="00BB73D7">
        <w:rPr>
          <w:sz w:val="20"/>
          <w:szCs w:val="20"/>
        </w:rPr>
        <w:t xml:space="preserve"> prepared a draft </w:t>
      </w:r>
      <w:r w:rsidR="00D8470F" w:rsidRPr="00BB73D7">
        <w:rPr>
          <w:sz w:val="20"/>
          <w:szCs w:val="20"/>
        </w:rPr>
        <w:t>food regulatory measure</w:t>
      </w:r>
      <w:r w:rsidR="00351B07" w:rsidRPr="00BB73D7">
        <w:rPr>
          <w:sz w:val="20"/>
          <w:szCs w:val="20"/>
        </w:rPr>
        <w:t xml:space="preserve">. </w:t>
      </w:r>
      <w:r w:rsidR="00D22F3C" w:rsidRPr="00BB73D7">
        <w:rPr>
          <w:sz w:val="20"/>
          <w:szCs w:val="20"/>
        </w:rPr>
        <w:t xml:space="preserve">Pursuant to section 31 of the </w:t>
      </w:r>
      <w:r w:rsidR="00D22F3C" w:rsidRPr="00BB73D7">
        <w:rPr>
          <w:i/>
          <w:sz w:val="20"/>
          <w:szCs w:val="20"/>
        </w:rPr>
        <w:t>Food Standard</w:t>
      </w:r>
      <w:r w:rsidR="00E203C2" w:rsidRPr="00BB73D7">
        <w:rPr>
          <w:i/>
          <w:sz w:val="20"/>
          <w:szCs w:val="20"/>
        </w:rPr>
        <w:t>s Australia New Zealand Act 1991</w:t>
      </w:r>
      <w:r w:rsidR="00D22F3C" w:rsidRPr="00BB73D7">
        <w:rPr>
          <w:i/>
          <w:sz w:val="20"/>
          <w:szCs w:val="20"/>
        </w:rPr>
        <w:t xml:space="preserve"> </w:t>
      </w:r>
      <w:r w:rsidR="00E203C2" w:rsidRPr="00BB73D7">
        <w:rPr>
          <w:sz w:val="20"/>
          <w:szCs w:val="20"/>
        </w:rPr>
        <w:t>(</w:t>
      </w:r>
      <w:r w:rsidR="00D22F3C" w:rsidRPr="00BB73D7">
        <w:rPr>
          <w:sz w:val="20"/>
          <w:szCs w:val="20"/>
        </w:rPr>
        <w:t>FSANZ Act), FSANZ now c</w:t>
      </w:r>
      <w:r w:rsidR="00E203C2" w:rsidRPr="00BB73D7">
        <w:rPr>
          <w:sz w:val="20"/>
          <w:szCs w:val="20"/>
        </w:rPr>
        <w:t xml:space="preserve">alls for submissions to assist consideration of the </w:t>
      </w:r>
      <w:r w:rsidR="00413CA8" w:rsidRPr="00BB73D7">
        <w:rPr>
          <w:sz w:val="20"/>
          <w:szCs w:val="20"/>
        </w:rPr>
        <w:t xml:space="preserve">draft </w:t>
      </w:r>
      <w:r w:rsidR="00D8470F" w:rsidRPr="00BB73D7">
        <w:rPr>
          <w:sz w:val="20"/>
          <w:szCs w:val="20"/>
        </w:rPr>
        <w:t>food regulatory measure</w:t>
      </w:r>
      <w:r w:rsidR="00D22F3C" w:rsidRPr="00BB73D7">
        <w:rPr>
          <w:sz w:val="20"/>
          <w:szCs w:val="20"/>
        </w:rPr>
        <w:t>.</w:t>
      </w:r>
    </w:p>
    <w:p w14:paraId="445D0248" w14:textId="77777777" w:rsidR="00413CA8" w:rsidRPr="00FF6690" w:rsidRDefault="00413CA8" w:rsidP="00E203C2">
      <w:pPr>
        <w:rPr>
          <w:sz w:val="18"/>
          <w:szCs w:val="20"/>
        </w:rPr>
      </w:pPr>
    </w:p>
    <w:p w14:paraId="3F2D60FE" w14:textId="77777777" w:rsidR="00351B07" w:rsidRDefault="00A91DF1" w:rsidP="00E203C2">
      <w:pPr>
        <w:rPr>
          <w:sz w:val="20"/>
          <w:szCs w:val="20"/>
        </w:rPr>
      </w:pPr>
      <w:r>
        <w:rPr>
          <w:sz w:val="20"/>
          <w:szCs w:val="20"/>
        </w:rPr>
        <w:t>Fo</w:t>
      </w:r>
      <w:r w:rsidR="00AD22F9">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FSANZ website at</w:t>
      </w:r>
      <w:r w:rsidR="00AD22F9">
        <w:rPr>
          <w:sz w:val="20"/>
          <w:szCs w:val="20"/>
        </w:rPr>
        <w:t xml:space="preserve"> </w:t>
      </w:r>
      <w:hyperlink r:id="rId15" w:history="1">
        <w:r w:rsidR="00C56F71">
          <w:rPr>
            <w:rStyle w:val="Hyperlink"/>
            <w:sz w:val="20"/>
            <w:szCs w:val="20"/>
            <w:lang w:val="en-AU"/>
          </w:rPr>
          <w:t>information for submitters</w:t>
        </w:r>
      </w:hyperlink>
      <w:r w:rsidR="00351B07" w:rsidRPr="007C174F">
        <w:rPr>
          <w:sz w:val="20"/>
          <w:szCs w:val="20"/>
        </w:rPr>
        <w:t>.</w:t>
      </w:r>
    </w:p>
    <w:p w14:paraId="4AEECC23" w14:textId="77777777" w:rsidR="00D81D38" w:rsidRPr="00FF6690" w:rsidRDefault="00D81D38" w:rsidP="00276026">
      <w:pPr>
        <w:rPr>
          <w:sz w:val="18"/>
          <w:szCs w:val="20"/>
        </w:rPr>
      </w:pPr>
    </w:p>
    <w:p w14:paraId="461A28B7" w14:textId="77777777" w:rsidR="00276026" w:rsidRPr="00276026" w:rsidRDefault="00276026" w:rsidP="00AC74CB">
      <w:pPr>
        <w:ind w:right="-428"/>
        <w:rPr>
          <w:sz w:val="20"/>
          <w:szCs w:val="20"/>
        </w:rPr>
      </w:pPr>
      <w:r w:rsidRPr="00276026">
        <w:rPr>
          <w:sz w:val="20"/>
          <w:szCs w:val="20"/>
        </w:rPr>
        <w:t xml:space="preserve">All submissions on applications and proposals will be published on our website. We will not publish material that is provided in-confidence, but will record that such information is held. In-confidence submissions may be subject to release under the provisions of the </w:t>
      </w:r>
      <w:r w:rsidRPr="00276026">
        <w:rPr>
          <w:i/>
          <w:iCs/>
          <w:sz w:val="20"/>
          <w:szCs w:val="20"/>
        </w:rPr>
        <w:t>Freedom of Information Act 1991</w:t>
      </w:r>
      <w:r w:rsidRPr="00276026">
        <w:rPr>
          <w:sz w:val="20"/>
          <w:szCs w:val="20"/>
        </w:rPr>
        <w:t>.</w:t>
      </w:r>
      <w:r>
        <w:rPr>
          <w:sz w:val="20"/>
          <w:szCs w:val="20"/>
        </w:rPr>
        <w:t xml:space="preserve"> </w:t>
      </w:r>
      <w:r w:rsidRPr="00276026">
        <w:rPr>
          <w:sz w:val="20"/>
          <w:szCs w:val="20"/>
        </w:rPr>
        <w:t>Submissions will be published as soon as possible after the end of the public comment period. Where large numbers of documents are involved, FSANZ will make these available on CD, rather than on the website.</w:t>
      </w:r>
    </w:p>
    <w:p w14:paraId="7498D1B0" w14:textId="77777777" w:rsidR="00876515" w:rsidRPr="00FF6690" w:rsidRDefault="00876515" w:rsidP="00276026">
      <w:pPr>
        <w:rPr>
          <w:color w:val="000000"/>
          <w:sz w:val="18"/>
          <w:szCs w:val="20"/>
          <w:lang w:val="en-AU"/>
        </w:rPr>
      </w:pPr>
    </w:p>
    <w:p w14:paraId="25B14BA5" w14:textId="77777777" w:rsidR="00E203C2" w:rsidRPr="007C174F" w:rsidRDefault="00AD22F9" w:rsidP="00E203C2">
      <w:pPr>
        <w:rPr>
          <w:color w:val="000000"/>
          <w:sz w:val="20"/>
          <w:szCs w:val="20"/>
          <w:lang w:val="en-AU"/>
        </w:rPr>
      </w:pPr>
      <w:r>
        <w:rPr>
          <w:color w:val="000000"/>
          <w:sz w:val="20"/>
          <w:szCs w:val="20"/>
          <w:lang w:val="en-AU"/>
        </w:rPr>
        <w:t>Under s</w:t>
      </w:r>
      <w:r w:rsidR="00351B07" w:rsidRPr="007C174F">
        <w:rPr>
          <w:color w:val="000000"/>
          <w:sz w:val="20"/>
          <w:szCs w:val="20"/>
          <w:lang w:val="en-AU"/>
        </w:rPr>
        <w:t xml:space="preserve">ection 114 </w:t>
      </w:r>
      <w:r w:rsidR="00FB1533">
        <w:rPr>
          <w:color w:val="000000"/>
          <w:sz w:val="20"/>
          <w:szCs w:val="20"/>
          <w:lang w:val="en-AU"/>
        </w:rPr>
        <w:t xml:space="preserve">of the FSANZ Act, </w:t>
      </w:r>
      <w:r>
        <w:rPr>
          <w:color w:val="000000"/>
          <w:sz w:val="20"/>
          <w:szCs w:val="20"/>
          <w:lang w:val="en-AU"/>
        </w:rPr>
        <w:t>some information provided to FSANZ cannot be disclosed. More</w:t>
      </w:r>
      <w:r w:rsidR="00351B07" w:rsidRPr="007C174F">
        <w:rPr>
          <w:color w:val="000000"/>
          <w:sz w:val="20"/>
          <w:szCs w:val="20"/>
          <w:lang w:val="en-AU"/>
        </w:rPr>
        <w:t xml:space="preserve"> information about the disclosure of confidential commercial information is available on the FSANZ website at</w:t>
      </w:r>
      <w:r w:rsidR="004A3685">
        <w:rPr>
          <w:color w:val="000000"/>
          <w:sz w:val="20"/>
          <w:szCs w:val="20"/>
          <w:lang w:val="en-AU"/>
        </w:rPr>
        <w:t xml:space="preserve"> </w:t>
      </w:r>
      <w:hyperlink r:id="rId16" w:history="1">
        <w:r w:rsidR="004A3685">
          <w:rPr>
            <w:rStyle w:val="Hyperlink"/>
            <w:sz w:val="20"/>
            <w:szCs w:val="20"/>
            <w:lang w:val="en-AU"/>
          </w:rPr>
          <w:t>information for submitters</w:t>
        </w:r>
      </w:hyperlink>
      <w:r w:rsidR="004A3685">
        <w:rPr>
          <w:color w:val="000000"/>
          <w:sz w:val="20"/>
          <w:szCs w:val="20"/>
          <w:lang w:val="en-AU"/>
        </w:rPr>
        <w:t>.</w:t>
      </w:r>
    </w:p>
    <w:p w14:paraId="1DAFB26A" w14:textId="77777777" w:rsidR="00E203C2" w:rsidRPr="00FF6690" w:rsidRDefault="00E203C2" w:rsidP="00E203C2">
      <w:pPr>
        <w:rPr>
          <w:color w:val="000000"/>
          <w:sz w:val="18"/>
          <w:szCs w:val="20"/>
          <w:lang w:val="en-AU"/>
        </w:rPr>
      </w:pPr>
    </w:p>
    <w:p w14:paraId="785C4C32" w14:textId="77777777" w:rsidR="00351B07" w:rsidRPr="007C174F" w:rsidRDefault="00E063C6" w:rsidP="00E203C2">
      <w:pPr>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351B07" w:rsidRPr="007C174F">
        <w:rPr>
          <w:color w:val="000000"/>
          <w:sz w:val="20"/>
          <w:szCs w:val="20"/>
          <w:lang w:val="en-AU"/>
        </w:rPr>
        <w:t>;</w:t>
      </w:r>
      <w:r w:rsidRPr="007C174F">
        <w:rPr>
          <w:color w:val="000000"/>
          <w:sz w:val="20"/>
          <w:szCs w:val="20"/>
          <w:lang w:val="en-AU"/>
        </w:rPr>
        <w:t xml:space="preserve"> be marked </w:t>
      </w:r>
      <w:r w:rsidR="00351B07" w:rsidRPr="007C174F">
        <w:rPr>
          <w:color w:val="000000"/>
          <w:sz w:val="20"/>
          <w:szCs w:val="20"/>
          <w:lang w:val="en-AU"/>
        </w:rPr>
        <w:t xml:space="preserve">clearly </w:t>
      </w:r>
      <w:r w:rsidRPr="007C174F">
        <w:rPr>
          <w:color w:val="000000"/>
          <w:sz w:val="20"/>
          <w:szCs w:val="20"/>
          <w:lang w:val="en-AU"/>
        </w:rPr>
        <w:t>with the word ‘Submission’ and quote the correct project number and name</w:t>
      </w:r>
      <w:r w:rsidR="003309A8">
        <w:rPr>
          <w:color w:val="000000"/>
          <w:sz w:val="20"/>
          <w:szCs w:val="20"/>
          <w:lang w:val="en-AU"/>
        </w:rPr>
        <w:t xml:space="preserve">. </w:t>
      </w:r>
      <w:r w:rsidRPr="007C174F">
        <w:rPr>
          <w:color w:val="000000"/>
          <w:sz w:val="20"/>
          <w:szCs w:val="20"/>
          <w:lang w:val="en-AU"/>
        </w:rPr>
        <w:t xml:space="preserve">While FSANZ accepts submissions in hard copy to our offices, it is more convenient and quicker to receive submissions electronically through the FSANZ website </w:t>
      </w:r>
      <w:r w:rsidR="0037520F">
        <w:rPr>
          <w:color w:val="000000"/>
          <w:sz w:val="20"/>
          <w:szCs w:val="20"/>
          <w:lang w:val="en-AU"/>
        </w:rPr>
        <w:t>via the link</w:t>
      </w:r>
      <w:r w:rsidR="0037520F" w:rsidRPr="008C0E7A">
        <w:rPr>
          <w:color w:val="000000"/>
          <w:sz w:val="20"/>
          <w:szCs w:val="20"/>
          <w:lang w:val="en-AU"/>
        </w:rPr>
        <w:t xml:space="preserve"> on </w:t>
      </w:r>
      <w:hyperlink r:id="rId17" w:history="1">
        <w:r w:rsidR="008C0E7A" w:rsidRPr="008C0E7A">
          <w:rPr>
            <w:rStyle w:val="Hyperlink"/>
            <w:sz w:val="20"/>
            <w:szCs w:val="20"/>
          </w:rPr>
          <w:t>documents for public comment</w:t>
        </w:r>
      </w:hyperlink>
      <w:r w:rsidR="003309A8">
        <w:rPr>
          <w:color w:val="000000"/>
          <w:sz w:val="20"/>
          <w:szCs w:val="20"/>
          <w:lang w:val="en-AU"/>
        </w:rPr>
        <w:t>.</w:t>
      </w:r>
      <w:r w:rsidR="008C0E7A">
        <w:rPr>
          <w:color w:val="000000"/>
          <w:sz w:val="20"/>
          <w:szCs w:val="20"/>
          <w:lang w:val="en-AU"/>
        </w:rPr>
        <w:t xml:space="preserve"> </w:t>
      </w:r>
      <w:r w:rsidR="0037520F">
        <w:rPr>
          <w:color w:val="000000"/>
          <w:sz w:val="20"/>
          <w:szCs w:val="20"/>
          <w:lang w:val="en-AU"/>
        </w:rPr>
        <w:t>You can also</w:t>
      </w:r>
      <w:r w:rsidRPr="007C174F">
        <w:rPr>
          <w:color w:val="000000"/>
          <w:sz w:val="20"/>
          <w:szCs w:val="20"/>
          <w:lang w:val="en-AU"/>
        </w:rPr>
        <w:t xml:space="preserve"> email your submission directly to </w:t>
      </w:r>
      <w:hyperlink r:id="rId18" w:history="1">
        <w:r w:rsidRPr="007C174F">
          <w:rPr>
            <w:rStyle w:val="Hyperlink"/>
            <w:rFonts w:cs="Arial"/>
            <w:sz w:val="20"/>
            <w:szCs w:val="20"/>
            <w:lang w:val="en-AU"/>
          </w:rPr>
          <w:t>submissions@foodstandards.gov.au</w:t>
        </w:r>
      </w:hyperlink>
      <w:r w:rsidR="003309A8">
        <w:rPr>
          <w:color w:val="000000"/>
          <w:sz w:val="20"/>
          <w:szCs w:val="20"/>
          <w:lang w:val="en-AU"/>
        </w:rPr>
        <w:t xml:space="preserve">. </w:t>
      </w:r>
    </w:p>
    <w:p w14:paraId="07E40324" w14:textId="77777777" w:rsidR="00E203C2" w:rsidRPr="007C174F" w:rsidRDefault="00E203C2" w:rsidP="00E203C2">
      <w:pPr>
        <w:rPr>
          <w:color w:val="000000"/>
          <w:sz w:val="20"/>
          <w:szCs w:val="20"/>
          <w:lang w:val="en-AU"/>
        </w:rPr>
      </w:pPr>
    </w:p>
    <w:p w14:paraId="515941FC" w14:textId="77777777" w:rsidR="00E063C6" w:rsidRPr="007C174F" w:rsidRDefault="00E063C6" w:rsidP="00E203C2">
      <w:pPr>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the FSANZ website</w:t>
      </w:r>
      <w:r w:rsidR="003309A8">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14:paraId="68454C71" w14:textId="77777777" w:rsidR="00E203C2" w:rsidRPr="00FF6690" w:rsidRDefault="00E203C2" w:rsidP="00E203C2">
      <w:pPr>
        <w:rPr>
          <w:color w:val="000000"/>
          <w:sz w:val="20"/>
          <w:lang w:val="en-AU"/>
        </w:rPr>
      </w:pPr>
    </w:p>
    <w:p w14:paraId="45927A78" w14:textId="7564A6B3" w:rsidR="00E063C6" w:rsidRPr="00FF6690" w:rsidRDefault="00E063C6" w:rsidP="00413CA8">
      <w:pPr>
        <w:tabs>
          <w:tab w:val="left" w:pos="7920"/>
        </w:tabs>
        <w:autoSpaceDE w:val="0"/>
        <w:autoSpaceDN w:val="0"/>
        <w:adjustRightInd w:val="0"/>
        <w:jc w:val="center"/>
        <w:rPr>
          <w:rFonts w:cs="Arial"/>
          <w:b/>
          <w:bCs/>
          <w:sz w:val="24"/>
        </w:rPr>
      </w:pPr>
      <w:r w:rsidRPr="00FB1533">
        <w:rPr>
          <w:rFonts w:cs="Arial"/>
          <w:b/>
          <w:bCs/>
          <w:color w:val="000000"/>
          <w:sz w:val="24"/>
        </w:rPr>
        <w:t>DEADLINE FOR SUBMISSIONS</w:t>
      </w:r>
      <w:r w:rsidRPr="00FB1533">
        <w:rPr>
          <w:rFonts w:cs="Arial"/>
          <w:b/>
          <w:color w:val="000000"/>
          <w:sz w:val="24"/>
        </w:rPr>
        <w:t>:</w:t>
      </w:r>
      <w:r w:rsidRPr="00FB1533">
        <w:rPr>
          <w:rFonts w:cs="Arial"/>
          <w:b/>
          <w:sz w:val="24"/>
        </w:rPr>
        <w:t xml:space="preserve">  </w:t>
      </w:r>
      <w:r w:rsidRPr="00FB1533">
        <w:rPr>
          <w:rFonts w:cs="Arial"/>
          <w:b/>
          <w:bCs/>
          <w:sz w:val="24"/>
        </w:rPr>
        <w:t>6pm (Canberra time</w:t>
      </w:r>
      <w:r w:rsidRPr="00FF6690">
        <w:rPr>
          <w:rFonts w:cs="Arial"/>
          <w:b/>
          <w:bCs/>
          <w:sz w:val="24"/>
        </w:rPr>
        <w:t xml:space="preserve">) </w:t>
      </w:r>
      <w:r w:rsidR="00FF6690" w:rsidRPr="00FF6690">
        <w:rPr>
          <w:rFonts w:cs="Arial"/>
          <w:b/>
          <w:bCs/>
          <w:sz w:val="24"/>
        </w:rPr>
        <w:t>29 February 2016</w:t>
      </w:r>
    </w:p>
    <w:p w14:paraId="1F712B42" w14:textId="77777777" w:rsidR="00E203C2" w:rsidRPr="00FF6690" w:rsidRDefault="00E203C2" w:rsidP="00E203C2">
      <w:pPr>
        <w:rPr>
          <w:sz w:val="20"/>
          <w:szCs w:val="20"/>
          <w:lang w:val="en-AU"/>
        </w:rPr>
      </w:pPr>
    </w:p>
    <w:p w14:paraId="53953866" w14:textId="77777777" w:rsidR="00E063C6" w:rsidRPr="00BB73D7" w:rsidRDefault="00E063C6" w:rsidP="00E203C2">
      <w:pPr>
        <w:rPr>
          <w:sz w:val="18"/>
          <w:szCs w:val="18"/>
          <w:lang w:val="en-AU"/>
        </w:rPr>
      </w:pPr>
      <w:r w:rsidRPr="00BB73D7">
        <w:rPr>
          <w:sz w:val="18"/>
          <w:szCs w:val="18"/>
          <w:lang w:val="en-AU"/>
        </w:rPr>
        <w:t xml:space="preserve">Submissions received after this date will </w:t>
      </w:r>
      <w:r w:rsidR="00351B07" w:rsidRPr="00BB73D7">
        <w:rPr>
          <w:sz w:val="18"/>
          <w:szCs w:val="18"/>
          <w:lang w:val="en-AU"/>
        </w:rPr>
        <w:t>not</w:t>
      </w:r>
      <w:r w:rsidRPr="00BB73D7">
        <w:rPr>
          <w:sz w:val="18"/>
          <w:szCs w:val="18"/>
          <w:lang w:val="en-AU"/>
        </w:rPr>
        <w:t xml:space="preserve"> be considered </w:t>
      </w:r>
      <w:r w:rsidR="00351B07" w:rsidRPr="00BB73D7">
        <w:rPr>
          <w:sz w:val="18"/>
          <w:szCs w:val="18"/>
          <w:lang w:val="en-AU"/>
        </w:rPr>
        <w:t>unless</w:t>
      </w:r>
      <w:r w:rsidRPr="00BB73D7">
        <w:rPr>
          <w:sz w:val="18"/>
          <w:szCs w:val="18"/>
          <w:lang w:val="en-AU"/>
        </w:rPr>
        <w:t xml:space="preserve"> an extension ha</w:t>
      </w:r>
      <w:r w:rsidR="00D22F3C" w:rsidRPr="00BB73D7">
        <w:rPr>
          <w:sz w:val="18"/>
          <w:szCs w:val="18"/>
          <w:lang w:val="en-AU"/>
        </w:rPr>
        <w:t>d</w:t>
      </w:r>
      <w:r w:rsidRPr="00BB73D7">
        <w:rPr>
          <w:sz w:val="18"/>
          <w:szCs w:val="18"/>
          <w:lang w:val="en-AU"/>
        </w:rPr>
        <w:t xml:space="preserve"> been given </w:t>
      </w:r>
      <w:r w:rsidR="0037520F" w:rsidRPr="00BB73D7">
        <w:rPr>
          <w:sz w:val="18"/>
          <w:szCs w:val="18"/>
          <w:lang w:val="en-AU"/>
        </w:rPr>
        <w:t xml:space="preserve">before </w:t>
      </w:r>
      <w:r w:rsidRPr="00BB73D7">
        <w:rPr>
          <w:sz w:val="18"/>
          <w:szCs w:val="18"/>
          <w:lang w:val="en-AU"/>
        </w:rPr>
        <w:t>th</w:t>
      </w:r>
      <w:r w:rsidR="00351B07" w:rsidRPr="00BB73D7">
        <w:rPr>
          <w:sz w:val="18"/>
          <w:szCs w:val="18"/>
          <w:lang w:val="en-AU"/>
        </w:rPr>
        <w:t>e</w:t>
      </w:r>
      <w:r w:rsidRPr="00BB73D7">
        <w:rPr>
          <w:sz w:val="18"/>
          <w:szCs w:val="18"/>
          <w:lang w:val="en-AU"/>
        </w:rPr>
        <w:t xml:space="preserve"> closing date</w:t>
      </w:r>
      <w:r w:rsidR="003309A8" w:rsidRPr="00BB73D7">
        <w:rPr>
          <w:sz w:val="18"/>
          <w:szCs w:val="18"/>
          <w:lang w:val="en-AU"/>
        </w:rPr>
        <w:t xml:space="preserve">. </w:t>
      </w:r>
      <w:r w:rsidR="0037520F" w:rsidRPr="00BB73D7">
        <w:rPr>
          <w:sz w:val="18"/>
          <w:szCs w:val="18"/>
          <w:lang w:val="en-AU"/>
        </w:rPr>
        <w:t xml:space="preserve">Extensions will only be granted due to </w:t>
      </w:r>
      <w:r w:rsidRPr="00BB73D7">
        <w:rPr>
          <w:sz w:val="18"/>
          <w:szCs w:val="18"/>
          <w:lang w:val="en-AU"/>
        </w:rPr>
        <w:t xml:space="preserve">extraordinary circumstances </w:t>
      </w:r>
      <w:r w:rsidR="0037520F" w:rsidRPr="00BB73D7">
        <w:rPr>
          <w:sz w:val="18"/>
          <w:szCs w:val="18"/>
          <w:lang w:val="en-AU"/>
        </w:rPr>
        <w:t xml:space="preserve">during the </w:t>
      </w:r>
      <w:r w:rsidRPr="00BB73D7">
        <w:rPr>
          <w:sz w:val="18"/>
          <w:szCs w:val="18"/>
          <w:lang w:val="en-AU"/>
        </w:rPr>
        <w:t>submission period</w:t>
      </w:r>
      <w:r w:rsidR="003309A8" w:rsidRPr="00BB73D7">
        <w:rPr>
          <w:sz w:val="18"/>
          <w:szCs w:val="18"/>
          <w:lang w:val="en-AU"/>
        </w:rPr>
        <w:t xml:space="preserve">. </w:t>
      </w:r>
      <w:r w:rsidRPr="00BB73D7">
        <w:rPr>
          <w:sz w:val="18"/>
          <w:szCs w:val="18"/>
          <w:lang w:val="en-AU"/>
        </w:rPr>
        <w:t>Any agreed extension will be notified on the FSANZ website and will apply to all submitters.</w:t>
      </w:r>
    </w:p>
    <w:p w14:paraId="1EA18E74" w14:textId="77777777" w:rsidR="00E203C2" w:rsidRPr="00BB73D7" w:rsidRDefault="00E203C2" w:rsidP="00E203C2">
      <w:pPr>
        <w:rPr>
          <w:sz w:val="18"/>
          <w:szCs w:val="18"/>
          <w:lang w:val="en-AU"/>
        </w:rPr>
      </w:pPr>
    </w:p>
    <w:p w14:paraId="36E2B31C" w14:textId="77777777" w:rsidR="00E063C6" w:rsidRPr="00BB73D7" w:rsidRDefault="0037520F" w:rsidP="00E203C2">
      <w:pPr>
        <w:rPr>
          <w:bCs/>
          <w:sz w:val="18"/>
          <w:szCs w:val="18"/>
          <w:lang w:val="en-AU"/>
        </w:rPr>
      </w:pPr>
      <w:r w:rsidRPr="00BB73D7">
        <w:rPr>
          <w:sz w:val="18"/>
          <w:szCs w:val="18"/>
          <w:lang w:val="en-AU"/>
        </w:rPr>
        <w:t>Questions about</w:t>
      </w:r>
      <w:r w:rsidR="00E063C6" w:rsidRPr="00BB73D7">
        <w:rPr>
          <w:sz w:val="18"/>
          <w:szCs w:val="18"/>
          <w:lang w:val="en-AU"/>
        </w:rPr>
        <w:t xml:space="preserve"> making submissions or the application process can be </w:t>
      </w:r>
      <w:r w:rsidRPr="00BB73D7">
        <w:rPr>
          <w:sz w:val="18"/>
          <w:szCs w:val="18"/>
          <w:lang w:val="en-AU"/>
        </w:rPr>
        <w:t>sent to</w:t>
      </w:r>
      <w:r w:rsidR="00E063C6" w:rsidRPr="00BB73D7">
        <w:rPr>
          <w:sz w:val="18"/>
          <w:szCs w:val="18"/>
          <w:lang w:val="en-AU"/>
        </w:rPr>
        <w:t xml:space="preserve"> </w:t>
      </w:r>
      <w:hyperlink r:id="rId19" w:history="1">
        <w:r w:rsidR="00E063C6" w:rsidRPr="00BB73D7">
          <w:rPr>
            <w:rStyle w:val="Hyperlink"/>
            <w:rFonts w:cs="Arial"/>
            <w:sz w:val="18"/>
            <w:szCs w:val="18"/>
            <w:lang w:val="en-AU"/>
          </w:rPr>
          <w:t>standards.management@foodstandards.gov.au</w:t>
        </w:r>
      </w:hyperlink>
      <w:r w:rsidR="00E063C6" w:rsidRPr="00BB73D7">
        <w:rPr>
          <w:sz w:val="18"/>
          <w:szCs w:val="18"/>
          <w:lang w:val="en-AU"/>
        </w:rPr>
        <w:t xml:space="preserve">. </w:t>
      </w:r>
    </w:p>
    <w:p w14:paraId="31FE1124" w14:textId="77777777" w:rsidR="00E203C2" w:rsidRPr="00BB73D7" w:rsidRDefault="00E203C2" w:rsidP="003A7725">
      <w:pPr>
        <w:rPr>
          <w:sz w:val="18"/>
          <w:szCs w:val="18"/>
          <w:lang w:val="en-AU"/>
        </w:rPr>
      </w:pPr>
    </w:p>
    <w:p w14:paraId="7AE44EFE" w14:textId="77777777" w:rsidR="00E063C6" w:rsidRDefault="00351B07" w:rsidP="00E203C2">
      <w:pPr>
        <w:rPr>
          <w:sz w:val="18"/>
          <w:szCs w:val="18"/>
          <w:lang w:val="en-AU"/>
        </w:rPr>
      </w:pPr>
      <w:r w:rsidRPr="00BB73D7">
        <w:rPr>
          <w:sz w:val="18"/>
          <w:szCs w:val="18"/>
          <w:lang w:val="en-AU"/>
        </w:rPr>
        <w:t>Hard</w:t>
      </w:r>
      <w:r w:rsidR="00E063C6" w:rsidRPr="00BB73D7">
        <w:rPr>
          <w:sz w:val="18"/>
          <w:szCs w:val="18"/>
          <w:lang w:val="en-AU"/>
        </w:rPr>
        <w:t xml:space="preserve"> copy submissions may be sent to one of the following addresses:</w:t>
      </w:r>
    </w:p>
    <w:p w14:paraId="6A8135AB" w14:textId="77777777" w:rsidR="00FF6690" w:rsidRPr="00BB73D7" w:rsidRDefault="00FF6690" w:rsidP="00E203C2">
      <w:pPr>
        <w:rPr>
          <w:sz w:val="18"/>
          <w:szCs w:val="18"/>
          <w:lang w:val="en-AU"/>
        </w:rPr>
      </w:pPr>
    </w:p>
    <w:p w14:paraId="695762AD" w14:textId="77777777" w:rsidR="00FF6690" w:rsidRPr="007C174F" w:rsidRDefault="00FF6690" w:rsidP="00FF6690">
      <w:pPr>
        <w:tabs>
          <w:tab w:val="left" w:pos="4536"/>
        </w:tabs>
        <w:rPr>
          <w:sz w:val="20"/>
          <w:szCs w:val="20"/>
        </w:rPr>
      </w:pPr>
      <w:r w:rsidRPr="007C174F">
        <w:rPr>
          <w:sz w:val="20"/>
          <w:szCs w:val="20"/>
        </w:rPr>
        <w:t>Food Standards Australia New Zealand</w:t>
      </w:r>
      <w:r w:rsidRPr="007C174F">
        <w:rPr>
          <w:sz w:val="20"/>
          <w:szCs w:val="20"/>
        </w:rPr>
        <w:tab/>
      </w:r>
      <w:r w:rsidRPr="007C174F">
        <w:rPr>
          <w:sz w:val="20"/>
          <w:szCs w:val="20"/>
        </w:rPr>
        <w:tab/>
        <w:t>Food Standards Australia New Zealand</w:t>
      </w:r>
    </w:p>
    <w:p w14:paraId="58717DE8" w14:textId="77777777" w:rsidR="00FF6690" w:rsidRPr="007C174F" w:rsidRDefault="00FF6690" w:rsidP="00FF6690">
      <w:pPr>
        <w:tabs>
          <w:tab w:val="left" w:pos="4536"/>
        </w:tabs>
        <w:rPr>
          <w:sz w:val="20"/>
          <w:szCs w:val="20"/>
        </w:rPr>
      </w:pPr>
      <w:r w:rsidRPr="007C174F">
        <w:rPr>
          <w:sz w:val="20"/>
          <w:szCs w:val="20"/>
        </w:rPr>
        <w:t xml:space="preserve">PO Box </w:t>
      </w:r>
      <w:r>
        <w:rPr>
          <w:sz w:val="20"/>
          <w:szCs w:val="20"/>
        </w:rPr>
        <w:t>5423</w:t>
      </w:r>
      <w:r w:rsidRPr="007C174F">
        <w:rPr>
          <w:sz w:val="20"/>
          <w:szCs w:val="20"/>
        </w:rPr>
        <w:tab/>
      </w:r>
      <w:r w:rsidRPr="007C174F">
        <w:rPr>
          <w:sz w:val="20"/>
          <w:szCs w:val="20"/>
        </w:rPr>
        <w:tab/>
        <w:t>PO Box 10559</w:t>
      </w:r>
    </w:p>
    <w:p w14:paraId="14F81F2D" w14:textId="77777777" w:rsidR="00FF6690" w:rsidRPr="007C174F" w:rsidRDefault="00FF6690" w:rsidP="00FF6690">
      <w:pPr>
        <w:tabs>
          <w:tab w:val="left" w:pos="4536"/>
        </w:tabs>
        <w:rPr>
          <w:sz w:val="20"/>
          <w:szCs w:val="20"/>
        </w:rPr>
      </w:pPr>
      <w:proofErr w:type="gramStart"/>
      <w:r>
        <w:rPr>
          <w:sz w:val="20"/>
          <w:szCs w:val="20"/>
        </w:rPr>
        <w:t>KINGSTON</w:t>
      </w:r>
      <w:r w:rsidRPr="007C174F">
        <w:rPr>
          <w:sz w:val="20"/>
          <w:szCs w:val="20"/>
        </w:rPr>
        <w:t xml:space="preserve"> </w:t>
      </w:r>
      <w:r>
        <w:rPr>
          <w:sz w:val="20"/>
          <w:szCs w:val="20"/>
        </w:rPr>
        <w:t xml:space="preserve"> </w:t>
      </w:r>
      <w:r w:rsidRPr="007C174F">
        <w:rPr>
          <w:sz w:val="20"/>
          <w:szCs w:val="20"/>
        </w:rPr>
        <w:t>ACT</w:t>
      </w:r>
      <w:proofErr w:type="gramEnd"/>
      <w:r>
        <w:rPr>
          <w:sz w:val="20"/>
          <w:szCs w:val="20"/>
        </w:rPr>
        <w:t xml:space="preserve"> </w:t>
      </w:r>
      <w:r w:rsidRPr="007C174F">
        <w:rPr>
          <w:sz w:val="20"/>
          <w:szCs w:val="20"/>
        </w:rPr>
        <w:t xml:space="preserve"> 2</w:t>
      </w:r>
      <w:r>
        <w:rPr>
          <w:sz w:val="20"/>
          <w:szCs w:val="20"/>
        </w:rPr>
        <w:t>604</w:t>
      </w:r>
      <w:r w:rsidRPr="007C174F">
        <w:rPr>
          <w:sz w:val="20"/>
          <w:szCs w:val="20"/>
        </w:rPr>
        <w:tab/>
      </w:r>
      <w:r w:rsidRPr="007C174F">
        <w:rPr>
          <w:sz w:val="20"/>
          <w:szCs w:val="20"/>
        </w:rPr>
        <w:tab/>
        <w:t>The Terrace WELLINGTON 6143</w:t>
      </w:r>
    </w:p>
    <w:p w14:paraId="0DD0B86C" w14:textId="77777777" w:rsidR="00FF6690" w:rsidRPr="007C174F" w:rsidRDefault="00FF6690" w:rsidP="00FF6690">
      <w:pPr>
        <w:tabs>
          <w:tab w:val="left" w:pos="4536"/>
        </w:tabs>
        <w:rPr>
          <w:sz w:val="20"/>
          <w:szCs w:val="20"/>
        </w:rPr>
      </w:pPr>
      <w:r w:rsidRPr="007C174F">
        <w:rPr>
          <w:sz w:val="20"/>
          <w:szCs w:val="20"/>
        </w:rPr>
        <w:t>AUSTRALIA</w:t>
      </w:r>
      <w:r w:rsidRPr="007C174F">
        <w:rPr>
          <w:sz w:val="20"/>
          <w:szCs w:val="20"/>
        </w:rPr>
        <w:tab/>
      </w:r>
      <w:r w:rsidRPr="007C174F">
        <w:rPr>
          <w:sz w:val="20"/>
          <w:szCs w:val="20"/>
        </w:rPr>
        <w:tab/>
        <w:t>NEW ZEALAND</w:t>
      </w:r>
    </w:p>
    <w:p w14:paraId="1B3FCE1E" w14:textId="77777777" w:rsidR="00FF6690" w:rsidRDefault="00FF6690" w:rsidP="00FF6690">
      <w:pPr>
        <w:tabs>
          <w:tab w:val="left" w:pos="4536"/>
        </w:tabs>
        <w:rPr>
          <w:sz w:val="20"/>
          <w:szCs w:val="20"/>
        </w:rPr>
      </w:pPr>
      <w:r w:rsidRPr="007C174F">
        <w:rPr>
          <w:sz w:val="20"/>
          <w:szCs w:val="20"/>
        </w:rPr>
        <w:t xml:space="preserve">Tel </w:t>
      </w:r>
      <w:r>
        <w:rPr>
          <w:sz w:val="20"/>
          <w:szCs w:val="20"/>
        </w:rPr>
        <w:t>+61 2</w:t>
      </w:r>
      <w:r w:rsidRPr="007C174F">
        <w:rPr>
          <w:sz w:val="20"/>
          <w:szCs w:val="20"/>
        </w:rPr>
        <w:t xml:space="preserve"> 6271 2222  </w:t>
      </w:r>
      <w:r w:rsidRPr="007C174F">
        <w:rPr>
          <w:sz w:val="20"/>
          <w:szCs w:val="20"/>
        </w:rPr>
        <w:tab/>
      </w:r>
      <w:r w:rsidRPr="007C174F">
        <w:rPr>
          <w:sz w:val="20"/>
          <w:szCs w:val="20"/>
        </w:rPr>
        <w:tab/>
        <w:t xml:space="preserve">Tel </w:t>
      </w:r>
      <w:r>
        <w:rPr>
          <w:sz w:val="20"/>
          <w:szCs w:val="20"/>
        </w:rPr>
        <w:t>+64 4 978 5630</w:t>
      </w:r>
    </w:p>
    <w:p w14:paraId="30616D42" w14:textId="77777777" w:rsidR="00413CA8" w:rsidRDefault="00413CA8" w:rsidP="00E203C2">
      <w:pPr>
        <w:spacing w:line="280" w:lineRule="exact"/>
        <w:jc w:val="center"/>
        <w:rPr>
          <w:rFonts w:cs="Arial"/>
          <w:bCs/>
          <w:sz w:val="28"/>
          <w:szCs w:val="28"/>
        </w:rPr>
        <w:sectPr w:rsidR="00413CA8" w:rsidSect="00EF4606">
          <w:headerReference w:type="default" r:id="rId20"/>
          <w:footerReference w:type="even" r:id="rId21"/>
          <w:footerReference w:type="default" r:id="rId22"/>
          <w:headerReference w:type="first" r:id="rId23"/>
          <w:pgSz w:w="11906" w:h="16838"/>
          <w:pgMar w:top="1418" w:right="1418" w:bottom="1418" w:left="1418" w:header="709" w:footer="709" w:gutter="0"/>
          <w:pgNumType w:fmt="lowerRoman" w:start="1"/>
          <w:cols w:space="708"/>
          <w:docGrid w:linePitch="360"/>
        </w:sectPr>
      </w:pPr>
    </w:p>
    <w:p w14:paraId="24A93EEA" w14:textId="77777777" w:rsidR="00562917" w:rsidRPr="00646FDD" w:rsidRDefault="00562917" w:rsidP="00E40ED4">
      <w:pPr>
        <w:jc w:val="center"/>
        <w:rPr>
          <w:sz w:val="28"/>
          <w:szCs w:val="28"/>
        </w:rPr>
      </w:pPr>
      <w:r w:rsidRPr="00646FDD">
        <w:rPr>
          <w:sz w:val="28"/>
          <w:szCs w:val="28"/>
        </w:rPr>
        <w:lastRenderedPageBreak/>
        <w:t xml:space="preserve">Table of </w:t>
      </w:r>
      <w:r w:rsidR="00456B54" w:rsidRPr="00646FDD">
        <w:rPr>
          <w:sz w:val="28"/>
          <w:szCs w:val="28"/>
        </w:rPr>
        <w:t>C</w:t>
      </w:r>
      <w:r w:rsidRPr="00646FDD">
        <w:rPr>
          <w:sz w:val="28"/>
          <w:szCs w:val="28"/>
        </w:rPr>
        <w:t>ontents</w:t>
      </w:r>
    </w:p>
    <w:p w14:paraId="0BDF6ADB" w14:textId="77777777" w:rsidR="00562917" w:rsidRPr="00FF6690" w:rsidRDefault="00562917" w:rsidP="00051ED9">
      <w:pPr>
        <w:rPr>
          <w:rFonts w:cs="Arial"/>
        </w:rPr>
      </w:pPr>
    </w:p>
    <w:p w14:paraId="58A8A368" w14:textId="77777777" w:rsidR="0074443A" w:rsidRPr="00FF6690" w:rsidRDefault="00051ED9">
      <w:pPr>
        <w:pStyle w:val="TOC1"/>
        <w:tabs>
          <w:tab w:val="right" w:leader="dot" w:pos="9060"/>
        </w:tabs>
        <w:rPr>
          <w:rFonts w:ascii="Arial" w:eastAsiaTheme="minorEastAsia" w:hAnsi="Arial" w:cs="Arial"/>
          <w:b w:val="0"/>
          <w:bCs w:val="0"/>
          <w:caps w:val="0"/>
          <w:noProof/>
          <w:sz w:val="22"/>
          <w:szCs w:val="22"/>
          <w:lang w:eastAsia="en-GB" w:bidi="ar-SA"/>
        </w:rPr>
      </w:pPr>
      <w:r w:rsidRPr="00FF6690">
        <w:rPr>
          <w:rFonts w:ascii="Arial" w:hAnsi="Arial" w:cs="Arial"/>
        </w:rPr>
        <w:fldChar w:fldCharType="begin"/>
      </w:r>
      <w:r w:rsidRPr="00FF6690">
        <w:rPr>
          <w:rFonts w:ascii="Arial" w:hAnsi="Arial" w:cs="Arial"/>
        </w:rPr>
        <w:instrText xml:space="preserve"> TOC \o "1-3" \h \z \u </w:instrText>
      </w:r>
      <w:r w:rsidRPr="00FF6690">
        <w:rPr>
          <w:rFonts w:ascii="Arial" w:hAnsi="Arial" w:cs="Arial"/>
        </w:rPr>
        <w:fldChar w:fldCharType="separate"/>
      </w:r>
      <w:hyperlink w:anchor="_Toc438728869" w:history="1">
        <w:r w:rsidR="0074443A" w:rsidRPr="00FF6690">
          <w:rPr>
            <w:rStyle w:val="Hyperlink"/>
            <w:rFonts w:cs="Arial"/>
            <w:noProof/>
          </w:rPr>
          <w:t>Executive summary</w:t>
        </w:r>
        <w:r w:rsidR="0074443A" w:rsidRPr="00FF6690">
          <w:rPr>
            <w:rFonts w:ascii="Arial" w:hAnsi="Arial" w:cs="Arial"/>
            <w:noProof/>
            <w:webHidden/>
          </w:rPr>
          <w:tab/>
        </w:r>
        <w:r w:rsidR="0074443A" w:rsidRPr="00FF6690">
          <w:rPr>
            <w:rFonts w:ascii="Arial" w:hAnsi="Arial" w:cs="Arial"/>
            <w:noProof/>
            <w:webHidden/>
          </w:rPr>
          <w:fldChar w:fldCharType="begin"/>
        </w:r>
        <w:r w:rsidR="0074443A" w:rsidRPr="00FF6690">
          <w:rPr>
            <w:rFonts w:ascii="Arial" w:hAnsi="Arial" w:cs="Arial"/>
            <w:noProof/>
            <w:webHidden/>
          </w:rPr>
          <w:instrText xml:space="preserve"> PAGEREF _Toc438728869 \h </w:instrText>
        </w:r>
        <w:r w:rsidR="0074443A" w:rsidRPr="00FF6690">
          <w:rPr>
            <w:rFonts w:ascii="Arial" w:hAnsi="Arial" w:cs="Arial"/>
            <w:noProof/>
            <w:webHidden/>
          </w:rPr>
        </w:r>
        <w:r w:rsidR="0074443A" w:rsidRPr="00FF6690">
          <w:rPr>
            <w:rFonts w:ascii="Arial" w:hAnsi="Arial" w:cs="Arial"/>
            <w:noProof/>
            <w:webHidden/>
          </w:rPr>
          <w:fldChar w:fldCharType="separate"/>
        </w:r>
        <w:r w:rsidR="0074443A" w:rsidRPr="00FF6690">
          <w:rPr>
            <w:rFonts w:ascii="Arial" w:hAnsi="Arial" w:cs="Arial"/>
            <w:noProof/>
            <w:webHidden/>
          </w:rPr>
          <w:t>2</w:t>
        </w:r>
        <w:r w:rsidR="0074443A" w:rsidRPr="00FF6690">
          <w:rPr>
            <w:rFonts w:ascii="Arial" w:hAnsi="Arial" w:cs="Arial"/>
            <w:noProof/>
            <w:webHidden/>
          </w:rPr>
          <w:fldChar w:fldCharType="end"/>
        </w:r>
      </w:hyperlink>
    </w:p>
    <w:p w14:paraId="5891C2A4" w14:textId="77777777" w:rsidR="0074443A" w:rsidRPr="00FF6690" w:rsidRDefault="00B57952">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38728870" w:history="1">
        <w:r w:rsidR="0074443A" w:rsidRPr="00FF6690">
          <w:rPr>
            <w:rStyle w:val="Hyperlink"/>
            <w:rFonts w:cs="Arial"/>
            <w:noProof/>
          </w:rPr>
          <w:t>1</w:t>
        </w:r>
        <w:r w:rsidR="0074443A" w:rsidRPr="00FF6690">
          <w:rPr>
            <w:rFonts w:ascii="Arial" w:eastAsiaTheme="minorEastAsia" w:hAnsi="Arial" w:cs="Arial"/>
            <w:b w:val="0"/>
            <w:bCs w:val="0"/>
            <w:caps w:val="0"/>
            <w:noProof/>
            <w:sz w:val="22"/>
            <w:szCs w:val="22"/>
            <w:lang w:eastAsia="en-GB" w:bidi="ar-SA"/>
          </w:rPr>
          <w:tab/>
        </w:r>
        <w:r w:rsidR="0074443A" w:rsidRPr="00FF6690">
          <w:rPr>
            <w:rStyle w:val="Hyperlink"/>
            <w:rFonts w:cs="Arial"/>
            <w:noProof/>
          </w:rPr>
          <w:t>Introduction</w:t>
        </w:r>
        <w:r w:rsidR="0074443A" w:rsidRPr="00FF6690">
          <w:rPr>
            <w:rFonts w:ascii="Arial" w:hAnsi="Arial" w:cs="Arial"/>
            <w:noProof/>
            <w:webHidden/>
          </w:rPr>
          <w:tab/>
        </w:r>
        <w:r w:rsidR="0074443A" w:rsidRPr="00FF6690">
          <w:rPr>
            <w:rFonts w:ascii="Arial" w:hAnsi="Arial" w:cs="Arial"/>
            <w:noProof/>
            <w:webHidden/>
          </w:rPr>
          <w:fldChar w:fldCharType="begin"/>
        </w:r>
        <w:r w:rsidR="0074443A" w:rsidRPr="00FF6690">
          <w:rPr>
            <w:rFonts w:ascii="Arial" w:hAnsi="Arial" w:cs="Arial"/>
            <w:noProof/>
            <w:webHidden/>
          </w:rPr>
          <w:instrText xml:space="preserve"> PAGEREF _Toc438728870 \h </w:instrText>
        </w:r>
        <w:r w:rsidR="0074443A" w:rsidRPr="00FF6690">
          <w:rPr>
            <w:rFonts w:ascii="Arial" w:hAnsi="Arial" w:cs="Arial"/>
            <w:noProof/>
            <w:webHidden/>
          </w:rPr>
        </w:r>
        <w:r w:rsidR="0074443A" w:rsidRPr="00FF6690">
          <w:rPr>
            <w:rFonts w:ascii="Arial" w:hAnsi="Arial" w:cs="Arial"/>
            <w:noProof/>
            <w:webHidden/>
          </w:rPr>
          <w:fldChar w:fldCharType="separate"/>
        </w:r>
        <w:r w:rsidR="0074443A" w:rsidRPr="00FF6690">
          <w:rPr>
            <w:rFonts w:ascii="Arial" w:hAnsi="Arial" w:cs="Arial"/>
            <w:noProof/>
            <w:webHidden/>
          </w:rPr>
          <w:t>3</w:t>
        </w:r>
        <w:r w:rsidR="0074443A" w:rsidRPr="00FF6690">
          <w:rPr>
            <w:rFonts w:ascii="Arial" w:hAnsi="Arial" w:cs="Arial"/>
            <w:noProof/>
            <w:webHidden/>
          </w:rPr>
          <w:fldChar w:fldCharType="end"/>
        </w:r>
      </w:hyperlink>
    </w:p>
    <w:p w14:paraId="6AE50310" w14:textId="77777777" w:rsidR="0074443A" w:rsidRPr="00FF6690" w:rsidRDefault="00B57952">
      <w:pPr>
        <w:pStyle w:val="TOC2"/>
        <w:tabs>
          <w:tab w:val="left" w:pos="880"/>
          <w:tab w:val="right" w:leader="dot" w:pos="9060"/>
        </w:tabs>
        <w:rPr>
          <w:rFonts w:ascii="Arial" w:eastAsiaTheme="minorEastAsia" w:hAnsi="Arial" w:cs="Arial"/>
          <w:smallCaps w:val="0"/>
          <w:noProof/>
          <w:sz w:val="22"/>
          <w:szCs w:val="22"/>
          <w:lang w:eastAsia="en-GB" w:bidi="ar-SA"/>
        </w:rPr>
      </w:pPr>
      <w:hyperlink w:anchor="_Toc438728871" w:history="1">
        <w:r w:rsidR="0074443A" w:rsidRPr="00FF6690">
          <w:rPr>
            <w:rStyle w:val="Hyperlink"/>
            <w:rFonts w:cs="Arial"/>
            <w:noProof/>
          </w:rPr>
          <w:t>1.1</w:t>
        </w:r>
        <w:r w:rsidR="0074443A" w:rsidRPr="00FF6690">
          <w:rPr>
            <w:rFonts w:ascii="Arial" w:eastAsiaTheme="minorEastAsia" w:hAnsi="Arial" w:cs="Arial"/>
            <w:smallCaps w:val="0"/>
            <w:noProof/>
            <w:sz w:val="22"/>
            <w:szCs w:val="22"/>
            <w:lang w:eastAsia="en-GB" w:bidi="ar-SA"/>
          </w:rPr>
          <w:tab/>
        </w:r>
        <w:r w:rsidR="0074443A" w:rsidRPr="00FF6690">
          <w:rPr>
            <w:rStyle w:val="Hyperlink"/>
            <w:rFonts w:cs="Arial"/>
            <w:noProof/>
          </w:rPr>
          <w:t>The Applicant</w:t>
        </w:r>
        <w:r w:rsidR="0074443A" w:rsidRPr="00FF6690">
          <w:rPr>
            <w:rFonts w:ascii="Arial" w:hAnsi="Arial" w:cs="Arial"/>
            <w:noProof/>
            <w:webHidden/>
          </w:rPr>
          <w:tab/>
        </w:r>
        <w:r w:rsidR="0074443A" w:rsidRPr="00FF6690">
          <w:rPr>
            <w:rFonts w:ascii="Arial" w:hAnsi="Arial" w:cs="Arial"/>
            <w:noProof/>
            <w:webHidden/>
          </w:rPr>
          <w:fldChar w:fldCharType="begin"/>
        </w:r>
        <w:r w:rsidR="0074443A" w:rsidRPr="00FF6690">
          <w:rPr>
            <w:rFonts w:ascii="Arial" w:hAnsi="Arial" w:cs="Arial"/>
            <w:noProof/>
            <w:webHidden/>
          </w:rPr>
          <w:instrText xml:space="preserve"> PAGEREF _Toc438728871 \h </w:instrText>
        </w:r>
        <w:r w:rsidR="0074443A" w:rsidRPr="00FF6690">
          <w:rPr>
            <w:rFonts w:ascii="Arial" w:hAnsi="Arial" w:cs="Arial"/>
            <w:noProof/>
            <w:webHidden/>
          </w:rPr>
        </w:r>
        <w:r w:rsidR="0074443A" w:rsidRPr="00FF6690">
          <w:rPr>
            <w:rFonts w:ascii="Arial" w:hAnsi="Arial" w:cs="Arial"/>
            <w:noProof/>
            <w:webHidden/>
          </w:rPr>
          <w:fldChar w:fldCharType="separate"/>
        </w:r>
        <w:r w:rsidR="0074443A" w:rsidRPr="00FF6690">
          <w:rPr>
            <w:rFonts w:ascii="Arial" w:hAnsi="Arial" w:cs="Arial"/>
            <w:noProof/>
            <w:webHidden/>
          </w:rPr>
          <w:t>3</w:t>
        </w:r>
        <w:r w:rsidR="0074443A" w:rsidRPr="00FF6690">
          <w:rPr>
            <w:rFonts w:ascii="Arial" w:hAnsi="Arial" w:cs="Arial"/>
            <w:noProof/>
            <w:webHidden/>
          </w:rPr>
          <w:fldChar w:fldCharType="end"/>
        </w:r>
      </w:hyperlink>
    </w:p>
    <w:p w14:paraId="6EB375D2" w14:textId="77777777" w:rsidR="0074443A" w:rsidRPr="00FF6690" w:rsidRDefault="00B57952">
      <w:pPr>
        <w:pStyle w:val="TOC2"/>
        <w:tabs>
          <w:tab w:val="left" w:pos="880"/>
          <w:tab w:val="right" w:leader="dot" w:pos="9060"/>
        </w:tabs>
        <w:rPr>
          <w:rFonts w:ascii="Arial" w:eastAsiaTheme="minorEastAsia" w:hAnsi="Arial" w:cs="Arial"/>
          <w:smallCaps w:val="0"/>
          <w:noProof/>
          <w:sz w:val="22"/>
          <w:szCs w:val="22"/>
          <w:lang w:eastAsia="en-GB" w:bidi="ar-SA"/>
        </w:rPr>
      </w:pPr>
      <w:hyperlink w:anchor="_Toc438728872" w:history="1">
        <w:r w:rsidR="0074443A" w:rsidRPr="00FF6690">
          <w:rPr>
            <w:rStyle w:val="Hyperlink"/>
            <w:rFonts w:cs="Arial"/>
            <w:noProof/>
          </w:rPr>
          <w:t>1.2</w:t>
        </w:r>
        <w:r w:rsidR="0074443A" w:rsidRPr="00FF6690">
          <w:rPr>
            <w:rFonts w:ascii="Arial" w:eastAsiaTheme="minorEastAsia" w:hAnsi="Arial" w:cs="Arial"/>
            <w:smallCaps w:val="0"/>
            <w:noProof/>
            <w:sz w:val="22"/>
            <w:szCs w:val="22"/>
            <w:lang w:eastAsia="en-GB" w:bidi="ar-SA"/>
          </w:rPr>
          <w:tab/>
        </w:r>
        <w:r w:rsidR="0074443A" w:rsidRPr="00FF6690">
          <w:rPr>
            <w:rStyle w:val="Hyperlink"/>
            <w:rFonts w:cs="Arial"/>
            <w:noProof/>
          </w:rPr>
          <w:t>The Application</w:t>
        </w:r>
        <w:r w:rsidR="0074443A" w:rsidRPr="00FF6690">
          <w:rPr>
            <w:rFonts w:ascii="Arial" w:hAnsi="Arial" w:cs="Arial"/>
            <w:noProof/>
            <w:webHidden/>
          </w:rPr>
          <w:tab/>
        </w:r>
        <w:r w:rsidR="0074443A" w:rsidRPr="00FF6690">
          <w:rPr>
            <w:rFonts w:ascii="Arial" w:hAnsi="Arial" w:cs="Arial"/>
            <w:noProof/>
            <w:webHidden/>
          </w:rPr>
          <w:fldChar w:fldCharType="begin"/>
        </w:r>
        <w:r w:rsidR="0074443A" w:rsidRPr="00FF6690">
          <w:rPr>
            <w:rFonts w:ascii="Arial" w:hAnsi="Arial" w:cs="Arial"/>
            <w:noProof/>
            <w:webHidden/>
          </w:rPr>
          <w:instrText xml:space="preserve"> PAGEREF _Toc438728872 \h </w:instrText>
        </w:r>
        <w:r w:rsidR="0074443A" w:rsidRPr="00FF6690">
          <w:rPr>
            <w:rFonts w:ascii="Arial" w:hAnsi="Arial" w:cs="Arial"/>
            <w:noProof/>
            <w:webHidden/>
          </w:rPr>
        </w:r>
        <w:r w:rsidR="0074443A" w:rsidRPr="00FF6690">
          <w:rPr>
            <w:rFonts w:ascii="Arial" w:hAnsi="Arial" w:cs="Arial"/>
            <w:noProof/>
            <w:webHidden/>
          </w:rPr>
          <w:fldChar w:fldCharType="separate"/>
        </w:r>
        <w:r w:rsidR="0074443A" w:rsidRPr="00FF6690">
          <w:rPr>
            <w:rFonts w:ascii="Arial" w:hAnsi="Arial" w:cs="Arial"/>
            <w:noProof/>
            <w:webHidden/>
          </w:rPr>
          <w:t>3</w:t>
        </w:r>
        <w:r w:rsidR="0074443A" w:rsidRPr="00FF6690">
          <w:rPr>
            <w:rFonts w:ascii="Arial" w:hAnsi="Arial" w:cs="Arial"/>
            <w:noProof/>
            <w:webHidden/>
          </w:rPr>
          <w:fldChar w:fldCharType="end"/>
        </w:r>
      </w:hyperlink>
    </w:p>
    <w:p w14:paraId="75BBE09D" w14:textId="77777777" w:rsidR="0074443A" w:rsidRPr="00FF6690" w:rsidRDefault="00B57952">
      <w:pPr>
        <w:pStyle w:val="TOC2"/>
        <w:tabs>
          <w:tab w:val="left" w:pos="880"/>
          <w:tab w:val="right" w:leader="dot" w:pos="9060"/>
        </w:tabs>
        <w:rPr>
          <w:rFonts w:ascii="Arial" w:eastAsiaTheme="minorEastAsia" w:hAnsi="Arial" w:cs="Arial"/>
          <w:smallCaps w:val="0"/>
          <w:noProof/>
          <w:sz w:val="22"/>
          <w:szCs w:val="22"/>
          <w:lang w:eastAsia="en-GB" w:bidi="ar-SA"/>
        </w:rPr>
      </w:pPr>
      <w:hyperlink w:anchor="_Toc438728873" w:history="1">
        <w:r w:rsidR="0074443A" w:rsidRPr="00FF6690">
          <w:rPr>
            <w:rStyle w:val="Hyperlink"/>
            <w:rFonts w:cs="Arial"/>
            <w:noProof/>
          </w:rPr>
          <w:t>1.3</w:t>
        </w:r>
        <w:r w:rsidR="0074443A" w:rsidRPr="00FF6690">
          <w:rPr>
            <w:rFonts w:ascii="Arial" w:eastAsiaTheme="minorEastAsia" w:hAnsi="Arial" w:cs="Arial"/>
            <w:smallCaps w:val="0"/>
            <w:noProof/>
            <w:sz w:val="22"/>
            <w:szCs w:val="22"/>
            <w:lang w:eastAsia="en-GB" w:bidi="ar-SA"/>
          </w:rPr>
          <w:tab/>
        </w:r>
        <w:r w:rsidR="0074443A" w:rsidRPr="00FF6690">
          <w:rPr>
            <w:rStyle w:val="Hyperlink"/>
            <w:rFonts w:cs="Arial"/>
            <w:noProof/>
          </w:rPr>
          <w:t>The current Standard</w:t>
        </w:r>
        <w:r w:rsidR="0074443A" w:rsidRPr="00FF6690">
          <w:rPr>
            <w:rFonts w:ascii="Arial" w:hAnsi="Arial" w:cs="Arial"/>
            <w:noProof/>
            <w:webHidden/>
          </w:rPr>
          <w:tab/>
        </w:r>
        <w:r w:rsidR="0074443A" w:rsidRPr="00FF6690">
          <w:rPr>
            <w:rFonts w:ascii="Arial" w:hAnsi="Arial" w:cs="Arial"/>
            <w:noProof/>
            <w:webHidden/>
          </w:rPr>
          <w:fldChar w:fldCharType="begin"/>
        </w:r>
        <w:r w:rsidR="0074443A" w:rsidRPr="00FF6690">
          <w:rPr>
            <w:rFonts w:ascii="Arial" w:hAnsi="Arial" w:cs="Arial"/>
            <w:noProof/>
            <w:webHidden/>
          </w:rPr>
          <w:instrText xml:space="preserve"> PAGEREF _Toc438728873 \h </w:instrText>
        </w:r>
        <w:r w:rsidR="0074443A" w:rsidRPr="00FF6690">
          <w:rPr>
            <w:rFonts w:ascii="Arial" w:hAnsi="Arial" w:cs="Arial"/>
            <w:noProof/>
            <w:webHidden/>
          </w:rPr>
        </w:r>
        <w:r w:rsidR="0074443A" w:rsidRPr="00FF6690">
          <w:rPr>
            <w:rFonts w:ascii="Arial" w:hAnsi="Arial" w:cs="Arial"/>
            <w:noProof/>
            <w:webHidden/>
          </w:rPr>
          <w:fldChar w:fldCharType="separate"/>
        </w:r>
        <w:r w:rsidR="0074443A" w:rsidRPr="00FF6690">
          <w:rPr>
            <w:rFonts w:ascii="Arial" w:hAnsi="Arial" w:cs="Arial"/>
            <w:noProof/>
            <w:webHidden/>
          </w:rPr>
          <w:t>3</w:t>
        </w:r>
        <w:r w:rsidR="0074443A" w:rsidRPr="00FF6690">
          <w:rPr>
            <w:rFonts w:ascii="Arial" w:hAnsi="Arial" w:cs="Arial"/>
            <w:noProof/>
            <w:webHidden/>
          </w:rPr>
          <w:fldChar w:fldCharType="end"/>
        </w:r>
      </w:hyperlink>
    </w:p>
    <w:p w14:paraId="43A4D375" w14:textId="77777777" w:rsidR="0074443A" w:rsidRPr="00FF6690" w:rsidRDefault="00B57952">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38728874" w:history="1">
        <w:r w:rsidR="0074443A" w:rsidRPr="00FF6690">
          <w:rPr>
            <w:rStyle w:val="Hyperlink"/>
            <w:rFonts w:cs="Arial"/>
            <w:noProof/>
          </w:rPr>
          <w:t>1.3.1</w:t>
        </w:r>
        <w:r w:rsidR="0074443A" w:rsidRPr="00FF6690">
          <w:rPr>
            <w:rFonts w:ascii="Arial" w:eastAsiaTheme="minorEastAsia" w:hAnsi="Arial" w:cs="Arial"/>
            <w:i w:val="0"/>
            <w:iCs w:val="0"/>
            <w:noProof/>
            <w:sz w:val="22"/>
            <w:szCs w:val="22"/>
            <w:lang w:eastAsia="en-GB" w:bidi="ar-SA"/>
          </w:rPr>
          <w:tab/>
        </w:r>
        <w:r w:rsidR="0074443A" w:rsidRPr="00FF6690">
          <w:rPr>
            <w:rStyle w:val="Hyperlink"/>
            <w:rFonts w:cs="Arial"/>
            <w:noProof/>
          </w:rPr>
          <w:t>International Standards</w:t>
        </w:r>
        <w:r w:rsidR="0074443A" w:rsidRPr="00FF6690">
          <w:rPr>
            <w:rFonts w:ascii="Arial" w:hAnsi="Arial" w:cs="Arial"/>
            <w:noProof/>
            <w:webHidden/>
          </w:rPr>
          <w:tab/>
        </w:r>
        <w:r w:rsidR="0074443A" w:rsidRPr="00FF6690">
          <w:rPr>
            <w:rFonts w:ascii="Arial" w:hAnsi="Arial" w:cs="Arial"/>
            <w:noProof/>
            <w:webHidden/>
          </w:rPr>
          <w:fldChar w:fldCharType="begin"/>
        </w:r>
        <w:r w:rsidR="0074443A" w:rsidRPr="00FF6690">
          <w:rPr>
            <w:rFonts w:ascii="Arial" w:hAnsi="Arial" w:cs="Arial"/>
            <w:noProof/>
            <w:webHidden/>
          </w:rPr>
          <w:instrText xml:space="preserve"> PAGEREF _Toc438728874 \h </w:instrText>
        </w:r>
        <w:r w:rsidR="0074443A" w:rsidRPr="00FF6690">
          <w:rPr>
            <w:rFonts w:ascii="Arial" w:hAnsi="Arial" w:cs="Arial"/>
            <w:noProof/>
            <w:webHidden/>
          </w:rPr>
        </w:r>
        <w:r w:rsidR="0074443A" w:rsidRPr="00FF6690">
          <w:rPr>
            <w:rFonts w:ascii="Arial" w:hAnsi="Arial" w:cs="Arial"/>
            <w:noProof/>
            <w:webHidden/>
          </w:rPr>
          <w:fldChar w:fldCharType="separate"/>
        </w:r>
        <w:r w:rsidR="0074443A" w:rsidRPr="00FF6690">
          <w:rPr>
            <w:rFonts w:ascii="Arial" w:hAnsi="Arial" w:cs="Arial"/>
            <w:noProof/>
            <w:webHidden/>
          </w:rPr>
          <w:t>4</w:t>
        </w:r>
        <w:r w:rsidR="0074443A" w:rsidRPr="00FF6690">
          <w:rPr>
            <w:rFonts w:ascii="Arial" w:hAnsi="Arial" w:cs="Arial"/>
            <w:noProof/>
            <w:webHidden/>
          </w:rPr>
          <w:fldChar w:fldCharType="end"/>
        </w:r>
      </w:hyperlink>
    </w:p>
    <w:p w14:paraId="2551030D" w14:textId="77777777" w:rsidR="0074443A" w:rsidRPr="00FF6690" w:rsidRDefault="00B57952">
      <w:pPr>
        <w:pStyle w:val="TOC2"/>
        <w:tabs>
          <w:tab w:val="left" w:pos="880"/>
          <w:tab w:val="right" w:leader="dot" w:pos="9060"/>
        </w:tabs>
        <w:rPr>
          <w:rFonts w:ascii="Arial" w:eastAsiaTheme="minorEastAsia" w:hAnsi="Arial" w:cs="Arial"/>
          <w:smallCaps w:val="0"/>
          <w:noProof/>
          <w:sz w:val="22"/>
          <w:szCs w:val="22"/>
          <w:lang w:eastAsia="en-GB" w:bidi="ar-SA"/>
        </w:rPr>
      </w:pPr>
      <w:hyperlink w:anchor="_Toc438728875" w:history="1">
        <w:r w:rsidR="0074443A" w:rsidRPr="00FF6690">
          <w:rPr>
            <w:rStyle w:val="Hyperlink"/>
            <w:rFonts w:cs="Arial"/>
            <w:noProof/>
            <w:u w:color="FFFF00"/>
          </w:rPr>
          <w:t>1.4</w:t>
        </w:r>
        <w:r w:rsidR="0074443A" w:rsidRPr="00FF6690">
          <w:rPr>
            <w:rFonts w:ascii="Arial" w:eastAsiaTheme="minorEastAsia" w:hAnsi="Arial" w:cs="Arial"/>
            <w:smallCaps w:val="0"/>
            <w:noProof/>
            <w:sz w:val="22"/>
            <w:szCs w:val="22"/>
            <w:lang w:eastAsia="en-GB" w:bidi="ar-SA"/>
          </w:rPr>
          <w:tab/>
        </w:r>
        <w:r w:rsidR="0074443A" w:rsidRPr="00FF6690">
          <w:rPr>
            <w:rStyle w:val="Hyperlink"/>
            <w:rFonts w:cs="Arial"/>
            <w:noProof/>
            <w:u w:color="FFFF00"/>
          </w:rPr>
          <w:t>Reasons for accepting Application</w:t>
        </w:r>
        <w:r w:rsidR="0074443A" w:rsidRPr="00FF6690">
          <w:rPr>
            <w:rFonts w:ascii="Arial" w:hAnsi="Arial" w:cs="Arial"/>
            <w:noProof/>
            <w:webHidden/>
          </w:rPr>
          <w:tab/>
        </w:r>
        <w:r w:rsidR="0074443A" w:rsidRPr="00FF6690">
          <w:rPr>
            <w:rFonts w:ascii="Arial" w:hAnsi="Arial" w:cs="Arial"/>
            <w:noProof/>
            <w:webHidden/>
          </w:rPr>
          <w:fldChar w:fldCharType="begin"/>
        </w:r>
        <w:r w:rsidR="0074443A" w:rsidRPr="00FF6690">
          <w:rPr>
            <w:rFonts w:ascii="Arial" w:hAnsi="Arial" w:cs="Arial"/>
            <w:noProof/>
            <w:webHidden/>
          </w:rPr>
          <w:instrText xml:space="preserve"> PAGEREF _Toc438728875 \h </w:instrText>
        </w:r>
        <w:r w:rsidR="0074443A" w:rsidRPr="00FF6690">
          <w:rPr>
            <w:rFonts w:ascii="Arial" w:hAnsi="Arial" w:cs="Arial"/>
            <w:noProof/>
            <w:webHidden/>
          </w:rPr>
        </w:r>
        <w:r w:rsidR="0074443A" w:rsidRPr="00FF6690">
          <w:rPr>
            <w:rFonts w:ascii="Arial" w:hAnsi="Arial" w:cs="Arial"/>
            <w:noProof/>
            <w:webHidden/>
          </w:rPr>
          <w:fldChar w:fldCharType="separate"/>
        </w:r>
        <w:r w:rsidR="0074443A" w:rsidRPr="00FF6690">
          <w:rPr>
            <w:rFonts w:ascii="Arial" w:hAnsi="Arial" w:cs="Arial"/>
            <w:noProof/>
            <w:webHidden/>
          </w:rPr>
          <w:t>4</w:t>
        </w:r>
        <w:r w:rsidR="0074443A" w:rsidRPr="00FF6690">
          <w:rPr>
            <w:rFonts w:ascii="Arial" w:hAnsi="Arial" w:cs="Arial"/>
            <w:noProof/>
            <w:webHidden/>
          </w:rPr>
          <w:fldChar w:fldCharType="end"/>
        </w:r>
      </w:hyperlink>
    </w:p>
    <w:p w14:paraId="2FEED181" w14:textId="77777777" w:rsidR="0074443A" w:rsidRPr="00FF6690" w:rsidRDefault="00B57952">
      <w:pPr>
        <w:pStyle w:val="TOC2"/>
        <w:tabs>
          <w:tab w:val="left" w:pos="880"/>
          <w:tab w:val="right" w:leader="dot" w:pos="9060"/>
        </w:tabs>
        <w:rPr>
          <w:rFonts w:ascii="Arial" w:eastAsiaTheme="minorEastAsia" w:hAnsi="Arial" w:cs="Arial"/>
          <w:smallCaps w:val="0"/>
          <w:noProof/>
          <w:sz w:val="22"/>
          <w:szCs w:val="22"/>
          <w:lang w:eastAsia="en-GB" w:bidi="ar-SA"/>
        </w:rPr>
      </w:pPr>
      <w:hyperlink w:anchor="_Toc438728876" w:history="1">
        <w:r w:rsidR="0074443A" w:rsidRPr="00FF6690">
          <w:rPr>
            <w:rStyle w:val="Hyperlink"/>
            <w:rFonts w:cs="Arial"/>
            <w:noProof/>
          </w:rPr>
          <w:t>1.5</w:t>
        </w:r>
        <w:r w:rsidR="0074443A" w:rsidRPr="00FF6690">
          <w:rPr>
            <w:rFonts w:ascii="Arial" w:eastAsiaTheme="minorEastAsia" w:hAnsi="Arial" w:cs="Arial"/>
            <w:smallCaps w:val="0"/>
            <w:noProof/>
            <w:sz w:val="22"/>
            <w:szCs w:val="22"/>
            <w:lang w:eastAsia="en-GB" w:bidi="ar-SA"/>
          </w:rPr>
          <w:tab/>
        </w:r>
        <w:r w:rsidR="0074443A" w:rsidRPr="00FF6690">
          <w:rPr>
            <w:rStyle w:val="Hyperlink"/>
            <w:rFonts w:cs="Arial"/>
            <w:noProof/>
          </w:rPr>
          <w:t>Procedure for assessment</w:t>
        </w:r>
        <w:r w:rsidR="0074443A" w:rsidRPr="00FF6690">
          <w:rPr>
            <w:rFonts w:ascii="Arial" w:hAnsi="Arial" w:cs="Arial"/>
            <w:noProof/>
            <w:webHidden/>
          </w:rPr>
          <w:tab/>
        </w:r>
        <w:r w:rsidR="0074443A" w:rsidRPr="00FF6690">
          <w:rPr>
            <w:rFonts w:ascii="Arial" w:hAnsi="Arial" w:cs="Arial"/>
            <w:noProof/>
            <w:webHidden/>
          </w:rPr>
          <w:fldChar w:fldCharType="begin"/>
        </w:r>
        <w:r w:rsidR="0074443A" w:rsidRPr="00FF6690">
          <w:rPr>
            <w:rFonts w:ascii="Arial" w:hAnsi="Arial" w:cs="Arial"/>
            <w:noProof/>
            <w:webHidden/>
          </w:rPr>
          <w:instrText xml:space="preserve"> PAGEREF _Toc438728876 \h </w:instrText>
        </w:r>
        <w:r w:rsidR="0074443A" w:rsidRPr="00FF6690">
          <w:rPr>
            <w:rFonts w:ascii="Arial" w:hAnsi="Arial" w:cs="Arial"/>
            <w:noProof/>
            <w:webHidden/>
          </w:rPr>
        </w:r>
        <w:r w:rsidR="0074443A" w:rsidRPr="00FF6690">
          <w:rPr>
            <w:rFonts w:ascii="Arial" w:hAnsi="Arial" w:cs="Arial"/>
            <w:noProof/>
            <w:webHidden/>
          </w:rPr>
          <w:fldChar w:fldCharType="separate"/>
        </w:r>
        <w:r w:rsidR="0074443A" w:rsidRPr="00FF6690">
          <w:rPr>
            <w:rFonts w:ascii="Arial" w:hAnsi="Arial" w:cs="Arial"/>
            <w:noProof/>
            <w:webHidden/>
          </w:rPr>
          <w:t>4</w:t>
        </w:r>
        <w:r w:rsidR="0074443A" w:rsidRPr="00FF6690">
          <w:rPr>
            <w:rFonts w:ascii="Arial" w:hAnsi="Arial" w:cs="Arial"/>
            <w:noProof/>
            <w:webHidden/>
          </w:rPr>
          <w:fldChar w:fldCharType="end"/>
        </w:r>
      </w:hyperlink>
    </w:p>
    <w:p w14:paraId="77E81C26" w14:textId="77777777" w:rsidR="0074443A" w:rsidRPr="00FF6690" w:rsidRDefault="00B57952">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38728877" w:history="1">
        <w:r w:rsidR="0074443A" w:rsidRPr="00FF6690">
          <w:rPr>
            <w:rStyle w:val="Hyperlink"/>
            <w:rFonts w:cs="Arial"/>
            <w:noProof/>
          </w:rPr>
          <w:t>2</w:t>
        </w:r>
        <w:r w:rsidR="0074443A" w:rsidRPr="00FF6690">
          <w:rPr>
            <w:rFonts w:ascii="Arial" w:eastAsiaTheme="minorEastAsia" w:hAnsi="Arial" w:cs="Arial"/>
            <w:b w:val="0"/>
            <w:bCs w:val="0"/>
            <w:caps w:val="0"/>
            <w:noProof/>
            <w:sz w:val="22"/>
            <w:szCs w:val="22"/>
            <w:lang w:eastAsia="en-GB" w:bidi="ar-SA"/>
          </w:rPr>
          <w:tab/>
        </w:r>
        <w:r w:rsidR="0074443A" w:rsidRPr="00FF6690">
          <w:rPr>
            <w:rStyle w:val="Hyperlink"/>
            <w:rFonts w:cs="Arial"/>
            <w:noProof/>
          </w:rPr>
          <w:t>Summary of the assessment</w:t>
        </w:r>
        <w:r w:rsidR="0074443A" w:rsidRPr="00FF6690">
          <w:rPr>
            <w:rFonts w:ascii="Arial" w:hAnsi="Arial" w:cs="Arial"/>
            <w:noProof/>
            <w:webHidden/>
          </w:rPr>
          <w:tab/>
        </w:r>
        <w:r w:rsidR="0074443A" w:rsidRPr="00FF6690">
          <w:rPr>
            <w:rFonts w:ascii="Arial" w:hAnsi="Arial" w:cs="Arial"/>
            <w:noProof/>
            <w:webHidden/>
          </w:rPr>
          <w:fldChar w:fldCharType="begin"/>
        </w:r>
        <w:r w:rsidR="0074443A" w:rsidRPr="00FF6690">
          <w:rPr>
            <w:rFonts w:ascii="Arial" w:hAnsi="Arial" w:cs="Arial"/>
            <w:noProof/>
            <w:webHidden/>
          </w:rPr>
          <w:instrText xml:space="preserve"> PAGEREF _Toc438728877 \h </w:instrText>
        </w:r>
        <w:r w:rsidR="0074443A" w:rsidRPr="00FF6690">
          <w:rPr>
            <w:rFonts w:ascii="Arial" w:hAnsi="Arial" w:cs="Arial"/>
            <w:noProof/>
            <w:webHidden/>
          </w:rPr>
        </w:r>
        <w:r w:rsidR="0074443A" w:rsidRPr="00FF6690">
          <w:rPr>
            <w:rFonts w:ascii="Arial" w:hAnsi="Arial" w:cs="Arial"/>
            <w:noProof/>
            <w:webHidden/>
          </w:rPr>
          <w:fldChar w:fldCharType="separate"/>
        </w:r>
        <w:r w:rsidR="0074443A" w:rsidRPr="00FF6690">
          <w:rPr>
            <w:rFonts w:ascii="Arial" w:hAnsi="Arial" w:cs="Arial"/>
            <w:noProof/>
            <w:webHidden/>
          </w:rPr>
          <w:t>4</w:t>
        </w:r>
        <w:r w:rsidR="0074443A" w:rsidRPr="00FF6690">
          <w:rPr>
            <w:rFonts w:ascii="Arial" w:hAnsi="Arial" w:cs="Arial"/>
            <w:noProof/>
            <w:webHidden/>
          </w:rPr>
          <w:fldChar w:fldCharType="end"/>
        </w:r>
      </w:hyperlink>
    </w:p>
    <w:p w14:paraId="1E8CD94A" w14:textId="77777777" w:rsidR="0074443A" w:rsidRPr="00FF6690" w:rsidRDefault="00B57952">
      <w:pPr>
        <w:pStyle w:val="TOC2"/>
        <w:tabs>
          <w:tab w:val="left" w:pos="880"/>
          <w:tab w:val="right" w:leader="dot" w:pos="9060"/>
        </w:tabs>
        <w:rPr>
          <w:rFonts w:ascii="Arial" w:eastAsiaTheme="minorEastAsia" w:hAnsi="Arial" w:cs="Arial"/>
          <w:smallCaps w:val="0"/>
          <w:noProof/>
          <w:sz w:val="22"/>
          <w:szCs w:val="22"/>
          <w:lang w:eastAsia="en-GB" w:bidi="ar-SA"/>
        </w:rPr>
      </w:pPr>
      <w:hyperlink w:anchor="_Toc438728878" w:history="1">
        <w:r w:rsidR="0074443A" w:rsidRPr="00FF6690">
          <w:rPr>
            <w:rStyle w:val="Hyperlink"/>
            <w:rFonts w:cs="Arial"/>
            <w:noProof/>
          </w:rPr>
          <w:t>2.1</w:t>
        </w:r>
        <w:r w:rsidR="0074443A" w:rsidRPr="00FF6690">
          <w:rPr>
            <w:rFonts w:ascii="Arial" w:eastAsiaTheme="minorEastAsia" w:hAnsi="Arial" w:cs="Arial"/>
            <w:smallCaps w:val="0"/>
            <w:noProof/>
            <w:sz w:val="22"/>
            <w:szCs w:val="22"/>
            <w:lang w:eastAsia="en-GB" w:bidi="ar-SA"/>
          </w:rPr>
          <w:tab/>
        </w:r>
        <w:r w:rsidR="0074443A" w:rsidRPr="00FF6690">
          <w:rPr>
            <w:rStyle w:val="Hyperlink"/>
            <w:rFonts w:cs="Arial"/>
            <w:noProof/>
          </w:rPr>
          <w:t>Risk assessment</w:t>
        </w:r>
        <w:r w:rsidR="0074443A" w:rsidRPr="00FF6690">
          <w:rPr>
            <w:rFonts w:ascii="Arial" w:hAnsi="Arial" w:cs="Arial"/>
            <w:noProof/>
            <w:webHidden/>
          </w:rPr>
          <w:tab/>
        </w:r>
        <w:r w:rsidR="0074443A" w:rsidRPr="00FF6690">
          <w:rPr>
            <w:rFonts w:ascii="Arial" w:hAnsi="Arial" w:cs="Arial"/>
            <w:noProof/>
            <w:webHidden/>
          </w:rPr>
          <w:fldChar w:fldCharType="begin"/>
        </w:r>
        <w:r w:rsidR="0074443A" w:rsidRPr="00FF6690">
          <w:rPr>
            <w:rFonts w:ascii="Arial" w:hAnsi="Arial" w:cs="Arial"/>
            <w:noProof/>
            <w:webHidden/>
          </w:rPr>
          <w:instrText xml:space="preserve"> PAGEREF _Toc438728878 \h </w:instrText>
        </w:r>
        <w:r w:rsidR="0074443A" w:rsidRPr="00FF6690">
          <w:rPr>
            <w:rFonts w:ascii="Arial" w:hAnsi="Arial" w:cs="Arial"/>
            <w:noProof/>
            <w:webHidden/>
          </w:rPr>
        </w:r>
        <w:r w:rsidR="0074443A" w:rsidRPr="00FF6690">
          <w:rPr>
            <w:rFonts w:ascii="Arial" w:hAnsi="Arial" w:cs="Arial"/>
            <w:noProof/>
            <w:webHidden/>
          </w:rPr>
          <w:fldChar w:fldCharType="separate"/>
        </w:r>
        <w:r w:rsidR="0074443A" w:rsidRPr="00FF6690">
          <w:rPr>
            <w:rFonts w:ascii="Arial" w:hAnsi="Arial" w:cs="Arial"/>
            <w:noProof/>
            <w:webHidden/>
          </w:rPr>
          <w:t>4</w:t>
        </w:r>
        <w:r w:rsidR="0074443A" w:rsidRPr="00FF6690">
          <w:rPr>
            <w:rFonts w:ascii="Arial" w:hAnsi="Arial" w:cs="Arial"/>
            <w:noProof/>
            <w:webHidden/>
          </w:rPr>
          <w:fldChar w:fldCharType="end"/>
        </w:r>
      </w:hyperlink>
    </w:p>
    <w:p w14:paraId="1C78AC8C" w14:textId="77777777" w:rsidR="0074443A" w:rsidRPr="00FF6690" w:rsidRDefault="00B57952">
      <w:pPr>
        <w:pStyle w:val="TOC2"/>
        <w:tabs>
          <w:tab w:val="left" w:pos="880"/>
          <w:tab w:val="right" w:leader="dot" w:pos="9060"/>
        </w:tabs>
        <w:rPr>
          <w:rFonts w:ascii="Arial" w:eastAsiaTheme="minorEastAsia" w:hAnsi="Arial" w:cs="Arial"/>
          <w:smallCaps w:val="0"/>
          <w:noProof/>
          <w:sz w:val="22"/>
          <w:szCs w:val="22"/>
          <w:lang w:eastAsia="en-GB" w:bidi="ar-SA"/>
        </w:rPr>
      </w:pPr>
      <w:hyperlink w:anchor="_Toc438728879" w:history="1">
        <w:r w:rsidR="0074443A" w:rsidRPr="00FF6690">
          <w:rPr>
            <w:rStyle w:val="Hyperlink"/>
            <w:rFonts w:cs="Arial"/>
            <w:noProof/>
          </w:rPr>
          <w:t>2.2</w:t>
        </w:r>
        <w:r w:rsidR="0074443A" w:rsidRPr="00FF6690">
          <w:rPr>
            <w:rFonts w:ascii="Arial" w:eastAsiaTheme="minorEastAsia" w:hAnsi="Arial" w:cs="Arial"/>
            <w:smallCaps w:val="0"/>
            <w:noProof/>
            <w:sz w:val="22"/>
            <w:szCs w:val="22"/>
            <w:lang w:eastAsia="en-GB" w:bidi="ar-SA"/>
          </w:rPr>
          <w:tab/>
        </w:r>
        <w:r w:rsidR="0074443A" w:rsidRPr="00FF6690">
          <w:rPr>
            <w:rStyle w:val="Hyperlink"/>
            <w:rFonts w:cs="Arial"/>
            <w:noProof/>
          </w:rPr>
          <w:t>Risk management</w:t>
        </w:r>
        <w:r w:rsidR="0074443A" w:rsidRPr="00FF6690">
          <w:rPr>
            <w:rFonts w:ascii="Arial" w:hAnsi="Arial" w:cs="Arial"/>
            <w:noProof/>
            <w:webHidden/>
          </w:rPr>
          <w:tab/>
        </w:r>
        <w:r w:rsidR="0074443A" w:rsidRPr="00FF6690">
          <w:rPr>
            <w:rFonts w:ascii="Arial" w:hAnsi="Arial" w:cs="Arial"/>
            <w:noProof/>
            <w:webHidden/>
          </w:rPr>
          <w:fldChar w:fldCharType="begin"/>
        </w:r>
        <w:r w:rsidR="0074443A" w:rsidRPr="00FF6690">
          <w:rPr>
            <w:rFonts w:ascii="Arial" w:hAnsi="Arial" w:cs="Arial"/>
            <w:noProof/>
            <w:webHidden/>
          </w:rPr>
          <w:instrText xml:space="preserve"> PAGEREF _Toc438728879 \h </w:instrText>
        </w:r>
        <w:r w:rsidR="0074443A" w:rsidRPr="00FF6690">
          <w:rPr>
            <w:rFonts w:ascii="Arial" w:hAnsi="Arial" w:cs="Arial"/>
            <w:noProof/>
            <w:webHidden/>
          </w:rPr>
        </w:r>
        <w:r w:rsidR="0074443A" w:rsidRPr="00FF6690">
          <w:rPr>
            <w:rFonts w:ascii="Arial" w:hAnsi="Arial" w:cs="Arial"/>
            <w:noProof/>
            <w:webHidden/>
          </w:rPr>
          <w:fldChar w:fldCharType="separate"/>
        </w:r>
        <w:r w:rsidR="0074443A" w:rsidRPr="00FF6690">
          <w:rPr>
            <w:rFonts w:ascii="Arial" w:hAnsi="Arial" w:cs="Arial"/>
            <w:noProof/>
            <w:webHidden/>
          </w:rPr>
          <w:t>5</w:t>
        </w:r>
        <w:r w:rsidR="0074443A" w:rsidRPr="00FF6690">
          <w:rPr>
            <w:rFonts w:ascii="Arial" w:hAnsi="Arial" w:cs="Arial"/>
            <w:noProof/>
            <w:webHidden/>
          </w:rPr>
          <w:fldChar w:fldCharType="end"/>
        </w:r>
      </w:hyperlink>
    </w:p>
    <w:p w14:paraId="5C804755" w14:textId="77777777" w:rsidR="0074443A" w:rsidRPr="00FF6690" w:rsidRDefault="00B57952">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38728880" w:history="1">
        <w:r w:rsidR="0074443A" w:rsidRPr="00FF6690">
          <w:rPr>
            <w:rStyle w:val="Hyperlink"/>
            <w:rFonts w:cs="Arial"/>
            <w:noProof/>
          </w:rPr>
          <w:t>2.2.1</w:t>
        </w:r>
        <w:r w:rsidR="0074443A" w:rsidRPr="00FF6690">
          <w:rPr>
            <w:rFonts w:ascii="Arial" w:eastAsiaTheme="minorEastAsia" w:hAnsi="Arial" w:cs="Arial"/>
            <w:i w:val="0"/>
            <w:iCs w:val="0"/>
            <w:noProof/>
            <w:sz w:val="22"/>
            <w:szCs w:val="22"/>
            <w:lang w:eastAsia="en-GB" w:bidi="ar-SA"/>
          </w:rPr>
          <w:tab/>
        </w:r>
        <w:r w:rsidR="0074443A" w:rsidRPr="00FF6690">
          <w:rPr>
            <w:rStyle w:val="Hyperlink"/>
            <w:rFonts w:cs="Arial"/>
            <w:noProof/>
          </w:rPr>
          <w:t>Enzyme nomenclature</w:t>
        </w:r>
        <w:r w:rsidR="0074443A" w:rsidRPr="00FF6690">
          <w:rPr>
            <w:rFonts w:ascii="Arial" w:hAnsi="Arial" w:cs="Arial"/>
            <w:noProof/>
            <w:webHidden/>
          </w:rPr>
          <w:tab/>
        </w:r>
        <w:r w:rsidR="0074443A" w:rsidRPr="00FF6690">
          <w:rPr>
            <w:rFonts w:ascii="Arial" w:hAnsi="Arial" w:cs="Arial"/>
            <w:noProof/>
            <w:webHidden/>
          </w:rPr>
          <w:fldChar w:fldCharType="begin"/>
        </w:r>
        <w:r w:rsidR="0074443A" w:rsidRPr="00FF6690">
          <w:rPr>
            <w:rFonts w:ascii="Arial" w:hAnsi="Arial" w:cs="Arial"/>
            <w:noProof/>
            <w:webHidden/>
          </w:rPr>
          <w:instrText xml:space="preserve"> PAGEREF _Toc438728880 \h </w:instrText>
        </w:r>
        <w:r w:rsidR="0074443A" w:rsidRPr="00FF6690">
          <w:rPr>
            <w:rFonts w:ascii="Arial" w:hAnsi="Arial" w:cs="Arial"/>
            <w:noProof/>
            <w:webHidden/>
          </w:rPr>
        </w:r>
        <w:r w:rsidR="0074443A" w:rsidRPr="00FF6690">
          <w:rPr>
            <w:rFonts w:ascii="Arial" w:hAnsi="Arial" w:cs="Arial"/>
            <w:noProof/>
            <w:webHidden/>
          </w:rPr>
          <w:fldChar w:fldCharType="separate"/>
        </w:r>
        <w:r w:rsidR="0074443A" w:rsidRPr="00FF6690">
          <w:rPr>
            <w:rFonts w:ascii="Arial" w:hAnsi="Arial" w:cs="Arial"/>
            <w:noProof/>
            <w:webHidden/>
          </w:rPr>
          <w:t>5</w:t>
        </w:r>
        <w:r w:rsidR="0074443A" w:rsidRPr="00FF6690">
          <w:rPr>
            <w:rFonts w:ascii="Arial" w:hAnsi="Arial" w:cs="Arial"/>
            <w:noProof/>
            <w:webHidden/>
          </w:rPr>
          <w:fldChar w:fldCharType="end"/>
        </w:r>
      </w:hyperlink>
    </w:p>
    <w:p w14:paraId="403D64DD" w14:textId="77777777" w:rsidR="0074443A" w:rsidRPr="00FF6690" w:rsidRDefault="00B57952">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38728881" w:history="1">
        <w:r w:rsidR="0074443A" w:rsidRPr="00FF6690">
          <w:rPr>
            <w:rStyle w:val="Hyperlink"/>
            <w:rFonts w:cs="Arial"/>
            <w:noProof/>
          </w:rPr>
          <w:t>2.2.2</w:t>
        </w:r>
        <w:r w:rsidR="0074443A" w:rsidRPr="00FF6690">
          <w:rPr>
            <w:rFonts w:ascii="Arial" w:eastAsiaTheme="minorEastAsia" w:hAnsi="Arial" w:cs="Arial"/>
            <w:i w:val="0"/>
            <w:iCs w:val="0"/>
            <w:noProof/>
            <w:sz w:val="22"/>
            <w:szCs w:val="22"/>
            <w:lang w:eastAsia="en-GB" w:bidi="ar-SA"/>
          </w:rPr>
          <w:tab/>
        </w:r>
        <w:r w:rsidR="0074443A" w:rsidRPr="00FF6690">
          <w:rPr>
            <w:rStyle w:val="Hyperlink"/>
            <w:rFonts w:cs="Arial"/>
            <w:noProof/>
          </w:rPr>
          <w:t>Labelling considerations</w:t>
        </w:r>
        <w:r w:rsidR="0074443A" w:rsidRPr="00FF6690">
          <w:rPr>
            <w:rFonts w:ascii="Arial" w:hAnsi="Arial" w:cs="Arial"/>
            <w:noProof/>
            <w:webHidden/>
          </w:rPr>
          <w:tab/>
        </w:r>
        <w:r w:rsidR="0074443A" w:rsidRPr="00FF6690">
          <w:rPr>
            <w:rFonts w:ascii="Arial" w:hAnsi="Arial" w:cs="Arial"/>
            <w:noProof/>
            <w:webHidden/>
          </w:rPr>
          <w:fldChar w:fldCharType="begin"/>
        </w:r>
        <w:r w:rsidR="0074443A" w:rsidRPr="00FF6690">
          <w:rPr>
            <w:rFonts w:ascii="Arial" w:hAnsi="Arial" w:cs="Arial"/>
            <w:noProof/>
            <w:webHidden/>
          </w:rPr>
          <w:instrText xml:space="preserve"> PAGEREF _Toc438728881 \h </w:instrText>
        </w:r>
        <w:r w:rsidR="0074443A" w:rsidRPr="00FF6690">
          <w:rPr>
            <w:rFonts w:ascii="Arial" w:hAnsi="Arial" w:cs="Arial"/>
            <w:noProof/>
            <w:webHidden/>
          </w:rPr>
        </w:r>
        <w:r w:rsidR="0074443A" w:rsidRPr="00FF6690">
          <w:rPr>
            <w:rFonts w:ascii="Arial" w:hAnsi="Arial" w:cs="Arial"/>
            <w:noProof/>
            <w:webHidden/>
          </w:rPr>
          <w:fldChar w:fldCharType="separate"/>
        </w:r>
        <w:r w:rsidR="0074443A" w:rsidRPr="00FF6690">
          <w:rPr>
            <w:rFonts w:ascii="Arial" w:hAnsi="Arial" w:cs="Arial"/>
            <w:noProof/>
            <w:webHidden/>
          </w:rPr>
          <w:t>5</w:t>
        </w:r>
        <w:r w:rsidR="0074443A" w:rsidRPr="00FF6690">
          <w:rPr>
            <w:rFonts w:ascii="Arial" w:hAnsi="Arial" w:cs="Arial"/>
            <w:noProof/>
            <w:webHidden/>
          </w:rPr>
          <w:fldChar w:fldCharType="end"/>
        </w:r>
      </w:hyperlink>
    </w:p>
    <w:p w14:paraId="0E535C16" w14:textId="77777777" w:rsidR="0074443A" w:rsidRPr="00FF6690" w:rsidRDefault="00B57952">
      <w:pPr>
        <w:pStyle w:val="TOC2"/>
        <w:tabs>
          <w:tab w:val="left" w:pos="880"/>
          <w:tab w:val="right" w:leader="dot" w:pos="9060"/>
        </w:tabs>
        <w:rPr>
          <w:rFonts w:ascii="Arial" w:eastAsiaTheme="minorEastAsia" w:hAnsi="Arial" w:cs="Arial"/>
          <w:smallCaps w:val="0"/>
          <w:noProof/>
          <w:sz w:val="22"/>
          <w:szCs w:val="22"/>
          <w:lang w:eastAsia="en-GB" w:bidi="ar-SA"/>
        </w:rPr>
      </w:pPr>
      <w:hyperlink w:anchor="_Toc438728882" w:history="1">
        <w:r w:rsidR="0074443A" w:rsidRPr="00FF6690">
          <w:rPr>
            <w:rStyle w:val="Hyperlink"/>
            <w:rFonts w:cs="Arial"/>
            <w:noProof/>
          </w:rPr>
          <w:t>2.3</w:t>
        </w:r>
        <w:r w:rsidR="0074443A" w:rsidRPr="00FF6690">
          <w:rPr>
            <w:rFonts w:ascii="Arial" w:eastAsiaTheme="minorEastAsia" w:hAnsi="Arial" w:cs="Arial"/>
            <w:smallCaps w:val="0"/>
            <w:noProof/>
            <w:sz w:val="22"/>
            <w:szCs w:val="22"/>
            <w:lang w:eastAsia="en-GB" w:bidi="ar-SA"/>
          </w:rPr>
          <w:tab/>
        </w:r>
        <w:r w:rsidR="0074443A" w:rsidRPr="00FF6690">
          <w:rPr>
            <w:rStyle w:val="Hyperlink"/>
            <w:rFonts w:cs="Arial"/>
            <w:noProof/>
          </w:rPr>
          <w:t>Risk communication</w:t>
        </w:r>
        <w:r w:rsidR="0074443A" w:rsidRPr="00FF6690">
          <w:rPr>
            <w:rFonts w:ascii="Arial" w:hAnsi="Arial" w:cs="Arial"/>
            <w:noProof/>
            <w:webHidden/>
          </w:rPr>
          <w:tab/>
        </w:r>
        <w:r w:rsidR="0074443A" w:rsidRPr="00FF6690">
          <w:rPr>
            <w:rFonts w:ascii="Arial" w:hAnsi="Arial" w:cs="Arial"/>
            <w:noProof/>
            <w:webHidden/>
          </w:rPr>
          <w:fldChar w:fldCharType="begin"/>
        </w:r>
        <w:r w:rsidR="0074443A" w:rsidRPr="00FF6690">
          <w:rPr>
            <w:rFonts w:ascii="Arial" w:hAnsi="Arial" w:cs="Arial"/>
            <w:noProof/>
            <w:webHidden/>
          </w:rPr>
          <w:instrText xml:space="preserve"> PAGEREF _Toc438728882 \h </w:instrText>
        </w:r>
        <w:r w:rsidR="0074443A" w:rsidRPr="00FF6690">
          <w:rPr>
            <w:rFonts w:ascii="Arial" w:hAnsi="Arial" w:cs="Arial"/>
            <w:noProof/>
            <w:webHidden/>
          </w:rPr>
        </w:r>
        <w:r w:rsidR="0074443A" w:rsidRPr="00FF6690">
          <w:rPr>
            <w:rFonts w:ascii="Arial" w:hAnsi="Arial" w:cs="Arial"/>
            <w:noProof/>
            <w:webHidden/>
          </w:rPr>
          <w:fldChar w:fldCharType="separate"/>
        </w:r>
        <w:r w:rsidR="0074443A" w:rsidRPr="00FF6690">
          <w:rPr>
            <w:rFonts w:ascii="Arial" w:hAnsi="Arial" w:cs="Arial"/>
            <w:noProof/>
            <w:webHidden/>
          </w:rPr>
          <w:t>6</w:t>
        </w:r>
        <w:r w:rsidR="0074443A" w:rsidRPr="00FF6690">
          <w:rPr>
            <w:rFonts w:ascii="Arial" w:hAnsi="Arial" w:cs="Arial"/>
            <w:noProof/>
            <w:webHidden/>
          </w:rPr>
          <w:fldChar w:fldCharType="end"/>
        </w:r>
      </w:hyperlink>
    </w:p>
    <w:p w14:paraId="2F007DC0" w14:textId="77777777" w:rsidR="0074443A" w:rsidRPr="00FF6690" w:rsidRDefault="00B57952">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38728883" w:history="1">
        <w:r w:rsidR="0074443A" w:rsidRPr="00FF6690">
          <w:rPr>
            <w:rStyle w:val="Hyperlink"/>
            <w:rFonts w:cs="Arial"/>
            <w:noProof/>
          </w:rPr>
          <w:t>2.3.1</w:t>
        </w:r>
        <w:r w:rsidR="0074443A" w:rsidRPr="00FF6690">
          <w:rPr>
            <w:rFonts w:ascii="Arial" w:eastAsiaTheme="minorEastAsia" w:hAnsi="Arial" w:cs="Arial"/>
            <w:i w:val="0"/>
            <w:iCs w:val="0"/>
            <w:noProof/>
            <w:sz w:val="22"/>
            <w:szCs w:val="22"/>
            <w:lang w:eastAsia="en-GB" w:bidi="ar-SA"/>
          </w:rPr>
          <w:tab/>
        </w:r>
        <w:r w:rsidR="0074443A" w:rsidRPr="00FF6690">
          <w:rPr>
            <w:rStyle w:val="Hyperlink"/>
            <w:rFonts w:cs="Arial"/>
            <w:noProof/>
          </w:rPr>
          <w:t>Consultation</w:t>
        </w:r>
        <w:r w:rsidR="0074443A" w:rsidRPr="00FF6690">
          <w:rPr>
            <w:rFonts w:ascii="Arial" w:hAnsi="Arial" w:cs="Arial"/>
            <w:noProof/>
            <w:webHidden/>
          </w:rPr>
          <w:tab/>
        </w:r>
        <w:r w:rsidR="0074443A" w:rsidRPr="00FF6690">
          <w:rPr>
            <w:rFonts w:ascii="Arial" w:hAnsi="Arial" w:cs="Arial"/>
            <w:noProof/>
            <w:webHidden/>
          </w:rPr>
          <w:fldChar w:fldCharType="begin"/>
        </w:r>
        <w:r w:rsidR="0074443A" w:rsidRPr="00FF6690">
          <w:rPr>
            <w:rFonts w:ascii="Arial" w:hAnsi="Arial" w:cs="Arial"/>
            <w:noProof/>
            <w:webHidden/>
          </w:rPr>
          <w:instrText xml:space="preserve"> PAGEREF _Toc438728883 \h </w:instrText>
        </w:r>
        <w:r w:rsidR="0074443A" w:rsidRPr="00FF6690">
          <w:rPr>
            <w:rFonts w:ascii="Arial" w:hAnsi="Arial" w:cs="Arial"/>
            <w:noProof/>
            <w:webHidden/>
          </w:rPr>
        </w:r>
        <w:r w:rsidR="0074443A" w:rsidRPr="00FF6690">
          <w:rPr>
            <w:rFonts w:ascii="Arial" w:hAnsi="Arial" w:cs="Arial"/>
            <w:noProof/>
            <w:webHidden/>
          </w:rPr>
          <w:fldChar w:fldCharType="separate"/>
        </w:r>
        <w:r w:rsidR="0074443A" w:rsidRPr="00FF6690">
          <w:rPr>
            <w:rFonts w:ascii="Arial" w:hAnsi="Arial" w:cs="Arial"/>
            <w:noProof/>
            <w:webHidden/>
          </w:rPr>
          <w:t>6</w:t>
        </w:r>
        <w:r w:rsidR="0074443A" w:rsidRPr="00FF6690">
          <w:rPr>
            <w:rFonts w:ascii="Arial" w:hAnsi="Arial" w:cs="Arial"/>
            <w:noProof/>
            <w:webHidden/>
          </w:rPr>
          <w:fldChar w:fldCharType="end"/>
        </w:r>
      </w:hyperlink>
    </w:p>
    <w:p w14:paraId="40E50CB6" w14:textId="77777777" w:rsidR="0074443A" w:rsidRPr="00FF6690" w:rsidRDefault="00B57952">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38728884" w:history="1">
        <w:r w:rsidR="0074443A" w:rsidRPr="00FF6690">
          <w:rPr>
            <w:rStyle w:val="Hyperlink"/>
            <w:rFonts w:cs="Arial"/>
            <w:noProof/>
          </w:rPr>
          <w:t>2.3.2</w:t>
        </w:r>
        <w:r w:rsidR="0074443A" w:rsidRPr="00FF6690">
          <w:rPr>
            <w:rFonts w:ascii="Arial" w:eastAsiaTheme="minorEastAsia" w:hAnsi="Arial" w:cs="Arial"/>
            <w:i w:val="0"/>
            <w:iCs w:val="0"/>
            <w:noProof/>
            <w:sz w:val="22"/>
            <w:szCs w:val="22"/>
            <w:lang w:eastAsia="en-GB" w:bidi="ar-SA"/>
          </w:rPr>
          <w:tab/>
        </w:r>
        <w:r w:rsidR="0074443A" w:rsidRPr="00FF6690">
          <w:rPr>
            <w:rStyle w:val="Hyperlink"/>
            <w:rFonts w:cs="Arial"/>
            <w:noProof/>
          </w:rPr>
          <w:t>World Trade Organization (WTO)</w:t>
        </w:r>
        <w:r w:rsidR="0074443A" w:rsidRPr="00FF6690">
          <w:rPr>
            <w:rFonts w:ascii="Arial" w:hAnsi="Arial" w:cs="Arial"/>
            <w:noProof/>
            <w:webHidden/>
          </w:rPr>
          <w:tab/>
        </w:r>
        <w:r w:rsidR="0074443A" w:rsidRPr="00FF6690">
          <w:rPr>
            <w:rFonts w:ascii="Arial" w:hAnsi="Arial" w:cs="Arial"/>
            <w:noProof/>
            <w:webHidden/>
          </w:rPr>
          <w:fldChar w:fldCharType="begin"/>
        </w:r>
        <w:r w:rsidR="0074443A" w:rsidRPr="00FF6690">
          <w:rPr>
            <w:rFonts w:ascii="Arial" w:hAnsi="Arial" w:cs="Arial"/>
            <w:noProof/>
            <w:webHidden/>
          </w:rPr>
          <w:instrText xml:space="preserve"> PAGEREF _Toc438728884 \h </w:instrText>
        </w:r>
        <w:r w:rsidR="0074443A" w:rsidRPr="00FF6690">
          <w:rPr>
            <w:rFonts w:ascii="Arial" w:hAnsi="Arial" w:cs="Arial"/>
            <w:noProof/>
            <w:webHidden/>
          </w:rPr>
        </w:r>
        <w:r w:rsidR="0074443A" w:rsidRPr="00FF6690">
          <w:rPr>
            <w:rFonts w:ascii="Arial" w:hAnsi="Arial" w:cs="Arial"/>
            <w:noProof/>
            <w:webHidden/>
          </w:rPr>
          <w:fldChar w:fldCharType="separate"/>
        </w:r>
        <w:r w:rsidR="0074443A" w:rsidRPr="00FF6690">
          <w:rPr>
            <w:rFonts w:ascii="Arial" w:hAnsi="Arial" w:cs="Arial"/>
            <w:noProof/>
            <w:webHidden/>
          </w:rPr>
          <w:t>6</w:t>
        </w:r>
        <w:r w:rsidR="0074443A" w:rsidRPr="00FF6690">
          <w:rPr>
            <w:rFonts w:ascii="Arial" w:hAnsi="Arial" w:cs="Arial"/>
            <w:noProof/>
            <w:webHidden/>
          </w:rPr>
          <w:fldChar w:fldCharType="end"/>
        </w:r>
      </w:hyperlink>
    </w:p>
    <w:p w14:paraId="2E25736A" w14:textId="77777777" w:rsidR="0074443A" w:rsidRPr="00FF6690" w:rsidRDefault="00B57952">
      <w:pPr>
        <w:pStyle w:val="TOC2"/>
        <w:tabs>
          <w:tab w:val="left" w:pos="880"/>
          <w:tab w:val="right" w:leader="dot" w:pos="9060"/>
        </w:tabs>
        <w:rPr>
          <w:rFonts w:ascii="Arial" w:eastAsiaTheme="minorEastAsia" w:hAnsi="Arial" w:cs="Arial"/>
          <w:smallCaps w:val="0"/>
          <w:noProof/>
          <w:sz w:val="22"/>
          <w:szCs w:val="22"/>
          <w:lang w:eastAsia="en-GB" w:bidi="ar-SA"/>
        </w:rPr>
      </w:pPr>
      <w:hyperlink w:anchor="_Toc438728885" w:history="1">
        <w:r w:rsidR="0074443A" w:rsidRPr="00FF6690">
          <w:rPr>
            <w:rStyle w:val="Hyperlink"/>
            <w:rFonts w:cs="Arial"/>
            <w:noProof/>
          </w:rPr>
          <w:t>2.4</w:t>
        </w:r>
        <w:r w:rsidR="0074443A" w:rsidRPr="00FF6690">
          <w:rPr>
            <w:rFonts w:ascii="Arial" w:eastAsiaTheme="minorEastAsia" w:hAnsi="Arial" w:cs="Arial"/>
            <w:smallCaps w:val="0"/>
            <w:noProof/>
            <w:sz w:val="22"/>
            <w:szCs w:val="22"/>
            <w:lang w:eastAsia="en-GB" w:bidi="ar-SA"/>
          </w:rPr>
          <w:tab/>
        </w:r>
        <w:r w:rsidR="0074443A" w:rsidRPr="00FF6690">
          <w:rPr>
            <w:rStyle w:val="Hyperlink"/>
            <w:rFonts w:cs="Arial"/>
            <w:noProof/>
          </w:rPr>
          <w:t>FSANZ Act assessment requirements</w:t>
        </w:r>
        <w:r w:rsidR="0074443A" w:rsidRPr="00FF6690">
          <w:rPr>
            <w:rFonts w:ascii="Arial" w:hAnsi="Arial" w:cs="Arial"/>
            <w:noProof/>
            <w:webHidden/>
          </w:rPr>
          <w:tab/>
        </w:r>
        <w:r w:rsidR="0074443A" w:rsidRPr="00FF6690">
          <w:rPr>
            <w:rFonts w:ascii="Arial" w:hAnsi="Arial" w:cs="Arial"/>
            <w:noProof/>
            <w:webHidden/>
          </w:rPr>
          <w:fldChar w:fldCharType="begin"/>
        </w:r>
        <w:r w:rsidR="0074443A" w:rsidRPr="00FF6690">
          <w:rPr>
            <w:rFonts w:ascii="Arial" w:hAnsi="Arial" w:cs="Arial"/>
            <w:noProof/>
            <w:webHidden/>
          </w:rPr>
          <w:instrText xml:space="preserve"> PAGEREF _Toc438728885 \h </w:instrText>
        </w:r>
        <w:r w:rsidR="0074443A" w:rsidRPr="00FF6690">
          <w:rPr>
            <w:rFonts w:ascii="Arial" w:hAnsi="Arial" w:cs="Arial"/>
            <w:noProof/>
            <w:webHidden/>
          </w:rPr>
        </w:r>
        <w:r w:rsidR="0074443A" w:rsidRPr="00FF6690">
          <w:rPr>
            <w:rFonts w:ascii="Arial" w:hAnsi="Arial" w:cs="Arial"/>
            <w:noProof/>
            <w:webHidden/>
          </w:rPr>
          <w:fldChar w:fldCharType="separate"/>
        </w:r>
        <w:r w:rsidR="0074443A" w:rsidRPr="00FF6690">
          <w:rPr>
            <w:rFonts w:ascii="Arial" w:hAnsi="Arial" w:cs="Arial"/>
            <w:noProof/>
            <w:webHidden/>
          </w:rPr>
          <w:t>7</w:t>
        </w:r>
        <w:r w:rsidR="0074443A" w:rsidRPr="00FF6690">
          <w:rPr>
            <w:rFonts w:ascii="Arial" w:hAnsi="Arial" w:cs="Arial"/>
            <w:noProof/>
            <w:webHidden/>
          </w:rPr>
          <w:fldChar w:fldCharType="end"/>
        </w:r>
      </w:hyperlink>
    </w:p>
    <w:p w14:paraId="6DC9866B" w14:textId="77777777" w:rsidR="0074443A" w:rsidRPr="00FF6690" w:rsidRDefault="00B57952">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38728886" w:history="1">
        <w:r w:rsidR="0074443A" w:rsidRPr="00FF6690">
          <w:rPr>
            <w:rStyle w:val="Hyperlink"/>
            <w:rFonts w:cs="Arial"/>
            <w:noProof/>
          </w:rPr>
          <w:t>2.4.1</w:t>
        </w:r>
        <w:r w:rsidR="0074443A" w:rsidRPr="00FF6690">
          <w:rPr>
            <w:rFonts w:ascii="Arial" w:eastAsiaTheme="minorEastAsia" w:hAnsi="Arial" w:cs="Arial"/>
            <w:i w:val="0"/>
            <w:iCs w:val="0"/>
            <w:noProof/>
            <w:sz w:val="22"/>
            <w:szCs w:val="22"/>
            <w:lang w:eastAsia="en-GB" w:bidi="ar-SA"/>
          </w:rPr>
          <w:tab/>
        </w:r>
        <w:r w:rsidR="0074443A" w:rsidRPr="00FF6690">
          <w:rPr>
            <w:rStyle w:val="Hyperlink"/>
            <w:rFonts w:cs="Arial"/>
            <w:noProof/>
          </w:rPr>
          <w:t>Section 29</w:t>
        </w:r>
        <w:r w:rsidR="0074443A" w:rsidRPr="00FF6690">
          <w:rPr>
            <w:rFonts w:ascii="Arial" w:hAnsi="Arial" w:cs="Arial"/>
            <w:noProof/>
            <w:webHidden/>
          </w:rPr>
          <w:tab/>
        </w:r>
        <w:r w:rsidR="0074443A" w:rsidRPr="00FF6690">
          <w:rPr>
            <w:rFonts w:ascii="Arial" w:hAnsi="Arial" w:cs="Arial"/>
            <w:noProof/>
            <w:webHidden/>
          </w:rPr>
          <w:fldChar w:fldCharType="begin"/>
        </w:r>
        <w:r w:rsidR="0074443A" w:rsidRPr="00FF6690">
          <w:rPr>
            <w:rFonts w:ascii="Arial" w:hAnsi="Arial" w:cs="Arial"/>
            <w:noProof/>
            <w:webHidden/>
          </w:rPr>
          <w:instrText xml:space="preserve"> PAGEREF _Toc438728886 \h </w:instrText>
        </w:r>
        <w:r w:rsidR="0074443A" w:rsidRPr="00FF6690">
          <w:rPr>
            <w:rFonts w:ascii="Arial" w:hAnsi="Arial" w:cs="Arial"/>
            <w:noProof/>
            <w:webHidden/>
          </w:rPr>
        </w:r>
        <w:r w:rsidR="0074443A" w:rsidRPr="00FF6690">
          <w:rPr>
            <w:rFonts w:ascii="Arial" w:hAnsi="Arial" w:cs="Arial"/>
            <w:noProof/>
            <w:webHidden/>
          </w:rPr>
          <w:fldChar w:fldCharType="separate"/>
        </w:r>
        <w:r w:rsidR="0074443A" w:rsidRPr="00FF6690">
          <w:rPr>
            <w:rFonts w:ascii="Arial" w:hAnsi="Arial" w:cs="Arial"/>
            <w:noProof/>
            <w:webHidden/>
          </w:rPr>
          <w:t>7</w:t>
        </w:r>
        <w:r w:rsidR="0074443A" w:rsidRPr="00FF6690">
          <w:rPr>
            <w:rFonts w:ascii="Arial" w:hAnsi="Arial" w:cs="Arial"/>
            <w:noProof/>
            <w:webHidden/>
          </w:rPr>
          <w:fldChar w:fldCharType="end"/>
        </w:r>
      </w:hyperlink>
    </w:p>
    <w:p w14:paraId="673699B3" w14:textId="77777777" w:rsidR="0074443A" w:rsidRPr="00FF6690" w:rsidRDefault="00B57952">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38728887" w:history="1">
        <w:r w:rsidR="0074443A" w:rsidRPr="00FF6690">
          <w:rPr>
            <w:rStyle w:val="Hyperlink"/>
            <w:rFonts w:cs="Arial"/>
            <w:noProof/>
          </w:rPr>
          <w:t>2.4.2</w:t>
        </w:r>
        <w:r w:rsidR="0074443A" w:rsidRPr="00FF6690">
          <w:rPr>
            <w:rFonts w:ascii="Arial" w:eastAsiaTheme="minorEastAsia" w:hAnsi="Arial" w:cs="Arial"/>
            <w:i w:val="0"/>
            <w:iCs w:val="0"/>
            <w:noProof/>
            <w:sz w:val="22"/>
            <w:szCs w:val="22"/>
            <w:lang w:eastAsia="en-GB" w:bidi="ar-SA"/>
          </w:rPr>
          <w:tab/>
        </w:r>
        <w:r w:rsidR="0074443A" w:rsidRPr="00FF6690">
          <w:rPr>
            <w:rStyle w:val="Hyperlink"/>
            <w:rFonts w:cs="Arial"/>
            <w:noProof/>
          </w:rPr>
          <w:t>Subsection 18(1)</w:t>
        </w:r>
        <w:r w:rsidR="0074443A" w:rsidRPr="00FF6690">
          <w:rPr>
            <w:rFonts w:ascii="Arial" w:hAnsi="Arial" w:cs="Arial"/>
            <w:noProof/>
            <w:webHidden/>
          </w:rPr>
          <w:tab/>
        </w:r>
        <w:r w:rsidR="0074443A" w:rsidRPr="00FF6690">
          <w:rPr>
            <w:rFonts w:ascii="Arial" w:hAnsi="Arial" w:cs="Arial"/>
            <w:noProof/>
            <w:webHidden/>
          </w:rPr>
          <w:fldChar w:fldCharType="begin"/>
        </w:r>
        <w:r w:rsidR="0074443A" w:rsidRPr="00FF6690">
          <w:rPr>
            <w:rFonts w:ascii="Arial" w:hAnsi="Arial" w:cs="Arial"/>
            <w:noProof/>
            <w:webHidden/>
          </w:rPr>
          <w:instrText xml:space="preserve"> PAGEREF _Toc438728887 \h </w:instrText>
        </w:r>
        <w:r w:rsidR="0074443A" w:rsidRPr="00FF6690">
          <w:rPr>
            <w:rFonts w:ascii="Arial" w:hAnsi="Arial" w:cs="Arial"/>
            <w:noProof/>
            <w:webHidden/>
          </w:rPr>
        </w:r>
        <w:r w:rsidR="0074443A" w:rsidRPr="00FF6690">
          <w:rPr>
            <w:rFonts w:ascii="Arial" w:hAnsi="Arial" w:cs="Arial"/>
            <w:noProof/>
            <w:webHidden/>
          </w:rPr>
          <w:fldChar w:fldCharType="separate"/>
        </w:r>
        <w:r w:rsidR="0074443A" w:rsidRPr="00FF6690">
          <w:rPr>
            <w:rFonts w:ascii="Arial" w:hAnsi="Arial" w:cs="Arial"/>
            <w:noProof/>
            <w:webHidden/>
          </w:rPr>
          <w:t>9</w:t>
        </w:r>
        <w:r w:rsidR="0074443A" w:rsidRPr="00FF6690">
          <w:rPr>
            <w:rFonts w:ascii="Arial" w:hAnsi="Arial" w:cs="Arial"/>
            <w:noProof/>
            <w:webHidden/>
          </w:rPr>
          <w:fldChar w:fldCharType="end"/>
        </w:r>
      </w:hyperlink>
    </w:p>
    <w:p w14:paraId="34B35859" w14:textId="77777777" w:rsidR="0074443A" w:rsidRPr="00FF6690" w:rsidRDefault="00B57952">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38728888" w:history="1">
        <w:r w:rsidR="0074443A" w:rsidRPr="00FF6690">
          <w:rPr>
            <w:rStyle w:val="Hyperlink"/>
            <w:rFonts w:cs="Arial"/>
            <w:noProof/>
          </w:rPr>
          <w:t>2.4.3</w:t>
        </w:r>
        <w:r w:rsidR="0074443A" w:rsidRPr="00FF6690">
          <w:rPr>
            <w:rFonts w:ascii="Arial" w:eastAsiaTheme="minorEastAsia" w:hAnsi="Arial" w:cs="Arial"/>
            <w:i w:val="0"/>
            <w:iCs w:val="0"/>
            <w:noProof/>
            <w:sz w:val="22"/>
            <w:szCs w:val="22"/>
            <w:lang w:eastAsia="en-GB" w:bidi="ar-SA"/>
          </w:rPr>
          <w:tab/>
        </w:r>
        <w:r w:rsidR="0074443A" w:rsidRPr="00FF6690">
          <w:rPr>
            <w:rStyle w:val="Hyperlink"/>
            <w:rFonts w:cs="Arial"/>
            <w:noProof/>
          </w:rPr>
          <w:t>Subsection 18(2) considerations</w:t>
        </w:r>
        <w:r w:rsidR="0074443A" w:rsidRPr="00FF6690">
          <w:rPr>
            <w:rFonts w:ascii="Arial" w:hAnsi="Arial" w:cs="Arial"/>
            <w:noProof/>
            <w:webHidden/>
          </w:rPr>
          <w:tab/>
        </w:r>
        <w:r w:rsidR="0074443A" w:rsidRPr="00FF6690">
          <w:rPr>
            <w:rFonts w:ascii="Arial" w:hAnsi="Arial" w:cs="Arial"/>
            <w:noProof/>
            <w:webHidden/>
          </w:rPr>
          <w:fldChar w:fldCharType="begin"/>
        </w:r>
        <w:r w:rsidR="0074443A" w:rsidRPr="00FF6690">
          <w:rPr>
            <w:rFonts w:ascii="Arial" w:hAnsi="Arial" w:cs="Arial"/>
            <w:noProof/>
            <w:webHidden/>
          </w:rPr>
          <w:instrText xml:space="preserve"> PAGEREF _Toc438728888 \h </w:instrText>
        </w:r>
        <w:r w:rsidR="0074443A" w:rsidRPr="00FF6690">
          <w:rPr>
            <w:rFonts w:ascii="Arial" w:hAnsi="Arial" w:cs="Arial"/>
            <w:noProof/>
            <w:webHidden/>
          </w:rPr>
        </w:r>
        <w:r w:rsidR="0074443A" w:rsidRPr="00FF6690">
          <w:rPr>
            <w:rFonts w:ascii="Arial" w:hAnsi="Arial" w:cs="Arial"/>
            <w:noProof/>
            <w:webHidden/>
          </w:rPr>
          <w:fldChar w:fldCharType="separate"/>
        </w:r>
        <w:r w:rsidR="0074443A" w:rsidRPr="00FF6690">
          <w:rPr>
            <w:rFonts w:ascii="Arial" w:hAnsi="Arial" w:cs="Arial"/>
            <w:noProof/>
            <w:webHidden/>
          </w:rPr>
          <w:t>9</w:t>
        </w:r>
        <w:r w:rsidR="0074443A" w:rsidRPr="00FF6690">
          <w:rPr>
            <w:rFonts w:ascii="Arial" w:hAnsi="Arial" w:cs="Arial"/>
            <w:noProof/>
            <w:webHidden/>
          </w:rPr>
          <w:fldChar w:fldCharType="end"/>
        </w:r>
      </w:hyperlink>
    </w:p>
    <w:p w14:paraId="5F510C85" w14:textId="77777777" w:rsidR="0074443A" w:rsidRPr="00FF6690" w:rsidRDefault="00B57952">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38728889" w:history="1">
        <w:r w:rsidR="0074443A" w:rsidRPr="00FF6690">
          <w:rPr>
            <w:rStyle w:val="Hyperlink"/>
            <w:rFonts w:cs="Arial"/>
            <w:noProof/>
          </w:rPr>
          <w:t>3</w:t>
        </w:r>
        <w:r w:rsidR="0074443A" w:rsidRPr="00FF6690">
          <w:rPr>
            <w:rFonts w:ascii="Arial" w:eastAsiaTheme="minorEastAsia" w:hAnsi="Arial" w:cs="Arial"/>
            <w:b w:val="0"/>
            <w:bCs w:val="0"/>
            <w:caps w:val="0"/>
            <w:noProof/>
            <w:sz w:val="22"/>
            <w:szCs w:val="22"/>
            <w:lang w:eastAsia="en-GB" w:bidi="ar-SA"/>
          </w:rPr>
          <w:tab/>
        </w:r>
        <w:r w:rsidR="0074443A" w:rsidRPr="00FF6690">
          <w:rPr>
            <w:rStyle w:val="Hyperlink"/>
            <w:rFonts w:cs="Arial"/>
            <w:noProof/>
          </w:rPr>
          <w:t>Draft variation</w:t>
        </w:r>
        <w:r w:rsidR="0074443A" w:rsidRPr="00FF6690">
          <w:rPr>
            <w:rFonts w:ascii="Arial" w:hAnsi="Arial" w:cs="Arial"/>
            <w:noProof/>
            <w:webHidden/>
          </w:rPr>
          <w:tab/>
        </w:r>
        <w:r w:rsidR="0074443A" w:rsidRPr="00FF6690">
          <w:rPr>
            <w:rFonts w:ascii="Arial" w:hAnsi="Arial" w:cs="Arial"/>
            <w:noProof/>
            <w:webHidden/>
          </w:rPr>
          <w:fldChar w:fldCharType="begin"/>
        </w:r>
        <w:r w:rsidR="0074443A" w:rsidRPr="00FF6690">
          <w:rPr>
            <w:rFonts w:ascii="Arial" w:hAnsi="Arial" w:cs="Arial"/>
            <w:noProof/>
            <w:webHidden/>
          </w:rPr>
          <w:instrText xml:space="preserve"> PAGEREF _Toc438728889 \h </w:instrText>
        </w:r>
        <w:r w:rsidR="0074443A" w:rsidRPr="00FF6690">
          <w:rPr>
            <w:rFonts w:ascii="Arial" w:hAnsi="Arial" w:cs="Arial"/>
            <w:noProof/>
            <w:webHidden/>
          </w:rPr>
        </w:r>
        <w:r w:rsidR="0074443A" w:rsidRPr="00FF6690">
          <w:rPr>
            <w:rFonts w:ascii="Arial" w:hAnsi="Arial" w:cs="Arial"/>
            <w:noProof/>
            <w:webHidden/>
          </w:rPr>
          <w:fldChar w:fldCharType="separate"/>
        </w:r>
        <w:r w:rsidR="0074443A" w:rsidRPr="00FF6690">
          <w:rPr>
            <w:rFonts w:ascii="Arial" w:hAnsi="Arial" w:cs="Arial"/>
            <w:noProof/>
            <w:webHidden/>
          </w:rPr>
          <w:t>10</w:t>
        </w:r>
        <w:r w:rsidR="0074443A" w:rsidRPr="00FF6690">
          <w:rPr>
            <w:rFonts w:ascii="Arial" w:hAnsi="Arial" w:cs="Arial"/>
            <w:noProof/>
            <w:webHidden/>
          </w:rPr>
          <w:fldChar w:fldCharType="end"/>
        </w:r>
      </w:hyperlink>
    </w:p>
    <w:p w14:paraId="435A4161" w14:textId="77777777" w:rsidR="0074443A" w:rsidRPr="00FF6690" w:rsidRDefault="00B57952">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38728890" w:history="1">
        <w:r w:rsidR="0074443A" w:rsidRPr="00FF6690">
          <w:rPr>
            <w:rStyle w:val="Hyperlink"/>
            <w:rFonts w:cs="Arial"/>
            <w:noProof/>
          </w:rPr>
          <w:t>4</w:t>
        </w:r>
        <w:r w:rsidR="0074443A" w:rsidRPr="00FF6690">
          <w:rPr>
            <w:rFonts w:ascii="Arial" w:eastAsiaTheme="minorEastAsia" w:hAnsi="Arial" w:cs="Arial"/>
            <w:b w:val="0"/>
            <w:bCs w:val="0"/>
            <w:caps w:val="0"/>
            <w:noProof/>
            <w:sz w:val="22"/>
            <w:szCs w:val="22"/>
            <w:lang w:eastAsia="en-GB" w:bidi="ar-SA"/>
          </w:rPr>
          <w:tab/>
        </w:r>
        <w:r w:rsidR="0074443A" w:rsidRPr="00FF6690">
          <w:rPr>
            <w:rStyle w:val="Hyperlink"/>
            <w:rFonts w:cs="Arial"/>
            <w:noProof/>
          </w:rPr>
          <w:t>References</w:t>
        </w:r>
        <w:r w:rsidR="0074443A" w:rsidRPr="00FF6690">
          <w:rPr>
            <w:rFonts w:ascii="Arial" w:hAnsi="Arial" w:cs="Arial"/>
            <w:noProof/>
            <w:webHidden/>
          </w:rPr>
          <w:tab/>
        </w:r>
        <w:r w:rsidR="0074443A" w:rsidRPr="00FF6690">
          <w:rPr>
            <w:rFonts w:ascii="Arial" w:hAnsi="Arial" w:cs="Arial"/>
            <w:noProof/>
            <w:webHidden/>
          </w:rPr>
          <w:fldChar w:fldCharType="begin"/>
        </w:r>
        <w:r w:rsidR="0074443A" w:rsidRPr="00FF6690">
          <w:rPr>
            <w:rFonts w:ascii="Arial" w:hAnsi="Arial" w:cs="Arial"/>
            <w:noProof/>
            <w:webHidden/>
          </w:rPr>
          <w:instrText xml:space="preserve"> PAGEREF _Toc438728890 \h </w:instrText>
        </w:r>
        <w:r w:rsidR="0074443A" w:rsidRPr="00FF6690">
          <w:rPr>
            <w:rFonts w:ascii="Arial" w:hAnsi="Arial" w:cs="Arial"/>
            <w:noProof/>
            <w:webHidden/>
          </w:rPr>
        </w:r>
        <w:r w:rsidR="0074443A" w:rsidRPr="00FF6690">
          <w:rPr>
            <w:rFonts w:ascii="Arial" w:hAnsi="Arial" w:cs="Arial"/>
            <w:noProof/>
            <w:webHidden/>
          </w:rPr>
          <w:fldChar w:fldCharType="separate"/>
        </w:r>
        <w:r w:rsidR="0074443A" w:rsidRPr="00FF6690">
          <w:rPr>
            <w:rFonts w:ascii="Arial" w:hAnsi="Arial" w:cs="Arial"/>
            <w:noProof/>
            <w:webHidden/>
          </w:rPr>
          <w:t>10</w:t>
        </w:r>
        <w:r w:rsidR="0074443A" w:rsidRPr="00FF6690">
          <w:rPr>
            <w:rFonts w:ascii="Arial" w:hAnsi="Arial" w:cs="Arial"/>
            <w:noProof/>
            <w:webHidden/>
          </w:rPr>
          <w:fldChar w:fldCharType="end"/>
        </w:r>
      </w:hyperlink>
    </w:p>
    <w:p w14:paraId="788AF1C3" w14:textId="77777777" w:rsidR="0074443A" w:rsidRPr="00FF6690" w:rsidRDefault="00B57952">
      <w:pPr>
        <w:pStyle w:val="TOC2"/>
        <w:tabs>
          <w:tab w:val="right" w:leader="dot" w:pos="9060"/>
        </w:tabs>
        <w:rPr>
          <w:rFonts w:ascii="Arial" w:eastAsiaTheme="minorEastAsia" w:hAnsi="Arial" w:cs="Arial"/>
          <w:smallCaps w:val="0"/>
          <w:noProof/>
          <w:sz w:val="22"/>
          <w:szCs w:val="22"/>
          <w:lang w:eastAsia="en-GB" w:bidi="ar-SA"/>
        </w:rPr>
      </w:pPr>
      <w:hyperlink w:anchor="_Toc438728891" w:history="1">
        <w:r w:rsidR="0074443A" w:rsidRPr="00FF6690">
          <w:rPr>
            <w:rStyle w:val="Hyperlink"/>
            <w:rFonts w:cs="Arial"/>
            <w:noProof/>
          </w:rPr>
          <w:t xml:space="preserve">Attachment A – Draft variation to the revised </w:t>
        </w:r>
        <w:r w:rsidR="0074443A" w:rsidRPr="00FF6690">
          <w:rPr>
            <w:rStyle w:val="Hyperlink"/>
            <w:rFonts w:cs="Arial"/>
            <w:i/>
            <w:noProof/>
          </w:rPr>
          <w:t xml:space="preserve">Australia New Zealand Food Standards Code </w:t>
        </w:r>
        <w:r w:rsidR="0074443A" w:rsidRPr="00FF6690">
          <w:rPr>
            <w:rStyle w:val="Hyperlink"/>
            <w:rFonts w:cs="Arial"/>
            <w:noProof/>
          </w:rPr>
          <w:t>(commencing 1 March 2016)</w:t>
        </w:r>
        <w:r w:rsidR="0074443A" w:rsidRPr="00FF6690">
          <w:rPr>
            <w:rFonts w:ascii="Arial" w:hAnsi="Arial" w:cs="Arial"/>
            <w:noProof/>
            <w:webHidden/>
          </w:rPr>
          <w:tab/>
        </w:r>
        <w:r w:rsidR="0074443A" w:rsidRPr="00FF6690">
          <w:rPr>
            <w:rFonts w:ascii="Arial" w:hAnsi="Arial" w:cs="Arial"/>
            <w:noProof/>
            <w:webHidden/>
          </w:rPr>
          <w:fldChar w:fldCharType="begin"/>
        </w:r>
        <w:r w:rsidR="0074443A" w:rsidRPr="00FF6690">
          <w:rPr>
            <w:rFonts w:ascii="Arial" w:hAnsi="Arial" w:cs="Arial"/>
            <w:noProof/>
            <w:webHidden/>
          </w:rPr>
          <w:instrText xml:space="preserve"> PAGEREF _Toc438728891 \h </w:instrText>
        </w:r>
        <w:r w:rsidR="0074443A" w:rsidRPr="00FF6690">
          <w:rPr>
            <w:rFonts w:ascii="Arial" w:hAnsi="Arial" w:cs="Arial"/>
            <w:noProof/>
            <w:webHidden/>
          </w:rPr>
        </w:r>
        <w:r w:rsidR="0074443A" w:rsidRPr="00FF6690">
          <w:rPr>
            <w:rFonts w:ascii="Arial" w:hAnsi="Arial" w:cs="Arial"/>
            <w:noProof/>
            <w:webHidden/>
          </w:rPr>
          <w:fldChar w:fldCharType="separate"/>
        </w:r>
        <w:r w:rsidR="0074443A" w:rsidRPr="00FF6690">
          <w:rPr>
            <w:rFonts w:ascii="Arial" w:hAnsi="Arial" w:cs="Arial"/>
            <w:noProof/>
            <w:webHidden/>
          </w:rPr>
          <w:t>12</w:t>
        </w:r>
        <w:r w:rsidR="0074443A" w:rsidRPr="00FF6690">
          <w:rPr>
            <w:rFonts w:ascii="Arial" w:hAnsi="Arial" w:cs="Arial"/>
            <w:noProof/>
            <w:webHidden/>
          </w:rPr>
          <w:fldChar w:fldCharType="end"/>
        </w:r>
      </w:hyperlink>
    </w:p>
    <w:p w14:paraId="0569C9A5" w14:textId="77777777" w:rsidR="0074443A" w:rsidRPr="00FF6690" w:rsidRDefault="00B57952">
      <w:pPr>
        <w:pStyle w:val="TOC2"/>
        <w:tabs>
          <w:tab w:val="right" w:leader="dot" w:pos="9060"/>
        </w:tabs>
        <w:rPr>
          <w:rFonts w:ascii="Arial" w:eastAsiaTheme="minorEastAsia" w:hAnsi="Arial" w:cs="Arial"/>
          <w:smallCaps w:val="0"/>
          <w:noProof/>
          <w:sz w:val="22"/>
          <w:szCs w:val="22"/>
          <w:lang w:eastAsia="en-GB" w:bidi="ar-SA"/>
        </w:rPr>
      </w:pPr>
      <w:hyperlink w:anchor="_Toc438728892" w:history="1">
        <w:r w:rsidR="0074443A" w:rsidRPr="00FF6690">
          <w:rPr>
            <w:rStyle w:val="Hyperlink"/>
            <w:rFonts w:cs="Arial"/>
            <w:noProof/>
          </w:rPr>
          <w:t>Attachment B – Draft Explanatory Statement</w:t>
        </w:r>
        <w:r w:rsidR="0074443A" w:rsidRPr="00FF6690">
          <w:rPr>
            <w:rFonts w:ascii="Arial" w:hAnsi="Arial" w:cs="Arial"/>
            <w:noProof/>
            <w:webHidden/>
          </w:rPr>
          <w:tab/>
        </w:r>
        <w:r w:rsidR="0074443A" w:rsidRPr="00FF6690">
          <w:rPr>
            <w:rFonts w:ascii="Arial" w:hAnsi="Arial" w:cs="Arial"/>
            <w:noProof/>
            <w:webHidden/>
          </w:rPr>
          <w:fldChar w:fldCharType="begin"/>
        </w:r>
        <w:r w:rsidR="0074443A" w:rsidRPr="00FF6690">
          <w:rPr>
            <w:rFonts w:ascii="Arial" w:hAnsi="Arial" w:cs="Arial"/>
            <w:noProof/>
            <w:webHidden/>
          </w:rPr>
          <w:instrText xml:space="preserve"> PAGEREF _Toc438728892 \h </w:instrText>
        </w:r>
        <w:r w:rsidR="0074443A" w:rsidRPr="00FF6690">
          <w:rPr>
            <w:rFonts w:ascii="Arial" w:hAnsi="Arial" w:cs="Arial"/>
            <w:noProof/>
            <w:webHidden/>
          </w:rPr>
        </w:r>
        <w:r w:rsidR="0074443A" w:rsidRPr="00FF6690">
          <w:rPr>
            <w:rFonts w:ascii="Arial" w:hAnsi="Arial" w:cs="Arial"/>
            <w:noProof/>
            <w:webHidden/>
          </w:rPr>
          <w:fldChar w:fldCharType="separate"/>
        </w:r>
        <w:r w:rsidR="0074443A" w:rsidRPr="00FF6690">
          <w:rPr>
            <w:rFonts w:ascii="Arial" w:hAnsi="Arial" w:cs="Arial"/>
            <w:noProof/>
            <w:webHidden/>
          </w:rPr>
          <w:t>14</w:t>
        </w:r>
        <w:r w:rsidR="0074443A" w:rsidRPr="00FF6690">
          <w:rPr>
            <w:rFonts w:ascii="Arial" w:hAnsi="Arial" w:cs="Arial"/>
            <w:noProof/>
            <w:webHidden/>
          </w:rPr>
          <w:fldChar w:fldCharType="end"/>
        </w:r>
      </w:hyperlink>
    </w:p>
    <w:p w14:paraId="1BEEE478" w14:textId="77777777" w:rsidR="00051ED9" w:rsidRPr="0059227F" w:rsidRDefault="00051ED9" w:rsidP="00051ED9">
      <w:pPr>
        <w:rPr>
          <w:rFonts w:cs="Arial"/>
        </w:rPr>
      </w:pPr>
      <w:r w:rsidRPr="00FF6690">
        <w:rPr>
          <w:rFonts w:cs="Arial"/>
          <w:sz w:val="20"/>
          <w:szCs w:val="20"/>
        </w:rPr>
        <w:fldChar w:fldCharType="end"/>
      </w:r>
    </w:p>
    <w:p w14:paraId="36BF91D5" w14:textId="77777777" w:rsidR="00D73931" w:rsidRPr="00E203C2" w:rsidRDefault="00D73931" w:rsidP="00051ED9"/>
    <w:p w14:paraId="6E4A61BB" w14:textId="77777777" w:rsidR="0037520F" w:rsidRPr="008844E4" w:rsidRDefault="0037520F" w:rsidP="0037520F">
      <w:pPr>
        <w:rPr>
          <w:b/>
          <w:szCs w:val="22"/>
        </w:rPr>
      </w:pPr>
      <w:r w:rsidRPr="008844E4">
        <w:rPr>
          <w:b/>
          <w:szCs w:val="22"/>
        </w:rPr>
        <w:t>Supporting documents</w:t>
      </w:r>
    </w:p>
    <w:p w14:paraId="36943C78" w14:textId="77777777" w:rsidR="0037520F" w:rsidRPr="0089264A" w:rsidRDefault="0037520F" w:rsidP="0037520F">
      <w:pPr>
        <w:rPr>
          <w:szCs w:val="22"/>
        </w:rPr>
      </w:pPr>
    </w:p>
    <w:p w14:paraId="316DF766" w14:textId="41FD39BC" w:rsidR="001278A9" w:rsidRDefault="0037520F" w:rsidP="0037520F">
      <w:pPr>
        <w:rPr>
          <w:szCs w:val="22"/>
        </w:rPr>
      </w:pPr>
      <w:r w:rsidRPr="0089264A">
        <w:rPr>
          <w:szCs w:val="22"/>
        </w:rPr>
        <w:t xml:space="preserve">The following </w:t>
      </w:r>
      <w:r>
        <w:rPr>
          <w:szCs w:val="22"/>
        </w:rPr>
        <w:t>document</w:t>
      </w:r>
      <w:r w:rsidRPr="0089264A">
        <w:rPr>
          <w:szCs w:val="22"/>
        </w:rPr>
        <w:t xml:space="preserve"> </w:t>
      </w:r>
      <w:r w:rsidR="00681754">
        <w:rPr>
          <w:szCs w:val="22"/>
        </w:rPr>
        <w:t xml:space="preserve">which informed the assessment of </w:t>
      </w:r>
      <w:r w:rsidR="00681754" w:rsidRPr="00BB73D7">
        <w:rPr>
          <w:szCs w:val="22"/>
        </w:rPr>
        <w:t>this Application</w:t>
      </w:r>
      <w:r w:rsidR="00BB73D7" w:rsidRPr="00BB73D7">
        <w:rPr>
          <w:szCs w:val="22"/>
        </w:rPr>
        <w:t xml:space="preserve"> is</w:t>
      </w:r>
      <w:r w:rsidRPr="00BB73D7">
        <w:rPr>
          <w:szCs w:val="22"/>
        </w:rPr>
        <w:t xml:space="preserve"> available </w:t>
      </w:r>
      <w:r w:rsidRPr="0089264A">
        <w:rPr>
          <w:szCs w:val="22"/>
        </w:rPr>
        <w:t>on the FSANZ website at</w:t>
      </w:r>
      <w:r w:rsidR="00FF6690">
        <w:rPr>
          <w:szCs w:val="22"/>
        </w:rPr>
        <w:t xml:space="preserve"> </w:t>
      </w:r>
      <w:hyperlink r:id="rId24" w:history="1">
        <w:r w:rsidR="001278A9" w:rsidRPr="00E66F30">
          <w:rPr>
            <w:rStyle w:val="Hyperlink"/>
            <w:szCs w:val="22"/>
          </w:rPr>
          <w:t>http://www.foodstandards.gov.au/code/applications/Pages/A1109Glutaminase.aspx</w:t>
        </w:r>
      </w:hyperlink>
    </w:p>
    <w:p w14:paraId="54228C7B" w14:textId="77777777" w:rsidR="001278A9" w:rsidRPr="001278A9" w:rsidRDefault="001278A9" w:rsidP="0037520F">
      <w:pPr>
        <w:rPr>
          <w:szCs w:val="22"/>
        </w:rPr>
      </w:pPr>
    </w:p>
    <w:p w14:paraId="15704A17" w14:textId="173D9609" w:rsidR="0089264A" w:rsidRPr="001278A9" w:rsidRDefault="0089264A" w:rsidP="0089264A">
      <w:pPr>
        <w:rPr>
          <w:szCs w:val="22"/>
        </w:rPr>
      </w:pPr>
    </w:p>
    <w:p w14:paraId="0FD7013E" w14:textId="290F95C2" w:rsidR="0089264A" w:rsidRPr="001278A9" w:rsidRDefault="0089264A" w:rsidP="003A7725">
      <w:pPr>
        <w:ind w:left="1134" w:hanging="1134"/>
      </w:pPr>
      <w:r w:rsidRPr="001278A9">
        <w:t>SD1</w:t>
      </w:r>
      <w:r w:rsidRPr="001278A9">
        <w:tab/>
      </w:r>
      <w:r w:rsidR="001278A9">
        <w:t>Risk and Technical Assessment Report</w:t>
      </w:r>
      <w:r w:rsidR="00E65EEB">
        <w:t xml:space="preserve"> – Application A1109</w:t>
      </w:r>
    </w:p>
    <w:p w14:paraId="4657536E" w14:textId="77777777" w:rsidR="00051ED9" w:rsidRDefault="00562917" w:rsidP="00772BDC">
      <w:r w:rsidRPr="00E203C2">
        <w:br w:type="page"/>
      </w:r>
    </w:p>
    <w:p w14:paraId="1F288DBC" w14:textId="77777777" w:rsidR="00E063C6" w:rsidRDefault="00F33BB8" w:rsidP="000A5DF8">
      <w:pPr>
        <w:pStyle w:val="Heading1"/>
      </w:pPr>
      <w:bookmarkStart w:id="0" w:name="_Toc286391001"/>
      <w:bookmarkStart w:id="1" w:name="_Toc300933414"/>
      <w:bookmarkStart w:id="2" w:name="_Toc438728869"/>
      <w:bookmarkStart w:id="3" w:name="_Toc11735627"/>
      <w:bookmarkStart w:id="4" w:name="_Toc29883110"/>
      <w:bookmarkStart w:id="5" w:name="_Toc41906797"/>
      <w:bookmarkStart w:id="6" w:name="_Toc41907544"/>
      <w:bookmarkStart w:id="7" w:name="_Toc120358575"/>
      <w:r>
        <w:lastRenderedPageBreak/>
        <w:t>E</w:t>
      </w:r>
      <w:r w:rsidR="0037520F">
        <w:t>xecutive s</w:t>
      </w:r>
      <w:r w:rsidR="00E063C6" w:rsidRPr="00E203C2">
        <w:t>ummary</w:t>
      </w:r>
      <w:bookmarkEnd w:id="0"/>
      <w:bookmarkEnd w:id="1"/>
      <w:bookmarkEnd w:id="2"/>
    </w:p>
    <w:p w14:paraId="1A3FD618" w14:textId="42D5D3DF" w:rsidR="00E65EEB" w:rsidRPr="00E65EEB" w:rsidRDefault="00FF6690" w:rsidP="001278A9">
      <w:bookmarkStart w:id="8" w:name="_Toc286391003"/>
      <w:r>
        <w:t>Amano Enzyme Inc</w:t>
      </w:r>
      <w:r w:rsidR="001278A9" w:rsidRPr="00E65EEB">
        <w:t xml:space="preserve"> submitted an Application seeking permission </w:t>
      </w:r>
      <w:r w:rsidR="008F21C3" w:rsidRPr="00E65EEB">
        <w:t>to</w:t>
      </w:r>
      <w:r w:rsidR="001278A9" w:rsidRPr="00E65EEB">
        <w:t xml:space="preserve"> use the enzyme glutaminase</w:t>
      </w:r>
      <w:r w:rsidR="008F21C3" w:rsidRPr="00E65EEB">
        <w:t xml:space="preserve"> (EC</w:t>
      </w:r>
      <w:r w:rsidR="00256BC2" w:rsidRPr="00E65EEB">
        <w:t xml:space="preserve"> number</w:t>
      </w:r>
      <w:r w:rsidR="008F21C3" w:rsidRPr="00E65EEB">
        <w:t xml:space="preserve"> 3.5.1.2)</w:t>
      </w:r>
      <w:r w:rsidR="001278A9" w:rsidRPr="00E65EEB">
        <w:t xml:space="preserve"> </w:t>
      </w:r>
      <w:r w:rsidR="0095122A">
        <w:t>sourced</w:t>
      </w:r>
      <w:r w:rsidR="0040794F" w:rsidRPr="00E65EEB">
        <w:t xml:space="preserve"> from </w:t>
      </w:r>
      <w:r w:rsidR="001278A9" w:rsidRPr="00E65EEB">
        <w:rPr>
          <w:i/>
        </w:rPr>
        <w:t>Bacillus amyloliquefaciens</w:t>
      </w:r>
      <w:r w:rsidR="0040794F" w:rsidRPr="00E65EEB">
        <w:rPr>
          <w:i/>
        </w:rPr>
        <w:t xml:space="preserve"> </w:t>
      </w:r>
      <w:r w:rsidR="0040794F" w:rsidRPr="00E65EEB">
        <w:t>as</w:t>
      </w:r>
      <w:r w:rsidR="001278A9" w:rsidRPr="00E65EEB">
        <w:t xml:space="preserve"> a </w:t>
      </w:r>
      <w:r w:rsidR="008F21C3" w:rsidRPr="00E65EEB">
        <w:t xml:space="preserve">processing aid. </w:t>
      </w:r>
      <w:r w:rsidR="001278A9" w:rsidRPr="00E65EEB">
        <w:t xml:space="preserve">The Applicant </w:t>
      </w:r>
      <w:r w:rsidR="00064CDE" w:rsidRPr="00E65EEB">
        <w:t>state</w:t>
      </w:r>
      <w:r w:rsidR="00064CDE">
        <w:t>s</w:t>
      </w:r>
      <w:r w:rsidR="00064CDE" w:rsidRPr="00E65EEB">
        <w:t xml:space="preserve"> </w:t>
      </w:r>
      <w:r w:rsidR="00AE41DD" w:rsidRPr="00E65EEB">
        <w:t xml:space="preserve">that this enzyme </w:t>
      </w:r>
      <w:r w:rsidR="0046433B" w:rsidRPr="00E65EEB">
        <w:t>would</w:t>
      </w:r>
      <w:r w:rsidR="00AE41DD" w:rsidRPr="00E65EEB">
        <w:t xml:space="preserve"> be used in </w:t>
      </w:r>
      <w:r w:rsidR="00E06920" w:rsidRPr="00E65EEB">
        <w:t>the production of certain seasoning ingredients (e.g. yeast extract, hydrolysed vegetable proteins and hydrolysed animal proteins) or food</w:t>
      </w:r>
      <w:r w:rsidR="00187655" w:rsidRPr="00E65EEB">
        <w:t xml:space="preserve"> products</w:t>
      </w:r>
      <w:r w:rsidR="00E06920" w:rsidRPr="00E65EEB">
        <w:t xml:space="preserve"> used </w:t>
      </w:r>
      <w:r w:rsidR="00187655" w:rsidRPr="00E65EEB">
        <w:t xml:space="preserve">as </w:t>
      </w:r>
      <w:r w:rsidR="00E06920" w:rsidRPr="00E65EEB">
        <w:t>seasoning</w:t>
      </w:r>
      <w:r w:rsidR="00187655" w:rsidRPr="00E65EEB">
        <w:t>s</w:t>
      </w:r>
      <w:r w:rsidR="00E06920" w:rsidRPr="00E65EEB">
        <w:t xml:space="preserve"> (e.g. soy sauce, miso, vinegar, fish sauce, etc.).</w:t>
      </w:r>
      <w:r w:rsidR="00E65EEB" w:rsidRPr="00E65EEB">
        <w:t xml:space="preserve"> </w:t>
      </w:r>
    </w:p>
    <w:p w14:paraId="42B56E37" w14:textId="77777777" w:rsidR="00E65EEB" w:rsidRPr="00E65EEB" w:rsidRDefault="00E65EEB" w:rsidP="001278A9"/>
    <w:p w14:paraId="7B7199E9" w14:textId="0F2D27E9" w:rsidR="00E06920" w:rsidRDefault="00E65EEB" w:rsidP="001278A9">
      <w:r w:rsidRPr="00E65EEB">
        <w:t>G</w:t>
      </w:r>
      <w:r w:rsidR="00E06920" w:rsidRPr="00E65EEB">
        <w:t xml:space="preserve">lutaminase catalyses the conversion of L-glutamine to glutamate, an important component of taste and quality in the foods to which glutaminase is added. </w:t>
      </w:r>
      <w:r w:rsidRPr="00E65EEB">
        <w:t xml:space="preserve">The use of glutaminase to increase the glutamate content of these </w:t>
      </w:r>
      <w:r w:rsidR="00D82F09">
        <w:t xml:space="preserve">types of </w:t>
      </w:r>
      <w:r w:rsidRPr="00E65EEB">
        <w:t xml:space="preserve">foods </w:t>
      </w:r>
      <w:r w:rsidR="006A6611">
        <w:t>can be</w:t>
      </w:r>
      <w:r w:rsidRPr="00E65EEB">
        <w:t xml:space="preserve"> an alternative to use of chemicals (acid hydrolysis) or to external sources of glutamate (such as monosodium glutamate (MSG)), to form foods/food ingredients with high concentrations of glutamates.</w:t>
      </w:r>
    </w:p>
    <w:p w14:paraId="4206BB52" w14:textId="77777777" w:rsidR="00E65EEB" w:rsidRPr="00FF6690" w:rsidRDefault="00E65EEB" w:rsidP="001278A9"/>
    <w:p w14:paraId="3B291448" w14:textId="1926EAB0" w:rsidR="001278A9" w:rsidRPr="00FF6690" w:rsidRDefault="001278A9" w:rsidP="001278A9">
      <w:r w:rsidRPr="00FF6690">
        <w:t xml:space="preserve">Enzymes used in the production and manufacture of food are considered processing aids and are regulated by </w:t>
      </w:r>
      <w:r w:rsidR="002363E9" w:rsidRPr="00FF6690">
        <w:t xml:space="preserve">Schedule 18 </w:t>
      </w:r>
      <w:r w:rsidR="00FF6690">
        <w:t xml:space="preserve">in </w:t>
      </w:r>
      <w:r w:rsidRPr="00FF6690">
        <w:t xml:space="preserve">the </w:t>
      </w:r>
      <w:r w:rsidR="00FF6690" w:rsidRPr="00FF6690">
        <w:rPr>
          <w:i/>
        </w:rPr>
        <w:t xml:space="preserve">Australia New Zealand Food Standards </w:t>
      </w:r>
      <w:r w:rsidRPr="00FF6690">
        <w:rPr>
          <w:i/>
        </w:rPr>
        <w:t>Code</w:t>
      </w:r>
      <w:r w:rsidRPr="00FF6690">
        <w:t>. Permitted enzymes of micr</w:t>
      </w:r>
      <w:r w:rsidR="00FF6690">
        <w:t>obial origin are listed in the t</w:t>
      </w:r>
      <w:r w:rsidRPr="00FF6690">
        <w:t>able to</w:t>
      </w:r>
      <w:r w:rsidR="000A5769" w:rsidRPr="00FF6690">
        <w:t xml:space="preserve"> </w:t>
      </w:r>
      <w:r w:rsidR="00187655" w:rsidRPr="00FF6690">
        <w:t xml:space="preserve">subsection </w:t>
      </w:r>
      <w:r w:rsidR="00B7443F" w:rsidRPr="00FF6690">
        <w:t>S18—4(5).</w:t>
      </w:r>
    </w:p>
    <w:p w14:paraId="6A7FDDE6" w14:textId="77777777" w:rsidR="00B7443F" w:rsidRPr="00FF6690" w:rsidRDefault="00B7443F" w:rsidP="001278A9"/>
    <w:p w14:paraId="31FBE9A5" w14:textId="37FB4DBB" w:rsidR="001278A9" w:rsidRPr="00FF6690" w:rsidRDefault="0040794F" w:rsidP="001278A9">
      <w:pPr>
        <w:rPr>
          <w:rFonts w:cs="Arial"/>
          <w:lang w:val="en-AU"/>
        </w:rPr>
      </w:pPr>
      <w:r w:rsidRPr="00FF6690">
        <w:t>The enzyme the Applicant wishe</w:t>
      </w:r>
      <w:r w:rsidR="00E65EEB" w:rsidRPr="00FF6690">
        <w:t>s</w:t>
      </w:r>
      <w:r w:rsidRPr="00FF6690">
        <w:t xml:space="preserve"> to use is sourced from a non-genetically modified strain of </w:t>
      </w:r>
      <w:r w:rsidRPr="00FF6690">
        <w:rPr>
          <w:i/>
        </w:rPr>
        <w:t xml:space="preserve">B. amyloliquefaciens </w:t>
      </w:r>
      <w:r w:rsidRPr="00FF6690">
        <w:t xml:space="preserve">(strain GT2). Strain GT2 is obtained by subjecting the parent strain, </w:t>
      </w:r>
      <w:r w:rsidRPr="00FF6690">
        <w:rPr>
          <w:i/>
        </w:rPr>
        <w:t>B.</w:t>
      </w:r>
      <w:r w:rsidR="0095122A" w:rsidRPr="00FF6690">
        <w:rPr>
          <w:i/>
        </w:rPr>
        <w:t> </w:t>
      </w:r>
      <w:r w:rsidRPr="00FF6690">
        <w:rPr>
          <w:i/>
        </w:rPr>
        <w:t xml:space="preserve">amyloliquefaciens </w:t>
      </w:r>
      <w:r w:rsidRPr="00FF6690">
        <w:t xml:space="preserve">(strain NP) to a conventional chemical mutation process. </w:t>
      </w:r>
      <w:r w:rsidR="001278A9" w:rsidRPr="00FF6690">
        <w:rPr>
          <w:rFonts w:cs="Arial"/>
        </w:rPr>
        <w:t xml:space="preserve">After undertaking a risk assessment, FSANZ </w:t>
      </w:r>
      <w:r w:rsidR="00064CDE" w:rsidRPr="00FF6690">
        <w:rPr>
          <w:rFonts w:cs="Arial"/>
        </w:rPr>
        <w:t xml:space="preserve">concludes </w:t>
      </w:r>
      <w:r w:rsidR="001278A9" w:rsidRPr="00FF6690">
        <w:rPr>
          <w:rFonts w:cs="Arial"/>
        </w:rPr>
        <w:t xml:space="preserve">that there </w:t>
      </w:r>
      <w:r w:rsidR="0046433B" w:rsidRPr="00FF6690">
        <w:rPr>
          <w:rFonts w:cs="Arial"/>
        </w:rPr>
        <w:t>were</w:t>
      </w:r>
      <w:r w:rsidR="001278A9" w:rsidRPr="00FF6690">
        <w:rPr>
          <w:rFonts w:cs="Arial"/>
        </w:rPr>
        <w:t xml:space="preserve"> no public health and safety issues associated with </w:t>
      </w:r>
      <w:r w:rsidR="00D82F09" w:rsidRPr="00FF6690">
        <w:rPr>
          <w:rFonts w:cs="Arial"/>
        </w:rPr>
        <w:t xml:space="preserve">the source microorganism or with </w:t>
      </w:r>
      <w:r w:rsidR="001278A9" w:rsidRPr="00FF6690">
        <w:rPr>
          <w:rFonts w:cs="Arial"/>
        </w:rPr>
        <w:t xml:space="preserve">using the </w:t>
      </w:r>
      <w:r w:rsidR="001278A9" w:rsidRPr="00FF6690">
        <w:t>enzyme preparation</w:t>
      </w:r>
      <w:r w:rsidR="001278A9" w:rsidRPr="00FF6690">
        <w:rPr>
          <w:rFonts w:cs="Arial"/>
          <w:lang w:val="en-AU"/>
        </w:rPr>
        <w:t xml:space="preserve"> </w:t>
      </w:r>
      <w:r w:rsidR="001278A9" w:rsidRPr="00FF6690">
        <w:rPr>
          <w:rFonts w:cs="Arial"/>
        </w:rPr>
        <w:t xml:space="preserve">as a food processing aid. </w:t>
      </w:r>
      <w:r w:rsidR="001278A9" w:rsidRPr="00FF6690">
        <w:rPr>
          <w:rFonts w:cs="Arial"/>
          <w:lang w:val="en-AU"/>
        </w:rPr>
        <w:t xml:space="preserve">Residual enzyme </w:t>
      </w:r>
      <w:r w:rsidR="00CE275D" w:rsidRPr="00FF6690">
        <w:rPr>
          <w:rFonts w:cs="Arial"/>
          <w:lang w:val="en-AU"/>
        </w:rPr>
        <w:t xml:space="preserve">is expected to be </w:t>
      </w:r>
      <w:r w:rsidR="001278A9" w:rsidRPr="00FF6690">
        <w:rPr>
          <w:rFonts w:cs="Arial"/>
          <w:lang w:val="en-AU"/>
        </w:rPr>
        <w:t xml:space="preserve">present in the final food but would be inactive and susceptible to digestion like other dietary proteins. FSANZ also </w:t>
      </w:r>
      <w:r w:rsidR="00064CDE" w:rsidRPr="00FF6690">
        <w:rPr>
          <w:rFonts w:cs="Arial"/>
          <w:lang w:val="en-AU"/>
        </w:rPr>
        <w:t xml:space="preserve">concludes </w:t>
      </w:r>
      <w:r w:rsidR="001278A9" w:rsidRPr="00FF6690">
        <w:rPr>
          <w:rFonts w:cs="Arial"/>
          <w:lang w:val="en-AU"/>
        </w:rPr>
        <w:t xml:space="preserve">that in the absence of any identifiable hazard, an Acceptable Daily Intake (ADI) ‘not specified’ </w:t>
      </w:r>
      <w:r w:rsidR="0046433B" w:rsidRPr="00FF6690">
        <w:rPr>
          <w:rFonts w:cs="Arial"/>
          <w:lang w:val="en-AU"/>
        </w:rPr>
        <w:t>would be</w:t>
      </w:r>
      <w:r w:rsidR="001278A9" w:rsidRPr="00FF6690">
        <w:rPr>
          <w:rFonts w:cs="Arial"/>
          <w:lang w:val="en-AU"/>
        </w:rPr>
        <w:t xml:space="preserve"> appropriate. A dietary exposure assessment was therefore not required.</w:t>
      </w:r>
    </w:p>
    <w:p w14:paraId="283F3077" w14:textId="77777777" w:rsidR="001278A9" w:rsidRPr="00FF6690" w:rsidRDefault="001278A9" w:rsidP="001278A9">
      <w:pPr>
        <w:rPr>
          <w:rFonts w:cs="Arial"/>
          <w:lang w:val="en-AU"/>
        </w:rPr>
      </w:pPr>
    </w:p>
    <w:p w14:paraId="1B3310B0" w14:textId="0113F88B" w:rsidR="001278A9" w:rsidRPr="00CE275D" w:rsidRDefault="001278A9" w:rsidP="001278A9">
      <w:pPr>
        <w:rPr>
          <w:rFonts w:cs="Arial"/>
          <w:lang w:val="en-AU"/>
        </w:rPr>
      </w:pPr>
      <w:r w:rsidRPr="00CE275D">
        <w:rPr>
          <w:rFonts w:cs="Arial"/>
        </w:rPr>
        <w:t>The evidence presented to su</w:t>
      </w:r>
      <w:r w:rsidR="0046433B" w:rsidRPr="00CE275D">
        <w:rPr>
          <w:rFonts w:cs="Arial"/>
        </w:rPr>
        <w:t xml:space="preserve">pport the proposed uses </w:t>
      </w:r>
      <w:r w:rsidR="00064CDE" w:rsidRPr="00CE275D">
        <w:rPr>
          <w:rFonts w:cs="Arial"/>
        </w:rPr>
        <w:t>provide</w:t>
      </w:r>
      <w:r w:rsidR="00064CDE">
        <w:rPr>
          <w:rFonts w:cs="Arial"/>
        </w:rPr>
        <w:t>s</w:t>
      </w:r>
      <w:r w:rsidR="00064CDE" w:rsidRPr="00CE275D">
        <w:rPr>
          <w:rFonts w:cs="Arial"/>
        </w:rPr>
        <w:t xml:space="preserve"> </w:t>
      </w:r>
      <w:r w:rsidRPr="00CE275D">
        <w:rPr>
          <w:rFonts w:cs="Arial"/>
        </w:rPr>
        <w:t>adequate assurance that the enzyme, in the form and prescribed amounts, is technologically justified and has been demonstrated to be effective in achieving its stated purpose. The enzyme preparation meets international purity specifications.</w:t>
      </w:r>
    </w:p>
    <w:p w14:paraId="1113E00B" w14:textId="77777777" w:rsidR="001278A9" w:rsidRPr="00CE275D" w:rsidRDefault="001278A9" w:rsidP="001278A9"/>
    <w:p w14:paraId="4286D100" w14:textId="7A164D5A" w:rsidR="001278A9" w:rsidRPr="00CE275D" w:rsidRDefault="001278A9" w:rsidP="001278A9">
      <w:r w:rsidRPr="00CE275D">
        <w:t xml:space="preserve">FSANZ therefore </w:t>
      </w:r>
      <w:r w:rsidR="00064CDE" w:rsidRPr="00CE275D">
        <w:t>propose</w:t>
      </w:r>
      <w:r w:rsidR="00064CDE">
        <w:t>s</w:t>
      </w:r>
      <w:r w:rsidR="00064CDE" w:rsidRPr="00CE275D">
        <w:t xml:space="preserve"> </w:t>
      </w:r>
      <w:r w:rsidR="004552CB">
        <w:t xml:space="preserve">a </w:t>
      </w:r>
      <w:r w:rsidRPr="00CE275D">
        <w:t xml:space="preserve">draft variation to permit </w:t>
      </w:r>
      <w:r w:rsidR="0073170F" w:rsidRPr="00CE275D">
        <w:rPr>
          <w:lang w:val="en-AU"/>
        </w:rPr>
        <w:t>glutaminase</w:t>
      </w:r>
      <w:r w:rsidR="0040794F" w:rsidRPr="00CE275D">
        <w:rPr>
          <w:lang w:val="en-AU"/>
        </w:rPr>
        <w:t xml:space="preserve"> </w:t>
      </w:r>
      <w:r w:rsidRPr="00CE275D">
        <w:t xml:space="preserve">as a processing aid. </w:t>
      </w:r>
      <w:r w:rsidRPr="00CE275D">
        <w:rPr>
          <w:lang w:val="en-AU" w:eastAsia="en-GB" w:bidi="ar-SA"/>
        </w:rPr>
        <w:t xml:space="preserve">The nomenclature for the enzyme is consistent with the International Union of Biochemistry and Molecular Biology (IUBMB) naming system, </w:t>
      </w:r>
      <w:r w:rsidRPr="00CE275D">
        <w:rPr>
          <w:lang w:bidi="ar-SA"/>
        </w:rPr>
        <w:t>the internationally recognised authority for enzyme nomenclature</w:t>
      </w:r>
      <w:r w:rsidRPr="00CE275D">
        <w:rPr>
          <w:lang w:val="en-AU" w:eastAsia="en-GB" w:bidi="ar-SA"/>
        </w:rPr>
        <w:t>.</w:t>
      </w:r>
    </w:p>
    <w:p w14:paraId="490CC005" w14:textId="77777777" w:rsidR="001278A9" w:rsidRPr="00CE275D" w:rsidRDefault="001278A9" w:rsidP="001278A9"/>
    <w:p w14:paraId="6CB9AE53" w14:textId="77777777" w:rsidR="0053464E" w:rsidRDefault="0053464E" w:rsidP="00A56E34">
      <w:r>
        <w:br w:type="page"/>
      </w:r>
    </w:p>
    <w:p w14:paraId="2A61858A" w14:textId="77777777" w:rsidR="002A5F8B" w:rsidRPr="000B6AF2" w:rsidRDefault="00F33BB8" w:rsidP="000B6AF2">
      <w:pPr>
        <w:pStyle w:val="Heading1"/>
      </w:pPr>
      <w:bookmarkStart w:id="9" w:name="_Toc300933417"/>
      <w:bookmarkStart w:id="10" w:name="_Toc438728870"/>
      <w:r>
        <w:lastRenderedPageBreak/>
        <w:t>1</w:t>
      </w:r>
      <w:r w:rsidR="001542D8">
        <w:tab/>
      </w:r>
      <w:r w:rsidR="002A5F8B" w:rsidRPr="000B6AF2">
        <w:t>Introduction</w:t>
      </w:r>
      <w:bookmarkEnd w:id="8"/>
      <w:bookmarkEnd w:id="9"/>
      <w:bookmarkEnd w:id="10"/>
    </w:p>
    <w:p w14:paraId="7A4CBB72" w14:textId="4167D91C" w:rsidR="0053464E" w:rsidRPr="0053464E" w:rsidRDefault="00F33BB8" w:rsidP="00A56E34">
      <w:pPr>
        <w:pStyle w:val="Heading2"/>
      </w:pPr>
      <w:bookmarkStart w:id="11" w:name="_Toc300761890"/>
      <w:bookmarkStart w:id="12" w:name="_Toc438728871"/>
      <w:bookmarkStart w:id="13" w:name="_Toc300933419"/>
      <w:r>
        <w:t>1</w:t>
      </w:r>
      <w:r w:rsidR="0053464E" w:rsidRPr="0053464E">
        <w:t>.1</w:t>
      </w:r>
      <w:r w:rsidR="0053464E" w:rsidRPr="0053464E">
        <w:tab/>
        <w:t>The Applicant</w:t>
      </w:r>
      <w:bookmarkEnd w:id="11"/>
      <w:bookmarkEnd w:id="12"/>
      <w:r w:rsidR="0073170F">
        <w:t xml:space="preserve"> </w:t>
      </w:r>
      <w:bookmarkEnd w:id="13"/>
    </w:p>
    <w:p w14:paraId="6CC00D15" w14:textId="581C7666" w:rsidR="0053464E" w:rsidRPr="00827ED6" w:rsidRDefault="0073170F" w:rsidP="0053464E">
      <w:r w:rsidRPr="00827ED6">
        <w:t xml:space="preserve">The Applicant </w:t>
      </w:r>
      <w:r w:rsidR="00064CDE">
        <w:t>is</w:t>
      </w:r>
      <w:r w:rsidR="00064CDE" w:rsidRPr="00827ED6">
        <w:t xml:space="preserve"> </w:t>
      </w:r>
      <w:r w:rsidR="00FF6690">
        <w:t>Amano Enzyme Inc</w:t>
      </w:r>
      <w:r w:rsidR="004552CB">
        <w:t>,</w:t>
      </w:r>
      <w:r w:rsidRPr="00827ED6">
        <w:t xml:space="preserve"> </w:t>
      </w:r>
      <w:r w:rsidR="00202E35">
        <w:t xml:space="preserve">Japan, </w:t>
      </w:r>
      <w:r w:rsidR="00827ED6">
        <w:t xml:space="preserve">a producer </w:t>
      </w:r>
      <w:r w:rsidR="00827ED6" w:rsidRPr="00827ED6">
        <w:t xml:space="preserve">of </w:t>
      </w:r>
      <w:r w:rsidR="00827ED6">
        <w:t xml:space="preserve">specialty </w:t>
      </w:r>
      <w:r w:rsidR="00827ED6" w:rsidRPr="00827ED6">
        <w:t>enzymes for pharm</w:t>
      </w:r>
      <w:r w:rsidR="00827ED6">
        <w:t>a</w:t>
      </w:r>
      <w:r w:rsidR="00827ED6" w:rsidRPr="00827ED6">
        <w:t>ceuticals, diagnostic medicines, and the food industry.</w:t>
      </w:r>
    </w:p>
    <w:p w14:paraId="1EC2C475" w14:textId="42FBDA9E" w:rsidR="0053464E" w:rsidRPr="00E477A1" w:rsidRDefault="00F33BB8" w:rsidP="00A56E34">
      <w:pPr>
        <w:pStyle w:val="Heading2"/>
      </w:pPr>
      <w:bookmarkStart w:id="14" w:name="_Toc300761891"/>
      <w:bookmarkStart w:id="15" w:name="_Toc300933420"/>
      <w:bookmarkStart w:id="16" w:name="_Toc438728872"/>
      <w:r w:rsidRPr="00E477A1">
        <w:t>1</w:t>
      </w:r>
      <w:r w:rsidR="0053464E" w:rsidRPr="00E477A1">
        <w:t>.2</w:t>
      </w:r>
      <w:r w:rsidR="0053464E" w:rsidRPr="00E477A1">
        <w:tab/>
        <w:t>The Application</w:t>
      </w:r>
      <w:bookmarkEnd w:id="14"/>
      <w:bookmarkEnd w:id="15"/>
      <w:bookmarkEnd w:id="16"/>
    </w:p>
    <w:p w14:paraId="12571564" w14:textId="682BE51E" w:rsidR="00CA66F5" w:rsidRDefault="00E477A1" w:rsidP="00E477A1">
      <w:pPr>
        <w:tabs>
          <w:tab w:val="left" w:pos="1530"/>
        </w:tabs>
      </w:pPr>
      <w:r>
        <w:t xml:space="preserve">The purpose of the </w:t>
      </w:r>
      <w:r w:rsidR="004552CB">
        <w:t>a</w:t>
      </w:r>
      <w:r>
        <w:t xml:space="preserve">pplication </w:t>
      </w:r>
      <w:r w:rsidR="00064CDE">
        <w:t xml:space="preserve">is </w:t>
      </w:r>
      <w:r>
        <w:t xml:space="preserve">to seek </w:t>
      </w:r>
      <w:r w:rsidRPr="00E477A1">
        <w:t>permission to use the enzyme</w:t>
      </w:r>
      <w:r w:rsidR="00256BC2">
        <w:t>,</w:t>
      </w:r>
      <w:r w:rsidRPr="00E477A1">
        <w:t xml:space="preserve"> glutaminase (EC </w:t>
      </w:r>
      <w:r w:rsidR="00256BC2">
        <w:t xml:space="preserve">number </w:t>
      </w:r>
      <w:r w:rsidRPr="00E477A1">
        <w:t xml:space="preserve">3.5.1.2), </w:t>
      </w:r>
      <w:r>
        <w:t>as a processing aid</w:t>
      </w:r>
      <w:r w:rsidR="00AE41DD">
        <w:t xml:space="preserve">. The enzyme </w:t>
      </w:r>
      <w:r w:rsidR="0046433B">
        <w:t>would</w:t>
      </w:r>
      <w:r w:rsidR="00AE41DD">
        <w:t xml:space="preserve"> be used in the </w:t>
      </w:r>
      <w:r w:rsidR="00AE41DD" w:rsidRPr="00E06920">
        <w:t>production of certain seasoning</w:t>
      </w:r>
      <w:r w:rsidR="00187655">
        <w:t xml:space="preserve"> ingredients</w:t>
      </w:r>
      <w:r w:rsidR="00AE41DD" w:rsidRPr="00E06920">
        <w:t xml:space="preserve"> </w:t>
      </w:r>
      <w:r w:rsidRPr="00E477A1">
        <w:t>(e.g. yeast extract, hydrolysed vegetable proteins and hydrolysed animal proteins) or food</w:t>
      </w:r>
      <w:r w:rsidR="00187655">
        <w:t xml:space="preserve"> product</w:t>
      </w:r>
      <w:r w:rsidRPr="00E477A1">
        <w:t xml:space="preserve">s used </w:t>
      </w:r>
      <w:r w:rsidR="00187655">
        <w:t>as</w:t>
      </w:r>
      <w:r w:rsidRPr="00E477A1">
        <w:t xml:space="preserve"> seasoning</w:t>
      </w:r>
      <w:r w:rsidR="00187655">
        <w:t>s</w:t>
      </w:r>
      <w:r w:rsidRPr="00E477A1">
        <w:t xml:space="preserve"> (e.g. soy sauce, miso, vinegar, fish sauce, etc.).</w:t>
      </w:r>
      <w:r w:rsidR="005F3677">
        <w:t xml:space="preserve"> </w:t>
      </w:r>
    </w:p>
    <w:p w14:paraId="7788FBAD" w14:textId="77777777" w:rsidR="00CA66F5" w:rsidRDefault="00CA66F5" w:rsidP="00E477A1">
      <w:pPr>
        <w:tabs>
          <w:tab w:val="left" w:pos="1530"/>
        </w:tabs>
      </w:pPr>
    </w:p>
    <w:p w14:paraId="5A6B584B" w14:textId="12DD143D" w:rsidR="005F3677" w:rsidRDefault="00CA66F5" w:rsidP="00E477A1">
      <w:pPr>
        <w:tabs>
          <w:tab w:val="left" w:pos="1530"/>
        </w:tabs>
      </w:pPr>
      <w:r>
        <w:t>G</w:t>
      </w:r>
      <w:r w:rsidR="005F3677" w:rsidRPr="00E477A1">
        <w:t xml:space="preserve">lutaminase catalyses the conversion of L-glutamine </w:t>
      </w:r>
      <w:r w:rsidR="00E011AD">
        <w:t xml:space="preserve">present in these foods </w:t>
      </w:r>
      <w:r w:rsidR="005F3677" w:rsidRPr="00E477A1">
        <w:t>to glutamate, an important component of taste and quality in the foods to which glutaminase is added.</w:t>
      </w:r>
      <w:r w:rsidR="005F3677" w:rsidRPr="005F3677">
        <w:t xml:space="preserve"> </w:t>
      </w:r>
      <w:r w:rsidR="005F3677" w:rsidRPr="00E477A1">
        <w:t xml:space="preserve">The use of </w:t>
      </w:r>
      <w:r w:rsidR="00187655" w:rsidRPr="00187655">
        <w:t xml:space="preserve">glutaminase </w:t>
      </w:r>
      <w:r>
        <w:t xml:space="preserve">to increase the glutamate content of foods </w:t>
      </w:r>
      <w:r w:rsidR="006A6611">
        <w:t>can be</w:t>
      </w:r>
      <w:r w:rsidR="00187655" w:rsidRPr="00187655">
        <w:t xml:space="preserve"> an alternative to use of chemicals (acid</w:t>
      </w:r>
      <w:r w:rsidR="00EE2163">
        <w:t xml:space="preserve"> or base</w:t>
      </w:r>
      <w:r w:rsidR="00187655" w:rsidRPr="00187655">
        <w:t xml:space="preserve"> hydrolysis) </w:t>
      </w:r>
      <w:r>
        <w:t>o</w:t>
      </w:r>
      <w:r w:rsidR="00EF1821">
        <w:t>r</w:t>
      </w:r>
      <w:r>
        <w:t xml:space="preserve"> to external sources of glutamate (such as monosodium glutamate (MSG)), </w:t>
      </w:r>
      <w:r w:rsidR="00187655" w:rsidRPr="00187655">
        <w:t>to form foods/food ingredients with high concentrations of glutamates.</w:t>
      </w:r>
    </w:p>
    <w:p w14:paraId="0938C34F" w14:textId="77777777" w:rsidR="00187655" w:rsidRDefault="00187655" w:rsidP="00E477A1">
      <w:pPr>
        <w:tabs>
          <w:tab w:val="left" w:pos="1530"/>
        </w:tabs>
      </w:pPr>
    </w:p>
    <w:p w14:paraId="30F790A6" w14:textId="5C8CB04D" w:rsidR="0053464E" w:rsidRDefault="005F3677" w:rsidP="00E477A1">
      <w:pPr>
        <w:tabs>
          <w:tab w:val="left" w:pos="1530"/>
        </w:tabs>
      </w:pPr>
      <w:r>
        <w:t xml:space="preserve">The enzyme is </w:t>
      </w:r>
      <w:r w:rsidR="0040794F">
        <w:t>sourced</w:t>
      </w:r>
      <w:r>
        <w:t xml:space="preserve"> from </w:t>
      </w:r>
      <w:r w:rsidR="00E477A1" w:rsidRPr="00E477A1">
        <w:t xml:space="preserve">a chemically mutated strain of </w:t>
      </w:r>
      <w:r w:rsidR="00E477A1" w:rsidRPr="005F3677">
        <w:rPr>
          <w:i/>
        </w:rPr>
        <w:t>Bacillus amyloliquefaciens</w:t>
      </w:r>
      <w:r w:rsidR="00E477A1" w:rsidRPr="00E477A1">
        <w:t xml:space="preserve"> (strain GT</w:t>
      </w:r>
      <w:r>
        <w:t>2</w:t>
      </w:r>
      <w:r w:rsidR="00E477A1" w:rsidRPr="00E477A1">
        <w:t xml:space="preserve">). </w:t>
      </w:r>
      <w:r w:rsidR="009D6386">
        <w:t>The parent micro</w:t>
      </w:r>
      <w:r w:rsidRPr="005F3677">
        <w:t xml:space="preserve">organism is classified as </w:t>
      </w:r>
      <w:r w:rsidRPr="005F3677">
        <w:rPr>
          <w:i/>
        </w:rPr>
        <w:t>B. amyloliquefaciens</w:t>
      </w:r>
      <w:r w:rsidRPr="005F3677">
        <w:t xml:space="preserve"> strain NP.</w:t>
      </w:r>
      <w:r>
        <w:t xml:space="preserve"> Strain GT2 </w:t>
      </w:r>
      <w:r w:rsidRPr="005F3677">
        <w:t xml:space="preserve">is </w:t>
      </w:r>
      <w:r w:rsidR="0095122A">
        <w:t>sourced</w:t>
      </w:r>
      <w:r w:rsidRPr="005F3677">
        <w:t xml:space="preserve"> from the NP strain by </w:t>
      </w:r>
      <w:r>
        <w:t xml:space="preserve">a </w:t>
      </w:r>
      <w:r w:rsidRPr="005F3677">
        <w:t xml:space="preserve">conventional process mutation using </w:t>
      </w:r>
      <w:r w:rsidRPr="009012AF">
        <w:rPr>
          <w:i/>
        </w:rPr>
        <w:t>N</w:t>
      </w:r>
      <w:r w:rsidRPr="005F3677">
        <w:t>-methyl-</w:t>
      </w:r>
      <w:r w:rsidRPr="009012AF">
        <w:rPr>
          <w:i/>
        </w:rPr>
        <w:t>N'</w:t>
      </w:r>
      <w:r w:rsidRPr="005F3677">
        <w:t>-nitrosoguanidine</w:t>
      </w:r>
      <w:r>
        <w:t>.</w:t>
      </w:r>
      <w:r w:rsidR="00CA66F5">
        <w:t xml:space="preserve"> </w:t>
      </w:r>
      <w:r>
        <w:t xml:space="preserve">The strain is </w:t>
      </w:r>
      <w:r w:rsidRPr="005F3677">
        <w:t>not genetically modified.</w:t>
      </w:r>
      <w:r w:rsidR="00E477A1" w:rsidRPr="00E477A1">
        <w:t xml:space="preserve"> </w:t>
      </w:r>
      <w:r w:rsidR="001F7CFD">
        <w:t xml:space="preserve">Whilst glutaminase activity is present in </w:t>
      </w:r>
      <w:r w:rsidR="001F7CFD" w:rsidRPr="005F3677">
        <w:rPr>
          <w:i/>
        </w:rPr>
        <w:t>B. amyloliquefaciens</w:t>
      </w:r>
      <w:r w:rsidR="001F7CFD">
        <w:rPr>
          <w:i/>
        </w:rPr>
        <w:t xml:space="preserve">, </w:t>
      </w:r>
      <w:r w:rsidR="009147BA">
        <w:t xml:space="preserve">strain GT2 </w:t>
      </w:r>
      <w:r w:rsidR="00F847FE">
        <w:t xml:space="preserve">is selected for its </w:t>
      </w:r>
      <w:r w:rsidR="001F7CFD">
        <w:t>improved glutaminase production</w:t>
      </w:r>
      <w:r w:rsidR="00F847FE">
        <w:t>.</w:t>
      </w:r>
    </w:p>
    <w:p w14:paraId="22565AFB" w14:textId="77777777" w:rsidR="005F3677" w:rsidRDefault="005F3677" w:rsidP="00E477A1">
      <w:pPr>
        <w:tabs>
          <w:tab w:val="left" w:pos="1530"/>
        </w:tabs>
      </w:pPr>
    </w:p>
    <w:p w14:paraId="3B30AE47" w14:textId="5EBCC2AC" w:rsidR="00325074" w:rsidRDefault="00325074" w:rsidP="00E477A1">
      <w:pPr>
        <w:tabs>
          <w:tab w:val="left" w:pos="1530"/>
        </w:tabs>
      </w:pPr>
      <w:r>
        <w:t xml:space="preserve">The glutaminase concentrate is </w:t>
      </w:r>
      <w:r w:rsidR="0095122A">
        <w:t>sourced</w:t>
      </w:r>
      <w:r>
        <w:t xml:space="preserve"> from </w:t>
      </w:r>
      <w:r w:rsidRPr="005F3677">
        <w:rPr>
          <w:i/>
        </w:rPr>
        <w:t>B. amyloliquefaciens</w:t>
      </w:r>
      <w:r w:rsidRPr="005F3677">
        <w:t xml:space="preserve"> </w:t>
      </w:r>
      <w:r>
        <w:t xml:space="preserve">through a process of fermentation. </w:t>
      </w:r>
      <w:r w:rsidR="00D82F09">
        <w:t>After filtration and purification, t</w:t>
      </w:r>
      <w:r>
        <w:t>he glutaminase concentrat</w:t>
      </w:r>
      <w:r w:rsidR="00CA66F5">
        <w:t>e</w:t>
      </w:r>
      <w:r>
        <w:t xml:space="preserve"> i</w:t>
      </w:r>
      <w:r w:rsidR="00CA66F5">
        <w:t xml:space="preserve">s diluted with sodium chloride </w:t>
      </w:r>
      <w:r>
        <w:t xml:space="preserve">to produce an enzyme preparation containing 9% </w:t>
      </w:r>
      <w:r w:rsidR="005F156B">
        <w:t>(w/w)</w:t>
      </w:r>
      <w:r>
        <w:t xml:space="preserve"> glutaminase concentration. The trade name for the enzyme preparation is Glutaminase SD-C100S. </w:t>
      </w:r>
      <w:r w:rsidR="00553475">
        <w:t xml:space="preserve"> </w:t>
      </w:r>
    </w:p>
    <w:p w14:paraId="279D058C" w14:textId="77777777" w:rsidR="00325074" w:rsidRDefault="00325074" w:rsidP="00E477A1">
      <w:pPr>
        <w:tabs>
          <w:tab w:val="left" w:pos="1530"/>
        </w:tabs>
      </w:pPr>
    </w:p>
    <w:p w14:paraId="32721F2C" w14:textId="77777777" w:rsidR="00D77690" w:rsidRDefault="00325074" w:rsidP="00E477A1">
      <w:pPr>
        <w:tabs>
          <w:tab w:val="left" w:pos="1530"/>
        </w:tabs>
      </w:pPr>
      <w:r>
        <w:t>T</w:t>
      </w:r>
      <w:r w:rsidR="005F3677" w:rsidRPr="005F3677">
        <w:t xml:space="preserve">he </w:t>
      </w:r>
      <w:r w:rsidR="00D77690">
        <w:t xml:space="preserve">Applicant reported that the </w:t>
      </w:r>
      <w:r w:rsidR="005F3677" w:rsidRPr="005F3677">
        <w:t xml:space="preserve">enzyme preparation </w:t>
      </w:r>
      <w:r>
        <w:t xml:space="preserve">is </w:t>
      </w:r>
      <w:r w:rsidR="005F3677" w:rsidRPr="005F3677">
        <w:t xml:space="preserve">inactivated either </w:t>
      </w:r>
      <w:r>
        <w:t>by</w:t>
      </w:r>
      <w:r w:rsidR="005F3677" w:rsidRPr="005F3677">
        <w:t xml:space="preserve"> changing the pH </w:t>
      </w:r>
      <w:r w:rsidR="00D77690">
        <w:t xml:space="preserve">or the temperature of the food, thus ensuring that the enzyme has no function in the final food product. Guidelines for pH and temperature to achieve enzyme inactivation were provided in the Application. </w:t>
      </w:r>
    </w:p>
    <w:p w14:paraId="24750979" w14:textId="77777777" w:rsidR="0053464E" w:rsidRPr="0053464E" w:rsidRDefault="00F33BB8" w:rsidP="00A56E34">
      <w:pPr>
        <w:pStyle w:val="Heading2"/>
      </w:pPr>
      <w:bookmarkStart w:id="17" w:name="_Toc300761892"/>
      <w:bookmarkStart w:id="18" w:name="_Toc300933421"/>
      <w:bookmarkStart w:id="19" w:name="_Toc438728873"/>
      <w:r>
        <w:t>1</w:t>
      </w:r>
      <w:r w:rsidR="00A56E34">
        <w:t>.3</w:t>
      </w:r>
      <w:r w:rsidR="00A56E34">
        <w:tab/>
        <w:t>The c</w:t>
      </w:r>
      <w:r w:rsidR="0053464E" w:rsidRPr="0053464E">
        <w:t>urrent Standard</w:t>
      </w:r>
      <w:bookmarkEnd w:id="17"/>
      <w:bookmarkEnd w:id="18"/>
      <w:bookmarkEnd w:id="19"/>
    </w:p>
    <w:p w14:paraId="38F92047" w14:textId="0EDB0E73" w:rsidR="00D209C9" w:rsidRDefault="00D209C9" w:rsidP="0053464E">
      <w:pPr>
        <w:rPr>
          <w:color w:val="000000" w:themeColor="text1"/>
        </w:rPr>
      </w:pPr>
      <w:r>
        <w:rPr>
          <w:color w:val="000000" w:themeColor="text1"/>
        </w:rPr>
        <w:t xml:space="preserve">All references to the </w:t>
      </w:r>
      <w:r w:rsidR="00EF1821" w:rsidRPr="00585316">
        <w:rPr>
          <w:i/>
        </w:rPr>
        <w:t>Australia New Zealand Food Standards Code</w:t>
      </w:r>
      <w:r w:rsidR="00EF1821" w:rsidRPr="00585316">
        <w:t xml:space="preserve"> </w:t>
      </w:r>
      <w:r w:rsidR="00EF1821">
        <w:t xml:space="preserve">(the </w:t>
      </w:r>
      <w:r>
        <w:rPr>
          <w:color w:val="000000" w:themeColor="text1"/>
        </w:rPr>
        <w:t>Code</w:t>
      </w:r>
      <w:r w:rsidR="00EF1821">
        <w:rPr>
          <w:color w:val="000000" w:themeColor="text1"/>
        </w:rPr>
        <w:t>)</w:t>
      </w:r>
      <w:r>
        <w:rPr>
          <w:color w:val="000000" w:themeColor="text1"/>
        </w:rPr>
        <w:t xml:space="preserve"> in this assessment summary and related SDs are to the revised Code</w:t>
      </w:r>
      <w:r w:rsidRPr="00D209C9">
        <w:t xml:space="preserve"> </w:t>
      </w:r>
      <w:r>
        <w:t>which takes effect and replaces the current Code on 1 March 2016</w:t>
      </w:r>
      <w:r>
        <w:rPr>
          <w:color w:val="000000" w:themeColor="text1"/>
        </w:rPr>
        <w:t xml:space="preserve">. </w:t>
      </w:r>
      <w:r>
        <w:t xml:space="preserve">This is because the gazettal of any draft variation is not expected </w:t>
      </w:r>
      <w:r w:rsidRPr="00221EC3">
        <w:t xml:space="preserve">after this date, </w:t>
      </w:r>
      <w:r>
        <w:t>if approved by the FSANZ Board</w:t>
      </w:r>
      <w:r w:rsidRPr="00D209C9">
        <w:t xml:space="preserve"> </w:t>
      </w:r>
      <w:r>
        <w:t xml:space="preserve">and no review of that decision is requested by Ministers, and </w:t>
      </w:r>
      <w:r w:rsidR="002C4A91">
        <w:t>FSANZ</w:t>
      </w:r>
      <w:r>
        <w:t xml:space="preserve"> therefore considers it is unnecessary to amend the current Code.</w:t>
      </w:r>
      <w:r w:rsidRPr="001E1FAB">
        <w:rPr>
          <w:color w:val="000000" w:themeColor="text1"/>
        </w:rPr>
        <w:t xml:space="preserve"> </w:t>
      </w:r>
    </w:p>
    <w:p w14:paraId="207F51BC" w14:textId="23C4B6D8" w:rsidR="000A5769" w:rsidRDefault="000A5769" w:rsidP="0053464E">
      <w:pPr>
        <w:rPr>
          <w:color w:val="000000" w:themeColor="text1"/>
        </w:rPr>
      </w:pPr>
    </w:p>
    <w:p w14:paraId="48581BE9" w14:textId="1C546725" w:rsidR="00D209C9" w:rsidRDefault="000A5769" w:rsidP="0053464E">
      <w:pPr>
        <w:rPr>
          <w:color w:val="000000" w:themeColor="text1"/>
        </w:rPr>
      </w:pPr>
      <w:r>
        <w:rPr>
          <w:color w:val="000000" w:themeColor="text1"/>
        </w:rPr>
        <w:t xml:space="preserve">Enzymes used in processing and manufacturing food are considered processing aids. Only those processing aids listed in Schedule </w:t>
      </w:r>
      <w:r>
        <w:t xml:space="preserve">18 </w:t>
      </w:r>
      <w:r w:rsidR="000574C0">
        <w:t xml:space="preserve">of the revised </w:t>
      </w:r>
      <w:r w:rsidRPr="00FE4508">
        <w:t>Code</w:t>
      </w:r>
      <w:r w:rsidR="000574C0">
        <w:t xml:space="preserve"> </w:t>
      </w:r>
      <w:r>
        <w:t>are permitted to be used in producing food sold in Australia and New Zealand</w:t>
      </w:r>
      <w:r w:rsidRPr="00FE4508">
        <w:t>.</w:t>
      </w:r>
      <w:r>
        <w:t xml:space="preserve"> Permitted enzymes of microbial origin are listed in the </w:t>
      </w:r>
      <w:r w:rsidR="000C4528">
        <w:t>t</w:t>
      </w:r>
      <w:r w:rsidRPr="000A5769">
        <w:t xml:space="preserve">able to </w:t>
      </w:r>
      <w:r w:rsidR="00C70B37">
        <w:t>subsection</w:t>
      </w:r>
      <w:r w:rsidR="00CE3CC8">
        <w:t xml:space="preserve"> S18</w:t>
      </w:r>
      <w:r w:rsidR="00CE3CC8" w:rsidRPr="00E71572">
        <w:t>—</w:t>
      </w:r>
      <w:r w:rsidR="00CE3CC8">
        <w:t>4(</w:t>
      </w:r>
      <w:r w:rsidRPr="000A5769">
        <w:t>5).</w:t>
      </w:r>
    </w:p>
    <w:p w14:paraId="22A305AA" w14:textId="6BEDA865" w:rsidR="000A5769" w:rsidRDefault="000A5769" w:rsidP="0053464E">
      <w:pPr>
        <w:rPr>
          <w:color w:val="000000" w:themeColor="text1"/>
        </w:rPr>
      </w:pPr>
    </w:p>
    <w:p w14:paraId="212270C7" w14:textId="77777777" w:rsidR="00FF6690" w:rsidRDefault="00FF6690" w:rsidP="0053464E">
      <w:pPr>
        <w:rPr>
          <w:color w:val="000000" w:themeColor="text1"/>
        </w:rPr>
      </w:pPr>
      <w:r>
        <w:rPr>
          <w:color w:val="000000" w:themeColor="text1"/>
        </w:rPr>
        <w:br w:type="page"/>
      </w:r>
    </w:p>
    <w:p w14:paraId="4FB4F37B" w14:textId="2A33D295" w:rsidR="000A5769" w:rsidRDefault="000A5769" w:rsidP="0053464E">
      <w:pPr>
        <w:rPr>
          <w:color w:val="000000" w:themeColor="text1"/>
        </w:rPr>
      </w:pPr>
      <w:r>
        <w:rPr>
          <w:color w:val="000000" w:themeColor="text1"/>
        </w:rPr>
        <w:lastRenderedPageBreak/>
        <w:t>Currently there are no permissions for the enzyme glutaminase or enzyme with the EC number</w:t>
      </w:r>
      <w:r w:rsidRPr="000A5769">
        <w:rPr>
          <w:color w:val="000000" w:themeColor="text1"/>
        </w:rPr>
        <w:t xml:space="preserve"> 3.5.1.2</w:t>
      </w:r>
      <w:r>
        <w:rPr>
          <w:color w:val="000000" w:themeColor="text1"/>
        </w:rPr>
        <w:t xml:space="preserve"> in the revised Code. </w:t>
      </w:r>
      <w:r>
        <w:rPr>
          <w:i/>
          <w:color w:val="000000" w:themeColor="text1"/>
        </w:rPr>
        <w:t xml:space="preserve">B. amyloliquefaciens </w:t>
      </w:r>
      <w:r>
        <w:rPr>
          <w:color w:val="000000" w:themeColor="text1"/>
        </w:rPr>
        <w:t xml:space="preserve">is the host microorganism for </w:t>
      </w:r>
      <w:r w:rsidR="00D77690">
        <w:rPr>
          <w:color w:val="000000" w:themeColor="text1"/>
        </w:rPr>
        <w:t>ten o</w:t>
      </w:r>
      <w:r>
        <w:rPr>
          <w:color w:val="000000" w:themeColor="text1"/>
        </w:rPr>
        <w:t>ther permitted enzymes in the Code.</w:t>
      </w:r>
    </w:p>
    <w:p w14:paraId="1B13DC14" w14:textId="05675593" w:rsidR="00B87396" w:rsidRDefault="00B87396" w:rsidP="0053464E">
      <w:pPr>
        <w:rPr>
          <w:color w:val="000000" w:themeColor="text1"/>
        </w:rPr>
      </w:pPr>
    </w:p>
    <w:p w14:paraId="2299E809" w14:textId="6D05C2DE" w:rsidR="00B87396" w:rsidRDefault="00B87396" w:rsidP="0053464E">
      <w:pPr>
        <w:rPr>
          <w:color w:val="000000" w:themeColor="text1"/>
        </w:rPr>
      </w:pPr>
      <w:r>
        <w:t xml:space="preserve">If approved, the </w:t>
      </w:r>
      <w:r w:rsidR="000C4528">
        <w:t>t</w:t>
      </w:r>
      <w:r>
        <w:t xml:space="preserve">able to </w:t>
      </w:r>
      <w:r w:rsidR="006A31EB">
        <w:t>subsection</w:t>
      </w:r>
      <w:r>
        <w:t xml:space="preserve"> S18</w:t>
      </w:r>
      <w:r w:rsidRPr="00E71572">
        <w:t>—</w:t>
      </w:r>
      <w:r>
        <w:t>4(</w:t>
      </w:r>
      <w:r w:rsidRPr="000A5769">
        <w:t>5)</w:t>
      </w:r>
      <w:r>
        <w:t xml:space="preserve"> </w:t>
      </w:r>
      <w:r w:rsidR="00DE42C1">
        <w:t>would</w:t>
      </w:r>
      <w:r>
        <w:t xml:space="preserve"> refer to </w:t>
      </w:r>
      <w:r w:rsidRPr="009640B1">
        <w:rPr>
          <w:i/>
        </w:rPr>
        <w:t>B. amyloliquefaciens</w:t>
      </w:r>
      <w:r>
        <w:rPr>
          <w:i/>
        </w:rPr>
        <w:t xml:space="preserve"> </w:t>
      </w:r>
      <w:r>
        <w:t xml:space="preserve">without reference to the specific strain, as the Code does not normally identify </w:t>
      </w:r>
      <w:r w:rsidR="001F7CFD">
        <w:t xml:space="preserve">microorganisms down to strains, just to species. </w:t>
      </w:r>
      <w:r w:rsidR="00F847FE">
        <w:t>Exceptions to this are where the properties belong to a particular strain only, or if there are significant safety or other considerations associated with that strain</w:t>
      </w:r>
      <w:r w:rsidR="00064CDE">
        <w:t>, which is not the current situation</w:t>
      </w:r>
      <w:r w:rsidR="00F847FE">
        <w:t xml:space="preserve">. </w:t>
      </w:r>
    </w:p>
    <w:p w14:paraId="72E03DF8" w14:textId="77777777" w:rsidR="000A5769" w:rsidRPr="003246F7" w:rsidRDefault="000A5769" w:rsidP="000A5769">
      <w:pPr>
        <w:pStyle w:val="Heading3"/>
      </w:pPr>
      <w:bookmarkStart w:id="20" w:name="_Toc392138895"/>
      <w:bookmarkStart w:id="21" w:name="_Toc402946760"/>
      <w:bookmarkStart w:id="22" w:name="_Toc404936793"/>
      <w:bookmarkStart w:id="23" w:name="_Toc438728874"/>
      <w:r w:rsidRPr="003246F7">
        <w:t>1.3.1</w:t>
      </w:r>
      <w:r w:rsidRPr="003246F7">
        <w:tab/>
        <w:t>International Standards</w:t>
      </w:r>
      <w:bookmarkEnd w:id="20"/>
      <w:bookmarkEnd w:id="21"/>
      <w:bookmarkEnd w:id="22"/>
      <w:bookmarkEnd w:id="23"/>
    </w:p>
    <w:p w14:paraId="1FB63900" w14:textId="532B09BF" w:rsidR="000A5769" w:rsidRPr="003246F7" w:rsidRDefault="000A5769" w:rsidP="000A5769">
      <w:r w:rsidRPr="003246F7">
        <w:t xml:space="preserve">Codex Alimentarius does not </w:t>
      </w:r>
      <w:r>
        <w:t>have</w:t>
      </w:r>
      <w:r w:rsidRPr="003246F7">
        <w:t xml:space="preserve"> Standards for processing aids or enzymes. Individual countries regulate the use of enzymes differently to </w:t>
      </w:r>
      <w:r w:rsidR="00EC32B8">
        <w:t xml:space="preserve">how they are regulated in </w:t>
      </w:r>
      <w:r w:rsidRPr="003246F7">
        <w:t xml:space="preserve">the Code. However, there are internationally recognised specifications for enzymes. These enzyme specifications are provided by the Joint FAO/WHO Expert Committee on Food Additives </w:t>
      </w:r>
      <w:r>
        <w:rPr>
          <w:noProof/>
        </w:rPr>
        <w:t>(</w:t>
      </w:r>
      <w:r w:rsidRPr="00055A6A">
        <w:rPr>
          <w:noProof/>
        </w:rPr>
        <w:t>JECFA</w:t>
      </w:r>
      <w:r w:rsidR="00C70B37" w:rsidRPr="00055A6A">
        <w:rPr>
          <w:noProof/>
        </w:rPr>
        <w:t>,</w:t>
      </w:r>
      <w:r w:rsidRPr="00055A6A">
        <w:rPr>
          <w:noProof/>
        </w:rPr>
        <w:t xml:space="preserve"> 2006</w:t>
      </w:r>
      <w:r>
        <w:rPr>
          <w:noProof/>
        </w:rPr>
        <w:t>)</w:t>
      </w:r>
      <w:r w:rsidRPr="003246F7">
        <w:t xml:space="preserve"> and the Food Chemicals Codex</w:t>
      </w:r>
      <w:r>
        <w:t xml:space="preserve"> (</w:t>
      </w:r>
      <w:r w:rsidR="00FC6E3F" w:rsidRPr="00055A6A">
        <w:t>Food Chemicals Codex</w:t>
      </w:r>
      <w:r w:rsidR="00C70B37" w:rsidRPr="00055A6A">
        <w:t>,</w:t>
      </w:r>
      <w:r w:rsidR="00FC6E3F" w:rsidRPr="00055A6A">
        <w:t xml:space="preserve"> 201</w:t>
      </w:r>
      <w:r w:rsidR="00340D96" w:rsidRPr="00055A6A">
        <w:t>5</w:t>
      </w:r>
      <w:r>
        <w:t>)</w:t>
      </w:r>
      <w:r w:rsidRPr="000A6D45">
        <w:t>.</w:t>
      </w:r>
    </w:p>
    <w:p w14:paraId="2CB569AD" w14:textId="77777777" w:rsidR="000A5769" w:rsidRDefault="000A5769" w:rsidP="000A5769"/>
    <w:p w14:paraId="3A58DF32" w14:textId="1111A2FB" w:rsidR="00832B9C" w:rsidRDefault="000A5769" w:rsidP="000A5769">
      <w:r>
        <w:t xml:space="preserve">The enzyme preparation </w:t>
      </w:r>
      <w:r w:rsidR="00402D8C">
        <w:t xml:space="preserve">Glutaminase </w:t>
      </w:r>
      <w:r w:rsidR="00A14053">
        <w:t xml:space="preserve">SD-C100S </w:t>
      </w:r>
      <w:r>
        <w:t xml:space="preserve">has been </w:t>
      </w:r>
      <w:r w:rsidR="003840D6">
        <w:t>permitted</w:t>
      </w:r>
      <w:r>
        <w:t xml:space="preserve"> for use in food production in </w:t>
      </w:r>
      <w:r w:rsidR="00832B9C">
        <w:t>France (</w:t>
      </w:r>
      <w:proofErr w:type="spellStart"/>
      <w:r w:rsidR="00832B9C">
        <w:t>Saisine</w:t>
      </w:r>
      <w:proofErr w:type="spellEnd"/>
      <w:r w:rsidR="00832B9C">
        <w:t xml:space="preserve"> n</w:t>
      </w:r>
      <w:r w:rsidR="00832B9C">
        <w:rPr>
          <w:rFonts w:cs="Arial"/>
        </w:rPr>
        <w:t>°</w:t>
      </w:r>
      <w:r w:rsidR="00832B9C">
        <w:t xml:space="preserve"> 2009-SA-0089 / </w:t>
      </w:r>
      <w:proofErr w:type="spellStart"/>
      <w:r w:rsidR="00832B9C">
        <w:t>Saisine</w:t>
      </w:r>
      <w:proofErr w:type="spellEnd"/>
      <w:r w:rsidR="00832B9C">
        <w:t xml:space="preserve"> </w:t>
      </w:r>
      <w:proofErr w:type="spellStart"/>
      <w:r w:rsidR="00832B9C">
        <w:t>li</w:t>
      </w:r>
      <w:r w:rsidR="00832B9C">
        <w:rPr>
          <w:rFonts w:cs="Arial"/>
        </w:rPr>
        <w:t>é</w:t>
      </w:r>
      <w:r w:rsidR="00832B9C">
        <w:t>e</w:t>
      </w:r>
      <w:proofErr w:type="spellEnd"/>
      <w:r w:rsidR="00832B9C">
        <w:t xml:space="preserve"> no</w:t>
      </w:r>
      <w:r w:rsidR="00832B9C">
        <w:rPr>
          <w:rFonts w:cs="Arial"/>
        </w:rPr>
        <w:t>°</w:t>
      </w:r>
      <w:r w:rsidR="00832B9C">
        <w:t xml:space="preserve"> 2009-SA-0330, July 16, 2009 (</w:t>
      </w:r>
      <w:proofErr w:type="spellStart"/>
      <w:r w:rsidR="00832B9C" w:rsidRPr="00055A6A">
        <w:t>AFSSA</w:t>
      </w:r>
      <w:proofErr w:type="spellEnd"/>
      <w:r w:rsidR="00832B9C" w:rsidRPr="00055A6A">
        <w:t>, 2009</w:t>
      </w:r>
      <w:r w:rsidR="00832B9C">
        <w:t>)) and Japan</w:t>
      </w:r>
      <w:r w:rsidR="00E40467">
        <w:t>, where it appears on the ‘</w:t>
      </w:r>
      <w:r w:rsidR="00832B9C">
        <w:t>List of Existing Food Additives</w:t>
      </w:r>
      <w:r w:rsidR="00E40467">
        <w:t>’</w:t>
      </w:r>
      <w:r w:rsidR="00832B9C">
        <w:t xml:space="preserve"> published by the Ministry of Health and Welfare Japan </w:t>
      </w:r>
      <w:r w:rsidR="00E40467">
        <w:t xml:space="preserve">(microbial source not specified) </w:t>
      </w:r>
      <w:r w:rsidR="00832B9C">
        <w:t>(</w:t>
      </w:r>
      <w:proofErr w:type="spellStart"/>
      <w:r w:rsidR="00832B9C" w:rsidRPr="00055A6A">
        <w:t>MHLW</w:t>
      </w:r>
      <w:proofErr w:type="spellEnd"/>
      <w:r w:rsidRPr="00055A6A">
        <w:t xml:space="preserve">, </w:t>
      </w:r>
      <w:r w:rsidR="00832B9C" w:rsidRPr="00055A6A">
        <w:t>2014</w:t>
      </w:r>
      <w:r w:rsidR="00832B9C">
        <w:t>)</w:t>
      </w:r>
      <w:r w:rsidR="00E40467">
        <w:t>.</w:t>
      </w:r>
    </w:p>
    <w:p w14:paraId="0E6EE796" w14:textId="48BEC51C" w:rsidR="00AF387F" w:rsidRPr="000B6AF2" w:rsidRDefault="00F33BB8" w:rsidP="00D062E4">
      <w:pPr>
        <w:pStyle w:val="Heading2"/>
        <w:rPr>
          <w:u w:color="FFFF00"/>
        </w:rPr>
      </w:pPr>
      <w:bookmarkStart w:id="24" w:name="_Toc286391007"/>
      <w:bookmarkStart w:id="25" w:name="_Toc438728875"/>
      <w:bookmarkStart w:id="26" w:name="_Toc300933423"/>
      <w:bookmarkStart w:id="27" w:name="_Toc175381432"/>
      <w:r>
        <w:rPr>
          <w:u w:color="FFFF00"/>
        </w:rPr>
        <w:t>1</w:t>
      </w:r>
      <w:r w:rsidR="00606C88">
        <w:rPr>
          <w:u w:color="FFFF00"/>
        </w:rPr>
        <w:t>.4</w:t>
      </w:r>
      <w:r w:rsidR="001542D8">
        <w:rPr>
          <w:u w:color="FFFF00"/>
        </w:rPr>
        <w:tab/>
      </w:r>
      <w:r w:rsidR="00741EFE" w:rsidRPr="00E818EA">
        <w:rPr>
          <w:u w:color="FFFF00"/>
        </w:rPr>
        <w:t>Reasons for accepting A</w:t>
      </w:r>
      <w:r w:rsidR="00AF387F" w:rsidRPr="00E818EA">
        <w:rPr>
          <w:u w:color="FFFF00"/>
        </w:rPr>
        <w:t>pplication</w:t>
      </w:r>
      <w:bookmarkEnd w:id="24"/>
      <w:bookmarkEnd w:id="25"/>
      <w:r w:rsidR="00180C41" w:rsidRPr="00E818EA">
        <w:rPr>
          <w:u w:color="FFFF00"/>
        </w:rPr>
        <w:t xml:space="preserve"> </w:t>
      </w:r>
      <w:bookmarkEnd w:id="26"/>
    </w:p>
    <w:p w14:paraId="775B858C" w14:textId="77777777" w:rsidR="00DA2766" w:rsidRPr="008738D6" w:rsidRDefault="00DA2766" w:rsidP="00DA2766">
      <w:bookmarkStart w:id="28" w:name="_Toc286391008"/>
      <w:bookmarkStart w:id="29" w:name="_Toc11735630"/>
      <w:bookmarkStart w:id="30" w:name="_Toc29883114"/>
      <w:bookmarkStart w:id="31" w:name="_Toc41906801"/>
      <w:bookmarkStart w:id="32" w:name="_Toc41907548"/>
      <w:bookmarkStart w:id="33" w:name="_Toc120358578"/>
      <w:bookmarkStart w:id="34" w:name="_Toc175381435"/>
      <w:bookmarkEnd w:id="3"/>
      <w:bookmarkEnd w:id="4"/>
      <w:bookmarkEnd w:id="5"/>
      <w:bookmarkEnd w:id="6"/>
      <w:bookmarkEnd w:id="7"/>
      <w:bookmarkEnd w:id="27"/>
      <w:r w:rsidRPr="008738D6">
        <w:t>The Application was accepted for assessment because:</w:t>
      </w:r>
    </w:p>
    <w:p w14:paraId="0D1F43D3" w14:textId="77777777" w:rsidR="00DA2766" w:rsidRPr="00DE79D9" w:rsidRDefault="00DA2766" w:rsidP="00DA2766"/>
    <w:p w14:paraId="0379A1CA" w14:textId="77777777" w:rsidR="00DA2766" w:rsidRPr="003246F7" w:rsidRDefault="00DA2766" w:rsidP="00DA2766">
      <w:pPr>
        <w:pStyle w:val="FSBullet"/>
      </w:pPr>
      <w:r w:rsidRPr="003246F7">
        <w:t>it complied with the procedural requirements under subsection 22(2) of the FSANZ Act</w:t>
      </w:r>
    </w:p>
    <w:p w14:paraId="6C407555" w14:textId="77777777" w:rsidR="00DA2766" w:rsidRPr="003246F7" w:rsidRDefault="00DA2766" w:rsidP="00DA2766">
      <w:pPr>
        <w:pStyle w:val="FSBullet"/>
      </w:pPr>
      <w:proofErr w:type="gramStart"/>
      <w:r w:rsidRPr="003246F7">
        <w:t>it</w:t>
      </w:r>
      <w:proofErr w:type="gramEnd"/>
      <w:r w:rsidRPr="003246F7">
        <w:t xml:space="preserve"> related to a matter that might be developed as a food regulatory measure</w:t>
      </w:r>
      <w:r>
        <w:t>.</w:t>
      </w:r>
    </w:p>
    <w:p w14:paraId="4B4BFEF8" w14:textId="77777777" w:rsidR="00DE79D9" w:rsidRDefault="00D3171B" w:rsidP="00DE79D9">
      <w:pPr>
        <w:pStyle w:val="Heading2"/>
      </w:pPr>
      <w:bookmarkStart w:id="35" w:name="_Toc438728876"/>
      <w:r>
        <w:t>1</w:t>
      </w:r>
      <w:r w:rsidR="00606C88">
        <w:t>.5</w:t>
      </w:r>
      <w:r w:rsidR="00DE79D9">
        <w:tab/>
        <w:t>Procedure for assessment</w:t>
      </w:r>
      <w:bookmarkEnd w:id="35"/>
    </w:p>
    <w:p w14:paraId="3D814CF8" w14:textId="0CCA3095" w:rsidR="00DE79D9" w:rsidRDefault="00DE79D9" w:rsidP="00DE79D9">
      <w:r w:rsidRPr="00932F14">
        <w:t xml:space="preserve">The </w:t>
      </w:r>
      <w:r w:rsidRPr="00DA2766">
        <w:t xml:space="preserve">Application </w:t>
      </w:r>
      <w:r w:rsidR="000C4528">
        <w:t xml:space="preserve">is being </w:t>
      </w:r>
      <w:r w:rsidRPr="00932F14">
        <w:t>assessed under the</w:t>
      </w:r>
      <w:r w:rsidR="00DA2766">
        <w:t xml:space="preserve"> General </w:t>
      </w:r>
      <w:r>
        <w:t>P</w:t>
      </w:r>
      <w:r w:rsidRPr="00932F14">
        <w:t>rocedure.</w:t>
      </w:r>
    </w:p>
    <w:p w14:paraId="2472924C" w14:textId="77777777" w:rsidR="00DE79D9" w:rsidRPr="00D062E4" w:rsidRDefault="00DE79D9" w:rsidP="00180C41"/>
    <w:p w14:paraId="5A633D08" w14:textId="77777777" w:rsidR="00AF387F" w:rsidRPr="00180C41" w:rsidRDefault="00D3171B" w:rsidP="00180C41">
      <w:pPr>
        <w:pStyle w:val="Heading1"/>
      </w:pPr>
      <w:bookmarkStart w:id="36" w:name="_Toc300933424"/>
      <w:bookmarkStart w:id="37" w:name="_Toc438728877"/>
      <w:r>
        <w:t>2</w:t>
      </w:r>
      <w:r w:rsidR="001542D8">
        <w:tab/>
      </w:r>
      <w:r w:rsidR="00350DBD">
        <w:t>S</w:t>
      </w:r>
      <w:r w:rsidR="00FB1533">
        <w:t>ummary of the a</w:t>
      </w:r>
      <w:r w:rsidR="00FD2FBE">
        <w:t>ssessment</w:t>
      </w:r>
      <w:bookmarkEnd w:id="28"/>
      <w:bookmarkEnd w:id="36"/>
      <w:bookmarkEnd w:id="37"/>
    </w:p>
    <w:p w14:paraId="5E610A45" w14:textId="32CAF19E" w:rsidR="004F69F6" w:rsidRPr="00932F14" w:rsidRDefault="00D3171B" w:rsidP="004646F8">
      <w:pPr>
        <w:pStyle w:val="Heading2"/>
      </w:pPr>
      <w:bookmarkStart w:id="38" w:name="_Toc286391009"/>
      <w:bookmarkStart w:id="39" w:name="_Toc300933425"/>
      <w:bookmarkStart w:id="40" w:name="_Toc438728878"/>
      <w:bookmarkStart w:id="41" w:name="_Toc120358583"/>
      <w:bookmarkStart w:id="42" w:name="_Toc175381440"/>
      <w:r>
        <w:t>2</w:t>
      </w:r>
      <w:r w:rsidR="00271F00">
        <w:t>.</w:t>
      </w:r>
      <w:r w:rsidR="00DA2766">
        <w:t>1</w:t>
      </w:r>
      <w:r w:rsidR="00271F00">
        <w:tab/>
      </w:r>
      <w:r w:rsidR="004F69F6" w:rsidRPr="00932F14">
        <w:t xml:space="preserve">Risk </w:t>
      </w:r>
      <w:r w:rsidR="00741EFE">
        <w:t>a</w:t>
      </w:r>
      <w:r w:rsidR="004F69F6" w:rsidRPr="00932F14">
        <w:t>ssessment</w:t>
      </w:r>
      <w:bookmarkEnd w:id="38"/>
      <w:bookmarkEnd w:id="39"/>
      <w:bookmarkEnd w:id="40"/>
      <w:r w:rsidR="004F69F6" w:rsidRPr="00932F14">
        <w:t xml:space="preserve"> </w:t>
      </w:r>
      <w:bookmarkEnd w:id="41"/>
      <w:bookmarkEnd w:id="42"/>
    </w:p>
    <w:p w14:paraId="1AC6EFA7" w14:textId="210AB1E9" w:rsidR="00DA2766" w:rsidRDefault="00DA2766" w:rsidP="00DA2766">
      <w:r w:rsidRPr="00C70B37">
        <w:t xml:space="preserve">There </w:t>
      </w:r>
      <w:r w:rsidR="00DE42C1" w:rsidRPr="00C70B37">
        <w:t>were</w:t>
      </w:r>
      <w:r w:rsidRPr="00C70B37">
        <w:t xml:space="preserve"> no public health and safety issues associated with the use of the enzyme preparation</w:t>
      </w:r>
      <w:r w:rsidR="00402D8C" w:rsidRPr="00C70B37">
        <w:t xml:space="preserve"> Glutaminase SD-C100S</w:t>
      </w:r>
      <w:r w:rsidRPr="00C70B37">
        <w:t xml:space="preserve">, containing glutaminase sourced from a chemically mutated strain of </w:t>
      </w:r>
      <w:r w:rsidRPr="00C70B37">
        <w:rPr>
          <w:i/>
        </w:rPr>
        <w:t>B. amyloliquefaciens</w:t>
      </w:r>
      <w:r w:rsidRPr="00C70B37">
        <w:t>, as a food processing aid on the basis of the following considerations:</w:t>
      </w:r>
    </w:p>
    <w:p w14:paraId="7E9AC997" w14:textId="155CE7EA" w:rsidR="00C70B37" w:rsidRDefault="00C70B37" w:rsidP="00DA2766"/>
    <w:p w14:paraId="5A14FB53" w14:textId="46A6BB24" w:rsidR="00C70B37" w:rsidRPr="00585316" w:rsidRDefault="00C70B37" w:rsidP="00C70B37">
      <w:pPr>
        <w:numPr>
          <w:ilvl w:val="0"/>
          <w:numId w:val="9"/>
        </w:numPr>
        <w:ind w:left="709" w:hanging="709"/>
      </w:pPr>
      <w:r w:rsidRPr="00585316">
        <w:t xml:space="preserve">The production organism is not toxigenic or pathogenic and is not present in the final enzyme preparation used as the food processing aid. Further, </w:t>
      </w:r>
      <w:r w:rsidRPr="00585316">
        <w:rPr>
          <w:i/>
        </w:rPr>
        <w:t xml:space="preserve">B. amyloliquefaciens </w:t>
      </w:r>
      <w:r w:rsidRPr="00585316">
        <w:t xml:space="preserve">has a history of safe use as the production organism for a number </w:t>
      </w:r>
      <w:r w:rsidR="00C62B4B">
        <w:t>of</w:t>
      </w:r>
      <w:r w:rsidRPr="00585316">
        <w:t xml:space="preserve"> processing aids already permitted in the Code.  </w:t>
      </w:r>
    </w:p>
    <w:p w14:paraId="71FA9097" w14:textId="77777777" w:rsidR="00C70B37" w:rsidRPr="00585316" w:rsidRDefault="00C70B37" w:rsidP="00C70B37">
      <w:pPr>
        <w:ind w:left="709" w:hanging="709"/>
      </w:pPr>
    </w:p>
    <w:p w14:paraId="3489F135" w14:textId="77777777" w:rsidR="00C70B37" w:rsidRPr="00585316" w:rsidRDefault="00C70B37" w:rsidP="00C70B37">
      <w:pPr>
        <w:numPr>
          <w:ilvl w:val="0"/>
          <w:numId w:val="9"/>
        </w:numPr>
        <w:ind w:left="709" w:hanging="709"/>
      </w:pPr>
      <w:r w:rsidRPr="00585316">
        <w:t>Glutaminase has a long history of safe use and although residual enzyme is expected to be present in the final food, it would be inactive and susceptible to digestion like any other dietary protein.</w:t>
      </w:r>
    </w:p>
    <w:p w14:paraId="2AF75DF0" w14:textId="77777777" w:rsidR="00C70B37" w:rsidRPr="00585316" w:rsidRDefault="00C70B37" w:rsidP="00C70B37">
      <w:pPr>
        <w:ind w:left="709" w:hanging="709"/>
      </w:pPr>
    </w:p>
    <w:p w14:paraId="36960E95" w14:textId="77777777" w:rsidR="00FF6690" w:rsidRDefault="00FF6690" w:rsidP="00C70B37">
      <w:pPr>
        <w:numPr>
          <w:ilvl w:val="0"/>
          <w:numId w:val="9"/>
        </w:numPr>
        <w:ind w:left="709" w:hanging="709"/>
      </w:pPr>
      <w:r>
        <w:br w:type="page"/>
      </w:r>
    </w:p>
    <w:p w14:paraId="6EDB984D" w14:textId="4A6C44BE" w:rsidR="00C70B37" w:rsidRPr="00585316" w:rsidRDefault="00C70B37" w:rsidP="00C70B37">
      <w:pPr>
        <w:numPr>
          <w:ilvl w:val="0"/>
          <w:numId w:val="9"/>
        </w:numPr>
        <w:ind w:left="709" w:hanging="709"/>
      </w:pPr>
      <w:r w:rsidRPr="00585316">
        <w:lastRenderedPageBreak/>
        <w:t>Complete digestion of the enzyme in simulated digestive fluid suggests the enzyme is unlikely to be toxic.</w:t>
      </w:r>
    </w:p>
    <w:p w14:paraId="796EB330" w14:textId="77777777" w:rsidR="00C70B37" w:rsidRPr="00585316" w:rsidRDefault="00C70B37" w:rsidP="00C70B37">
      <w:pPr>
        <w:ind w:left="709" w:hanging="709"/>
      </w:pPr>
    </w:p>
    <w:p w14:paraId="26DD23F6" w14:textId="4A0AA5FA" w:rsidR="00C70B37" w:rsidRPr="00585316" w:rsidRDefault="00C70B37" w:rsidP="00C70B37">
      <w:pPr>
        <w:numPr>
          <w:ilvl w:val="0"/>
          <w:numId w:val="9"/>
        </w:numPr>
        <w:ind w:left="709" w:hanging="709"/>
      </w:pPr>
      <w:r w:rsidRPr="00585316">
        <w:t xml:space="preserve">The enzyme preparation caused no observable </w:t>
      </w:r>
      <w:r w:rsidR="004419A2">
        <w:t xml:space="preserve">adverse </w:t>
      </w:r>
      <w:r w:rsidRPr="00585316">
        <w:t>effects at the second-highest tested doses in a 13-week repeated dose toxicity study in rats. The NOAEL for the glutaminase concentrate was determined to be 0.6% w/w of the diet or 388 mg/kg bw/d (male rats) and 450 mg/kg bw/d (female rats).</w:t>
      </w:r>
    </w:p>
    <w:p w14:paraId="0CB96106" w14:textId="77777777" w:rsidR="00C70B37" w:rsidRPr="00585316" w:rsidRDefault="00C70B37" w:rsidP="00C70B37">
      <w:pPr>
        <w:ind w:left="709" w:hanging="709"/>
      </w:pPr>
    </w:p>
    <w:p w14:paraId="3ECBCFB0" w14:textId="7701A29C" w:rsidR="00C70B37" w:rsidRPr="00585316" w:rsidRDefault="00C70B37" w:rsidP="00C70B37">
      <w:pPr>
        <w:numPr>
          <w:ilvl w:val="0"/>
          <w:numId w:val="9"/>
        </w:numPr>
        <w:ind w:left="709" w:hanging="709"/>
      </w:pPr>
      <w:r w:rsidRPr="00585316">
        <w:t xml:space="preserve">The enzyme </w:t>
      </w:r>
      <w:r w:rsidR="004552CB">
        <w:t>i</w:t>
      </w:r>
      <w:r w:rsidRPr="00585316">
        <w:t xml:space="preserve">s not genotoxic or mutagenic </w:t>
      </w:r>
      <w:r w:rsidRPr="00585316">
        <w:rPr>
          <w:i/>
        </w:rPr>
        <w:t>in vitro</w:t>
      </w:r>
      <w:r w:rsidRPr="00585316">
        <w:t>.</w:t>
      </w:r>
    </w:p>
    <w:p w14:paraId="2BEB68BB" w14:textId="77777777" w:rsidR="00C70B37" w:rsidRPr="00585316" w:rsidRDefault="00C70B37" w:rsidP="00C70B37">
      <w:pPr>
        <w:ind w:left="709" w:hanging="709"/>
      </w:pPr>
    </w:p>
    <w:p w14:paraId="011DA6F4" w14:textId="54FD3EFB" w:rsidR="00C70B37" w:rsidRPr="00585316" w:rsidRDefault="00C70B37" w:rsidP="00C70B37">
      <w:pPr>
        <w:numPr>
          <w:ilvl w:val="0"/>
          <w:numId w:val="9"/>
        </w:numPr>
        <w:ind w:left="709" w:hanging="709"/>
      </w:pPr>
      <w:r w:rsidRPr="00585316">
        <w:t>Bioinformatic analysis indicated that the enzyme has no biologically relevant homology to known protein allergens.</w:t>
      </w:r>
      <w:r w:rsidR="0000699F">
        <w:t xml:space="preserve"> This means that the enzyme is not likely to be allergenic.</w:t>
      </w:r>
    </w:p>
    <w:p w14:paraId="634397BE" w14:textId="77777777" w:rsidR="00DA2766" w:rsidRPr="00FF6690" w:rsidRDefault="00DA2766" w:rsidP="00DA2766"/>
    <w:p w14:paraId="4BD3EFAD" w14:textId="50185CC8" w:rsidR="00180C41" w:rsidRPr="00C70B37" w:rsidRDefault="00DA2766" w:rsidP="00DA2766">
      <w:r w:rsidRPr="00C70B37">
        <w:t xml:space="preserve">Based on the reviewed toxicological data, it </w:t>
      </w:r>
      <w:r w:rsidR="00DE42C1" w:rsidRPr="00C70B37">
        <w:t>was</w:t>
      </w:r>
      <w:r w:rsidRPr="00C70B37">
        <w:t xml:space="preserve"> concluded that in the absence of any identifiable hazard, an Acceptable Daily Intake (ADI) ‘not specified’ </w:t>
      </w:r>
      <w:r w:rsidR="00DE42C1" w:rsidRPr="00C70B37">
        <w:t>was</w:t>
      </w:r>
      <w:r w:rsidRPr="00C70B37">
        <w:t xml:space="preserve"> appropriate. A dietary exposure assessment </w:t>
      </w:r>
      <w:r w:rsidR="00DE42C1" w:rsidRPr="00C70B37">
        <w:t>was</w:t>
      </w:r>
      <w:r w:rsidRPr="00C70B37">
        <w:t xml:space="preserve"> therefore not required.</w:t>
      </w:r>
    </w:p>
    <w:p w14:paraId="6341E19F" w14:textId="77777777" w:rsidR="00DF5354" w:rsidRDefault="00DF5354" w:rsidP="00180C41"/>
    <w:p w14:paraId="6D1C0A3D" w14:textId="26264914" w:rsidR="00DA2766" w:rsidRDefault="00DF5354" w:rsidP="00180C41">
      <w:r w:rsidRPr="00C55D74">
        <w:t>The evidence presented to support the proposed uses provides adequate assurance that the enzyme, in the form and prescribed amounts, is technologically justified and has been demonstrated to be effective in achieving its stated purpose. The enzyme preparation meets international purity specifications.</w:t>
      </w:r>
    </w:p>
    <w:p w14:paraId="5CBBA7EE" w14:textId="77777777" w:rsidR="00DF5354" w:rsidRPr="00FF6690" w:rsidRDefault="00DF5354" w:rsidP="00180C41"/>
    <w:p w14:paraId="7FC66299" w14:textId="77777777" w:rsidR="00DA2766" w:rsidRPr="00A56CFA" w:rsidRDefault="00DA2766" w:rsidP="00DA2766">
      <w:pPr>
        <w:keepNext/>
        <w:widowControl/>
      </w:pPr>
      <w:r>
        <w:t xml:space="preserve">For further details on the risk assessment, refer to the </w:t>
      </w:r>
      <w:r w:rsidRPr="000862C4">
        <w:t xml:space="preserve">Risk and </w:t>
      </w:r>
      <w:r>
        <w:t>T</w:t>
      </w:r>
      <w:r w:rsidRPr="000862C4">
        <w:t xml:space="preserve">echnical </w:t>
      </w:r>
      <w:r>
        <w:t>A</w:t>
      </w:r>
      <w:r w:rsidRPr="000862C4">
        <w:t xml:space="preserve">ssessment </w:t>
      </w:r>
      <w:r>
        <w:t>R</w:t>
      </w:r>
      <w:r w:rsidRPr="000862C4">
        <w:t xml:space="preserve">eport </w:t>
      </w:r>
      <w:r>
        <w:t>(SD1).</w:t>
      </w:r>
    </w:p>
    <w:p w14:paraId="1C9EAE4B" w14:textId="20AC426D" w:rsidR="004F69F6" w:rsidRPr="00932F14" w:rsidRDefault="00D3171B" w:rsidP="004646F8">
      <w:pPr>
        <w:pStyle w:val="Heading2"/>
      </w:pPr>
      <w:bookmarkStart w:id="43" w:name="_Toc175381442"/>
      <w:bookmarkStart w:id="44" w:name="_Toc286391010"/>
      <w:bookmarkStart w:id="45" w:name="_Toc300933426"/>
      <w:bookmarkStart w:id="46" w:name="_Toc438728879"/>
      <w:r>
        <w:t>2</w:t>
      </w:r>
      <w:r w:rsidR="0045556F">
        <w:t>.</w:t>
      </w:r>
      <w:r w:rsidR="00402D8C">
        <w:t>2</w:t>
      </w:r>
      <w:r w:rsidR="00271F00">
        <w:tab/>
      </w:r>
      <w:bookmarkEnd w:id="43"/>
      <w:bookmarkEnd w:id="44"/>
      <w:bookmarkEnd w:id="45"/>
      <w:r w:rsidR="0045556F">
        <w:t>R</w:t>
      </w:r>
      <w:r w:rsidR="00707E72">
        <w:t>isk m</w:t>
      </w:r>
      <w:r w:rsidR="008A35FB">
        <w:t>anagement</w:t>
      </w:r>
      <w:bookmarkEnd w:id="46"/>
    </w:p>
    <w:p w14:paraId="3E80BF8F" w14:textId="6B42095C" w:rsidR="00E818EA" w:rsidRDefault="00E818EA" w:rsidP="00E818EA">
      <w:bookmarkStart w:id="47" w:name="_Toc300933435"/>
      <w:bookmarkStart w:id="48" w:name="_Toc300761910"/>
      <w:r w:rsidRPr="0044606A">
        <w:t>The risk assessment conclusions provide</w:t>
      </w:r>
      <w:r w:rsidR="00DE42C1">
        <w:t>d</w:t>
      </w:r>
      <w:r w:rsidRPr="0044606A">
        <w:t xml:space="preserve"> evidence that there </w:t>
      </w:r>
      <w:r w:rsidR="0069078B">
        <w:t>are</w:t>
      </w:r>
      <w:r w:rsidR="0069078B" w:rsidRPr="0044606A">
        <w:t xml:space="preserve"> </w:t>
      </w:r>
      <w:r w:rsidRPr="0044606A">
        <w:t>no safety risks from the use of this enzyme</w:t>
      </w:r>
      <w:r w:rsidR="00D82F09">
        <w:t>, sourced from</w:t>
      </w:r>
      <w:r w:rsidR="00402D8C">
        <w:t xml:space="preserve"> </w:t>
      </w:r>
      <w:r w:rsidR="00D82F09" w:rsidRPr="00D82F09">
        <w:rPr>
          <w:i/>
        </w:rPr>
        <w:t>B. amyloliquefaciens</w:t>
      </w:r>
      <w:r w:rsidR="00D82F09">
        <w:rPr>
          <w:i/>
        </w:rPr>
        <w:t>,</w:t>
      </w:r>
      <w:r w:rsidR="00D82F09" w:rsidRPr="00D82F09">
        <w:t xml:space="preserve"> </w:t>
      </w:r>
      <w:r w:rsidRPr="0044606A">
        <w:t xml:space="preserve">as </w:t>
      </w:r>
      <w:r w:rsidR="00402D8C">
        <w:t>a processing aid</w:t>
      </w:r>
      <w:r w:rsidRPr="0044606A">
        <w:t xml:space="preserve">. As processing aids require permissions in the Code, the </w:t>
      </w:r>
      <w:r w:rsidR="00402D8C">
        <w:t>only</w:t>
      </w:r>
      <w:r w:rsidRPr="0044606A">
        <w:t xml:space="preserve"> risk management option</w:t>
      </w:r>
      <w:r w:rsidR="00402D8C">
        <w:t>s</w:t>
      </w:r>
      <w:r w:rsidRPr="0044606A">
        <w:t xml:space="preserve"> available to FSANZ </w:t>
      </w:r>
      <w:r w:rsidR="0069078B">
        <w:t xml:space="preserve">are </w:t>
      </w:r>
      <w:r w:rsidR="00402D8C">
        <w:t xml:space="preserve">to </w:t>
      </w:r>
      <w:r w:rsidRPr="0044606A">
        <w:t>approve or reject the request to amend the Code. The regulatory options analysed in section 2.4.1.1 take account of the safety of the enzyme preparation.</w:t>
      </w:r>
    </w:p>
    <w:p w14:paraId="52148AFD" w14:textId="0AE56931" w:rsidR="0049109C" w:rsidRDefault="0049109C" w:rsidP="00E818EA"/>
    <w:p w14:paraId="03BC48CC" w14:textId="03515468" w:rsidR="004B03A6" w:rsidRDefault="005F0FB8" w:rsidP="00E818EA">
      <w:r>
        <w:t>If permitted, t</w:t>
      </w:r>
      <w:r w:rsidR="002046AC">
        <w:t>he use of g</w:t>
      </w:r>
      <w:r w:rsidR="004B03A6" w:rsidRPr="00E477A1">
        <w:t xml:space="preserve">lutaminase </w:t>
      </w:r>
      <w:r w:rsidR="00A17170">
        <w:t>w</w:t>
      </w:r>
      <w:r w:rsidR="00421DA6">
        <w:t>ill</w:t>
      </w:r>
      <w:r w:rsidR="005A713A">
        <w:t xml:space="preserve"> be</w:t>
      </w:r>
      <w:r w:rsidR="002046AC">
        <w:t xml:space="preserve"> one of a number of commercial methods available to increase the glutamate content of </w:t>
      </w:r>
      <w:r w:rsidR="004B03A6">
        <w:t>certain foods</w:t>
      </w:r>
      <w:r w:rsidR="002046AC">
        <w:t xml:space="preserve">. </w:t>
      </w:r>
      <w:r w:rsidR="00145A17">
        <w:t xml:space="preserve">The labelling </w:t>
      </w:r>
      <w:r w:rsidR="0069078B">
        <w:t>considerations (</w:t>
      </w:r>
      <w:r w:rsidR="00145A17">
        <w:t xml:space="preserve">section </w:t>
      </w:r>
      <w:r w:rsidR="0069078B">
        <w:t xml:space="preserve">2.2.2) </w:t>
      </w:r>
      <w:r w:rsidR="00145A17">
        <w:t>below consider the risk management of the glutamates formed in these circumstances.</w:t>
      </w:r>
    </w:p>
    <w:p w14:paraId="363F0BAE" w14:textId="77777777" w:rsidR="00402D8C" w:rsidRPr="00C70B37" w:rsidRDefault="00402D8C" w:rsidP="00402D8C">
      <w:pPr>
        <w:pStyle w:val="Heading3"/>
        <w:rPr>
          <w:color w:val="auto"/>
        </w:rPr>
      </w:pPr>
      <w:bookmarkStart w:id="49" w:name="_Toc393271473"/>
      <w:bookmarkStart w:id="50" w:name="_Toc402946766"/>
      <w:bookmarkStart w:id="51" w:name="_Toc408481344"/>
      <w:bookmarkStart w:id="52" w:name="_Toc422314550"/>
      <w:bookmarkStart w:id="53" w:name="_Toc438728880"/>
      <w:r w:rsidRPr="00C70B37">
        <w:rPr>
          <w:color w:val="auto"/>
        </w:rPr>
        <w:t>2.2.1</w:t>
      </w:r>
      <w:r w:rsidRPr="00C70B37">
        <w:rPr>
          <w:color w:val="auto"/>
        </w:rPr>
        <w:tab/>
        <w:t>Enzyme nomenclature</w:t>
      </w:r>
      <w:bookmarkEnd w:id="49"/>
      <w:bookmarkEnd w:id="50"/>
      <w:bookmarkEnd w:id="51"/>
      <w:bookmarkEnd w:id="52"/>
      <w:bookmarkEnd w:id="53"/>
    </w:p>
    <w:p w14:paraId="2BAFE23C" w14:textId="5ACE5260" w:rsidR="00402D8C" w:rsidRPr="00C70B37" w:rsidRDefault="00DE42C1" w:rsidP="00402D8C">
      <w:pPr>
        <w:rPr>
          <w:rFonts w:cs="Arial"/>
        </w:rPr>
      </w:pPr>
      <w:r w:rsidRPr="00C70B37">
        <w:rPr>
          <w:lang w:bidi="ar-SA"/>
        </w:rPr>
        <w:t>FSANZ noted</w:t>
      </w:r>
      <w:r w:rsidR="00402D8C" w:rsidRPr="00C70B37">
        <w:rPr>
          <w:lang w:bidi="ar-SA"/>
        </w:rPr>
        <w:t xml:space="preserve"> that the International Union of Biochemistry and Molecular Biology (IUBMB), the internationally recognised authority for enzyme nomenclature, uses the ‘accepted’ name ‘glutaminase’ for enzymes with an EC number of </w:t>
      </w:r>
      <w:r w:rsidR="00402D8C" w:rsidRPr="00C70B37">
        <w:rPr>
          <w:lang w:val="en-AU" w:eastAsia="en-AU"/>
        </w:rPr>
        <w:t>3.5.1.</w:t>
      </w:r>
      <w:r w:rsidR="00376BAD" w:rsidRPr="00C70B37">
        <w:rPr>
          <w:lang w:val="en-AU" w:eastAsia="en-AU"/>
        </w:rPr>
        <w:t>2</w:t>
      </w:r>
      <w:r w:rsidR="00402D8C" w:rsidRPr="00C70B37">
        <w:rPr>
          <w:lang w:val="en-AU" w:eastAsia="en-AU"/>
        </w:rPr>
        <w:t xml:space="preserve"> (IUBMB</w:t>
      </w:r>
      <w:r w:rsidR="00D37A08">
        <w:rPr>
          <w:lang w:val="en-AU" w:eastAsia="en-AU"/>
        </w:rPr>
        <w:t>,</w:t>
      </w:r>
      <w:r w:rsidR="00402D8C" w:rsidRPr="00C70B37">
        <w:rPr>
          <w:lang w:val="en-AU" w:eastAsia="en-AU"/>
        </w:rPr>
        <w:t xml:space="preserve"> 2015)</w:t>
      </w:r>
      <w:r w:rsidR="00402D8C" w:rsidRPr="00C70B37">
        <w:rPr>
          <w:lang w:bidi="ar-SA"/>
        </w:rPr>
        <w:t xml:space="preserve">. This is the name </w:t>
      </w:r>
      <w:r w:rsidR="00376BAD" w:rsidRPr="00C70B37">
        <w:rPr>
          <w:lang w:bidi="ar-SA"/>
        </w:rPr>
        <w:t xml:space="preserve">that </w:t>
      </w:r>
      <w:r w:rsidR="0069078B">
        <w:rPr>
          <w:lang w:bidi="ar-SA"/>
        </w:rPr>
        <w:t>is</w:t>
      </w:r>
      <w:r w:rsidR="00376BAD" w:rsidRPr="00C70B37">
        <w:rPr>
          <w:lang w:bidi="ar-SA"/>
        </w:rPr>
        <w:t xml:space="preserve"> </w:t>
      </w:r>
      <w:r w:rsidR="00402D8C" w:rsidRPr="00C70B37">
        <w:rPr>
          <w:lang w:bidi="ar-SA"/>
        </w:rPr>
        <w:t xml:space="preserve">used in the </w:t>
      </w:r>
      <w:r w:rsidR="0069078B">
        <w:rPr>
          <w:lang w:bidi="ar-SA"/>
        </w:rPr>
        <w:t xml:space="preserve">proposed draft variation to the </w:t>
      </w:r>
      <w:r w:rsidR="00822595">
        <w:rPr>
          <w:lang w:bidi="ar-SA"/>
        </w:rPr>
        <w:t>Code</w:t>
      </w:r>
      <w:r w:rsidR="00822595" w:rsidRPr="00C70B37">
        <w:rPr>
          <w:lang w:bidi="ar-SA"/>
        </w:rPr>
        <w:t xml:space="preserve"> </w:t>
      </w:r>
      <w:r w:rsidR="00402D8C" w:rsidRPr="00C70B37">
        <w:rPr>
          <w:lang w:bidi="ar-SA"/>
        </w:rPr>
        <w:t>for this enzyme.</w:t>
      </w:r>
    </w:p>
    <w:p w14:paraId="539654B8" w14:textId="77777777" w:rsidR="00376BAD" w:rsidRPr="00C70B37" w:rsidRDefault="00376BAD" w:rsidP="00376BAD">
      <w:pPr>
        <w:pStyle w:val="Heading3"/>
        <w:rPr>
          <w:color w:val="auto"/>
        </w:rPr>
      </w:pPr>
      <w:bookmarkStart w:id="54" w:name="_Toc422314551"/>
      <w:bookmarkStart w:id="55" w:name="_Toc438728881"/>
      <w:r w:rsidRPr="00C70B37">
        <w:rPr>
          <w:color w:val="auto"/>
        </w:rPr>
        <w:t>2.2.2</w:t>
      </w:r>
      <w:r w:rsidRPr="00C70B37">
        <w:rPr>
          <w:color w:val="auto"/>
        </w:rPr>
        <w:tab/>
        <w:t>Labelling considerations</w:t>
      </w:r>
      <w:bookmarkEnd w:id="54"/>
      <w:bookmarkEnd w:id="55"/>
    </w:p>
    <w:p w14:paraId="76EA3F54" w14:textId="4BD05F82" w:rsidR="008F0FBA" w:rsidRPr="0059228D" w:rsidRDefault="008F0FBA" w:rsidP="008F0FBA">
      <w:r>
        <w:t xml:space="preserve">As the risk assessment concludes that the use of the enzyme glutaminase poses no risk to public health and safety, FSANZ considers </w:t>
      </w:r>
      <w:r w:rsidR="00E20B5F">
        <w:t xml:space="preserve">that </w:t>
      </w:r>
      <w:r>
        <w:t xml:space="preserve">the existing labelling requirements in the Code are appropriate for the use of the enzyme in foods. </w:t>
      </w:r>
    </w:p>
    <w:p w14:paraId="0A89BD5B" w14:textId="77777777" w:rsidR="008F0FBA" w:rsidRDefault="008F0FBA" w:rsidP="00E818EA"/>
    <w:p w14:paraId="0B898D81" w14:textId="3A697B21" w:rsidR="00FF6690" w:rsidRDefault="00FA10DB" w:rsidP="00E818EA">
      <w:r>
        <w:t>As a general rule, p</w:t>
      </w:r>
      <w:r w:rsidR="00376BAD" w:rsidRPr="00C70B37">
        <w:t xml:space="preserve">rocessing aids are exempt from the requirement to be declared in the statement of ingredients in accordance with </w:t>
      </w:r>
      <w:r w:rsidR="006A31EB">
        <w:t xml:space="preserve">subsections </w:t>
      </w:r>
      <w:r w:rsidR="00376BAD" w:rsidRPr="00C70B37">
        <w:t>1.2.4—3(2</w:t>
      </w:r>
      <w:proofErr w:type="gramStart"/>
      <w:r w:rsidR="00376BAD" w:rsidRPr="00C70B37">
        <w:t>)(</w:t>
      </w:r>
      <w:proofErr w:type="gramEnd"/>
      <w:r w:rsidR="00376BAD" w:rsidRPr="00C70B37">
        <w:t>d) and (e) of the revised Code.</w:t>
      </w:r>
      <w:r w:rsidR="003E65E5" w:rsidRPr="00C70B37">
        <w:t xml:space="preserve"> Therefore, t</w:t>
      </w:r>
      <w:r w:rsidR="00226282" w:rsidRPr="00C70B37">
        <w:t xml:space="preserve">he use of the enzyme </w:t>
      </w:r>
      <w:r w:rsidR="00AA5918" w:rsidRPr="00C70B37">
        <w:t xml:space="preserve">glutaminase </w:t>
      </w:r>
      <w:r w:rsidR="00226282" w:rsidRPr="00C70B37">
        <w:t xml:space="preserve">as a processing aid </w:t>
      </w:r>
      <w:r w:rsidR="003E65E5" w:rsidRPr="00C70B37">
        <w:t xml:space="preserve">would not be declared on the label of the food. </w:t>
      </w:r>
      <w:r w:rsidR="00FF6690">
        <w:br w:type="page"/>
      </w:r>
    </w:p>
    <w:p w14:paraId="46C1BEF0" w14:textId="4884D916" w:rsidR="00B42BD5" w:rsidRDefault="00B42BD5" w:rsidP="00E818EA">
      <w:r>
        <w:lastRenderedPageBreak/>
        <w:t xml:space="preserve">As mentioned above, </w:t>
      </w:r>
      <w:r w:rsidR="005F0FB8">
        <w:t>if permitted</w:t>
      </w:r>
      <w:r w:rsidR="00D80E46">
        <w:t>,</w:t>
      </w:r>
      <w:r w:rsidR="005F0FB8">
        <w:t xml:space="preserve"> </w:t>
      </w:r>
      <w:r>
        <w:t>the use of g</w:t>
      </w:r>
      <w:r w:rsidR="00AA5CFE">
        <w:t xml:space="preserve">lutaminase </w:t>
      </w:r>
      <w:r w:rsidR="005A713A">
        <w:t>w</w:t>
      </w:r>
      <w:r w:rsidR="00421DA6">
        <w:t>ill</w:t>
      </w:r>
      <w:r w:rsidR="005A713A">
        <w:t xml:space="preserve"> be </w:t>
      </w:r>
      <w:r>
        <w:t xml:space="preserve">one of a number of </w:t>
      </w:r>
      <w:r w:rsidR="005F0FB8">
        <w:t xml:space="preserve">commercial </w:t>
      </w:r>
      <w:r>
        <w:t xml:space="preserve">methods </w:t>
      </w:r>
      <w:r w:rsidR="005A713A">
        <w:t xml:space="preserve">used </w:t>
      </w:r>
      <w:r>
        <w:t xml:space="preserve">to increase the glutamate content of certain food products that already contain glutamate, namely seasoning </w:t>
      </w:r>
      <w:r w:rsidRPr="00C70B37">
        <w:t>ingredients (e.g. yeast extract or hydrolysed vegetable proteins) and food products used as seasonings (e.g. soy sauce)</w:t>
      </w:r>
      <w:r>
        <w:t xml:space="preserve">. These types of food products are generally well-recognised for </w:t>
      </w:r>
      <w:r w:rsidRPr="00C70B37">
        <w:t>their characteristic savoury flavour</w:t>
      </w:r>
      <w:r>
        <w:t xml:space="preserve"> </w:t>
      </w:r>
      <w:r w:rsidR="00235B6F">
        <w:t xml:space="preserve">that </w:t>
      </w:r>
      <w:r>
        <w:t>the high-glutamate content imparts</w:t>
      </w:r>
      <w:r w:rsidRPr="00C70B37">
        <w:t>.</w:t>
      </w:r>
      <w:r>
        <w:t xml:space="preserve"> </w:t>
      </w:r>
    </w:p>
    <w:p w14:paraId="74AC7744" w14:textId="77777777" w:rsidR="00B42BD5" w:rsidRDefault="00B42BD5" w:rsidP="00E818EA"/>
    <w:p w14:paraId="2EE51CBD" w14:textId="5E16C344" w:rsidR="00235B6F" w:rsidRDefault="006A6C49" w:rsidP="00E818EA">
      <w:r w:rsidRPr="005A5E29">
        <w:t xml:space="preserve">There is no chemical difference between </w:t>
      </w:r>
      <w:r>
        <w:t xml:space="preserve">the </w:t>
      </w:r>
      <w:r w:rsidRPr="005A5E29">
        <w:t xml:space="preserve">glutamate that is </w:t>
      </w:r>
      <w:r w:rsidR="00DE6FE9">
        <w:t>naturally present in food</w:t>
      </w:r>
      <w:r w:rsidR="005A713A">
        <w:t xml:space="preserve"> (e.g. in tomatoes and meat)</w:t>
      </w:r>
      <w:r w:rsidR="00DE6FE9">
        <w:t xml:space="preserve">, </w:t>
      </w:r>
      <w:r w:rsidRPr="005A5E29">
        <w:t xml:space="preserve">formed through the enzymatic </w:t>
      </w:r>
      <w:r w:rsidR="000D08C6" w:rsidRPr="00855446">
        <w:t>conversion</w:t>
      </w:r>
      <w:r w:rsidRPr="0049109C">
        <w:t xml:space="preserve"> </w:t>
      </w:r>
      <w:r w:rsidRPr="005A5E29">
        <w:t xml:space="preserve">of L-glutamine, </w:t>
      </w:r>
      <w:r w:rsidR="00DE6FE9">
        <w:t>or</w:t>
      </w:r>
      <w:r w:rsidRPr="005A5E29">
        <w:t xml:space="preserve"> that which is directly added to food</w:t>
      </w:r>
      <w:r w:rsidR="0055015A">
        <w:t xml:space="preserve"> as an ingredient or additive</w:t>
      </w:r>
      <w:r w:rsidRPr="005A5E29">
        <w:t xml:space="preserve">, and </w:t>
      </w:r>
      <w:r w:rsidR="00871381">
        <w:t xml:space="preserve">there is </w:t>
      </w:r>
      <w:r w:rsidRPr="005A5E29">
        <w:t>no difference in the body’s physiological response.</w:t>
      </w:r>
      <w:r w:rsidR="00637453">
        <w:t xml:space="preserve"> </w:t>
      </w:r>
    </w:p>
    <w:p w14:paraId="0C2AFB53" w14:textId="77777777" w:rsidR="0069078B" w:rsidRDefault="0069078B" w:rsidP="00E818EA"/>
    <w:p w14:paraId="2F8F6A1D" w14:textId="268C4E76" w:rsidR="008E00B0" w:rsidRDefault="00871381" w:rsidP="00E818EA">
      <w:r>
        <w:t>As</w:t>
      </w:r>
      <w:r w:rsidRPr="005A5E29">
        <w:t xml:space="preserve"> </w:t>
      </w:r>
      <w:r w:rsidR="006A6C49" w:rsidRPr="005A5E29">
        <w:t>for other commercial methods</w:t>
      </w:r>
      <w:r w:rsidR="00EC5153">
        <w:t xml:space="preserve"> </w:t>
      </w:r>
      <w:r w:rsidR="00DF217C">
        <w:t xml:space="preserve">currently </w:t>
      </w:r>
      <w:r w:rsidR="00EC5153">
        <w:t>used to increase the glutamate content of certain foods</w:t>
      </w:r>
      <w:r w:rsidR="006A6C49" w:rsidRPr="005A5E29">
        <w:t>, the</w:t>
      </w:r>
      <w:r w:rsidR="00EC3C4F" w:rsidRPr="00CD548E">
        <w:t xml:space="preserve"> glutamate </w:t>
      </w:r>
      <w:r w:rsidR="00F91BBE" w:rsidRPr="00CD548E">
        <w:t xml:space="preserve">formed as a result of the enzymatic conversion of L-glutamine </w:t>
      </w:r>
      <w:r w:rsidR="00F354BF">
        <w:t>would</w:t>
      </w:r>
      <w:r w:rsidR="00C266E3" w:rsidRPr="00CD548E">
        <w:t xml:space="preserve"> not be </w:t>
      </w:r>
      <w:r w:rsidR="0059228D" w:rsidRPr="00CD548E">
        <w:t>declared</w:t>
      </w:r>
      <w:r w:rsidR="00CD548E">
        <w:t xml:space="preserve"> </w:t>
      </w:r>
      <w:r w:rsidR="0059228D" w:rsidRPr="00CD548E">
        <w:t>on the label of the food</w:t>
      </w:r>
      <w:r w:rsidR="009D2083">
        <w:t>.</w:t>
      </w:r>
      <w:r w:rsidR="00B0095C">
        <w:t xml:space="preserve"> </w:t>
      </w:r>
      <w:r w:rsidR="00A54B52">
        <w:t xml:space="preserve">Individuals </w:t>
      </w:r>
      <w:r w:rsidR="00F72684">
        <w:t xml:space="preserve">who </w:t>
      </w:r>
      <w:r w:rsidR="00263EA9">
        <w:t>may be</w:t>
      </w:r>
      <w:r w:rsidR="00F72684">
        <w:t xml:space="preserve"> intolerant to glutamat</w:t>
      </w:r>
      <w:r w:rsidR="005A713A">
        <w:t>e</w:t>
      </w:r>
      <w:r w:rsidR="00DF217C">
        <w:t xml:space="preserve">s, </w:t>
      </w:r>
      <w:r w:rsidR="00735D79">
        <w:t>or wish to avoid them, are likely to be aware that these certain food products contain glutamates and can continue to avoid these foods.</w:t>
      </w:r>
    </w:p>
    <w:p w14:paraId="16EDCD61" w14:textId="55485026" w:rsidR="00C266E3" w:rsidRPr="00CD548E" w:rsidRDefault="00C266E3" w:rsidP="00C266E3">
      <w:pPr>
        <w:pStyle w:val="Heading4"/>
      </w:pPr>
      <w:r w:rsidRPr="00CD548E">
        <w:t>2.2.2.</w:t>
      </w:r>
      <w:r w:rsidR="00CD548E" w:rsidRPr="00CD548E">
        <w:t>1</w:t>
      </w:r>
      <w:r w:rsidRPr="00CD548E">
        <w:tab/>
        <w:t xml:space="preserve">Mandatory declaration of certain substances </w:t>
      </w:r>
    </w:p>
    <w:p w14:paraId="55F1A1B2" w14:textId="6E7C6BC4" w:rsidR="00197F1A" w:rsidRPr="00CD548E" w:rsidRDefault="002F0FDC" w:rsidP="00C266E3">
      <w:pPr>
        <w:rPr>
          <w:lang w:eastAsia="en-AU" w:bidi="ar-SA"/>
        </w:rPr>
      </w:pPr>
      <w:r w:rsidRPr="00CD548E">
        <w:rPr>
          <w:lang w:eastAsia="en-AU" w:bidi="ar-SA"/>
        </w:rPr>
        <w:t>Lactose, defatted s</w:t>
      </w:r>
      <w:r w:rsidR="00C266E3" w:rsidRPr="00CD548E">
        <w:rPr>
          <w:lang w:eastAsia="en-AU" w:bidi="ar-SA"/>
        </w:rPr>
        <w:t>oybean</w:t>
      </w:r>
      <w:r w:rsidRPr="00CD548E">
        <w:rPr>
          <w:lang w:eastAsia="en-AU" w:bidi="ar-SA"/>
        </w:rPr>
        <w:t xml:space="preserve">, soybean oil and </w:t>
      </w:r>
      <w:r w:rsidR="008354C6" w:rsidRPr="00CD548E">
        <w:rPr>
          <w:lang w:eastAsia="en-AU" w:bidi="ar-SA"/>
        </w:rPr>
        <w:t xml:space="preserve">dextrin </w:t>
      </w:r>
      <w:r w:rsidR="00C266E3" w:rsidRPr="00CD548E">
        <w:rPr>
          <w:lang w:eastAsia="en-AU" w:bidi="ar-SA"/>
        </w:rPr>
        <w:t>(which may be produced from wheat starch) are raw material</w:t>
      </w:r>
      <w:r w:rsidR="00D70EB7" w:rsidRPr="00CD548E">
        <w:rPr>
          <w:lang w:eastAsia="en-AU" w:bidi="ar-SA"/>
        </w:rPr>
        <w:t xml:space="preserve">s </w:t>
      </w:r>
      <w:r w:rsidR="00C266E3" w:rsidRPr="00CD548E">
        <w:rPr>
          <w:lang w:eastAsia="en-AU" w:bidi="ar-SA"/>
        </w:rPr>
        <w:t xml:space="preserve">used </w:t>
      </w:r>
      <w:r w:rsidR="007F0D9A" w:rsidRPr="00CD548E">
        <w:rPr>
          <w:lang w:eastAsia="en-AU" w:bidi="ar-SA"/>
        </w:rPr>
        <w:t xml:space="preserve">as </w:t>
      </w:r>
      <w:r w:rsidR="0005191B" w:rsidRPr="00CD548E">
        <w:rPr>
          <w:lang w:eastAsia="en-AU" w:bidi="ar-SA"/>
        </w:rPr>
        <w:t xml:space="preserve">fermentation media </w:t>
      </w:r>
      <w:r w:rsidR="00C266E3" w:rsidRPr="00CD548E">
        <w:rPr>
          <w:lang w:eastAsia="en-AU" w:bidi="ar-SA"/>
        </w:rPr>
        <w:t>in the production of the enzyme</w:t>
      </w:r>
      <w:r w:rsidR="00C45737" w:rsidRPr="00CD548E">
        <w:rPr>
          <w:lang w:eastAsia="en-AU" w:bidi="ar-SA"/>
        </w:rPr>
        <w:t xml:space="preserve">. </w:t>
      </w:r>
    </w:p>
    <w:p w14:paraId="1CC99394" w14:textId="77777777" w:rsidR="00CD548E" w:rsidRPr="00FF6690" w:rsidRDefault="00CD548E" w:rsidP="00C266E3">
      <w:pPr>
        <w:rPr>
          <w:lang w:eastAsia="en-AU" w:bidi="ar-SA"/>
        </w:rPr>
      </w:pPr>
    </w:p>
    <w:p w14:paraId="26C0B79E" w14:textId="047483CF" w:rsidR="00877A3E" w:rsidRPr="00CD548E" w:rsidRDefault="00C266E3" w:rsidP="00C266E3">
      <w:pPr>
        <w:rPr>
          <w:lang w:eastAsia="en-AU" w:bidi="ar-SA"/>
        </w:rPr>
      </w:pPr>
      <w:r w:rsidRPr="00CD548E">
        <w:rPr>
          <w:lang w:eastAsia="en-AU" w:bidi="ar-SA"/>
        </w:rPr>
        <w:t xml:space="preserve">The presence of </w:t>
      </w:r>
      <w:r w:rsidR="00877A3E" w:rsidRPr="00CD548E">
        <w:rPr>
          <w:lang w:eastAsia="en-AU" w:bidi="ar-SA"/>
        </w:rPr>
        <w:t>these milk, soybean or wheat products</w:t>
      </w:r>
      <w:r w:rsidRPr="00CD548E">
        <w:rPr>
          <w:lang w:eastAsia="en-AU" w:bidi="ar-SA"/>
        </w:rPr>
        <w:t xml:space="preserve"> in the final food as a component of the enzyme preparation would require mandatory declaration in accordance with section 1.2.3—4 </w:t>
      </w:r>
      <w:r w:rsidR="00877A3E" w:rsidRPr="00CD548E">
        <w:rPr>
          <w:lang w:eastAsia="en-AU" w:bidi="ar-SA"/>
        </w:rPr>
        <w:t xml:space="preserve">(Information requirements – warning statements, advisory statements and declarations) </w:t>
      </w:r>
      <w:r w:rsidRPr="00CD548E">
        <w:rPr>
          <w:lang w:eastAsia="en-AU" w:bidi="ar-SA"/>
        </w:rPr>
        <w:t xml:space="preserve">of </w:t>
      </w:r>
      <w:r w:rsidR="007F0D9A" w:rsidRPr="00CD548E">
        <w:rPr>
          <w:lang w:eastAsia="en-AU" w:bidi="ar-SA"/>
        </w:rPr>
        <w:t>the revised Code</w:t>
      </w:r>
      <w:r w:rsidRPr="00CD548E">
        <w:rPr>
          <w:lang w:eastAsia="en-AU" w:bidi="ar-SA"/>
        </w:rPr>
        <w:t xml:space="preserve">. </w:t>
      </w:r>
    </w:p>
    <w:p w14:paraId="41A83237" w14:textId="77777777" w:rsidR="00376BAD" w:rsidRPr="00932F14" w:rsidRDefault="00376BAD" w:rsidP="00376BAD">
      <w:pPr>
        <w:pStyle w:val="Heading2"/>
      </w:pPr>
      <w:bookmarkStart w:id="56" w:name="_Toc404936801"/>
      <w:bookmarkStart w:id="57" w:name="_Toc438728882"/>
      <w:bookmarkStart w:id="58" w:name="_Toc300933437"/>
      <w:bookmarkStart w:id="59" w:name="_Toc286391012"/>
      <w:bookmarkEnd w:id="47"/>
      <w:r>
        <w:t>2.3</w:t>
      </w:r>
      <w:r>
        <w:tab/>
        <w:t>Risk communication</w:t>
      </w:r>
      <w:bookmarkEnd w:id="56"/>
      <w:bookmarkEnd w:id="57"/>
    </w:p>
    <w:p w14:paraId="7A6CF1EE" w14:textId="36C4019F" w:rsidR="00E520FE" w:rsidRPr="0005191B" w:rsidRDefault="00E520FE" w:rsidP="00022DBC">
      <w:pPr>
        <w:pStyle w:val="Heading3"/>
        <w:rPr>
          <w:color w:val="auto"/>
        </w:rPr>
      </w:pPr>
      <w:bookmarkStart w:id="60" w:name="_Toc438728883"/>
      <w:r w:rsidRPr="0005191B">
        <w:rPr>
          <w:color w:val="auto"/>
        </w:rPr>
        <w:t>2.</w:t>
      </w:r>
      <w:r w:rsidR="0005191B" w:rsidRPr="0005191B">
        <w:rPr>
          <w:color w:val="auto"/>
        </w:rPr>
        <w:t>3</w:t>
      </w:r>
      <w:r w:rsidRPr="0005191B">
        <w:rPr>
          <w:color w:val="auto"/>
        </w:rPr>
        <w:t>.1</w:t>
      </w:r>
      <w:r w:rsidRPr="0005191B">
        <w:rPr>
          <w:color w:val="auto"/>
        </w:rPr>
        <w:tab/>
        <w:t>Consultation</w:t>
      </w:r>
      <w:bookmarkEnd w:id="58"/>
      <w:bookmarkEnd w:id="60"/>
    </w:p>
    <w:p w14:paraId="408A3C16" w14:textId="77777777" w:rsidR="0027513D" w:rsidRDefault="0027513D" w:rsidP="0027513D">
      <w:pPr>
        <w:rPr>
          <w:szCs w:val="22"/>
        </w:rPr>
      </w:pPr>
      <w:r w:rsidRPr="0027513D">
        <w:rPr>
          <w:szCs w:val="22"/>
        </w:rPr>
        <w:t xml:space="preserve">Consultation is a key part of FSANZ’s standards development process. </w:t>
      </w:r>
    </w:p>
    <w:p w14:paraId="122FDECD" w14:textId="77777777" w:rsidR="0027513D" w:rsidRPr="00FF6690" w:rsidRDefault="0027513D" w:rsidP="0027513D"/>
    <w:p w14:paraId="07A6E0F7" w14:textId="4E385867" w:rsidR="00FB67A3" w:rsidRPr="00FF6690" w:rsidRDefault="0027513D" w:rsidP="00FB67A3">
      <w:pPr>
        <w:rPr>
          <w:szCs w:val="22"/>
        </w:rPr>
      </w:pPr>
      <w:r w:rsidRPr="00FF6690">
        <w:rPr>
          <w:szCs w:val="22"/>
        </w:rPr>
        <w:t>FSANZ acknowledge</w:t>
      </w:r>
      <w:r w:rsidR="00E11765" w:rsidRPr="00FF6690">
        <w:rPr>
          <w:szCs w:val="22"/>
        </w:rPr>
        <w:t>s</w:t>
      </w:r>
      <w:r w:rsidRPr="00FF6690">
        <w:rPr>
          <w:szCs w:val="22"/>
        </w:rPr>
        <w:t xml:space="preserve"> the time taken by individuals and organisations to make submissions on this </w:t>
      </w:r>
      <w:r w:rsidR="00C45737" w:rsidRPr="00FF6690">
        <w:rPr>
          <w:szCs w:val="22"/>
        </w:rPr>
        <w:t xml:space="preserve">Application. </w:t>
      </w:r>
      <w:r w:rsidR="00FB67A3" w:rsidRPr="00FF6690">
        <w:rPr>
          <w:szCs w:val="22"/>
        </w:rPr>
        <w:t xml:space="preserve">Every submission on an application or proposal is considered by the FSANZ Board. All comments are valued and contribute to the rigour of our assessment. </w:t>
      </w:r>
    </w:p>
    <w:p w14:paraId="28110ED1" w14:textId="77777777" w:rsidR="00FB67A3" w:rsidRPr="00FF6690" w:rsidRDefault="00FB67A3" w:rsidP="00FB67A3">
      <w:pPr>
        <w:rPr>
          <w:szCs w:val="22"/>
        </w:rPr>
      </w:pPr>
    </w:p>
    <w:p w14:paraId="03E4A984" w14:textId="68D85486" w:rsidR="00C45737" w:rsidRPr="003D6A25" w:rsidRDefault="00C45737" w:rsidP="00C45737">
      <w:r w:rsidRPr="003D6A25">
        <w:t xml:space="preserve">FSANZ developed and applied a basic communication strategy to this Application. All calls for submissions </w:t>
      </w:r>
      <w:r w:rsidR="00822595">
        <w:t>are</w:t>
      </w:r>
      <w:r w:rsidR="00822595" w:rsidRPr="003D6A25">
        <w:t xml:space="preserve"> </w:t>
      </w:r>
      <w:r w:rsidRPr="003D6A25">
        <w:t xml:space="preserve">notified via the Food Standards Notification Circular, media release, FSANZ’s social media tools and </w:t>
      </w:r>
      <w:r w:rsidRPr="009500F5">
        <w:t>Food Standards News</w:t>
      </w:r>
      <w:r>
        <w:t>.</w:t>
      </w:r>
    </w:p>
    <w:p w14:paraId="7647E838" w14:textId="77777777" w:rsidR="00C45737" w:rsidRPr="003D6A25" w:rsidRDefault="00C45737" w:rsidP="00C45737"/>
    <w:p w14:paraId="3FA4A02F" w14:textId="1A6BF7C7" w:rsidR="00C45737" w:rsidRPr="003D6A25" w:rsidRDefault="00C45737" w:rsidP="00FF6690">
      <w:pPr>
        <w:ind w:right="-286"/>
      </w:pPr>
      <w:r w:rsidRPr="003D6A25">
        <w:t xml:space="preserve">The process by which FSANZ considers standard development matters is open, accountable, consultative and transparent. Public submissions </w:t>
      </w:r>
      <w:r w:rsidR="00822595">
        <w:t>a</w:t>
      </w:r>
      <w:r w:rsidR="00822595" w:rsidRPr="003D6A25">
        <w:t xml:space="preserve">re </w:t>
      </w:r>
      <w:r w:rsidRPr="003D6A25">
        <w:t xml:space="preserve">called to obtain the views of interested parties on issues raised by the Application and the impacts of regulatory options. </w:t>
      </w:r>
    </w:p>
    <w:p w14:paraId="29A1FDDF" w14:textId="77777777" w:rsidR="00C45737" w:rsidRPr="003D6A25" w:rsidRDefault="00C45737" w:rsidP="00C45737"/>
    <w:p w14:paraId="469522D6" w14:textId="0852FD1A" w:rsidR="00C45737" w:rsidRPr="003D6A25" w:rsidRDefault="00C45737" w:rsidP="00C45737">
      <w:r w:rsidRPr="003D6A25">
        <w:t>The draft variation will be considered for approval by the FSANZ Board</w:t>
      </w:r>
      <w:r w:rsidR="00FF6690">
        <w:t>,</w:t>
      </w:r>
      <w:r w:rsidRPr="003D6A25">
        <w:t xml:space="preserve"> taking into account public comments received from this call for submissions.</w:t>
      </w:r>
    </w:p>
    <w:p w14:paraId="041E92BD" w14:textId="21120917" w:rsidR="00E520FE" w:rsidRPr="00022DBC" w:rsidRDefault="00022DBC" w:rsidP="00022DBC">
      <w:pPr>
        <w:pStyle w:val="Heading3"/>
      </w:pPr>
      <w:bookmarkStart w:id="61" w:name="_Toc300761912"/>
      <w:bookmarkStart w:id="62" w:name="_Toc300933439"/>
      <w:bookmarkStart w:id="63" w:name="_Toc438728884"/>
      <w:bookmarkEnd w:id="59"/>
      <w:r w:rsidRPr="00022DBC">
        <w:t>2.</w:t>
      </w:r>
      <w:r w:rsidR="00BE008B">
        <w:t>3</w:t>
      </w:r>
      <w:r w:rsidRPr="00022DBC">
        <w:t>.2</w:t>
      </w:r>
      <w:r w:rsidR="00E520FE" w:rsidRPr="00022DBC">
        <w:tab/>
        <w:t>World Trade Organization (WTO)</w:t>
      </w:r>
      <w:bookmarkEnd w:id="61"/>
      <w:bookmarkEnd w:id="62"/>
      <w:bookmarkEnd w:id="63"/>
    </w:p>
    <w:p w14:paraId="23F000ED" w14:textId="4E1CEDB0" w:rsidR="00FF6690" w:rsidRDefault="00E520FE" w:rsidP="00E520FE">
      <w:pPr>
        <w:rPr>
          <w:rFonts w:cs="Arial"/>
          <w:color w:val="000000"/>
        </w:rPr>
      </w:pPr>
      <w:r w:rsidRPr="00DC6570">
        <w:rPr>
          <w:rFonts w:cs="Arial"/>
          <w:color w:val="000000"/>
        </w:rPr>
        <w:t>As members of the World Trade Organization (WTO), Australia and New Zealand are obliged to notify WTO member</w:t>
      </w:r>
      <w:r w:rsidR="00BB5930">
        <w:rPr>
          <w:rFonts w:cs="Arial"/>
          <w:color w:val="000000"/>
        </w:rPr>
        <w:t>s</w:t>
      </w:r>
      <w:r w:rsidRPr="00DC6570">
        <w:rPr>
          <w:rFonts w:cs="Arial"/>
          <w:color w:val="000000"/>
        </w:rPr>
        <w:t xml:space="preserve"> where proposed mandatory regulatory measures are inconsistent with any existing or imminent international standards and the proposed measure may have a significant effect on trade.</w:t>
      </w:r>
      <w:r w:rsidR="00FF6690">
        <w:rPr>
          <w:rFonts w:cs="Arial"/>
          <w:color w:val="000000"/>
        </w:rPr>
        <w:br w:type="page"/>
      </w:r>
    </w:p>
    <w:p w14:paraId="1082178E" w14:textId="2B88FBE2" w:rsidR="00E520FE" w:rsidRPr="00EC32B8" w:rsidRDefault="00E520FE" w:rsidP="00E520FE">
      <w:pPr>
        <w:tabs>
          <w:tab w:val="left" w:pos="1560"/>
        </w:tabs>
        <w:rPr>
          <w:rFonts w:cs="Arial"/>
          <w:iCs/>
        </w:rPr>
      </w:pPr>
      <w:r w:rsidRPr="00EC32B8">
        <w:rPr>
          <w:rFonts w:cs="Arial"/>
        </w:rPr>
        <w:lastRenderedPageBreak/>
        <w:t xml:space="preserve">There </w:t>
      </w:r>
      <w:r w:rsidR="00A07359">
        <w:rPr>
          <w:rFonts w:cs="Arial"/>
        </w:rPr>
        <w:t>are</w:t>
      </w:r>
      <w:r w:rsidRPr="00EC32B8">
        <w:rPr>
          <w:rFonts w:cs="Arial"/>
        </w:rPr>
        <w:t xml:space="preserve"> no relevant international standards</w:t>
      </w:r>
      <w:r w:rsidR="00EC32B8">
        <w:rPr>
          <w:rFonts w:cs="Arial"/>
        </w:rPr>
        <w:t>. A</w:t>
      </w:r>
      <w:r w:rsidRPr="00EC32B8">
        <w:rPr>
          <w:rFonts w:cs="Arial"/>
        </w:rPr>
        <w:t xml:space="preserve">mending the Code to </w:t>
      </w:r>
      <w:r w:rsidR="00EC32B8">
        <w:rPr>
          <w:rFonts w:cs="Arial"/>
        </w:rPr>
        <w:t xml:space="preserve">approve </w:t>
      </w:r>
      <w:r w:rsidR="00256BC2">
        <w:rPr>
          <w:rFonts w:cs="Arial"/>
        </w:rPr>
        <w:t xml:space="preserve">the </w:t>
      </w:r>
      <w:r w:rsidR="00EC32B8">
        <w:rPr>
          <w:rFonts w:cs="Arial"/>
        </w:rPr>
        <w:t>enzyme</w:t>
      </w:r>
      <w:r w:rsidR="00256BC2">
        <w:rPr>
          <w:rFonts w:cs="Arial"/>
        </w:rPr>
        <w:t>,</w:t>
      </w:r>
      <w:r w:rsidR="00EC32B8">
        <w:rPr>
          <w:rFonts w:cs="Arial"/>
        </w:rPr>
        <w:t xml:space="preserve"> </w:t>
      </w:r>
      <w:r w:rsidR="00A07359">
        <w:rPr>
          <w:rFonts w:cs="Arial"/>
        </w:rPr>
        <w:t>g</w:t>
      </w:r>
      <w:r w:rsidR="00EC32B8">
        <w:rPr>
          <w:rFonts w:cs="Arial"/>
        </w:rPr>
        <w:t>lutaminase</w:t>
      </w:r>
      <w:r w:rsidR="00256BC2">
        <w:rPr>
          <w:rFonts w:cs="Arial"/>
        </w:rPr>
        <w:t>,</w:t>
      </w:r>
      <w:r w:rsidR="00EC32B8">
        <w:rPr>
          <w:rFonts w:cs="Arial"/>
        </w:rPr>
        <w:t xml:space="preserve"> </w:t>
      </w:r>
      <w:r w:rsidR="0095122A">
        <w:rPr>
          <w:rFonts w:cs="Arial"/>
        </w:rPr>
        <w:t>sourced</w:t>
      </w:r>
      <w:r w:rsidR="0040794F">
        <w:rPr>
          <w:rFonts w:cs="Arial"/>
        </w:rPr>
        <w:t xml:space="preserve"> from</w:t>
      </w:r>
      <w:r w:rsidR="00EC32B8" w:rsidRPr="00EC32B8">
        <w:rPr>
          <w:rFonts w:cs="Arial"/>
        </w:rPr>
        <w:t xml:space="preserve"> </w:t>
      </w:r>
      <w:r w:rsidR="00EC32B8" w:rsidRPr="00EC32B8">
        <w:rPr>
          <w:rFonts w:cs="Arial"/>
          <w:i/>
        </w:rPr>
        <w:t>B. amyloliquefaciens</w:t>
      </w:r>
      <w:r w:rsidR="00EC32B8">
        <w:rPr>
          <w:rFonts w:cs="Arial"/>
        </w:rPr>
        <w:t xml:space="preserve"> as a processing aid </w:t>
      </w:r>
      <w:r w:rsidR="00A07359">
        <w:rPr>
          <w:rFonts w:cs="Arial"/>
        </w:rPr>
        <w:t>i</w:t>
      </w:r>
      <w:r w:rsidRPr="00EC32B8">
        <w:rPr>
          <w:rFonts w:cs="Arial"/>
        </w:rPr>
        <w:t xml:space="preserve">s unlikely to have a significant effect on international trade as </w:t>
      </w:r>
      <w:r w:rsidR="00EC32B8" w:rsidRPr="0044606A">
        <w:rPr>
          <w:rFonts w:cs="Arial"/>
        </w:rPr>
        <w:t xml:space="preserve">the enzyme preparation complies with international specifications for food enzymes </w:t>
      </w:r>
      <w:r w:rsidR="00340D96">
        <w:rPr>
          <w:rFonts w:cs="Arial"/>
        </w:rPr>
        <w:t>provided</w:t>
      </w:r>
      <w:r w:rsidR="00EC32B8" w:rsidRPr="0044606A">
        <w:rPr>
          <w:rFonts w:cs="Arial"/>
        </w:rPr>
        <w:t xml:space="preserve"> by JECFA </w:t>
      </w:r>
      <w:r w:rsidR="00340D96">
        <w:rPr>
          <w:noProof/>
        </w:rPr>
        <w:t>(JECFA</w:t>
      </w:r>
      <w:r w:rsidR="00CD548E">
        <w:rPr>
          <w:noProof/>
        </w:rPr>
        <w:t>,</w:t>
      </w:r>
      <w:r w:rsidR="00340D96">
        <w:rPr>
          <w:noProof/>
        </w:rPr>
        <w:t xml:space="preserve"> 2006)</w:t>
      </w:r>
      <w:r w:rsidR="00340D96" w:rsidRPr="003246F7">
        <w:t xml:space="preserve"> </w:t>
      </w:r>
      <w:r w:rsidR="00EC32B8" w:rsidRPr="0044606A">
        <w:rPr>
          <w:rFonts w:cs="Arial"/>
        </w:rPr>
        <w:t>and the Food Chemicals Codex (9</w:t>
      </w:r>
      <w:r w:rsidR="00EC32B8" w:rsidRPr="0044606A">
        <w:rPr>
          <w:rFonts w:cs="Arial"/>
          <w:vertAlign w:val="superscript"/>
        </w:rPr>
        <w:t>th</w:t>
      </w:r>
      <w:r w:rsidR="00EC32B8" w:rsidRPr="0044606A">
        <w:rPr>
          <w:rFonts w:cs="Arial"/>
        </w:rPr>
        <w:t xml:space="preserve"> Edition)</w:t>
      </w:r>
      <w:r w:rsidR="00340D96">
        <w:rPr>
          <w:rFonts w:cs="Arial"/>
        </w:rPr>
        <w:t xml:space="preserve"> </w:t>
      </w:r>
      <w:r w:rsidR="00340D96">
        <w:t>(Food Chemicals Codex</w:t>
      </w:r>
      <w:r w:rsidR="00CD548E">
        <w:t>,</w:t>
      </w:r>
      <w:r w:rsidR="00340D96">
        <w:t xml:space="preserve"> 2015)</w:t>
      </w:r>
      <w:r w:rsidR="00340D96" w:rsidRPr="000A6D45">
        <w:t>.</w:t>
      </w:r>
      <w:r w:rsidR="00EC32B8" w:rsidRPr="0044606A">
        <w:rPr>
          <w:rFonts w:cs="Arial"/>
        </w:rPr>
        <w:t xml:space="preserve"> </w:t>
      </w:r>
      <w:r w:rsidRPr="00EC32B8">
        <w:rPr>
          <w:rFonts w:cs="Arial"/>
          <w:iCs/>
        </w:rPr>
        <w:t xml:space="preserve">Therefore, a notification to the WTO under </w:t>
      </w:r>
      <w:r w:rsidRPr="00EC32B8">
        <w:rPr>
          <w:rFonts w:cs="Arial"/>
        </w:rPr>
        <w:t>Australia’s and New Zealand’s</w:t>
      </w:r>
      <w:r w:rsidRPr="00EC32B8">
        <w:rPr>
          <w:rFonts w:cs="Arial"/>
          <w:iCs/>
        </w:rPr>
        <w:t xml:space="preserve"> obligations under the WTO Technical Barriers to Trade or </w:t>
      </w:r>
      <w:r w:rsidR="00D04529" w:rsidRPr="00EC32B8">
        <w:rPr>
          <w:rFonts w:cs="Arial"/>
          <w:iCs/>
        </w:rPr>
        <w:t xml:space="preserve">Application of </w:t>
      </w:r>
      <w:r w:rsidRPr="00EC32B8">
        <w:rPr>
          <w:rFonts w:cs="Arial"/>
          <w:iCs/>
        </w:rPr>
        <w:t>Sanitary and Phytosanitary Measures Agreement was not considered necessary.</w:t>
      </w:r>
    </w:p>
    <w:p w14:paraId="08AE2DE4" w14:textId="2969F574" w:rsidR="00E520FE" w:rsidRDefault="00022DBC" w:rsidP="00022DBC">
      <w:pPr>
        <w:pStyle w:val="Heading2"/>
      </w:pPr>
      <w:bookmarkStart w:id="64" w:name="_Toc438728885"/>
      <w:r>
        <w:t>2.</w:t>
      </w:r>
      <w:r w:rsidR="00721729">
        <w:t>4</w:t>
      </w:r>
      <w:r>
        <w:tab/>
        <w:t>FSANZ Act assessment requirements</w:t>
      </w:r>
      <w:bookmarkEnd w:id="64"/>
    </w:p>
    <w:p w14:paraId="1D23397B" w14:textId="350C63A2" w:rsidR="00726C2F" w:rsidRPr="00914030" w:rsidRDefault="00726C2F" w:rsidP="00726C2F">
      <w:r w:rsidRPr="00914030">
        <w:t xml:space="preserve">When assessing </w:t>
      </w:r>
      <w:r>
        <w:t xml:space="preserve">this </w:t>
      </w:r>
      <w:r w:rsidRPr="00340D96">
        <w:t>Application</w:t>
      </w:r>
      <w:r w:rsidR="00340D96" w:rsidRPr="00340D96">
        <w:t xml:space="preserve"> </w:t>
      </w:r>
      <w:r w:rsidRPr="00340D96">
        <w:t xml:space="preserve">and the subsequent development of a food regulatory measure, FSANZ had regard to the </w:t>
      </w:r>
      <w:r w:rsidRPr="00340D96" w:rsidDel="00932F14">
        <w:t xml:space="preserve">following </w:t>
      </w:r>
      <w:r w:rsidRPr="00340D96">
        <w:t>matters in section 29 of the FSANZ Act:</w:t>
      </w:r>
    </w:p>
    <w:p w14:paraId="6B60D941" w14:textId="64F2F83E" w:rsidR="00726C2F" w:rsidRPr="00914030" w:rsidRDefault="00726C2F" w:rsidP="00726C2F">
      <w:pPr>
        <w:pStyle w:val="Heading3"/>
      </w:pPr>
      <w:bookmarkStart w:id="65" w:name="_Toc438728886"/>
      <w:r>
        <w:t>2.</w:t>
      </w:r>
      <w:r w:rsidR="00721729">
        <w:t>4</w:t>
      </w:r>
      <w:r>
        <w:t>.1</w:t>
      </w:r>
      <w:r>
        <w:tab/>
        <w:t xml:space="preserve">Section </w:t>
      </w:r>
      <w:r w:rsidRPr="00340D96">
        <w:rPr>
          <w:color w:val="auto"/>
        </w:rPr>
        <w:t>29</w:t>
      </w:r>
      <w:bookmarkEnd w:id="65"/>
    </w:p>
    <w:p w14:paraId="7D7B8DF1" w14:textId="4EEC4AFC" w:rsidR="00726C2F" w:rsidRDefault="00726C2F" w:rsidP="00726C2F">
      <w:pPr>
        <w:pStyle w:val="Heading4"/>
      </w:pPr>
      <w:r>
        <w:t>2.</w:t>
      </w:r>
      <w:r w:rsidR="00721729">
        <w:t>4</w:t>
      </w:r>
      <w:r>
        <w:t>.1.1</w:t>
      </w:r>
      <w:r>
        <w:tab/>
        <w:t>Cost benefit analysis</w:t>
      </w:r>
    </w:p>
    <w:p w14:paraId="18C8579D" w14:textId="4249563E" w:rsidR="00721729" w:rsidRPr="004335DC" w:rsidRDefault="00721729" w:rsidP="00721729">
      <w:pPr>
        <w:rPr>
          <w:rFonts w:cs="Arial"/>
        </w:rPr>
      </w:pPr>
      <w:r w:rsidRPr="004335DC">
        <w:rPr>
          <w:rFonts w:cs="Arial"/>
        </w:rPr>
        <w:t xml:space="preserve">FSANZ </w:t>
      </w:r>
      <w:r w:rsidR="00B16B34">
        <w:rPr>
          <w:rFonts w:cs="Arial"/>
        </w:rPr>
        <w:t>i</w:t>
      </w:r>
      <w:r w:rsidR="00B16B34" w:rsidRPr="004335DC">
        <w:rPr>
          <w:rFonts w:cs="Arial"/>
        </w:rPr>
        <w:t xml:space="preserve">s </w:t>
      </w:r>
      <w:r w:rsidRPr="004335DC">
        <w:rPr>
          <w:rFonts w:cs="Arial"/>
        </w:rPr>
        <w:t>required to consider the impact of various regulatory and non-regulatory options on all sectors of the community, especially relevant stakeholders who may</w:t>
      </w:r>
      <w:r w:rsidR="00A07359">
        <w:rPr>
          <w:rFonts w:cs="Arial"/>
        </w:rPr>
        <w:t xml:space="preserve"> be</w:t>
      </w:r>
      <w:r w:rsidRPr="004335DC">
        <w:rPr>
          <w:rFonts w:cs="Arial"/>
        </w:rPr>
        <w:t xml:space="preserve"> affected by this Application. The benefits and costs associated with the proposed amendments to the Code </w:t>
      </w:r>
      <w:r w:rsidR="00B16B34">
        <w:rPr>
          <w:rFonts w:cs="Arial"/>
        </w:rPr>
        <w:t>are</w:t>
      </w:r>
      <w:r w:rsidR="00B16B34" w:rsidRPr="004335DC">
        <w:rPr>
          <w:rFonts w:cs="Arial"/>
        </w:rPr>
        <w:t xml:space="preserve"> </w:t>
      </w:r>
      <w:r w:rsidRPr="004335DC">
        <w:rPr>
          <w:rFonts w:cs="Arial"/>
        </w:rPr>
        <w:t xml:space="preserve">analysed using regulatory impact principles. </w:t>
      </w:r>
      <w:r w:rsidRPr="004335DC">
        <w:t xml:space="preserve">The level of analysis </w:t>
      </w:r>
      <w:r w:rsidR="00B16B34">
        <w:t>is</w:t>
      </w:r>
      <w:r w:rsidR="00B16B34" w:rsidRPr="004335DC">
        <w:t xml:space="preserve"> </w:t>
      </w:r>
      <w:r w:rsidRPr="004335DC">
        <w:t>commensurate with the nature of the Application and significance of the impacts.</w:t>
      </w:r>
    </w:p>
    <w:p w14:paraId="58D5EADD" w14:textId="77777777" w:rsidR="00721729" w:rsidRDefault="00721729" w:rsidP="00721729">
      <w:pPr>
        <w:rPr>
          <w:rFonts w:cs="Arial"/>
          <w:color w:val="000000" w:themeColor="text1"/>
        </w:rPr>
      </w:pPr>
    </w:p>
    <w:p w14:paraId="6C1708F2" w14:textId="0A68416A" w:rsidR="00721729" w:rsidRDefault="00721729" w:rsidP="00721729">
      <w:pPr>
        <w:rPr>
          <w:rFonts w:cs="Arial"/>
          <w:color w:val="000000" w:themeColor="text1"/>
        </w:rPr>
      </w:pPr>
      <w:r w:rsidRPr="004335DC">
        <w:rPr>
          <w:rFonts w:cs="Arial"/>
          <w:color w:val="000000" w:themeColor="text1"/>
        </w:rPr>
        <w:t xml:space="preserve">Two regulatory options were considered: </w:t>
      </w:r>
    </w:p>
    <w:p w14:paraId="5CA23C20" w14:textId="77777777" w:rsidR="00721729" w:rsidRDefault="00721729" w:rsidP="00721729">
      <w:pPr>
        <w:rPr>
          <w:rFonts w:cs="Arial"/>
          <w:color w:val="000000" w:themeColor="text1"/>
        </w:rPr>
      </w:pPr>
    </w:p>
    <w:p w14:paraId="4ABF17CF" w14:textId="15176E00" w:rsidR="00721729" w:rsidRDefault="00721729" w:rsidP="00721729">
      <w:pPr>
        <w:ind w:left="567" w:hanging="567"/>
        <w:rPr>
          <w:rFonts w:cs="Arial"/>
          <w:color w:val="000000" w:themeColor="text1"/>
        </w:rPr>
      </w:pPr>
      <w:r w:rsidRPr="004335DC">
        <w:rPr>
          <w:rFonts w:cs="Arial"/>
          <w:color w:val="000000" w:themeColor="text1"/>
        </w:rPr>
        <w:t xml:space="preserve">(1) </w:t>
      </w:r>
      <w:r w:rsidRPr="004335DC">
        <w:rPr>
          <w:rFonts w:cs="Arial"/>
          <w:color w:val="000000" w:themeColor="text1"/>
        </w:rPr>
        <w:tab/>
      </w:r>
      <w:proofErr w:type="gramStart"/>
      <w:r w:rsidRPr="004335DC">
        <w:rPr>
          <w:rFonts w:cs="Arial"/>
          <w:color w:val="000000" w:themeColor="text1"/>
        </w:rPr>
        <w:t>prepare</w:t>
      </w:r>
      <w:proofErr w:type="gramEnd"/>
      <w:r w:rsidRPr="004335DC">
        <w:rPr>
          <w:rFonts w:cs="Arial"/>
          <w:color w:val="000000" w:themeColor="text1"/>
        </w:rPr>
        <w:t xml:space="preserve"> a draft variation to </w:t>
      </w:r>
      <w:r w:rsidR="00B7443F">
        <w:rPr>
          <w:rFonts w:cs="Arial"/>
          <w:color w:val="000000" w:themeColor="text1"/>
        </w:rPr>
        <w:t xml:space="preserve">Schedule 18 </w:t>
      </w:r>
      <w:r w:rsidRPr="004335DC">
        <w:rPr>
          <w:rFonts w:cs="Arial"/>
          <w:color w:val="000000" w:themeColor="text1"/>
        </w:rPr>
        <w:t xml:space="preserve">to permit the use </w:t>
      </w:r>
      <w:r>
        <w:rPr>
          <w:rFonts w:cs="Arial"/>
          <w:color w:val="000000" w:themeColor="text1"/>
        </w:rPr>
        <w:t xml:space="preserve">of </w:t>
      </w:r>
      <w:r w:rsidR="00B7443F">
        <w:rPr>
          <w:rFonts w:cs="Arial"/>
          <w:color w:val="000000" w:themeColor="text1"/>
        </w:rPr>
        <w:t>the enzyme</w:t>
      </w:r>
      <w:r w:rsidR="00256BC2">
        <w:rPr>
          <w:rFonts w:cs="Arial"/>
          <w:color w:val="000000" w:themeColor="text1"/>
        </w:rPr>
        <w:t>,</w:t>
      </w:r>
      <w:r w:rsidR="00B7443F">
        <w:rPr>
          <w:rFonts w:cs="Arial"/>
          <w:color w:val="000000" w:themeColor="text1"/>
        </w:rPr>
        <w:t xml:space="preserve"> glutaminase (E</w:t>
      </w:r>
      <w:r w:rsidR="0040794F">
        <w:rPr>
          <w:rFonts w:cs="Arial"/>
          <w:color w:val="000000" w:themeColor="text1"/>
        </w:rPr>
        <w:t>C</w:t>
      </w:r>
      <w:r w:rsidR="00256BC2">
        <w:rPr>
          <w:rFonts w:cs="Arial"/>
          <w:color w:val="000000" w:themeColor="text1"/>
        </w:rPr>
        <w:t xml:space="preserve"> number</w:t>
      </w:r>
      <w:r w:rsidR="00B7443F">
        <w:rPr>
          <w:rFonts w:cs="Arial"/>
          <w:color w:val="000000" w:themeColor="text1"/>
        </w:rPr>
        <w:t xml:space="preserve"> 3.5.1.2)</w:t>
      </w:r>
      <w:r w:rsidR="00256BC2">
        <w:rPr>
          <w:rFonts w:cs="Arial"/>
          <w:color w:val="000000" w:themeColor="text1"/>
        </w:rPr>
        <w:t>,</w:t>
      </w:r>
      <w:r w:rsidR="00B7443F">
        <w:rPr>
          <w:rFonts w:cs="Arial"/>
          <w:color w:val="000000" w:themeColor="text1"/>
        </w:rPr>
        <w:t xml:space="preserve"> </w:t>
      </w:r>
      <w:r w:rsidR="0095122A">
        <w:rPr>
          <w:rFonts w:cs="Arial"/>
          <w:color w:val="000000" w:themeColor="text1"/>
        </w:rPr>
        <w:t>sourced</w:t>
      </w:r>
      <w:r w:rsidR="0040794F">
        <w:rPr>
          <w:rFonts w:cs="Arial"/>
          <w:color w:val="000000" w:themeColor="text1"/>
        </w:rPr>
        <w:t xml:space="preserve"> from</w:t>
      </w:r>
      <w:r w:rsidR="00B7443F">
        <w:rPr>
          <w:rFonts w:cs="Arial"/>
          <w:color w:val="000000" w:themeColor="text1"/>
        </w:rPr>
        <w:t xml:space="preserve"> </w:t>
      </w:r>
      <w:r w:rsidR="00B7443F" w:rsidRPr="00B7443F">
        <w:rPr>
          <w:rFonts w:cs="Arial"/>
          <w:i/>
          <w:color w:val="000000" w:themeColor="text1"/>
        </w:rPr>
        <w:t>B. amyloliquefaciens</w:t>
      </w:r>
      <w:r w:rsidR="00B7443F">
        <w:rPr>
          <w:rFonts w:cs="Arial"/>
          <w:i/>
          <w:color w:val="000000" w:themeColor="text1"/>
        </w:rPr>
        <w:t xml:space="preserve"> </w:t>
      </w:r>
      <w:r w:rsidRPr="004335DC">
        <w:rPr>
          <w:rFonts w:cs="Arial"/>
          <w:color w:val="000000" w:themeColor="text1"/>
        </w:rPr>
        <w:t>as a processing aid</w:t>
      </w:r>
    </w:p>
    <w:p w14:paraId="164E8797" w14:textId="77777777" w:rsidR="00B7443F" w:rsidRPr="004335DC" w:rsidRDefault="00B7443F" w:rsidP="00721729">
      <w:pPr>
        <w:ind w:left="567" w:hanging="567"/>
        <w:rPr>
          <w:rFonts w:cs="Arial"/>
          <w:color w:val="000000" w:themeColor="text1"/>
        </w:rPr>
      </w:pPr>
    </w:p>
    <w:p w14:paraId="20014F9F" w14:textId="77777777" w:rsidR="00721729" w:rsidRPr="004335DC" w:rsidRDefault="00721729" w:rsidP="00721729">
      <w:pPr>
        <w:ind w:left="567" w:hanging="567"/>
        <w:rPr>
          <w:rFonts w:cs="Arial"/>
          <w:color w:val="000000" w:themeColor="text1"/>
        </w:rPr>
      </w:pPr>
      <w:r w:rsidRPr="004335DC">
        <w:rPr>
          <w:rFonts w:cs="Arial"/>
          <w:color w:val="000000" w:themeColor="text1"/>
        </w:rPr>
        <w:t xml:space="preserve">(2) </w:t>
      </w:r>
      <w:r w:rsidRPr="004335DC">
        <w:rPr>
          <w:rFonts w:cs="Arial"/>
          <w:color w:val="000000" w:themeColor="text1"/>
        </w:rPr>
        <w:tab/>
      </w:r>
      <w:proofErr w:type="gramStart"/>
      <w:r w:rsidRPr="004335DC">
        <w:rPr>
          <w:rFonts w:cs="Arial"/>
          <w:color w:val="000000" w:themeColor="text1"/>
        </w:rPr>
        <w:t>reject</w:t>
      </w:r>
      <w:proofErr w:type="gramEnd"/>
      <w:r>
        <w:rPr>
          <w:rFonts w:cs="Arial"/>
          <w:color w:val="000000" w:themeColor="text1"/>
        </w:rPr>
        <w:t xml:space="preserve"> the Application.</w:t>
      </w:r>
    </w:p>
    <w:p w14:paraId="6D583E0E" w14:textId="77777777" w:rsidR="00721729" w:rsidRPr="004335DC" w:rsidRDefault="00721729" w:rsidP="00721729"/>
    <w:p w14:paraId="6D51A13C" w14:textId="0499AB8D" w:rsidR="00721729" w:rsidRPr="004335DC" w:rsidRDefault="00721729" w:rsidP="00721729">
      <w:pPr>
        <w:rPr>
          <w:bCs/>
        </w:rPr>
      </w:pPr>
      <w:r w:rsidRPr="004335DC">
        <w:rPr>
          <w:bCs/>
        </w:rPr>
        <w:t xml:space="preserve">The Office of Best Practice Regulation, in a letter dated 24 November 2010 (reference 12065), provided a standing exemption from the need to assess if a Regulation Impact Statement is required for </w:t>
      </w:r>
      <w:r>
        <w:rPr>
          <w:bCs/>
        </w:rPr>
        <w:t>Application</w:t>
      </w:r>
      <w:r w:rsidRPr="004335DC">
        <w:rPr>
          <w:bCs/>
        </w:rPr>
        <w:t>s relating to processing aids</w:t>
      </w:r>
      <w:r>
        <w:rPr>
          <w:bCs/>
        </w:rPr>
        <w:t>,</w:t>
      </w:r>
      <w:r w:rsidRPr="004335DC">
        <w:rPr>
          <w:bCs/>
        </w:rPr>
        <w:t xml:space="preserve"> as they are machinery in nature and their use is voluntary. However, FSANZ undert</w:t>
      </w:r>
      <w:r w:rsidR="00A07359">
        <w:rPr>
          <w:bCs/>
        </w:rPr>
        <w:t>ook</w:t>
      </w:r>
      <w:r w:rsidRPr="004335DC">
        <w:rPr>
          <w:bCs/>
        </w:rPr>
        <w:t xml:space="preserve"> a limited impact analysis.</w:t>
      </w:r>
    </w:p>
    <w:p w14:paraId="6FA36844" w14:textId="77777777" w:rsidR="00721729" w:rsidRPr="004335DC" w:rsidRDefault="00721729" w:rsidP="00721729">
      <w:pPr>
        <w:rPr>
          <w:bCs/>
        </w:rPr>
      </w:pPr>
    </w:p>
    <w:p w14:paraId="6AE3E113" w14:textId="53592C03" w:rsidR="00721729" w:rsidRPr="004335DC" w:rsidRDefault="00721729" w:rsidP="00721729">
      <w:pPr>
        <w:rPr>
          <w:szCs w:val="22"/>
        </w:rPr>
      </w:pPr>
      <w:r w:rsidRPr="004335DC">
        <w:t xml:space="preserve">A consideration of the costs and benefits of the regulatory options </w:t>
      </w:r>
      <w:r w:rsidR="00A07359">
        <w:rPr>
          <w:szCs w:val="22"/>
        </w:rPr>
        <w:t>wa</w:t>
      </w:r>
      <w:r w:rsidRPr="004335DC">
        <w:rPr>
          <w:szCs w:val="22"/>
        </w:rPr>
        <w:t xml:space="preserve">s not intended to be an exhaustive, quantitative economic analysis of the options and, in fact, most of the effects that </w:t>
      </w:r>
      <w:r w:rsidR="00A07359">
        <w:rPr>
          <w:szCs w:val="22"/>
        </w:rPr>
        <w:t>we</w:t>
      </w:r>
      <w:r w:rsidRPr="004335DC">
        <w:rPr>
          <w:szCs w:val="22"/>
        </w:rPr>
        <w:t>re considered can</w:t>
      </w:r>
      <w:r>
        <w:rPr>
          <w:szCs w:val="22"/>
        </w:rPr>
        <w:t>not be assigned a dollar value.</w:t>
      </w:r>
    </w:p>
    <w:p w14:paraId="433E9727" w14:textId="77777777" w:rsidR="00721729" w:rsidRPr="004335DC" w:rsidRDefault="00721729" w:rsidP="00721729">
      <w:pPr>
        <w:rPr>
          <w:szCs w:val="22"/>
        </w:rPr>
      </w:pPr>
    </w:p>
    <w:p w14:paraId="533999BE" w14:textId="41853310" w:rsidR="00721729" w:rsidRDefault="00721729" w:rsidP="00721729">
      <w:pPr>
        <w:rPr>
          <w:szCs w:val="22"/>
        </w:rPr>
      </w:pPr>
      <w:r w:rsidRPr="004335DC">
        <w:rPr>
          <w:szCs w:val="22"/>
        </w:rPr>
        <w:t xml:space="preserve">Rather, the assessment </w:t>
      </w:r>
      <w:r w:rsidR="00A07359">
        <w:rPr>
          <w:szCs w:val="22"/>
        </w:rPr>
        <w:t>sought</w:t>
      </w:r>
      <w:r w:rsidRPr="004335DC">
        <w:rPr>
          <w:szCs w:val="22"/>
        </w:rPr>
        <w:t xml:space="preserve"> to highlight the qualitative effects of criteria that </w:t>
      </w:r>
      <w:r w:rsidR="00A07359">
        <w:rPr>
          <w:szCs w:val="22"/>
        </w:rPr>
        <w:t>wer</w:t>
      </w:r>
      <w:r w:rsidRPr="004335DC">
        <w:rPr>
          <w:szCs w:val="22"/>
        </w:rPr>
        <w:t>e relevant to each option. These criteria are deliberately limited to those involving broad areas such as trade, consumer information and compliance.</w:t>
      </w:r>
    </w:p>
    <w:p w14:paraId="63CC0169" w14:textId="76FC46E3" w:rsidR="00721729" w:rsidRPr="001B32D0" w:rsidRDefault="00721729" w:rsidP="00721729">
      <w:pPr>
        <w:keepNext/>
        <w:keepLines/>
        <w:spacing w:before="240" w:after="240"/>
        <w:ind w:left="851" w:hanging="851"/>
        <w:outlineLvl w:val="3"/>
        <w:rPr>
          <w:b/>
          <w:bCs/>
          <w:iCs/>
          <w:szCs w:val="22"/>
          <w:lang w:bidi="ar-SA"/>
        </w:rPr>
      </w:pPr>
      <w:r w:rsidRPr="001B32D0">
        <w:rPr>
          <w:b/>
          <w:bCs/>
          <w:iCs/>
          <w:szCs w:val="22"/>
          <w:lang w:bidi="ar-SA"/>
        </w:rPr>
        <w:t xml:space="preserve">Option 1 – Prepare a draft variation to </w:t>
      </w:r>
      <w:r w:rsidR="00B7443F">
        <w:rPr>
          <w:b/>
          <w:bCs/>
          <w:iCs/>
          <w:szCs w:val="22"/>
          <w:lang w:bidi="ar-SA"/>
        </w:rPr>
        <w:t xml:space="preserve">Schedule 18 </w:t>
      </w:r>
    </w:p>
    <w:tbl>
      <w:tblPr>
        <w:tblStyle w:val="TableGrid1"/>
        <w:tblW w:w="0" w:type="auto"/>
        <w:tblLook w:val="04A0" w:firstRow="1" w:lastRow="0" w:firstColumn="1" w:lastColumn="0" w:noHBand="0" w:noVBand="1"/>
      </w:tblPr>
      <w:tblGrid>
        <w:gridCol w:w="1537"/>
        <w:gridCol w:w="7749"/>
      </w:tblGrid>
      <w:tr w:rsidR="00721729" w:rsidRPr="00690683" w14:paraId="721B400F" w14:textId="77777777" w:rsidTr="00EF4606">
        <w:trPr>
          <w:tblHeader/>
        </w:trPr>
        <w:tc>
          <w:tcPr>
            <w:tcW w:w="0" w:type="auto"/>
            <w:shd w:val="clear" w:color="auto" w:fill="C2D69B" w:themeFill="accent3" w:themeFillTint="99"/>
          </w:tcPr>
          <w:p w14:paraId="245F0EDC" w14:textId="77777777" w:rsidR="00721729" w:rsidRPr="00690683" w:rsidRDefault="00721729" w:rsidP="00721729">
            <w:pPr>
              <w:keepNext/>
              <w:keepLines/>
              <w:spacing w:before="120" w:after="120"/>
              <w:rPr>
                <w:rFonts w:cs="Arial"/>
                <w:b/>
                <w:szCs w:val="20"/>
              </w:rPr>
            </w:pPr>
            <w:r w:rsidRPr="00690683">
              <w:rPr>
                <w:rFonts w:cs="Arial"/>
                <w:b/>
                <w:szCs w:val="20"/>
              </w:rPr>
              <w:t>Sector</w:t>
            </w:r>
          </w:p>
        </w:tc>
        <w:tc>
          <w:tcPr>
            <w:tcW w:w="0" w:type="auto"/>
            <w:shd w:val="clear" w:color="auto" w:fill="C2D69B" w:themeFill="accent3" w:themeFillTint="99"/>
          </w:tcPr>
          <w:p w14:paraId="6DC9CF1B" w14:textId="77777777" w:rsidR="00721729" w:rsidRPr="00690683" w:rsidRDefault="00721729" w:rsidP="00721729">
            <w:pPr>
              <w:keepNext/>
              <w:keepLines/>
              <w:spacing w:before="120" w:after="120"/>
              <w:rPr>
                <w:rFonts w:cs="Arial"/>
                <w:b/>
                <w:szCs w:val="20"/>
              </w:rPr>
            </w:pPr>
            <w:r w:rsidRPr="00690683">
              <w:rPr>
                <w:rFonts w:cs="Arial"/>
                <w:b/>
                <w:szCs w:val="20"/>
              </w:rPr>
              <w:t>Costs or benefits to sector</w:t>
            </w:r>
          </w:p>
        </w:tc>
      </w:tr>
      <w:tr w:rsidR="00721729" w:rsidRPr="004335DC" w14:paraId="09DE7B43" w14:textId="77777777" w:rsidTr="00721729">
        <w:tc>
          <w:tcPr>
            <w:tcW w:w="0" w:type="auto"/>
          </w:tcPr>
          <w:p w14:paraId="1A756607" w14:textId="77777777" w:rsidR="00721729" w:rsidRPr="00316B7F" w:rsidRDefault="00721729" w:rsidP="00EF4606">
            <w:pPr>
              <w:spacing w:before="120" w:after="120"/>
              <w:rPr>
                <w:rFonts w:cs="Arial"/>
                <w:szCs w:val="20"/>
              </w:rPr>
            </w:pPr>
            <w:r w:rsidRPr="00316B7F">
              <w:rPr>
                <w:rFonts w:cs="Arial"/>
                <w:szCs w:val="20"/>
              </w:rPr>
              <w:t>Consumers</w:t>
            </w:r>
          </w:p>
        </w:tc>
        <w:tc>
          <w:tcPr>
            <w:tcW w:w="0" w:type="auto"/>
          </w:tcPr>
          <w:p w14:paraId="24D7E7A5" w14:textId="4D1EBD6E" w:rsidR="00721729" w:rsidRPr="00316B7F" w:rsidRDefault="0038726B" w:rsidP="00417860">
            <w:pPr>
              <w:keepNext/>
              <w:keepLines/>
              <w:spacing w:before="120" w:after="120"/>
              <w:rPr>
                <w:rFonts w:cs="Arial"/>
                <w:szCs w:val="20"/>
              </w:rPr>
            </w:pPr>
            <w:r w:rsidRPr="00316B7F">
              <w:rPr>
                <w:rFonts w:cs="Arial"/>
                <w:szCs w:val="20"/>
              </w:rPr>
              <w:t xml:space="preserve">There are no costs or benefits to </w:t>
            </w:r>
            <w:r>
              <w:rPr>
                <w:rFonts w:cs="Arial"/>
                <w:szCs w:val="20"/>
              </w:rPr>
              <w:t>consumers</w:t>
            </w:r>
            <w:r w:rsidRPr="00316B7F">
              <w:rPr>
                <w:rFonts w:cs="Arial"/>
                <w:szCs w:val="20"/>
              </w:rPr>
              <w:t xml:space="preserve"> associated with this option.</w:t>
            </w:r>
            <w:r>
              <w:rPr>
                <w:rFonts w:cs="Arial"/>
                <w:szCs w:val="20"/>
              </w:rPr>
              <w:t xml:space="preserve"> </w:t>
            </w:r>
            <w:r w:rsidRPr="0038726B">
              <w:rPr>
                <w:rFonts w:cs="Arial"/>
                <w:szCs w:val="20"/>
              </w:rPr>
              <w:t>The</w:t>
            </w:r>
            <w:r>
              <w:rPr>
                <w:rFonts w:cs="Arial"/>
                <w:szCs w:val="20"/>
              </w:rPr>
              <w:t xml:space="preserve"> use of glutaminase is one of a number of </w:t>
            </w:r>
            <w:r w:rsidR="00417860">
              <w:rPr>
                <w:rFonts w:cs="Arial"/>
                <w:szCs w:val="20"/>
              </w:rPr>
              <w:t xml:space="preserve">commercial </w:t>
            </w:r>
            <w:r w:rsidRPr="0038726B">
              <w:rPr>
                <w:rFonts w:cs="Arial"/>
                <w:szCs w:val="20"/>
              </w:rPr>
              <w:t xml:space="preserve">methods </w:t>
            </w:r>
            <w:r w:rsidR="00417860">
              <w:rPr>
                <w:rFonts w:cs="Arial"/>
                <w:szCs w:val="20"/>
              </w:rPr>
              <w:t xml:space="preserve">available </w:t>
            </w:r>
            <w:r w:rsidRPr="0038726B">
              <w:rPr>
                <w:rFonts w:cs="Arial"/>
                <w:szCs w:val="20"/>
              </w:rPr>
              <w:t xml:space="preserve">to increase the glutamate content of </w:t>
            </w:r>
            <w:r w:rsidR="00417860">
              <w:rPr>
                <w:rFonts w:cs="Arial"/>
                <w:szCs w:val="20"/>
              </w:rPr>
              <w:t xml:space="preserve">certain </w:t>
            </w:r>
            <w:r w:rsidR="00F55D77">
              <w:rPr>
                <w:rFonts w:cs="Arial"/>
                <w:szCs w:val="20"/>
              </w:rPr>
              <w:t>food products</w:t>
            </w:r>
            <w:r>
              <w:rPr>
                <w:rFonts w:cs="Arial"/>
                <w:szCs w:val="20"/>
              </w:rPr>
              <w:t xml:space="preserve">. The overall benefit to consumers, namely the availability of a range of food products with a </w:t>
            </w:r>
            <w:r w:rsidRPr="0038726B">
              <w:rPr>
                <w:rFonts w:cs="Arial"/>
                <w:szCs w:val="20"/>
              </w:rPr>
              <w:t>distinctive ‘umami’ flavour</w:t>
            </w:r>
            <w:r>
              <w:rPr>
                <w:rFonts w:cs="Arial"/>
                <w:szCs w:val="20"/>
              </w:rPr>
              <w:t xml:space="preserve"> is the same, irrespective of the method employed to achieve this </w:t>
            </w:r>
            <w:r w:rsidR="00C62B4B">
              <w:rPr>
                <w:rFonts w:cs="Arial"/>
                <w:szCs w:val="20"/>
              </w:rPr>
              <w:t>result</w:t>
            </w:r>
            <w:r w:rsidRPr="0038726B">
              <w:rPr>
                <w:rFonts w:cs="Arial"/>
                <w:szCs w:val="20"/>
              </w:rPr>
              <w:t>.</w:t>
            </w:r>
          </w:p>
        </w:tc>
      </w:tr>
      <w:tr w:rsidR="00721729" w:rsidRPr="004335DC" w14:paraId="76726C4B" w14:textId="77777777" w:rsidTr="00721729">
        <w:trPr>
          <w:trHeight w:val="886"/>
        </w:trPr>
        <w:tc>
          <w:tcPr>
            <w:tcW w:w="0" w:type="auto"/>
          </w:tcPr>
          <w:p w14:paraId="372B7668" w14:textId="5B8EB8AC" w:rsidR="00721729" w:rsidRPr="00316B7F" w:rsidRDefault="00721729" w:rsidP="00EF4606">
            <w:pPr>
              <w:spacing w:before="120" w:after="120"/>
              <w:rPr>
                <w:rFonts w:cs="Arial"/>
                <w:szCs w:val="20"/>
              </w:rPr>
            </w:pPr>
            <w:r w:rsidRPr="00316B7F">
              <w:rPr>
                <w:rFonts w:cs="Arial"/>
                <w:szCs w:val="20"/>
              </w:rPr>
              <w:lastRenderedPageBreak/>
              <w:t>Industry</w:t>
            </w:r>
          </w:p>
        </w:tc>
        <w:tc>
          <w:tcPr>
            <w:tcW w:w="0" w:type="auto"/>
          </w:tcPr>
          <w:p w14:paraId="0F3EAD1D" w14:textId="77777777" w:rsidR="00CD548E" w:rsidRDefault="00F629DB" w:rsidP="00215D26">
            <w:pPr>
              <w:keepNext/>
              <w:keepLines/>
              <w:spacing w:before="120" w:after="120"/>
              <w:rPr>
                <w:rFonts w:cs="Arial"/>
                <w:szCs w:val="20"/>
              </w:rPr>
            </w:pPr>
            <w:r>
              <w:rPr>
                <w:rFonts w:cs="Arial"/>
                <w:szCs w:val="20"/>
              </w:rPr>
              <w:t>Glutaminase preparations already have a history of use as processing aids in the manufacture of certain food products.</w:t>
            </w:r>
            <w:r w:rsidR="00272D82">
              <w:rPr>
                <w:rFonts w:cs="Arial"/>
                <w:szCs w:val="20"/>
              </w:rPr>
              <w:t xml:space="preserve"> </w:t>
            </w:r>
            <w:r w:rsidR="001532D5" w:rsidRPr="001532D5">
              <w:rPr>
                <w:rFonts w:cs="Arial"/>
                <w:szCs w:val="20"/>
              </w:rPr>
              <w:t xml:space="preserve">Glutaminase has </w:t>
            </w:r>
            <w:r w:rsidR="001F429F" w:rsidRPr="001F429F">
              <w:rPr>
                <w:rFonts w:cs="Arial"/>
                <w:szCs w:val="20"/>
              </w:rPr>
              <w:t xml:space="preserve">been </w:t>
            </w:r>
            <w:r w:rsidR="001532D5" w:rsidRPr="001532D5">
              <w:rPr>
                <w:rFonts w:cs="Arial"/>
                <w:szCs w:val="20"/>
              </w:rPr>
              <w:t>employed</w:t>
            </w:r>
            <w:r w:rsidR="001F429F" w:rsidRPr="001F429F">
              <w:rPr>
                <w:rFonts w:cs="Arial"/>
                <w:szCs w:val="20"/>
              </w:rPr>
              <w:t xml:space="preserve"> in the production of soy sauces since 1991 and </w:t>
            </w:r>
            <w:r w:rsidR="001532D5" w:rsidRPr="001532D5">
              <w:rPr>
                <w:rFonts w:cs="Arial"/>
                <w:szCs w:val="20"/>
              </w:rPr>
              <w:t xml:space="preserve">in the production of </w:t>
            </w:r>
            <w:r w:rsidR="001F429F" w:rsidRPr="001F429F">
              <w:rPr>
                <w:rFonts w:cs="Arial"/>
                <w:szCs w:val="20"/>
              </w:rPr>
              <w:t>miso since 1992</w:t>
            </w:r>
            <w:r w:rsidR="001532D5" w:rsidRPr="001532D5">
              <w:rPr>
                <w:rFonts w:cs="Arial"/>
                <w:szCs w:val="20"/>
              </w:rPr>
              <w:t xml:space="preserve"> (Amano Enzyme, 2005). The use of glutaminase as a processing aid for the production of hydrolysed vegetable protein has been ongoing since 2003.</w:t>
            </w:r>
            <w:r w:rsidR="001F429F" w:rsidRPr="001F429F">
              <w:rPr>
                <w:rFonts w:cs="Arial"/>
                <w:szCs w:val="20"/>
              </w:rPr>
              <w:t xml:space="preserve"> </w:t>
            </w:r>
          </w:p>
          <w:p w14:paraId="0EA8A298" w14:textId="182CD736" w:rsidR="00721729" w:rsidRPr="00F629DB" w:rsidRDefault="00A42BFC" w:rsidP="0038726B">
            <w:pPr>
              <w:keepNext/>
              <w:keepLines/>
              <w:spacing w:before="120" w:after="120"/>
              <w:rPr>
                <w:rFonts w:cs="Arial"/>
                <w:szCs w:val="20"/>
              </w:rPr>
            </w:pPr>
            <w:r>
              <w:rPr>
                <w:rFonts w:cs="Arial"/>
                <w:szCs w:val="20"/>
              </w:rPr>
              <w:t xml:space="preserve">The glutaminase preparation has benefits that include a high glutamate yield, excellent thermal stability, and stability during storage. A comparison of the glutaminase preparation against other methods </w:t>
            </w:r>
            <w:r w:rsidR="00215D26">
              <w:rPr>
                <w:rFonts w:cs="Arial"/>
                <w:szCs w:val="20"/>
              </w:rPr>
              <w:t xml:space="preserve">for manufacturing certain food products </w:t>
            </w:r>
            <w:r>
              <w:rPr>
                <w:rFonts w:cs="Arial"/>
                <w:szCs w:val="20"/>
              </w:rPr>
              <w:t xml:space="preserve">indicates </w:t>
            </w:r>
            <w:r w:rsidR="00215D26">
              <w:rPr>
                <w:rFonts w:cs="Arial"/>
                <w:szCs w:val="20"/>
              </w:rPr>
              <w:t xml:space="preserve">that there are a number of potential </w:t>
            </w:r>
            <w:r>
              <w:rPr>
                <w:rFonts w:cs="Arial"/>
                <w:szCs w:val="20"/>
              </w:rPr>
              <w:t xml:space="preserve">advantages including milder processing conditions and </w:t>
            </w:r>
            <w:r w:rsidR="0038726B">
              <w:rPr>
                <w:rFonts w:cs="Arial"/>
                <w:szCs w:val="20"/>
              </w:rPr>
              <w:t xml:space="preserve">a desirable amino acid profile in the </w:t>
            </w:r>
            <w:r w:rsidR="0038726B" w:rsidRPr="0038726B">
              <w:rPr>
                <w:rFonts w:cs="Arial"/>
                <w:szCs w:val="20"/>
              </w:rPr>
              <w:t>protein hydrolysates due to the specificity of the enzyme</w:t>
            </w:r>
            <w:r w:rsidR="00C62B4B">
              <w:rPr>
                <w:rFonts w:cs="Arial"/>
                <w:szCs w:val="20"/>
              </w:rPr>
              <w:t>.</w:t>
            </w:r>
          </w:p>
        </w:tc>
      </w:tr>
      <w:tr w:rsidR="00721729" w:rsidRPr="004335DC" w14:paraId="2E3382D2" w14:textId="77777777" w:rsidTr="00721729">
        <w:tc>
          <w:tcPr>
            <w:tcW w:w="0" w:type="auto"/>
          </w:tcPr>
          <w:p w14:paraId="1EB1799A" w14:textId="3C453380" w:rsidR="00721729" w:rsidRPr="00316B7F" w:rsidRDefault="00721729" w:rsidP="00EF4606">
            <w:pPr>
              <w:spacing w:before="120" w:after="120"/>
              <w:rPr>
                <w:rFonts w:cs="Arial"/>
                <w:szCs w:val="20"/>
              </w:rPr>
            </w:pPr>
            <w:r w:rsidRPr="00316B7F">
              <w:rPr>
                <w:rFonts w:cs="Arial"/>
                <w:szCs w:val="20"/>
              </w:rPr>
              <w:t>Governments</w:t>
            </w:r>
          </w:p>
        </w:tc>
        <w:tc>
          <w:tcPr>
            <w:tcW w:w="0" w:type="auto"/>
          </w:tcPr>
          <w:p w14:paraId="1992C245" w14:textId="2D671B2D" w:rsidR="00721729" w:rsidRPr="00316B7F" w:rsidRDefault="00721729" w:rsidP="00FF6690">
            <w:pPr>
              <w:keepNext/>
              <w:keepLines/>
              <w:spacing w:before="120" w:after="120"/>
              <w:rPr>
                <w:rFonts w:cs="Arial"/>
                <w:szCs w:val="20"/>
              </w:rPr>
            </w:pPr>
            <w:r w:rsidRPr="00316B7F">
              <w:rPr>
                <w:rFonts w:cs="Arial"/>
                <w:szCs w:val="20"/>
              </w:rPr>
              <w:t>There are no costs or benefits to governments associated with this option.</w:t>
            </w:r>
            <w:r w:rsidR="00F629DB">
              <w:rPr>
                <w:rFonts w:cs="Arial"/>
                <w:szCs w:val="20"/>
              </w:rPr>
              <w:t xml:space="preserve"> </w:t>
            </w:r>
            <w:r w:rsidR="00F629DB" w:rsidRPr="00D032FF">
              <w:rPr>
                <w:rFonts w:cs="Arial"/>
                <w:i/>
                <w:szCs w:val="20"/>
              </w:rPr>
              <w:t>B.</w:t>
            </w:r>
            <w:r w:rsidR="00417860">
              <w:rPr>
                <w:rFonts w:cs="Arial"/>
                <w:i/>
                <w:szCs w:val="20"/>
              </w:rPr>
              <w:t> </w:t>
            </w:r>
            <w:r w:rsidR="00F629DB" w:rsidRPr="00D032FF">
              <w:rPr>
                <w:rFonts w:cs="Arial"/>
                <w:i/>
                <w:szCs w:val="20"/>
              </w:rPr>
              <w:t>amyloliquefaciens</w:t>
            </w:r>
            <w:r w:rsidR="00F629DB" w:rsidRPr="00F629DB">
              <w:rPr>
                <w:rFonts w:cs="Arial"/>
                <w:szCs w:val="20"/>
              </w:rPr>
              <w:t xml:space="preserve"> is the host microorganism for ten other permitted enzymes in the Code.</w:t>
            </w:r>
          </w:p>
        </w:tc>
      </w:tr>
    </w:tbl>
    <w:p w14:paraId="27E90049" w14:textId="4186CB0C" w:rsidR="00D032FF" w:rsidRDefault="00D032FF">
      <w:pPr>
        <w:widowControl/>
        <w:rPr>
          <w:b/>
          <w:bCs/>
          <w:iCs/>
          <w:szCs w:val="22"/>
          <w:lang w:bidi="ar-SA"/>
        </w:rPr>
      </w:pPr>
    </w:p>
    <w:p w14:paraId="092E7D25" w14:textId="77777777" w:rsidR="00721729" w:rsidRPr="001B32D0" w:rsidRDefault="00721729" w:rsidP="00721729">
      <w:pPr>
        <w:keepNext/>
        <w:spacing w:before="240" w:after="240"/>
        <w:ind w:left="851" w:hanging="851"/>
        <w:outlineLvl w:val="3"/>
        <w:rPr>
          <w:b/>
          <w:bCs/>
          <w:iCs/>
          <w:szCs w:val="22"/>
          <w:lang w:bidi="ar-SA"/>
        </w:rPr>
      </w:pPr>
      <w:r w:rsidRPr="001B32D0">
        <w:rPr>
          <w:b/>
          <w:bCs/>
          <w:iCs/>
          <w:szCs w:val="22"/>
          <w:lang w:bidi="ar-SA"/>
        </w:rPr>
        <w:t>Option 2 – Reject the Application</w:t>
      </w:r>
    </w:p>
    <w:tbl>
      <w:tblPr>
        <w:tblStyle w:val="TableGrid1"/>
        <w:tblW w:w="9322" w:type="dxa"/>
        <w:tblLook w:val="04A0" w:firstRow="1" w:lastRow="0" w:firstColumn="1" w:lastColumn="0" w:noHBand="0" w:noVBand="1"/>
      </w:tblPr>
      <w:tblGrid>
        <w:gridCol w:w="1537"/>
        <w:gridCol w:w="7785"/>
      </w:tblGrid>
      <w:tr w:rsidR="00721729" w:rsidRPr="00690683" w14:paraId="592417B1" w14:textId="77777777" w:rsidTr="00721729">
        <w:tc>
          <w:tcPr>
            <w:tcW w:w="0" w:type="auto"/>
            <w:shd w:val="clear" w:color="auto" w:fill="C2D69B" w:themeFill="accent3" w:themeFillTint="99"/>
          </w:tcPr>
          <w:p w14:paraId="5783B986" w14:textId="77777777" w:rsidR="00721729" w:rsidRPr="00690683" w:rsidRDefault="00721729" w:rsidP="00721729">
            <w:pPr>
              <w:keepNext/>
              <w:keepLines/>
              <w:spacing w:before="120" w:after="120"/>
              <w:rPr>
                <w:rFonts w:cs="Arial"/>
                <w:b/>
                <w:szCs w:val="20"/>
              </w:rPr>
            </w:pPr>
            <w:bookmarkStart w:id="66" w:name="_Toc120358590"/>
            <w:bookmarkStart w:id="67" w:name="_Toc294176162"/>
            <w:r w:rsidRPr="00690683">
              <w:rPr>
                <w:rFonts w:cs="Arial"/>
                <w:b/>
                <w:szCs w:val="20"/>
              </w:rPr>
              <w:t>Sector</w:t>
            </w:r>
          </w:p>
        </w:tc>
        <w:tc>
          <w:tcPr>
            <w:tcW w:w="7905" w:type="dxa"/>
            <w:shd w:val="clear" w:color="auto" w:fill="C2D69B" w:themeFill="accent3" w:themeFillTint="99"/>
          </w:tcPr>
          <w:p w14:paraId="737135A6" w14:textId="77777777" w:rsidR="00721729" w:rsidRPr="00690683" w:rsidRDefault="00721729" w:rsidP="00721729">
            <w:pPr>
              <w:keepNext/>
              <w:keepLines/>
              <w:spacing w:before="120" w:after="120"/>
              <w:rPr>
                <w:rFonts w:cs="Arial"/>
                <w:b/>
                <w:szCs w:val="20"/>
              </w:rPr>
            </w:pPr>
            <w:r w:rsidRPr="00690683">
              <w:rPr>
                <w:rFonts w:cs="Arial"/>
                <w:b/>
                <w:szCs w:val="20"/>
              </w:rPr>
              <w:t>Costs or benefits to sector</w:t>
            </w:r>
          </w:p>
        </w:tc>
      </w:tr>
      <w:tr w:rsidR="00721729" w:rsidRPr="004335DC" w14:paraId="54286893" w14:textId="77777777" w:rsidTr="00721729">
        <w:tc>
          <w:tcPr>
            <w:tcW w:w="0" w:type="auto"/>
          </w:tcPr>
          <w:p w14:paraId="58ADBAD7" w14:textId="77777777" w:rsidR="00721729" w:rsidRPr="00316B7F" w:rsidRDefault="00721729" w:rsidP="00721729">
            <w:pPr>
              <w:spacing w:before="120" w:after="120"/>
              <w:rPr>
                <w:rFonts w:cs="Arial"/>
                <w:szCs w:val="20"/>
              </w:rPr>
            </w:pPr>
            <w:r w:rsidRPr="00316B7F">
              <w:rPr>
                <w:rFonts w:cs="Arial"/>
                <w:szCs w:val="20"/>
              </w:rPr>
              <w:t>Consumers</w:t>
            </w:r>
          </w:p>
        </w:tc>
        <w:tc>
          <w:tcPr>
            <w:tcW w:w="7905" w:type="dxa"/>
          </w:tcPr>
          <w:p w14:paraId="1BE5A645" w14:textId="77777777" w:rsidR="00721729" w:rsidRPr="00316B7F" w:rsidRDefault="00721729" w:rsidP="00721729">
            <w:pPr>
              <w:spacing w:before="120" w:after="120"/>
              <w:rPr>
                <w:rFonts w:cs="Arial"/>
                <w:szCs w:val="20"/>
              </w:rPr>
            </w:pPr>
            <w:r w:rsidRPr="00316B7F">
              <w:rPr>
                <w:rFonts w:cs="Arial"/>
                <w:szCs w:val="20"/>
              </w:rPr>
              <w:t>There are no benefits or costs to consumers of this option.</w:t>
            </w:r>
          </w:p>
        </w:tc>
      </w:tr>
      <w:tr w:rsidR="00721729" w:rsidRPr="004335DC" w14:paraId="407F99B5" w14:textId="77777777" w:rsidTr="00721729">
        <w:tc>
          <w:tcPr>
            <w:tcW w:w="0" w:type="auto"/>
          </w:tcPr>
          <w:p w14:paraId="2D40C27E" w14:textId="77777777" w:rsidR="00721729" w:rsidRPr="00316B7F" w:rsidRDefault="00721729" w:rsidP="00721729">
            <w:pPr>
              <w:spacing w:before="120" w:after="120"/>
              <w:rPr>
                <w:rFonts w:cs="Arial"/>
                <w:szCs w:val="20"/>
              </w:rPr>
            </w:pPr>
            <w:r w:rsidRPr="00316B7F">
              <w:rPr>
                <w:rFonts w:cs="Arial"/>
                <w:szCs w:val="20"/>
              </w:rPr>
              <w:t>Industry</w:t>
            </w:r>
          </w:p>
        </w:tc>
        <w:tc>
          <w:tcPr>
            <w:tcW w:w="7905" w:type="dxa"/>
          </w:tcPr>
          <w:p w14:paraId="0279640D" w14:textId="691958D1" w:rsidR="00AC3694" w:rsidRDefault="00721729" w:rsidP="00AC3694">
            <w:pPr>
              <w:spacing w:before="120" w:after="120"/>
              <w:rPr>
                <w:rFonts w:cs="Arial"/>
                <w:szCs w:val="20"/>
              </w:rPr>
            </w:pPr>
            <w:r w:rsidRPr="00316B7F">
              <w:rPr>
                <w:rFonts w:cs="Arial"/>
                <w:szCs w:val="20"/>
              </w:rPr>
              <w:t xml:space="preserve">There are no benefits to industry from this option. However, </w:t>
            </w:r>
            <w:r w:rsidR="00D032FF">
              <w:rPr>
                <w:rFonts w:cs="Arial"/>
                <w:szCs w:val="20"/>
              </w:rPr>
              <w:t xml:space="preserve">it is possible that there will be costs </w:t>
            </w:r>
            <w:r w:rsidR="00AC3694">
              <w:rPr>
                <w:rFonts w:cs="Arial"/>
                <w:szCs w:val="20"/>
              </w:rPr>
              <w:t>to industry, by not allowing them to use an alternative method for producing certain food products using this enzyme preparation.</w:t>
            </w:r>
          </w:p>
          <w:p w14:paraId="2872359D" w14:textId="2A8EB917" w:rsidR="00721729" w:rsidRPr="00316B7F" w:rsidRDefault="00AC3694" w:rsidP="0055015A">
            <w:pPr>
              <w:spacing w:before="120" w:after="120"/>
              <w:rPr>
                <w:rFonts w:cs="Arial"/>
                <w:szCs w:val="20"/>
              </w:rPr>
            </w:pPr>
            <w:r>
              <w:rPr>
                <w:rFonts w:cs="Arial"/>
                <w:szCs w:val="20"/>
              </w:rPr>
              <w:t>T</w:t>
            </w:r>
            <w:r w:rsidR="00D032FF">
              <w:rPr>
                <w:rFonts w:cs="Arial"/>
                <w:szCs w:val="20"/>
              </w:rPr>
              <w:t>h</w:t>
            </w:r>
            <w:r>
              <w:rPr>
                <w:rFonts w:cs="Arial"/>
                <w:szCs w:val="20"/>
              </w:rPr>
              <w:t>e</w:t>
            </w:r>
            <w:r w:rsidR="00D032FF">
              <w:rPr>
                <w:rFonts w:cs="Arial"/>
                <w:szCs w:val="20"/>
              </w:rPr>
              <w:t xml:space="preserve"> glutaminase preparation has already been </w:t>
            </w:r>
            <w:r w:rsidR="003840D6">
              <w:rPr>
                <w:rFonts w:cs="Arial"/>
                <w:szCs w:val="20"/>
              </w:rPr>
              <w:t>permitted</w:t>
            </w:r>
            <w:r w:rsidR="00D032FF">
              <w:rPr>
                <w:rFonts w:cs="Arial"/>
                <w:szCs w:val="20"/>
              </w:rPr>
              <w:t xml:space="preserve"> </w:t>
            </w:r>
            <w:r w:rsidR="003840D6">
              <w:rPr>
                <w:rFonts w:cs="Arial"/>
                <w:szCs w:val="20"/>
              </w:rPr>
              <w:t xml:space="preserve">for use </w:t>
            </w:r>
            <w:r w:rsidR="00D032FF">
              <w:rPr>
                <w:rFonts w:cs="Arial"/>
                <w:szCs w:val="20"/>
              </w:rPr>
              <w:t>and marketed in several other major jurisdictions (e.g. Europe and Japan)</w:t>
            </w:r>
            <w:r>
              <w:rPr>
                <w:rFonts w:cs="Arial"/>
                <w:szCs w:val="20"/>
              </w:rPr>
              <w:t xml:space="preserve">. Therefore, it is possible that </w:t>
            </w:r>
            <w:r w:rsidR="0055015A">
              <w:rPr>
                <w:rFonts w:cs="Arial"/>
                <w:szCs w:val="20"/>
              </w:rPr>
              <w:t>a</w:t>
            </w:r>
            <w:r>
              <w:rPr>
                <w:rFonts w:cs="Arial"/>
                <w:szCs w:val="20"/>
              </w:rPr>
              <w:t xml:space="preserve"> cost to industry, particularly</w:t>
            </w:r>
            <w:r w:rsidR="00D032FF">
              <w:rPr>
                <w:rFonts w:cs="Arial"/>
                <w:szCs w:val="20"/>
              </w:rPr>
              <w:t xml:space="preserve"> </w:t>
            </w:r>
            <w:r>
              <w:rPr>
                <w:rFonts w:cs="Arial"/>
                <w:szCs w:val="20"/>
              </w:rPr>
              <w:t xml:space="preserve">to </w:t>
            </w:r>
            <w:r w:rsidR="00385850">
              <w:rPr>
                <w:rFonts w:cs="Arial"/>
                <w:szCs w:val="20"/>
              </w:rPr>
              <w:t xml:space="preserve">overseas </w:t>
            </w:r>
            <w:r>
              <w:rPr>
                <w:rFonts w:cs="Arial"/>
                <w:szCs w:val="20"/>
              </w:rPr>
              <w:t xml:space="preserve">manufacturers and importers, will relate to their inability to expand </w:t>
            </w:r>
            <w:r w:rsidR="00385850">
              <w:rPr>
                <w:rFonts w:cs="Arial"/>
                <w:szCs w:val="20"/>
              </w:rPr>
              <w:t>the international trade of th</w:t>
            </w:r>
            <w:r w:rsidR="0055015A">
              <w:rPr>
                <w:rFonts w:cs="Arial"/>
                <w:szCs w:val="20"/>
              </w:rPr>
              <w:t>eir</w:t>
            </w:r>
            <w:r w:rsidR="00385850">
              <w:rPr>
                <w:rFonts w:cs="Arial"/>
                <w:szCs w:val="20"/>
              </w:rPr>
              <w:t xml:space="preserve"> products </w:t>
            </w:r>
            <w:r w:rsidR="0055015A">
              <w:rPr>
                <w:rFonts w:cs="Arial"/>
                <w:szCs w:val="20"/>
              </w:rPr>
              <w:t xml:space="preserve">made using this enzyme preparation </w:t>
            </w:r>
            <w:r w:rsidR="00385850">
              <w:rPr>
                <w:rFonts w:cs="Arial"/>
                <w:szCs w:val="20"/>
              </w:rPr>
              <w:t xml:space="preserve">to </w:t>
            </w:r>
            <w:r>
              <w:rPr>
                <w:rFonts w:cs="Arial"/>
                <w:szCs w:val="20"/>
              </w:rPr>
              <w:t>Australia</w:t>
            </w:r>
            <w:r w:rsidR="003840D6">
              <w:rPr>
                <w:rFonts w:cs="Arial"/>
                <w:szCs w:val="20"/>
              </w:rPr>
              <w:t>/</w:t>
            </w:r>
            <w:r>
              <w:rPr>
                <w:rFonts w:cs="Arial"/>
                <w:szCs w:val="20"/>
              </w:rPr>
              <w:t>New Zealand</w:t>
            </w:r>
            <w:r w:rsidR="00385850">
              <w:rPr>
                <w:rFonts w:cs="Arial"/>
                <w:szCs w:val="20"/>
              </w:rPr>
              <w:t>.</w:t>
            </w:r>
          </w:p>
        </w:tc>
      </w:tr>
      <w:tr w:rsidR="00721729" w:rsidRPr="004335DC" w14:paraId="53443EDF" w14:textId="77777777" w:rsidTr="00721729">
        <w:tc>
          <w:tcPr>
            <w:tcW w:w="0" w:type="auto"/>
          </w:tcPr>
          <w:p w14:paraId="7A388E24" w14:textId="233CBFE5" w:rsidR="00721729" w:rsidRPr="00316B7F" w:rsidRDefault="00721729" w:rsidP="00721729">
            <w:pPr>
              <w:spacing w:before="120" w:after="120"/>
              <w:rPr>
                <w:rFonts w:cs="Arial"/>
                <w:szCs w:val="20"/>
              </w:rPr>
            </w:pPr>
            <w:r w:rsidRPr="00316B7F">
              <w:rPr>
                <w:rFonts w:cs="Arial"/>
                <w:szCs w:val="20"/>
              </w:rPr>
              <w:t>Governments</w:t>
            </w:r>
          </w:p>
        </w:tc>
        <w:tc>
          <w:tcPr>
            <w:tcW w:w="7905" w:type="dxa"/>
          </w:tcPr>
          <w:p w14:paraId="66B1EFAA" w14:textId="77777777" w:rsidR="00721729" w:rsidRPr="00316B7F" w:rsidRDefault="00721729" w:rsidP="00721729">
            <w:pPr>
              <w:spacing w:before="120" w:after="120"/>
              <w:rPr>
                <w:rFonts w:cs="Arial"/>
                <w:szCs w:val="20"/>
              </w:rPr>
            </w:pPr>
            <w:r w:rsidRPr="00316B7F">
              <w:rPr>
                <w:rFonts w:cs="Arial"/>
                <w:szCs w:val="20"/>
              </w:rPr>
              <w:t>There are no benefits or costs to governments for this option.</w:t>
            </w:r>
          </w:p>
        </w:tc>
      </w:tr>
      <w:bookmarkEnd w:id="66"/>
      <w:bookmarkEnd w:id="67"/>
    </w:tbl>
    <w:p w14:paraId="7C2CE359" w14:textId="77777777" w:rsidR="00721729" w:rsidRPr="004335DC" w:rsidRDefault="00721729" w:rsidP="00721729">
      <w:pPr>
        <w:rPr>
          <w:rFonts w:cs="Arial"/>
          <w:color w:val="000000" w:themeColor="text1"/>
        </w:rPr>
      </w:pPr>
    </w:p>
    <w:p w14:paraId="611AD493" w14:textId="5893D7BD" w:rsidR="00721729" w:rsidRDefault="00721729" w:rsidP="00721729">
      <w:r w:rsidRPr="004335DC">
        <w:t xml:space="preserve">The direct and indirect benefits that would arise from a food regulatory measure developed or varied as a result of the </w:t>
      </w:r>
      <w:r>
        <w:t>A</w:t>
      </w:r>
      <w:r w:rsidRPr="004335DC">
        <w:t>pplication outweigh</w:t>
      </w:r>
      <w:r w:rsidR="00CF39F6">
        <w:t>ed</w:t>
      </w:r>
      <w:r w:rsidRPr="004335DC">
        <w:t xml:space="preserve"> the costs to the community, Government or industry that would arise from the development </w:t>
      </w:r>
      <w:r w:rsidRPr="00914030">
        <w:t>or variation</w:t>
      </w:r>
      <w:r>
        <w:t xml:space="preserve"> of the food regulatory measure. Therefore, the preferred option </w:t>
      </w:r>
      <w:r w:rsidR="00A07359">
        <w:t>wa</w:t>
      </w:r>
      <w:r>
        <w:t xml:space="preserve">s to prepare a draft variation to </w:t>
      </w:r>
      <w:r w:rsidR="00503629">
        <w:t>Schedule 18.</w:t>
      </w:r>
    </w:p>
    <w:p w14:paraId="6458FD3B" w14:textId="5E633764" w:rsidR="00726C2F" w:rsidRDefault="00726C2F" w:rsidP="00726C2F">
      <w:pPr>
        <w:pStyle w:val="Heading4"/>
      </w:pPr>
      <w:r>
        <w:t>2.</w:t>
      </w:r>
      <w:r w:rsidR="00503629">
        <w:t>4</w:t>
      </w:r>
      <w:r>
        <w:t>.1.2</w:t>
      </w:r>
      <w:r>
        <w:tab/>
        <w:t>Other measures</w:t>
      </w:r>
    </w:p>
    <w:p w14:paraId="44F7AFC7" w14:textId="36952A1A" w:rsidR="00726C2F" w:rsidRDefault="00726C2F" w:rsidP="00726C2F">
      <w:pPr>
        <w:rPr>
          <w:color w:val="FF0000"/>
        </w:rPr>
      </w:pPr>
      <w:r>
        <w:t xml:space="preserve">There </w:t>
      </w:r>
      <w:r w:rsidR="00A07359">
        <w:t>we</w:t>
      </w:r>
      <w:r>
        <w:t>re no</w:t>
      </w:r>
      <w:r w:rsidRPr="007F7BF7">
        <w:t xml:space="preserve"> other measures </w:t>
      </w:r>
      <w:r>
        <w:t xml:space="preserve">(whether available to FSANZ or not) that </w:t>
      </w:r>
      <w:r w:rsidRPr="007F7BF7">
        <w:t>would</w:t>
      </w:r>
      <w:r>
        <w:t xml:space="preserve"> be more cost-effective than a food regulatory measure developed or varied as a result of the </w:t>
      </w:r>
      <w:r w:rsidR="00503629" w:rsidRPr="00503629">
        <w:t>A</w:t>
      </w:r>
      <w:r w:rsidRPr="00503629">
        <w:t>pplication</w:t>
      </w:r>
      <w:r>
        <w:rPr>
          <w:color w:val="FF0000"/>
        </w:rPr>
        <w:t>.</w:t>
      </w:r>
    </w:p>
    <w:p w14:paraId="6D1F3BFC" w14:textId="66D99FB9" w:rsidR="00726C2F" w:rsidRDefault="008B0075" w:rsidP="008B0075">
      <w:pPr>
        <w:pStyle w:val="Heading4"/>
      </w:pPr>
      <w:r>
        <w:t>2.</w:t>
      </w:r>
      <w:r w:rsidR="00503629">
        <w:t>4</w:t>
      </w:r>
      <w:r>
        <w:t>.1.3</w:t>
      </w:r>
      <w:r>
        <w:tab/>
        <w:t>A</w:t>
      </w:r>
      <w:r w:rsidR="00726C2F" w:rsidRPr="00914030">
        <w:t>ny relevant New Zealand standards</w:t>
      </w:r>
    </w:p>
    <w:p w14:paraId="22B90AA7" w14:textId="77777777" w:rsidR="00FF6690" w:rsidRDefault="00503629" w:rsidP="008B0075">
      <w:pPr>
        <w:rPr>
          <w:lang w:bidi="ar-SA"/>
        </w:rPr>
      </w:pPr>
      <w:r>
        <w:rPr>
          <w:lang w:bidi="ar-SA"/>
        </w:rPr>
        <w:t>Schedule 18 applies in New Zealand and t</w:t>
      </w:r>
      <w:r w:rsidR="008B0075">
        <w:rPr>
          <w:lang w:bidi="ar-SA"/>
        </w:rPr>
        <w:t xml:space="preserve">here </w:t>
      </w:r>
      <w:r w:rsidR="00A07359">
        <w:rPr>
          <w:lang w:bidi="ar-SA"/>
        </w:rPr>
        <w:t>are</w:t>
      </w:r>
      <w:r w:rsidR="008B0075">
        <w:rPr>
          <w:lang w:bidi="ar-SA"/>
        </w:rPr>
        <w:t xml:space="preserve"> no relevant New Zealand </w:t>
      </w:r>
      <w:r>
        <w:rPr>
          <w:lang w:bidi="ar-SA"/>
        </w:rPr>
        <w:t xml:space="preserve">only </w:t>
      </w:r>
      <w:r w:rsidR="00FF6690">
        <w:rPr>
          <w:lang w:bidi="ar-SA"/>
        </w:rPr>
        <w:t>s</w:t>
      </w:r>
      <w:r w:rsidR="008B0075">
        <w:rPr>
          <w:lang w:bidi="ar-SA"/>
        </w:rPr>
        <w:t>tandards.</w:t>
      </w:r>
      <w:r w:rsidR="00FF6690">
        <w:rPr>
          <w:lang w:bidi="ar-SA"/>
        </w:rPr>
        <w:br w:type="page"/>
      </w:r>
    </w:p>
    <w:p w14:paraId="41C9D929" w14:textId="308D6C34" w:rsidR="00726C2F" w:rsidRPr="00914030" w:rsidRDefault="00503629" w:rsidP="00BE3818">
      <w:pPr>
        <w:pStyle w:val="Heading4"/>
      </w:pPr>
      <w:r>
        <w:lastRenderedPageBreak/>
        <w:t>2.4</w:t>
      </w:r>
      <w:r w:rsidR="00BE3818">
        <w:t>.1.4</w:t>
      </w:r>
      <w:r w:rsidR="00BE3818">
        <w:tab/>
      </w:r>
      <w:r w:rsidR="0027513D">
        <w:t>A</w:t>
      </w:r>
      <w:r w:rsidR="00BE3818">
        <w:t>ny other relevant matters</w:t>
      </w:r>
    </w:p>
    <w:p w14:paraId="779CDEBF" w14:textId="72AB92CA" w:rsidR="00BE3818" w:rsidRDefault="00503629" w:rsidP="00BE3818">
      <w:pPr>
        <w:rPr>
          <w:lang w:bidi="ar-SA"/>
        </w:rPr>
      </w:pPr>
      <w:r>
        <w:rPr>
          <w:lang w:bidi="ar-SA"/>
        </w:rPr>
        <w:t>See below</w:t>
      </w:r>
      <w:r w:rsidR="00BE3818">
        <w:rPr>
          <w:lang w:bidi="ar-SA"/>
        </w:rPr>
        <w:t>.</w:t>
      </w:r>
    </w:p>
    <w:p w14:paraId="581A31F5" w14:textId="0735E016" w:rsidR="00022DBC" w:rsidRPr="00914030" w:rsidRDefault="00BE3818" w:rsidP="00022DBC">
      <w:pPr>
        <w:pStyle w:val="Heading3"/>
      </w:pPr>
      <w:bookmarkStart w:id="68" w:name="_Toc438728887"/>
      <w:bookmarkStart w:id="69" w:name="_Toc300761897"/>
      <w:bookmarkStart w:id="70" w:name="_Toc300933440"/>
      <w:r>
        <w:t>2.</w:t>
      </w:r>
      <w:r w:rsidR="00503629">
        <w:t>4</w:t>
      </w:r>
      <w:r>
        <w:t>.2</w:t>
      </w:r>
      <w:r w:rsidR="000C5707">
        <w:tab/>
      </w:r>
      <w:r>
        <w:t>Subsection 18(1)</w:t>
      </w:r>
      <w:bookmarkEnd w:id="68"/>
      <w:r>
        <w:t xml:space="preserve"> </w:t>
      </w:r>
      <w:bookmarkEnd w:id="69"/>
      <w:bookmarkEnd w:id="70"/>
    </w:p>
    <w:p w14:paraId="7FFB657B" w14:textId="575AB451" w:rsidR="00022DBC" w:rsidRPr="00914030" w:rsidRDefault="00022DBC" w:rsidP="00022DBC">
      <w:r w:rsidRPr="00914030">
        <w:rPr>
          <w:rFonts w:cs="Arial"/>
        </w:rPr>
        <w:t xml:space="preserve">FSANZ also </w:t>
      </w:r>
      <w:r w:rsidRPr="00914030">
        <w:t xml:space="preserve">considered the three objectives in subsection 18(1) of the </w:t>
      </w:r>
      <w:r>
        <w:t>FSANZ Act during the assessment.</w:t>
      </w:r>
    </w:p>
    <w:p w14:paraId="6A712BF2" w14:textId="1A6FF7E4" w:rsidR="00022DBC" w:rsidRPr="00914030" w:rsidRDefault="00BE3818" w:rsidP="00022DBC">
      <w:pPr>
        <w:pStyle w:val="Heading4"/>
        <w:rPr>
          <w:lang w:eastAsia="en-AU"/>
        </w:rPr>
      </w:pPr>
      <w:bookmarkStart w:id="71" w:name="_Toc297029117"/>
      <w:bookmarkStart w:id="72" w:name="_Toc300761898"/>
      <w:bookmarkStart w:id="73" w:name="_Toc300933441"/>
      <w:r>
        <w:rPr>
          <w:lang w:eastAsia="en-AU"/>
        </w:rPr>
        <w:t>2.</w:t>
      </w:r>
      <w:r w:rsidR="00503629">
        <w:rPr>
          <w:lang w:eastAsia="en-AU"/>
        </w:rPr>
        <w:t>4</w:t>
      </w:r>
      <w:r>
        <w:rPr>
          <w:lang w:eastAsia="en-AU"/>
        </w:rPr>
        <w:t>.2</w:t>
      </w:r>
      <w:r w:rsidR="00022DBC" w:rsidRPr="00914030">
        <w:rPr>
          <w:lang w:eastAsia="en-AU"/>
        </w:rPr>
        <w:t>.1</w:t>
      </w:r>
      <w:r w:rsidR="00022DBC" w:rsidRPr="00914030">
        <w:rPr>
          <w:lang w:eastAsia="en-AU"/>
        </w:rPr>
        <w:tab/>
        <w:t>Protection of public health and safety</w:t>
      </w:r>
      <w:bookmarkEnd w:id="71"/>
      <w:bookmarkEnd w:id="72"/>
      <w:bookmarkEnd w:id="73"/>
    </w:p>
    <w:p w14:paraId="566838C2" w14:textId="0F7ADA2E" w:rsidR="00503629" w:rsidRPr="00154A4B" w:rsidRDefault="00503629" w:rsidP="00FF6690">
      <w:pPr>
        <w:ind w:right="-428"/>
      </w:pPr>
      <w:bookmarkStart w:id="74" w:name="_Toc300761899"/>
      <w:bookmarkStart w:id="75" w:name="_Toc300933442"/>
      <w:r>
        <w:t xml:space="preserve">FSANZ </w:t>
      </w:r>
      <w:r w:rsidR="004A2206">
        <w:t xml:space="preserve">undertook </w:t>
      </w:r>
      <w:r>
        <w:t xml:space="preserve">a safety assessment (SD1) and concluded there </w:t>
      </w:r>
      <w:r w:rsidR="004A2206">
        <w:t>were</w:t>
      </w:r>
      <w:r>
        <w:t xml:space="preserve"> </w:t>
      </w:r>
      <w:r w:rsidR="004A2206">
        <w:t xml:space="preserve">no </w:t>
      </w:r>
      <w:r>
        <w:t xml:space="preserve">public health and safety concerns relating to permitting the enzyme glutaminase </w:t>
      </w:r>
      <w:r w:rsidR="0095122A">
        <w:t>sourced</w:t>
      </w:r>
      <w:r w:rsidR="0040794F">
        <w:t xml:space="preserve"> from</w:t>
      </w:r>
      <w:r>
        <w:t xml:space="preserve"> </w:t>
      </w:r>
      <w:r>
        <w:rPr>
          <w:i/>
        </w:rPr>
        <w:t>B.</w:t>
      </w:r>
      <w:r w:rsidR="00417860">
        <w:rPr>
          <w:i/>
        </w:rPr>
        <w:t> </w:t>
      </w:r>
      <w:r>
        <w:rPr>
          <w:i/>
        </w:rPr>
        <w:t>amyloliquefaciens</w:t>
      </w:r>
      <w:r w:rsidR="0040794F">
        <w:rPr>
          <w:i/>
        </w:rPr>
        <w:t xml:space="preserve"> </w:t>
      </w:r>
      <w:r>
        <w:t xml:space="preserve">as a processing aid.  </w:t>
      </w:r>
    </w:p>
    <w:p w14:paraId="00D6C581" w14:textId="321733C7" w:rsidR="00022DBC" w:rsidRPr="00914030" w:rsidRDefault="00BE3818" w:rsidP="00022DBC">
      <w:pPr>
        <w:pStyle w:val="Heading4"/>
        <w:rPr>
          <w:lang w:eastAsia="en-AU"/>
        </w:rPr>
      </w:pPr>
      <w:r>
        <w:rPr>
          <w:lang w:eastAsia="en-AU"/>
        </w:rPr>
        <w:t>2.</w:t>
      </w:r>
      <w:r w:rsidR="00503629">
        <w:rPr>
          <w:lang w:eastAsia="en-AU"/>
        </w:rPr>
        <w:t>4</w:t>
      </w:r>
      <w:r>
        <w:rPr>
          <w:lang w:eastAsia="en-AU"/>
        </w:rPr>
        <w:t>.2</w:t>
      </w:r>
      <w:r w:rsidR="00022DBC">
        <w:rPr>
          <w:lang w:eastAsia="en-AU"/>
        </w:rPr>
        <w:t>.</w:t>
      </w:r>
      <w:r w:rsidR="00022DBC" w:rsidRPr="00914030">
        <w:rPr>
          <w:lang w:eastAsia="en-AU"/>
        </w:rPr>
        <w:t>2</w:t>
      </w:r>
      <w:r w:rsidR="00022DBC" w:rsidRPr="00914030">
        <w:rPr>
          <w:lang w:eastAsia="en-AU"/>
        </w:rPr>
        <w:tab/>
        <w:t>The provision of adequate information relating to food to enable consumers to make informed choices</w:t>
      </w:r>
      <w:bookmarkEnd w:id="74"/>
      <w:bookmarkEnd w:id="75"/>
    </w:p>
    <w:p w14:paraId="69D2AEA0" w14:textId="4D71892C" w:rsidR="004210E4" w:rsidRPr="00FF6690" w:rsidRDefault="004210E4" w:rsidP="00BF0390">
      <w:r w:rsidRPr="00DF3D74">
        <w:t xml:space="preserve">The labelling requirements for </w:t>
      </w:r>
      <w:r w:rsidR="00191977">
        <w:t xml:space="preserve">the </w:t>
      </w:r>
      <w:r w:rsidR="004E1759">
        <w:t xml:space="preserve">enzyme </w:t>
      </w:r>
      <w:r w:rsidRPr="00DF3D74">
        <w:t>processing aid are discussed in Section 2.2.2 – Labelling</w:t>
      </w:r>
      <w:r>
        <w:t xml:space="preserve"> considerations</w:t>
      </w:r>
      <w:r w:rsidRPr="00DF3D74">
        <w:t>.</w:t>
      </w:r>
      <w:r w:rsidR="00F5476E">
        <w:t xml:space="preserve"> These requirements are considered to be appropriate for the </w:t>
      </w:r>
      <w:r w:rsidR="00D72713">
        <w:t xml:space="preserve">permitted </w:t>
      </w:r>
      <w:r w:rsidR="00F5476E">
        <w:t>use of the enzyme in foods.</w:t>
      </w:r>
      <w:bookmarkStart w:id="76" w:name="_Toc300761900"/>
      <w:bookmarkStart w:id="77" w:name="_Toc300933443"/>
    </w:p>
    <w:p w14:paraId="6B8B1E6E" w14:textId="1A5FFBCB" w:rsidR="00022DBC" w:rsidRPr="00914030" w:rsidRDefault="00BE3818" w:rsidP="004210E4">
      <w:pPr>
        <w:pStyle w:val="Heading4"/>
        <w:rPr>
          <w:lang w:eastAsia="en-AU"/>
        </w:rPr>
      </w:pPr>
      <w:r>
        <w:rPr>
          <w:lang w:eastAsia="en-AU"/>
        </w:rPr>
        <w:t>2.</w:t>
      </w:r>
      <w:r w:rsidR="004210E4">
        <w:rPr>
          <w:lang w:eastAsia="en-AU"/>
        </w:rPr>
        <w:t>4</w:t>
      </w:r>
      <w:r>
        <w:rPr>
          <w:lang w:eastAsia="en-AU"/>
        </w:rPr>
        <w:t>.2</w:t>
      </w:r>
      <w:r w:rsidR="00022DBC">
        <w:rPr>
          <w:lang w:eastAsia="en-AU"/>
        </w:rPr>
        <w:t>.</w:t>
      </w:r>
      <w:r w:rsidR="00022DBC" w:rsidRPr="00914030">
        <w:rPr>
          <w:lang w:eastAsia="en-AU"/>
        </w:rPr>
        <w:t>3</w:t>
      </w:r>
      <w:r w:rsidR="00022DBC" w:rsidRPr="00914030">
        <w:rPr>
          <w:lang w:eastAsia="en-AU"/>
        </w:rPr>
        <w:tab/>
        <w:t>The prevention of misleading or deceptive conduct</w:t>
      </w:r>
      <w:bookmarkEnd w:id="76"/>
      <w:bookmarkEnd w:id="77"/>
    </w:p>
    <w:p w14:paraId="3432EC11" w14:textId="67C7C667" w:rsidR="00E16F1D" w:rsidRPr="00915954" w:rsidRDefault="00E16F1D" w:rsidP="00E16F1D">
      <w:bookmarkStart w:id="78" w:name="_Toc300761901"/>
      <w:bookmarkStart w:id="79" w:name="_Toc300933444"/>
      <w:r w:rsidRPr="00DF3D74">
        <w:t xml:space="preserve">There </w:t>
      </w:r>
      <w:r w:rsidR="004A2206">
        <w:t>were</w:t>
      </w:r>
      <w:r w:rsidRPr="00DF3D74">
        <w:t xml:space="preserve"> no issues identified with this Application relevant to this objective.</w:t>
      </w:r>
    </w:p>
    <w:p w14:paraId="597B3A7E" w14:textId="5BD31468" w:rsidR="00022DBC" w:rsidRPr="00914030" w:rsidRDefault="00B51E03" w:rsidP="00B51E03">
      <w:pPr>
        <w:pStyle w:val="Heading3"/>
      </w:pPr>
      <w:bookmarkStart w:id="80" w:name="_Toc438728888"/>
      <w:r>
        <w:t>2.</w:t>
      </w:r>
      <w:r w:rsidR="00E16F1D">
        <w:t>4</w:t>
      </w:r>
      <w:r>
        <w:t>.3</w:t>
      </w:r>
      <w:r w:rsidR="00022DBC" w:rsidRPr="00914030">
        <w:tab/>
        <w:t xml:space="preserve">Subsection 18(2) </w:t>
      </w:r>
      <w:bookmarkEnd w:id="78"/>
      <w:bookmarkEnd w:id="79"/>
      <w:r w:rsidR="00022DBC" w:rsidRPr="00914030">
        <w:t>considerations</w:t>
      </w:r>
      <w:bookmarkEnd w:id="80"/>
    </w:p>
    <w:p w14:paraId="677FE1EA" w14:textId="77777777" w:rsidR="00022DBC" w:rsidRPr="00914030" w:rsidRDefault="00022DBC" w:rsidP="00022DBC">
      <w:pPr>
        <w:rPr>
          <w:rFonts w:cs="Arial"/>
        </w:rPr>
      </w:pPr>
      <w:r w:rsidRPr="00914030">
        <w:rPr>
          <w:rFonts w:cs="Arial"/>
        </w:rPr>
        <w:t>FSANZ has also had regard to:</w:t>
      </w:r>
    </w:p>
    <w:p w14:paraId="300ACEA9" w14:textId="77777777" w:rsidR="00022DBC" w:rsidRPr="00914030" w:rsidRDefault="00022DBC" w:rsidP="00022DBC">
      <w:pPr>
        <w:rPr>
          <w:rFonts w:cs="Arial"/>
        </w:rPr>
      </w:pPr>
    </w:p>
    <w:p w14:paraId="29A6FE84" w14:textId="77777777" w:rsidR="00022DBC" w:rsidRPr="008828D9" w:rsidRDefault="00022DBC" w:rsidP="00022DBC">
      <w:pPr>
        <w:pStyle w:val="FSBullet1"/>
        <w:rPr>
          <w:b/>
        </w:rPr>
      </w:pPr>
      <w:r w:rsidRPr="008828D9">
        <w:rPr>
          <w:b/>
        </w:rPr>
        <w:t>the need for standards to be based on risk analysis using the best available scientific evidence</w:t>
      </w:r>
    </w:p>
    <w:p w14:paraId="067ECE9F" w14:textId="77777777" w:rsidR="008828D9" w:rsidRDefault="008828D9" w:rsidP="008828D9">
      <w:pPr>
        <w:rPr>
          <w:lang w:bidi="ar-SA"/>
        </w:rPr>
      </w:pPr>
    </w:p>
    <w:p w14:paraId="2A6F086B" w14:textId="01DDCEEE" w:rsidR="00E16F1D" w:rsidRPr="00871CF9" w:rsidRDefault="00E16F1D" w:rsidP="00E16F1D">
      <w:r w:rsidRPr="00871CF9">
        <w:t>FSANZ used the best available scientific evidence to conduct the risk analysis which is provided in SD1. The Applicant submitted a dossier of scientific studies as part of their Application. Other technical information including scientific literature was also used in assessing the Application.</w:t>
      </w:r>
    </w:p>
    <w:p w14:paraId="4BA36EFF" w14:textId="77777777" w:rsidR="008828D9" w:rsidRPr="008828D9" w:rsidRDefault="008828D9" w:rsidP="008828D9">
      <w:pPr>
        <w:rPr>
          <w:lang w:bidi="ar-SA"/>
        </w:rPr>
      </w:pPr>
    </w:p>
    <w:p w14:paraId="57E6166F" w14:textId="77777777" w:rsidR="00022DBC" w:rsidRPr="008828D9" w:rsidRDefault="00022DBC" w:rsidP="00022DBC">
      <w:pPr>
        <w:pStyle w:val="FSBullet1"/>
        <w:rPr>
          <w:b/>
        </w:rPr>
      </w:pPr>
      <w:r w:rsidRPr="008828D9">
        <w:rPr>
          <w:b/>
        </w:rPr>
        <w:t>the promotion of consistency between domestic and international food standards</w:t>
      </w:r>
    </w:p>
    <w:p w14:paraId="30F78C72" w14:textId="77777777" w:rsidR="008828D9" w:rsidRDefault="008828D9" w:rsidP="008828D9">
      <w:pPr>
        <w:rPr>
          <w:lang w:bidi="ar-SA"/>
        </w:rPr>
      </w:pPr>
    </w:p>
    <w:p w14:paraId="272DD28C" w14:textId="000A7DA0" w:rsidR="00EF3D8A" w:rsidRDefault="00EF3D8A" w:rsidP="00EF3D8A">
      <w:r>
        <w:t xml:space="preserve">There are no </w:t>
      </w:r>
      <w:r w:rsidRPr="003246F7">
        <w:t xml:space="preserve">Codex Alimentarius Standards for processing aids or enzymes. </w:t>
      </w:r>
      <w:r>
        <w:t xml:space="preserve">However, the enzyme preparation Glutaminase SD-C100S has been </w:t>
      </w:r>
      <w:r w:rsidR="003840D6">
        <w:t>permitted</w:t>
      </w:r>
      <w:r>
        <w:t xml:space="preserve"> for use in food production in France and Japan.</w:t>
      </w:r>
    </w:p>
    <w:p w14:paraId="0FC7672D" w14:textId="77777777" w:rsidR="008828D9" w:rsidRPr="008828D9" w:rsidRDefault="008828D9" w:rsidP="008828D9">
      <w:pPr>
        <w:rPr>
          <w:lang w:bidi="ar-SA"/>
        </w:rPr>
      </w:pPr>
    </w:p>
    <w:p w14:paraId="6FCDDFE5" w14:textId="77777777" w:rsidR="00022DBC" w:rsidRPr="008828D9" w:rsidRDefault="00022DBC" w:rsidP="00022DBC">
      <w:pPr>
        <w:pStyle w:val="FSBullet1"/>
        <w:rPr>
          <w:b/>
        </w:rPr>
      </w:pPr>
      <w:r w:rsidRPr="008828D9">
        <w:rPr>
          <w:b/>
        </w:rPr>
        <w:t>the desirability of an efficient and internationally competitive food industry</w:t>
      </w:r>
    </w:p>
    <w:p w14:paraId="48133706" w14:textId="77777777" w:rsidR="008828D9" w:rsidRDefault="008828D9" w:rsidP="008828D9">
      <w:pPr>
        <w:rPr>
          <w:lang w:bidi="ar-SA"/>
        </w:rPr>
      </w:pPr>
    </w:p>
    <w:p w14:paraId="46043D2B" w14:textId="6547F21D" w:rsidR="00EF3D8A" w:rsidRPr="001F4FE4" w:rsidRDefault="003840D6" w:rsidP="00EF3D8A">
      <w:r>
        <w:t xml:space="preserve">As mentioned above, </w:t>
      </w:r>
      <w:r w:rsidRPr="003840D6">
        <w:t xml:space="preserve">the use of glutaminase </w:t>
      </w:r>
      <w:r w:rsidR="0095122A">
        <w:t>sourced</w:t>
      </w:r>
      <w:r w:rsidRPr="003840D6">
        <w:t xml:space="preserve"> from </w:t>
      </w:r>
      <w:r w:rsidRPr="003840D6">
        <w:rPr>
          <w:i/>
        </w:rPr>
        <w:t>B. amyloliquefaciens</w:t>
      </w:r>
      <w:r w:rsidRPr="003840D6">
        <w:t xml:space="preserve"> has a history of use in Europe and Japan. </w:t>
      </w:r>
      <w:r>
        <w:t xml:space="preserve">The Applicant expects </w:t>
      </w:r>
      <w:r w:rsidRPr="003840D6">
        <w:t xml:space="preserve">that the introduction of glutaminase </w:t>
      </w:r>
      <w:r w:rsidR="0095122A">
        <w:t>sourced</w:t>
      </w:r>
      <w:r w:rsidRPr="003840D6">
        <w:t xml:space="preserve"> from </w:t>
      </w:r>
      <w:r w:rsidRPr="003840D6">
        <w:rPr>
          <w:i/>
        </w:rPr>
        <w:t>B. amyloliquefaciens</w:t>
      </w:r>
      <w:r w:rsidRPr="003840D6">
        <w:t xml:space="preserve"> to the Australia/New Zealand market </w:t>
      </w:r>
      <w:r>
        <w:t xml:space="preserve">will </w:t>
      </w:r>
      <w:r w:rsidRPr="003840D6">
        <w:t>be well received.</w:t>
      </w:r>
      <w:r>
        <w:t xml:space="preserve"> However, t</w:t>
      </w:r>
      <w:r w:rsidR="00EF3D8A" w:rsidRPr="001F4FE4">
        <w:t xml:space="preserve">he food industry will make their own economic decisions, taking account of costs and benefits of </w:t>
      </w:r>
      <w:r w:rsidR="00EF3D8A">
        <w:t>using a new enzyme preparation</w:t>
      </w:r>
      <w:r w:rsidR="00EF3D8A" w:rsidRPr="001F4FE4">
        <w:t xml:space="preserve"> to determine if it is of benefit to their business. </w:t>
      </w:r>
    </w:p>
    <w:p w14:paraId="46DC1BE8" w14:textId="5DC817F8" w:rsidR="00FF6690" w:rsidRDefault="00FF6690" w:rsidP="008828D9">
      <w:pPr>
        <w:rPr>
          <w:lang w:bidi="ar-SA"/>
        </w:rPr>
      </w:pPr>
      <w:r>
        <w:rPr>
          <w:lang w:bidi="ar-SA"/>
        </w:rPr>
        <w:br w:type="page"/>
      </w:r>
    </w:p>
    <w:p w14:paraId="052763FC" w14:textId="77777777" w:rsidR="00022DBC" w:rsidRPr="008828D9" w:rsidRDefault="00022DBC" w:rsidP="00EF4606">
      <w:pPr>
        <w:pStyle w:val="FSBullet1"/>
        <w:keepNext/>
        <w:rPr>
          <w:b/>
        </w:rPr>
      </w:pPr>
      <w:r w:rsidRPr="008828D9">
        <w:rPr>
          <w:b/>
        </w:rPr>
        <w:lastRenderedPageBreak/>
        <w:t>the promotion of fair trading in food</w:t>
      </w:r>
    </w:p>
    <w:p w14:paraId="6A3AF67E" w14:textId="77777777" w:rsidR="003840D6" w:rsidRDefault="003840D6" w:rsidP="00EF4606">
      <w:pPr>
        <w:keepNext/>
      </w:pPr>
    </w:p>
    <w:p w14:paraId="0F615C79" w14:textId="48A40E8B" w:rsidR="008828D9" w:rsidRPr="008828D9" w:rsidRDefault="003840D6" w:rsidP="008828D9">
      <w:pPr>
        <w:rPr>
          <w:lang w:bidi="ar-SA"/>
        </w:rPr>
      </w:pPr>
      <w:r w:rsidRPr="00D511BA">
        <w:t xml:space="preserve">The enzyme preparation has been assessed as safe </w:t>
      </w:r>
      <w:r>
        <w:t xml:space="preserve">and permitted for use </w:t>
      </w:r>
      <w:r w:rsidRPr="00D511BA">
        <w:t xml:space="preserve">in other countries. It is therefore appropriate that the local Australian and New Zealand food industries </w:t>
      </w:r>
      <w:r>
        <w:t>also benefit by gaining permission to use this same enzyme preparation.</w:t>
      </w:r>
    </w:p>
    <w:p w14:paraId="0BDEA0EE" w14:textId="77777777" w:rsidR="003840D6" w:rsidRPr="003840D6" w:rsidRDefault="003840D6" w:rsidP="003840D6">
      <w:pPr>
        <w:pStyle w:val="FSBullet1"/>
        <w:numPr>
          <w:ilvl w:val="0"/>
          <w:numId w:val="0"/>
        </w:numPr>
        <w:ind w:left="567"/>
      </w:pPr>
    </w:p>
    <w:p w14:paraId="25253AFE" w14:textId="77777777" w:rsidR="00022DBC" w:rsidRPr="005E2F53" w:rsidRDefault="00022DBC" w:rsidP="00022DBC">
      <w:pPr>
        <w:pStyle w:val="FSBullet1"/>
      </w:pPr>
      <w:r w:rsidRPr="008828D9">
        <w:rPr>
          <w:b/>
        </w:rPr>
        <w:t>any written policy guidelines formulated by the Ministerial Council</w:t>
      </w:r>
      <w:r w:rsidRPr="005E2F53">
        <w:rPr>
          <w:rStyle w:val="FootnoteReference"/>
        </w:rPr>
        <w:footnoteReference w:id="2"/>
      </w:r>
    </w:p>
    <w:p w14:paraId="2054DC1F" w14:textId="77777777" w:rsidR="00022DBC" w:rsidRDefault="00022DBC" w:rsidP="00022DBC">
      <w:pPr>
        <w:rPr>
          <w:lang w:bidi="ar-SA"/>
        </w:rPr>
      </w:pPr>
    </w:p>
    <w:p w14:paraId="5DF4F6E3" w14:textId="77777777" w:rsidR="003840D6" w:rsidRPr="00871CF9" w:rsidRDefault="003840D6" w:rsidP="003840D6">
      <w:pPr>
        <w:keepNext/>
        <w:widowControl/>
      </w:pPr>
      <w:r w:rsidRPr="00871CF9">
        <w:t xml:space="preserve">The </w:t>
      </w:r>
      <w:r>
        <w:t xml:space="preserve">Ministerial Policy Guideline </w:t>
      </w:r>
      <w:r w:rsidRPr="00A127AB">
        <w:rPr>
          <w:i/>
        </w:rPr>
        <w:t>Addition to Food of Substances other than Vitamins and Minerals</w:t>
      </w:r>
      <w:r w:rsidRPr="00871CF9">
        <w:rPr>
          <w:i/>
          <w:vertAlign w:val="superscript"/>
          <w:lang w:bidi="ar-SA"/>
        </w:rPr>
        <w:footnoteReference w:id="3"/>
      </w:r>
      <w:r w:rsidRPr="00871CF9">
        <w:t xml:space="preserve"> includes specific order policy principles for substances added to achieve a solely technological function, such as processing aids. These specific order policy principles state that permission should be granted where:</w:t>
      </w:r>
    </w:p>
    <w:p w14:paraId="19B046B9" w14:textId="77777777" w:rsidR="003840D6" w:rsidRPr="00871CF9" w:rsidRDefault="003840D6" w:rsidP="003840D6"/>
    <w:p w14:paraId="1A95DC09" w14:textId="77777777" w:rsidR="003840D6" w:rsidRPr="00871CF9" w:rsidRDefault="003840D6" w:rsidP="003840D6">
      <w:pPr>
        <w:pStyle w:val="FSBullet1"/>
      </w:pPr>
      <w:r w:rsidRPr="00871CF9">
        <w:t>the purpose for adding the substance can be articulated clearly by the manufacturer as achieving a solely technological function (i.e. the ‘stated purpose’)</w:t>
      </w:r>
    </w:p>
    <w:p w14:paraId="0226FAEC" w14:textId="77777777" w:rsidR="003840D6" w:rsidRPr="00871CF9" w:rsidRDefault="003840D6" w:rsidP="003840D6">
      <w:pPr>
        <w:pStyle w:val="FSBullet1"/>
      </w:pPr>
      <w:r w:rsidRPr="00871CF9">
        <w:t>the addition of the substance to food is safe for human consumption</w:t>
      </w:r>
    </w:p>
    <w:p w14:paraId="2C74E54F" w14:textId="77777777" w:rsidR="003840D6" w:rsidRPr="00871CF9" w:rsidRDefault="003840D6" w:rsidP="003840D6">
      <w:pPr>
        <w:pStyle w:val="FSBullet1"/>
      </w:pPr>
      <w:r w:rsidRPr="00871CF9">
        <w:t>the amounts added are consistent with achieving the technological function</w:t>
      </w:r>
    </w:p>
    <w:p w14:paraId="1B8DDCAC" w14:textId="77777777" w:rsidR="003840D6" w:rsidRPr="00871CF9" w:rsidRDefault="003840D6" w:rsidP="003840D6">
      <w:pPr>
        <w:pStyle w:val="FSBullet1"/>
      </w:pPr>
      <w:r w:rsidRPr="00871CF9">
        <w:t>the substance is added in a quantity and a form which is consistent with delivering the stated purpose</w:t>
      </w:r>
    </w:p>
    <w:p w14:paraId="2C577C37" w14:textId="77777777" w:rsidR="003840D6" w:rsidRPr="008200A6" w:rsidRDefault="003840D6" w:rsidP="003840D6">
      <w:pPr>
        <w:pStyle w:val="FSBullet1"/>
      </w:pPr>
      <w:proofErr w:type="gramStart"/>
      <w:r w:rsidRPr="008200A6">
        <w:t>no</w:t>
      </w:r>
      <w:proofErr w:type="gramEnd"/>
      <w:r w:rsidRPr="008200A6">
        <w:t xml:space="preserve"> nutrition, health or related claims are to be made in regard to the substance.</w:t>
      </w:r>
    </w:p>
    <w:p w14:paraId="334519A1" w14:textId="77777777" w:rsidR="003840D6" w:rsidRPr="008200A6" w:rsidRDefault="003840D6" w:rsidP="003840D6"/>
    <w:p w14:paraId="7CF5128C" w14:textId="6D5E62C8" w:rsidR="003840D6" w:rsidRPr="00871CF9" w:rsidRDefault="003840D6" w:rsidP="003840D6">
      <w:r w:rsidRPr="0006373D">
        <w:t xml:space="preserve">FSANZ determined that permitting the use of the enzyme </w:t>
      </w:r>
      <w:r>
        <w:t>glutaminase</w:t>
      </w:r>
      <w:r w:rsidRPr="0006373D">
        <w:rPr>
          <w:szCs w:val="22"/>
        </w:rPr>
        <w:t xml:space="preserve"> </w:t>
      </w:r>
      <w:r w:rsidR="0095122A">
        <w:rPr>
          <w:szCs w:val="22"/>
        </w:rPr>
        <w:t>sourced</w:t>
      </w:r>
      <w:r w:rsidR="0040794F">
        <w:rPr>
          <w:szCs w:val="22"/>
        </w:rPr>
        <w:t xml:space="preserve"> from</w:t>
      </w:r>
      <w:r>
        <w:t xml:space="preserve"> </w:t>
      </w:r>
      <w:r>
        <w:rPr>
          <w:i/>
        </w:rPr>
        <w:t>B.</w:t>
      </w:r>
      <w:r w:rsidR="0095122A">
        <w:rPr>
          <w:i/>
        </w:rPr>
        <w:t> </w:t>
      </w:r>
      <w:r>
        <w:rPr>
          <w:i/>
        </w:rPr>
        <w:t xml:space="preserve">amyloliquefaciens </w:t>
      </w:r>
      <w:r>
        <w:t xml:space="preserve">as a processing aid </w:t>
      </w:r>
      <w:r w:rsidRPr="0006373D">
        <w:t>is consistent with the specific order policy principles for ‘Technological Function’.</w:t>
      </w:r>
    </w:p>
    <w:p w14:paraId="58BF4E7C" w14:textId="77777777" w:rsidR="003840D6" w:rsidRDefault="003840D6" w:rsidP="00DD3C5E"/>
    <w:p w14:paraId="046A0997" w14:textId="4F62BA4F" w:rsidR="005F7342" w:rsidRPr="00932F14" w:rsidRDefault="00867B23" w:rsidP="00E203C2">
      <w:pPr>
        <w:pStyle w:val="Heading1"/>
      </w:pPr>
      <w:bookmarkStart w:id="81" w:name="_Toc286391014"/>
      <w:bookmarkStart w:id="82" w:name="_Toc175381455"/>
      <w:bookmarkStart w:id="83" w:name="_Toc300933445"/>
      <w:bookmarkStart w:id="84" w:name="_Toc438728889"/>
      <w:bookmarkEnd w:id="29"/>
      <w:bookmarkEnd w:id="30"/>
      <w:bookmarkEnd w:id="31"/>
      <w:bookmarkEnd w:id="32"/>
      <w:bookmarkEnd w:id="33"/>
      <w:bookmarkEnd w:id="34"/>
      <w:bookmarkEnd w:id="48"/>
      <w:r>
        <w:t>3</w:t>
      </w:r>
      <w:r w:rsidR="00F604DE">
        <w:tab/>
      </w:r>
      <w:bookmarkEnd w:id="81"/>
      <w:bookmarkEnd w:id="82"/>
      <w:bookmarkEnd w:id="83"/>
      <w:r w:rsidR="00D14405">
        <w:t xml:space="preserve">Draft </w:t>
      </w:r>
      <w:r w:rsidR="00D14405" w:rsidRPr="003840D6">
        <w:t>variation</w:t>
      </w:r>
      <w:bookmarkEnd w:id="84"/>
      <w:r w:rsidR="003840D6" w:rsidRPr="003840D6">
        <w:t xml:space="preserve"> </w:t>
      </w:r>
    </w:p>
    <w:p w14:paraId="72FE92CF" w14:textId="2E5CE163" w:rsidR="00D209C9" w:rsidRDefault="00D209C9" w:rsidP="00D209C9">
      <w:pPr>
        <w:rPr>
          <w:color w:val="000000" w:themeColor="text1"/>
        </w:rPr>
      </w:pPr>
      <w:r w:rsidRPr="001E1FAB">
        <w:rPr>
          <w:color w:val="000000" w:themeColor="text1"/>
        </w:rPr>
        <w:t>The d</w:t>
      </w:r>
      <w:r>
        <w:rPr>
          <w:color w:val="000000" w:themeColor="text1"/>
        </w:rPr>
        <w:t>raft variation to the revised Code is</w:t>
      </w:r>
      <w:r w:rsidRPr="001E1FAB">
        <w:rPr>
          <w:color w:val="000000" w:themeColor="text1"/>
        </w:rPr>
        <w:t xml:space="preserve"> at Attachment A</w:t>
      </w:r>
      <w:r>
        <w:rPr>
          <w:color w:val="000000" w:themeColor="text1"/>
        </w:rPr>
        <w:t xml:space="preserve"> and is intended to take effect on </w:t>
      </w:r>
      <w:r w:rsidR="008875D3">
        <w:rPr>
          <w:color w:val="000000" w:themeColor="text1"/>
        </w:rPr>
        <w:t>gazettal</w:t>
      </w:r>
      <w:r>
        <w:rPr>
          <w:color w:val="000000" w:themeColor="text1"/>
        </w:rPr>
        <w:t>.</w:t>
      </w:r>
    </w:p>
    <w:p w14:paraId="2B530ECE" w14:textId="77777777" w:rsidR="00D209C9" w:rsidRPr="001E1FAB" w:rsidRDefault="00D209C9" w:rsidP="00D209C9">
      <w:pPr>
        <w:rPr>
          <w:color w:val="000000" w:themeColor="text1"/>
        </w:rPr>
      </w:pPr>
    </w:p>
    <w:p w14:paraId="2C6BB533" w14:textId="13487CEE" w:rsidR="00A12B44" w:rsidRPr="00D26814" w:rsidRDefault="002C4A91" w:rsidP="00A12B44">
      <w:pPr>
        <w:rPr>
          <w:u w:val="single"/>
        </w:rPr>
      </w:pPr>
      <w:r>
        <w:t>A</w:t>
      </w:r>
      <w:r w:rsidR="005358B0">
        <w:t xml:space="preserve"> draft explanator</w:t>
      </w:r>
      <w:r w:rsidR="005358B0" w:rsidRPr="00D26814">
        <w:t>y statement</w:t>
      </w:r>
      <w:r w:rsidR="005358B0">
        <w:t xml:space="preserve"> </w:t>
      </w:r>
      <w:r>
        <w:t>is</w:t>
      </w:r>
      <w:r w:rsidR="005358B0">
        <w:t xml:space="preserve"> at Attachment B. </w:t>
      </w:r>
      <w:r w:rsidR="00D26814">
        <w:t xml:space="preserve">An </w:t>
      </w:r>
      <w:r w:rsidR="00D26814" w:rsidRPr="00D26814">
        <w:t xml:space="preserve">explanatory statement is required to accompany </w:t>
      </w:r>
      <w:r w:rsidR="00D26814">
        <w:t>an</w:t>
      </w:r>
      <w:r w:rsidR="00D26814" w:rsidRPr="00D26814">
        <w:t xml:space="preserve"> instrument </w:t>
      </w:r>
      <w:r w:rsidR="00D26814">
        <w:t>if it is</w:t>
      </w:r>
      <w:r w:rsidR="00D26814" w:rsidRPr="00D26814">
        <w:t xml:space="preserve"> lodged on the Federal Register of Legislative Instru</w:t>
      </w:r>
      <w:r w:rsidR="00D26814">
        <w:t xml:space="preserve">ments. </w:t>
      </w:r>
    </w:p>
    <w:p w14:paraId="3F859CEC" w14:textId="77777777" w:rsidR="00D26814" w:rsidRPr="00924C80" w:rsidRDefault="00D26814" w:rsidP="00EF4606">
      <w:pPr>
        <w:widowControl/>
        <w:rPr>
          <w:rFonts w:cs="Arial"/>
          <w:color w:val="FF0000"/>
        </w:rPr>
      </w:pPr>
      <w:bookmarkStart w:id="85" w:name="_Toc11735643"/>
      <w:bookmarkStart w:id="86" w:name="_Toc29883130"/>
      <w:bookmarkStart w:id="87" w:name="_Toc41906817"/>
      <w:bookmarkStart w:id="88" w:name="_Toc41907564"/>
      <w:bookmarkStart w:id="89" w:name="_Toc43112360"/>
    </w:p>
    <w:p w14:paraId="2E12CD3C" w14:textId="77777777" w:rsidR="00924C80" w:rsidRPr="00923D96" w:rsidRDefault="00867B23" w:rsidP="00E75054">
      <w:pPr>
        <w:pStyle w:val="Heading1"/>
      </w:pPr>
      <w:bookmarkStart w:id="90" w:name="_Toc300933452"/>
      <w:bookmarkStart w:id="91" w:name="_Toc438728890"/>
      <w:r w:rsidRPr="00923D96">
        <w:t>4</w:t>
      </w:r>
      <w:r w:rsidR="00924C80" w:rsidRPr="00923D96">
        <w:tab/>
      </w:r>
      <w:r w:rsidR="00924C80" w:rsidRPr="00962475">
        <w:t>R</w:t>
      </w:r>
      <w:bookmarkEnd w:id="90"/>
      <w:r w:rsidR="006C28E2" w:rsidRPr="00962475">
        <w:t>eferences</w:t>
      </w:r>
      <w:bookmarkEnd w:id="91"/>
    </w:p>
    <w:bookmarkEnd w:id="85"/>
    <w:bookmarkEnd w:id="86"/>
    <w:bookmarkEnd w:id="87"/>
    <w:bookmarkEnd w:id="88"/>
    <w:bookmarkEnd w:id="89"/>
    <w:p w14:paraId="68A67F76" w14:textId="77777777" w:rsidR="004C05A7" w:rsidRPr="004C05A7" w:rsidRDefault="004C05A7" w:rsidP="004C05A7">
      <w:pPr>
        <w:rPr>
          <w:i/>
          <w:iCs/>
          <w:sz w:val="20"/>
          <w:szCs w:val="20"/>
        </w:rPr>
      </w:pPr>
      <w:proofErr w:type="spellStart"/>
      <w:proofErr w:type="gramStart"/>
      <w:r w:rsidRPr="004C05A7">
        <w:rPr>
          <w:sz w:val="20"/>
          <w:szCs w:val="20"/>
        </w:rPr>
        <w:t>AFSSA</w:t>
      </w:r>
      <w:proofErr w:type="spellEnd"/>
      <w:r w:rsidRPr="004C05A7">
        <w:rPr>
          <w:sz w:val="20"/>
          <w:szCs w:val="20"/>
        </w:rPr>
        <w:t xml:space="preserve"> (2009).</w:t>
      </w:r>
      <w:proofErr w:type="gramEnd"/>
      <w:r w:rsidRPr="004C05A7">
        <w:rPr>
          <w:sz w:val="20"/>
          <w:szCs w:val="20"/>
        </w:rPr>
        <w:t xml:space="preserve"> </w:t>
      </w:r>
      <w:r w:rsidRPr="004C05A7">
        <w:rPr>
          <w:i/>
          <w:iCs/>
          <w:sz w:val="20"/>
          <w:szCs w:val="20"/>
        </w:rPr>
        <w:t xml:space="preserve">AVIS de </w:t>
      </w:r>
      <w:proofErr w:type="spellStart"/>
      <w:r w:rsidRPr="004C05A7">
        <w:rPr>
          <w:i/>
          <w:iCs/>
          <w:sz w:val="20"/>
          <w:szCs w:val="20"/>
        </w:rPr>
        <w:t>l’Agence</w:t>
      </w:r>
      <w:proofErr w:type="spellEnd"/>
      <w:r w:rsidRPr="004C05A7">
        <w:rPr>
          <w:i/>
          <w:iCs/>
          <w:sz w:val="20"/>
          <w:szCs w:val="20"/>
        </w:rPr>
        <w:t xml:space="preserve"> française de </w:t>
      </w:r>
      <w:proofErr w:type="spellStart"/>
      <w:r w:rsidRPr="004C05A7">
        <w:rPr>
          <w:i/>
          <w:iCs/>
          <w:sz w:val="20"/>
          <w:szCs w:val="20"/>
        </w:rPr>
        <w:t>sécurité</w:t>
      </w:r>
      <w:proofErr w:type="spellEnd"/>
      <w:r w:rsidRPr="004C05A7">
        <w:rPr>
          <w:i/>
          <w:iCs/>
          <w:sz w:val="20"/>
          <w:szCs w:val="20"/>
        </w:rPr>
        <w:t xml:space="preserve"> sanitaire des aliments </w:t>
      </w:r>
      <w:proofErr w:type="spellStart"/>
      <w:r w:rsidRPr="004C05A7">
        <w:rPr>
          <w:i/>
          <w:iCs/>
          <w:sz w:val="20"/>
          <w:szCs w:val="20"/>
        </w:rPr>
        <w:t>relatif</w:t>
      </w:r>
      <w:proofErr w:type="spellEnd"/>
      <w:r w:rsidRPr="004C05A7">
        <w:rPr>
          <w:i/>
          <w:iCs/>
          <w:sz w:val="20"/>
          <w:szCs w:val="20"/>
        </w:rPr>
        <w:t xml:space="preserve"> à </w:t>
      </w:r>
      <w:proofErr w:type="spellStart"/>
      <w:r w:rsidRPr="004C05A7">
        <w:rPr>
          <w:i/>
          <w:iCs/>
          <w:sz w:val="20"/>
          <w:szCs w:val="20"/>
        </w:rPr>
        <w:t>une</w:t>
      </w:r>
      <w:proofErr w:type="spellEnd"/>
    </w:p>
    <w:p w14:paraId="5674BE96" w14:textId="77777777" w:rsidR="004C05A7" w:rsidRPr="004C05A7" w:rsidRDefault="004C05A7" w:rsidP="004C05A7">
      <w:pPr>
        <w:rPr>
          <w:i/>
          <w:iCs/>
          <w:sz w:val="20"/>
          <w:szCs w:val="20"/>
        </w:rPr>
      </w:pPr>
      <w:proofErr w:type="spellStart"/>
      <w:proofErr w:type="gramStart"/>
      <w:r w:rsidRPr="004C05A7">
        <w:rPr>
          <w:i/>
          <w:iCs/>
          <w:sz w:val="20"/>
          <w:szCs w:val="20"/>
        </w:rPr>
        <w:t>demande</w:t>
      </w:r>
      <w:proofErr w:type="spellEnd"/>
      <w:proofErr w:type="gramEnd"/>
      <w:r w:rsidRPr="004C05A7">
        <w:rPr>
          <w:i/>
          <w:iCs/>
          <w:sz w:val="20"/>
          <w:szCs w:val="20"/>
        </w:rPr>
        <w:t xml:space="preserve"> </w:t>
      </w:r>
      <w:proofErr w:type="spellStart"/>
      <w:r w:rsidRPr="004C05A7">
        <w:rPr>
          <w:i/>
          <w:iCs/>
          <w:sz w:val="20"/>
          <w:szCs w:val="20"/>
        </w:rPr>
        <w:t>d'autorisation</w:t>
      </w:r>
      <w:proofErr w:type="spellEnd"/>
      <w:r w:rsidRPr="004C05A7">
        <w:rPr>
          <w:i/>
          <w:iCs/>
          <w:sz w:val="20"/>
          <w:szCs w:val="20"/>
        </w:rPr>
        <w:t xml:space="preserve"> </w:t>
      </w:r>
      <w:proofErr w:type="spellStart"/>
      <w:r w:rsidRPr="004C05A7">
        <w:rPr>
          <w:i/>
          <w:iCs/>
          <w:sz w:val="20"/>
          <w:szCs w:val="20"/>
        </w:rPr>
        <w:t>d'emploi</w:t>
      </w:r>
      <w:proofErr w:type="spellEnd"/>
      <w:r w:rsidRPr="004C05A7">
        <w:rPr>
          <w:i/>
          <w:iCs/>
          <w:sz w:val="20"/>
          <w:szCs w:val="20"/>
        </w:rPr>
        <w:t xml:space="preserve"> sous </w:t>
      </w:r>
      <w:proofErr w:type="spellStart"/>
      <w:r w:rsidRPr="004C05A7">
        <w:rPr>
          <w:i/>
          <w:iCs/>
          <w:sz w:val="20"/>
          <w:szCs w:val="20"/>
        </w:rPr>
        <w:t>deux</w:t>
      </w:r>
      <w:proofErr w:type="spellEnd"/>
      <w:r w:rsidRPr="004C05A7">
        <w:rPr>
          <w:i/>
          <w:iCs/>
          <w:sz w:val="20"/>
          <w:szCs w:val="20"/>
        </w:rPr>
        <w:t xml:space="preserve"> formulations </w:t>
      </w:r>
      <w:proofErr w:type="spellStart"/>
      <w:r w:rsidRPr="004C05A7">
        <w:rPr>
          <w:i/>
          <w:iCs/>
          <w:sz w:val="20"/>
          <w:szCs w:val="20"/>
        </w:rPr>
        <w:t>d'une</w:t>
      </w:r>
      <w:proofErr w:type="spellEnd"/>
      <w:r w:rsidRPr="004C05A7">
        <w:rPr>
          <w:i/>
          <w:iCs/>
          <w:sz w:val="20"/>
          <w:szCs w:val="20"/>
        </w:rPr>
        <w:t xml:space="preserve"> glutaminase </w:t>
      </w:r>
      <w:proofErr w:type="spellStart"/>
      <w:r w:rsidRPr="004C05A7">
        <w:rPr>
          <w:i/>
          <w:iCs/>
          <w:sz w:val="20"/>
          <w:szCs w:val="20"/>
        </w:rPr>
        <w:t>produite</w:t>
      </w:r>
      <w:proofErr w:type="spellEnd"/>
    </w:p>
    <w:p w14:paraId="57C06FD6" w14:textId="77777777" w:rsidR="004C05A7" w:rsidRPr="004C05A7" w:rsidRDefault="004C05A7" w:rsidP="004C05A7">
      <w:pPr>
        <w:rPr>
          <w:i/>
          <w:iCs/>
          <w:sz w:val="20"/>
          <w:szCs w:val="20"/>
        </w:rPr>
      </w:pPr>
      <w:proofErr w:type="gramStart"/>
      <w:r w:rsidRPr="004C05A7">
        <w:rPr>
          <w:i/>
          <w:iCs/>
          <w:sz w:val="20"/>
          <w:szCs w:val="20"/>
        </w:rPr>
        <w:t>par</w:t>
      </w:r>
      <w:proofErr w:type="gramEnd"/>
      <w:r w:rsidRPr="004C05A7">
        <w:rPr>
          <w:i/>
          <w:iCs/>
          <w:sz w:val="20"/>
          <w:szCs w:val="20"/>
        </w:rPr>
        <w:t xml:space="preserve"> </w:t>
      </w:r>
      <w:proofErr w:type="spellStart"/>
      <w:r w:rsidRPr="004C05A7">
        <w:rPr>
          <w:i/>
          <w:iCs/>
          <w:sz w:val="20"/>
          <w:szCs w:val="20"/>
        </w:rPr>
        <w:t>une</w:t>
      </w:r>
      <w:proofErr w:type="spellEnd"/>
      <w:r w:rsidRPr="004C05A7">
        <w:rPr>
          <w:i/>
          <w:iCs/>
          <w:sz w:val="20"/>
          <w:szCs w:val="20"/>
        </w:rPr>
        <w:t xml:space="preserve"> </w:t>
      </w:r>
      <w:proofErr w:type="spellStart"/>
      <w:r w:rsidRPr="004C05A7">
        <w:rPr>
          <w:i/>
          <w:iCs/>
          <w:sz w:val="20"/>
          <w:szCs w:val="20"/>
        </w:rPr>
        <w:t>souche</w:t>
      </w:r>
      <w:proofErr w:type="spellEnd"/>
      <w:r w:rsidRPr="004C05A7">
        <w:rPr>
          <w:i/>
          <w:iCs/>
          <w:sz w:val="20"/>
          <w:szCs w:val="20"/>
        </w:rPr>
        <w:t xml:space="preserve"> de Bacillus amyloliquefaciens non </w:t>
      </w:r>
      <w:proofErr w:type="spellStart"/>
      <w:r w:rsidRPr="004C05A7">
        <w:rPr>
          <w:i/>
          <w:iCs/>
          <w:sz w:val="20"/>
          <w:szCs w:val="20"/>
        </w:rPr>
        <w:t>modifiée</w:t>
      </w:r>
      <w:proofErr w:type="spellEnd"/>
      <w:r w:rsidRPr="004C05A7">
        <w:rPr>
          <w:i/>
          <w:iCs/>
          <w:sz w:val="20"/>
          <w:szCs w:val="20"/>
        </w:rPr>
        <w:t xml:space="preserve"> </w:t>
      </w:r>
      <w:proofErr w:type="spellStart"/>
      <w:r w:rsidRPr="004C05A7">
        <w:rPr>
          <w:i/>
          <w:iCs/>
          <w:sz w:val="20"/>
          <w:szCs w:val="20"/>
        </w:rPr>
        <w:t>génétiquement</w:t>
      </w:r>
      <w:proofErr w:type="spellEnd"/>
      <w:r w:rsidRPr="004C05A7">
        <w:rPr>
          <w:i/>
          <w:iCs/>
          <w:sz w:val="20"/>
          <w:szCs w:val="20"/>
        </w:rPr>
        <w:t xml:space="preserve"> pour la</w:t>
      </w:r>
    </w:p>
    <w:p w14:paraId="0C8F3B70" w14:textId="77777777" w:rsidR="004C05A7" w:rsidRPr="004C05A7" w:rsidRDefault="004C05A7" w:rsidP="004C05A7">
      <w:pPr>
        <w:rPr>
          <w:sz w:val="20"/>
          <w:szCs w:val="20"/>
        </w:rPr>
      </w:pPr>
      <w:proofErr w:type="gramStart"/>
      <w:r w:rsidRPr="004C05A7">
        <w:rPr>
          <w:i/>
          <w:iCs/>
          <w:sz w:val="20"/>
          <w:szCs w:val="20"/>
        </w:rPr>
        <w:t>production</w:t>
      </w:r>
      <w:proofErr w:type="gramEnd"/>
      <w:r w:rsidRPr="004C05A7">
        <w:rPr>
          <w:i/>
          <w:iCs/>
          <w:sz w:val="20"/>
          <w:szCs w:val="20"/>
        </w:rPr>
        <w:t xml:space="preserve"> </w:t>
      </w:r>
      <w:proofErr w:type="spellStart"/>
      <w:r w:rsidRPr="004C05A7">
        <w:rPr>
          <w:i/>
          <w:iCs/>
          <w:sz w:val="20"/>
          <w:szCs w:val="20"/>
        </w:rPr>
        <w:t>d'hydrolysats</w:t>
      </w:r>
      <w:proofErr w:type="spellEnd"/>
      <w:r w:rsidRPr="004C05A7">
        <w:rPr>
          <w:i/>
          <w:iCs/>
          <w:sz w:val="20"/>
          <w:szCs w:val="20"/>
        </w:rPr>
        <w:t xml:space="preserve"> de proteins et </w:t>
      </w:r>
      <w:proofErr w:type="spellStart"/>
      <w:r w:rsidRPr="004C05A7">
        <w:rPr>
          <w:i/>
          <w:iCs/>
          <w:sz w:val="20"/>
          <w:szCs w:val="20"/>
        </w:rPr>
        <w:t>d'extraits</w:t>
      </w:r>
      <w:proofErr w:type="spellEnd"/>
      <w:r w:rsidRPr="004C05A7">
        <w:rPr>
          <w:i/>
          <w:iCs/>
          <w:sz w:val="20"/>
          <w:szCs w:val="20"/>
        </w:rPr>
        <w:t xml:space="preserve"> de </w:t>
      </w:r>
      <w:proofErr w:type="spellStart"/>
      <w:r w:rsidRPr="004C05A7">
        <w:rPr>
          <w:i/>
          <w:iCs/>
          <w:sz w:val="20"/>
          <w:szCs w:val="20"/>
        </w:rPr>
        <w:t>levures</w:t>
      </w:r>
      <w:proofErr w:type="spellEnd"/>
      <w:r w:rsidRPr="004C05A7">
        <w:rPr>
          <w:sz w:val="20"/>
          <w:szCs w:val="20"/>
        </w:rPr>
        <w:t>. (</w:t>
      </w:r>
      <w:proofErr w:type="spellStart"/>
      <w:r w:rsidRPr="004C05A7">
        <w:rPr>
          <w:sz w:val="20"/>
          <w:szCs w:val="20"/>
        </w:rPr>
        <w:t>AFSSA</w:t>
      </w:r>
      <w:proofErr w:type="spellEnd"/>
      <w:r w:rsidRPr="004C05A7">
        <w:rPr>
          <w:sz w:val="20"/>
          <w:szCs w:val="20"/>
        </w:rPr>
        <w:t xml:space="preserve"> – </w:t>
      </w:r>
      <w:proofErr w:type="spellStart"/>
      <w:r w:rsidRPr="004C05A7">
        <w:rPr>
          <w:sz w:val="20"/>
          <w:szCs w:val="20"/>
        </w:rPr>
        <w:t>Saisine</w:t>
      </w:r>
      <w:proofErr w:type="spellEnd"/>
      <w:r w:rsidRPr="004C05A7">
        <w:rPr>
          <w:sz w:val="20"/>
          <w:szCs w:val="20"/>
        </w:rPr>
        <w:t xml:space="preserve"> n°</w:t>
      </w:r>
    </w:p>
    <w:p w14:paraId="6DE7F13B" w14:textId="77777777" w:rsidR="004C05A7" w:rsidRPr="004C05A7" w:rsidRDefault="004C05A7" w:rsidP="004C05A7">
      <w:pPr>
        <w:rPr>
          <w:sz w:val="20"/>
          <w:szCs w:val="20"/>
        </w:rPr>
      </w:pPr>
      <w:proofErr w:type="gramStart"/>
      <w:r w:rsidRPr="004C05A7">
        <w:rPr>
          <w:sz w:val="20"/>
          <w:szCs w:val="20"/>
        </w:rPr>
        <w:t xml:space="preserve">2009-SA-0089 / </w:t>
      </w:r>
      <w:proofErr w:type="spellStart"/>
      <w:r w:rsidRPr="004C05A7">
        <w:rPr>
          <w:sz w:val="20"/>
          <w:szCs w:val="20"/>
        </w:rPr>
        <w:t>Saisine</w:t>
      </w:r>
      <w:proofErr w:type="spellEnd"/>
      <w:r w:rsidRPr="004C05A7">
        <w:rPr>
          <w:sz w:val="20"/>
          <w:szCs w:val="20"/>
        </w:rPr>
        <w:t xml:space="preserve"> </w:t>
      </w:r>
      <w:proofErr w:type="spellStart"/>
      <w:r w:rsidRPr="004C05A7">
        <w:rPr>
          <w:sz w:val="20"/>
          <w:szCs w:val="20"/>
        </w:rPr>
        <w:t>liée</w:t>
      </w:r>
      <w:proofErr w:type="spellEnd"/>
      <w:r w:rsidRPr="004C05A7">
        <w:rPr>
          <w:sz w:val="20"/>
          <w:szCs w:val="20"/>
        </w:rPr>
        <w:t xml:space="preserve"> n° 2007-SA-0330, July 16, 2009).</w:t>
      </w:r>
      <w:proofErr w:type="gramEnd"/>
      <w:r w:rsidRPr="004C05A7">
        <w:rPr>
          <w:sz w:val="20"/>
          <w:szCs w:val="20"/>
        </w:rPr>
        <w:t xml:space="preserve"> Maisons-Alfort,</w:t>
      </w:r>
    </w:p>
    <w:p w14:paraId="761E5174" w14:textId="77777777" w:rsidR="004C05A7" w:rsidRPr="004C05A7" w:rsidRDefault="004C05A7" w:rsidP="004C05A7">
      <w:pPr>
        <w:rPr>
          <w:sz w:val="20"/>
          <w:szCs w:val="20"/>
        </w:rPr>
      </w:pPr>
      <w:r w:rsidRPr="004C05A7">
        <w:rPr>
          <w:sz w:val="20"/>
          <w:szCs w:val="20"/>
        </w:rPr>
        <w:t xml:space="preserve">France: </w:t>
      </w:r>
      <w:proofErr w:type="spellStart"/>
      <w:r w:rsidRPr="004C05A7">
        <w:rPr>
          <w:sz w:val="20"/>
          <w:szCs w:val="20"/>
        </w:rPr>
        <w:t>Agence</w:t>
      </w:r>
      <w:proofErr w:type="spellEnd"/>
      <w:r w:rsidRPr="004C05A7">
        <w:rPr>
          <w:sz w:val="20"/>
          <w:szCs w:val="20"/>
        </w:rPr>
        <w:t xml:space="preserve"> Française de </w:t>
      </w:r>
      <w:proofErr w:type="spellStart"/>
      <w:r w:rsidRPr="004C05A7">
        <w:rPr>
          <w:sz w:val="20"/>
          <w:szCs w:val="20"/>
        </w:rPr>
        <w:t>Sécurité</w:t>
      </w:r>
      <w:proofErr w:type="spellEnd"/>
      <w:r w:rsidRPr="004C05A7">
        <w:rPr>
          <w:sz w:val="20"/>
          <w:szCs w:val="20"/>
        </w:rPr>
        <w:t xml:space="preserve"> Sanitaire des Aliments (</w:t>
      </w:r>
      <w:proofErr w:type="spellStart"/>
      <w:r w:rsidRPr="004C05A7">
        <w:rPr>
          <w:sz w:val="20"/>
          <w:szCs w:val="20"/>
        </w:rPr>
        <w:t>AFSSA</w:t>
      </w:r>
      <w:proofErr w:type="spellEnd"/>
      <w:r w:rsidRPr="004C05A7">
        <w:rPr>
          <w:sz w:val="20"/>
          <w:szCs w:val="20"/>
        </w:rPr>
        <w:t>). Available at:</w:t>
      </w:r>
    </w:p>
    <w:p w14:paraId="0427B413" w14:textId="77777777" w:rsidR="004C05A7" w:rsidRPr="004C05A7" w:rsidRDefault="00B57952" w:rsidP="004C05A7">
      <w:pPr>
        <w:rPr>
          <w:sz w:val="20"/>
          <w:szCs w:val="20"/>
        </w:rPr>
      </w:pPr>
      <w:hyperlink r:id="rId25" w:history="1">
        <w:r w:rsidR="004C05A7" w:rsidRPr="004C05A7">
          <w:rPr>
            <w:rStyle w:val="Hyperlink"/>
            <w:color w:val="auto"/>
            <w:sz w:val="20"/>
            <w:szCs w:val="20"/>
          </w:rPr>
          <w:t>http://www.anses.fr/sites/default/files/documents/BIOT2009sa0089.pdf</w:t>
        </w:r>
      </w:hyperlink>
      <w:r w:rsidR="004C05A7" w:rsidRPr="004C05A7">
        <w:rPr>
          <w:sz w:val="20"/>
          <w:szCs w:val="20"/>
        </w:rPr>
        <w:t>.</w:t>
      </w:r>
    </w:p>
    <w:p w14:paraId="6D0A67F4" w14:textId="77777777" w:rsidR="004C05A7" w:rsidRDefault="004C05A7" w:rsidP="00923D96">
      <w:pPr>
        <w:tabs>
          <w:tab w:val="left" w:pos="0"/>
        </w:tabs>
        <w:rPr>
          <w:rFonts w:cs="Arial"/>
          <w:noProof/>
          <w:sz w:val="20"/>
        </w:rPr>
      </w:pPr>
    </w:p>
    <w:p w14:paraId="6E2999ED" w14:textId="77777777" w:rsidR="00962475" w:rsidRPr="00962475" w:rsidRDefault="00962475" w:rsidP="00962475">
      <w:pPr>
        <w:tabs>
          <w:tab w:val="left" w:pos="0"/>
        </w:tabs>
        <w:rPr>
          <w:rFonts w:cs="Arial"/>
          <w:noProof/>
          <w:sz w:val="20"/>
        </w:rPr>
      </w:pPr>
      <w:r w:rsidRPr="00962475">
        <w:rPr>
          <w:rFonts w:cs="Arial"/>
          <w:noProof/>
          <w:sz w:val="20"/>
        </w:rPr>
        <w:t>Amano Enzyme (2005) [unpublished]. History of Uses [History of the Bacterial Strain for</w:t>
      </w:r>
    </w:p>
    <w:p w14:paraId="4D02FF26" w14:textId="77777777" w:rsidR="00962475" w:rsidRPr="00962475" w:rsidRDefault="00962475" w:rsidP="00962475">
      <w:pPr>
        <w:tabs>
          <w:tab w:val="left" w:pos="0"/>
        </w:tabs>
        <w:rPr>
          <w:rFonts w:cs="Arial"/>
          <w:noProof/>
          <w:sz w:val="20"/>
        </w:rPr>
      </w:pPr>
      <w:r w:rsidRPr="00962475">
        <w:rPr>
          <w:rFonts w:cs="Arial"/>
          <w:noProof/>
          <w:sz w:val="20"/>
        </w:rPr>
        <w:t>Glutaminase Production &amp; History of Use of Glutaminase in Food] [Confidential].</w:t>
      </w:r>
    </w:p>
    <w:p w14:paraId="2064AEB1" w14:textId="07033DC8" w:rsidR="00962475" w:rsidRDefault="00962475" w:rsidP="00962475">
      <w:pPr>
        <w:tabs>
          <w:tab w:val="left" w:pos="0"/>
        </w:tabs>
        <w:rPr>
          <w:rFonts w:cs="Arial"/>
          <w:noProof/>
          <w:sz w:val="20"/>
        </w:rPr>
      </w:pPr>
      <w:r w:rsidRPr="00962475">
        <w:rPr>
          <w:rFonts w:cs="Arial"/>
          <w:noProof/>
          <w:sz w:val="20"/>
        </w:rPr>
        <w:t>(Appendix 9). Shiga, Japan: Amano Enzyme Inc.</w:t>
      </w:r>
    </w:p>
    <w:p w14:paraId="421D2A67" w14:textId="77777777" w:rsidR="00962475" w:rsidRDefault="00962475" w:rsidP="00962475">
      <w:pPr>
        <w:tabs>
          <w:tab w:val="left" w:pos="0"/>
        </w:tabs>
        <w:rPr>
          <w:rFonts w:cs="Arial"/>
          <w:noProof/>
          <w:sz w:val="20"/>
        </w:rPr>
      </w:pPr>
    </w:p>
    <w:p w14:paraId="54F1EB60" w14:textId="77777777" w:rsidR="00962475" w:rsidRPr="00C066A5" w:rsidRDefault="00962475" w:rsidP="00962475">
      <w:pPr>
        <w:tabs>
          <w:tab w:val="left" w:pos="0"/>
        </w:tabs>
        <w:rPr>
          <w:rFonts w:cs="Arial"/>
          <w:noProof/>
          <w:sz w:val="20"/>
        </w:rPr>
      </w:pPr>
      <w:r w:rsidRPr="00C066A5">
        <w:rPr>
          <w:rFonts w:cs="Arial"/>
          <w:noProof/>
          <w:sz w:val="20"/>
        </w:rPr>
        <w:t>Food Chemicals Codex 9</w:t>
      </w:r>
      <w:r w:rsidRPr="00C066A5">
        <w:rPr>
          <w:rFonts w:cs="Arial"/>
          <w:noProof/>
          <w:sz w:val="20"/>
          <w:vertAlign w:val="superscript"/>
        </w:rPr>
        <w:t>th</w:t>
      </w:r>
      <w:r w:rsidRPr="00C066A5">
        <w:rPr>
          <w:rFonts w:cs="Arial"/>
          <w:noProof/>
          <w:sz w:val="20"/>
        </w:rPr>
        <w:t xml:space="preserve"> Edition (</w:t>
      </w:r>
      <w:r w:rsidRPr="00D82F09">
        <w:rPr>
          <w:rFonts w:cs="Arial"/>
          <w:noProof/>
          <w:sz w:val="20"/>
        </w:rPr>
        <w:t>2015</w:t>
      </w:r>
      <w:r w:rsidRPr="00C066A5">
        <w:rPr>
          <w:rFonts w:cs="Arial"/>
          <w:noProof/>
          <w:sz w:val="20"/>
        </w:rPr>
        <w:t>), The United States Pharmacopeia, United States Pharmacopeial Convention, Rockville, MD.</w:t>
      </w:r>
    </w:p>
    <w:p w14:paraId="5FDFA2D5" w14:textId="5C684614" w:rsidR="00FF6690" w:rsidRDefault="00B57952" w:rsidP="00962475">
      <w:pPr>
        <w:tabs>
          <w:tab w:val="left" w:pos="0"/>
        </w:tabs>
        <w:rPr>
          <w:rStyle w:val="Hyperlink"/>
          <w:rFonts w:cs="Arial"/>
          <w:noProof/>
          <w:sz w:val="20"/>
        </w:rPr>
      </w:pPr>
      <w:hyperlink r:id="rId26" w:history="1">
        <w:r w:rsidR="00962475" w:rsidRPr="00C066A5">
          <w:rPr>
            <w:rStyle w:val="Hyperlink"/>
            <w:rFonts w:cs="Arial"/>
            <w:noProof/>
            <w:sz w:val="20"/>
          </w:rPr>
          <w:t>http://www.usp.org/food-ingredients/food-chemicals-codex</w:t>
        </w:r>
      </w:hyperlink>
      <w:r w:rsidR="00FF6690">
        <w:rPr>
          <w:rStyle w:val="Hyperlink"/>
          <w:rFonts w:cs="Arial"/>
          <w:noProof/>
          <w:sz w:val="20"/>
        </w:rPr>
        <w:br w:type="page"/>
      </w:r>
    </w:p>
    <w:p w14:paraId="51E894BF" w14:textId="7D282102" w:rsidR="00962475" w:rsidRPr="00962475" w:rsidRDefault="00923D96" w:rsidP="00923D96">
      <w:pPr>
        <w:tabs>
          <w:tab w:val="left" w:pos="0"/>
        </w:tabs>
        <w:rPr>
          <w:sz w:val="20"/>
          <w:szCs w:val="20"/>
        </w:rPr>
      </w:pPr>
      <w:r w:rsidRPr="00962475">
        <w:rPr>
          <w:rFonts w:cs="Arial"/>
          <w:noProof/>
          <w:sz w:val="20"/>
          <w:szCs w:val="20"/>
        </w:rPr>
        <w:lastRenderedPageBreak/>
        <w:t>IUBMB (2015) EC 3.5.1.</w:t>
      </w:r>
      <w:r w:rsidR="00D82F09" w:rsidRPr="00962475">
        <w:rPr>
          <w:rFonts w:cs="Arial"/>
          <w:noProof/>
          <w:sz w:val="20"/>
          <w:szCs w:val="20"/>
        </w:rPr>
        <w:t>2</w:t>
      </w:r>
      <w:r w:rsidRPr="00962475">
        <w:rPr>
          <w:rFonts w:cs="Arial"/>
          <w:noProof/>
          <w:sz w:val="20"/>
          <w:szCs w:val="20"/>
        </w:rPr>
        <w:t xml:space="preserve">. </w:t>
      </w:r>
      <w:hyperlink r:id="rId27" w:history="1">
        <w:r w:rsidR="00962475" w:rsidRPr="00962475">
          <w:rPr>
            <w:rStyle w:val="Hyperlink"/>
            <w:sz w:val="20"/>
            <w:szCs w:val="20"/>
          </w:rPr>
          <w:t>http://www.enzyme-database.org/query.php?name=3.5.1.2&amp;search=search_all&amp;display=show_all&amp;order=ec_num&amp;nr=50</w:t>
        </w:r>
      </w:hyperlink>
    </w:p>
    <w:p w14:paraId="0787442A" w14:textId="77777777" w:rsidR="00962475" w:rsidRDefault="00962475" w:rsidP="00923D96">
      <w:pPr>
        <w:tabs>
          <w:tab w:val="left" w:pos="0"/>
        </w:tabs>
      </w:pPr>
    </w:p>
    <w:p w14:paraId="328983E7" w14:textId="629F5307" w:rsidR="00923D96" w:rsidRPr="009500F5" w:rsidRDefault="00923D96" w:rsidP="00923D96">
      <w:pPr>
        <w:tabs>
          <w:tab w:val="left" w:pos="0"/>
        </w:tabs>
        <w:rPr>
          <w:rFonts w:cs="Arial"/>
          <w:noProof/>
          <w:sz w:val="20"/>
        </w:rPr>
      </w:pPr>
      <w:r w:rsidRPr="009500F5">
        <w:rPr>
          <w:rFonts w:cs="Arial"/>
          <w:noProof/>
          <w:sz w:val="20"/>
        </w:rPr>
        <w:t xml:space="preserve">JECFA (2006) General specifications and considerations for enzyme preparations used in food processing. </w:t>
      </w:r>
      <w:hyperlink r:id="rId28" w:history="1">
        <w:r w:rsidRPr="009500F5">
          <w:rPr>
            <w:rStyle w:val="Hyperlink"/>
            <w:rFonts w:cs="Arial"/>
            <w:noProof/>
            <w:sz w:val="20"/>
          </w:rPr>
          <w:t>http://www.fao.org/docrep/009/a0691e/A0691E03.htm</w:t>
        </w:r>
      </w:hyperlink>
    </w:p>
    <w:p w14:paraId="6096168D" w14:textId="77777777" w:rsidR="00923D96" w:rsidRDefault="00923D96" w:rsidP="00923D96">
      <w:pPr>
        <w:tabs>
          <w:tab w:val="left" w:pos="0"/>
        </w:tabs>
        <w:rPr>
          <w:rFonts w:cs="Arial"/>
          <w:noProof/>
          <w:sz w:val="20"/>
        </w:rPr>
      </w:pPr>
    </w:p>
    <w:p w14:paraId="48B6AEE5" w14:textId="77777777" w:rsidR="004C05A7" w:rsidRPr="004C05A7" w:rsidRDefault="004C05A7" w:rsidP="004C05A7">
      <w:pPr>
        <w:rPr>
          <w:sz w:val="20"/>
          <w:szCs w:val="20"/>
        </w:rPr>
      </w:pPr>
      <w:proofErr w:type="spellStart"/>
      <w:proofErr w:type="gramStart"/>
      <w:r w:rsidRPr="004C05A7">
        <w:rPr>
          <w:sz w:val="20"/>
          <w:szCs w:val="20"/>
        </w:rPr>
        <w:t>MHLW</w:t>
      </w:r>
      <w:proofErr w:type="spellEnd"/>
      <w:r w:rsidRPr="004C05A7">
        <w:rPr>
          <w:sz w:val="20"/>
          <w:szCs w:val="20"/>
        </w:rPr>
        <w:t xml:space="preserve"> (2014).</w:t>
      </w:r>
      <w:proofErr w:type="gramEnd"/>
      <w:r w:rsidRPr="004C05A7">
        <w:rPr>
          <w:sz w:val="20"/>
          <w:szCs w:val="20"/>
        </w:rPr>
        <w:t xml:space="preserve"> List of existing food additives [complied and published by the Ministry of</w:t>
      </w:r>
    </w:p>
    <w:p w14:paraId="23605845" w14:textId="77777777" w:rsidR="004C05A7" w:rsidRPr="004C05A7" w:rsidRDefault="004C05A7" w:rsidP="004C05A7">
      <w:pPr>
        <w:rPr>
          <w:sz w:val="20"/>
          <w:szCs w:val="20"/>
        </w:rPr>
      </w:pPr>
      <w:r w:rsidRPr="004C05A7">
        <w:rPr>
          <w:sz w:val="20"/>
          <w:szCs w:val="20"/>
        </w:rPr>
        <w:t>Health and Welfare on April 16, 1996]. Japan Food Chemical Research Foundation</w:t>
      </w:r>
    </w:p>
    <w:p w14:paraId="422707B6" w14:textId="77777777" w:rsidR="004C05A7" w:rsidRPr="004C05A7" w:rsidRDefault="004C05A7" w:rsidP="004C05A7">
      <w:pPr>
        <w:rPr>
          <w:sz w:val="20"/>
          <w:szCs w:val="20"/>
        </w:rPr>
      </w:pPr>
      <w:proofErr w:type="gramStart"/>
      <w:r w:rsidRPr="004C05A7">
        <w:rPr>
          <w:sz w:val="20"/>
          <w:szCs w:val="20"/>
        </w:rPr>
        <w:t>(</w:t>
      </w:r>
      <w:proofErr w:type="spellStart"/>
      <w:r w:rsidRPr="004C05A7">
        <w:rPr>
          <w:sz w:val="20"/>
          <w:szCs w:val="20"/>
        </w:rPr>
        <w:t>JFCRF</w:t>
      </w:r>
      <w:proofErr w:type="spellEnd"/>
      <w:r w:rsidRPr="004C05A7">
        <w:rPr>
          <w:sz w:val="20"/>
          <w:szCs w:val="20"/>
        </w:rPr>
        <w:t>), Tokyo, Japan.</w:t>
      </w:r>
      <w:proofErr w:type="gramEnd"/>
      <w:r w:rsidRPr="004C05A7">
        <w:rPr>
          <w:sz w:val="20"/>
          <w:szCs w:val="20"/>
        </w:rPr>
        <w:t xml:space="preserve"> http://www.ffcr.or.jp/zaidan/FFCRHOME.nsf/pages/listexst.</w:t>
      </w:r>
    </w:p>
    <w:p w14:paraId="195E6FFF" w14:textId="1B8BEC9A" w:rsidR="004C05A7" w:rsidRPr="009500F5" w:rsidRDefault="004C05A7" w:rsidP="00923D96">
      <w:pPr>
        <w:tabs>
          <w:tab w:val="left" w:pos="0"/>
        </w:tabs>
        <w:rPr>
          <w:rFonts w:cs="Arial"/>
          <w:noProof/>
          <w:sz w:val="20"/>
        </w:rPr>
      </w:pPr>
      <w:proofErr w:type="gramStart"/>
      <w:r w:rsidRPr="004C05A7">
        <w:rPr>
          <w:sz w:val="20"/>
          <w:szCs w:val="20"/>
        </w:rPr>
        <w:t>add</w:t>
      </w:r>
      <w:proofErr w:type="gramEnd"/>
      <w:r w:rsidRPr="004C05A7">
        <w:rPr>
          <w:sz w:val="20"/>
          <w:szCs w:val="20"/>
        </w:rPr>
        <w:t xml:space="preserve"> [Effective from January 30, 2014, Last update: 06/30/2014].</w:t>
      </w:r>
    </w:p>
    <w:p w14:paraId="31AFC82A" w14:textId="77777777" w:rsidR="003C4969" w:rsidRPr="00924C80" w:rsidRDefault="00924C80" w:rsidP="002432EE">
      <w:pPr>
        <w:spacing w:before="240"/>
        <w:rPr>
          <w:b/>
          <w:sz w:val="28"/>
          <w:szCs w:val="28"/>
        </w:rPr>
      </w:pPr>
      <w:r w:rsidRPr="00924C80">
        <w:rPr>
          <w:b/>
          <w:sz w:val="28"/>
          <w:szCs w:val="28"/>
        </w:rPr>
        <w:t>A</w:t>
      </w:r>
      <w:r>
        <w:rPr>
          <w:b/>
          <w:sz w:val="28"/>
          <w:szCs w:val="28"/>
        </w:rPr>
        <w:t>ttachments</w:t>
      </w:r>
    </w:p>
    <w:p w14:paraId="3F9EB62B" w14:textId="77777777" w:rsidR="00A4175D" w:rsidRPr="00E203C2" w:rsidRDefault="00A4175D" w:rsidP="00AF06FC"/>
    <w:p w14:paraId="46BF7154" w14:textId="7AD843FE" w:rsidR="00AB0275" w:rsidRDefault="00AB0275" w:rsidP="00AB0275">
      <w:pPr>
        <w:ind w:left="567" w:hanging="567"/>
      </w:pPr>
      <w:r>
        <w:t>A.</w:t>
      </w:r>
      <w:r>
        <w:tab/>
      </w:r>
      <w:r w:rsidR="00D2071E">
        <w:t>D</w:t>
      </w:r>
      <w:r>
        <w:t xml:space="preserve">raft variation to the </w:t>
      </w:r>
      <w:r w:rsidR="002C4A91">
        <w:t xml:space="preserve">revised </w:t>
      </w:r>
      <w:r w:rsidRPr="000576EB">
        <w:rPr>
          <w:i/>
        </w:rPr>
        <w:t xml:space="preserve">Australia New </w:t>
      </w:r>
      <w:r>
        <w:rPr>
          <w:i/>
        </w:rPr>
        <w:t>Zealand Food Sta</w:t>
      </w:r>
      <w:r w:rsidRPr="000576EB">
        <w:rPr>
          <w:i/>
        </w:rPr>
        <w:t>n</w:t>
      </w:r>
      <w:r>
        <w:rPr>
          <w:i/>
        </w:rPr>
        <w:t>d</w:t>
      </w:r>
      <w:r w:rsidRPr="000576EB">
        <w:rPr>
          <w:i/>
        </w:rPr>
        <w:t>ards Code</w:t>
      </w:r>
      <w:r w:rsidR="002C4A91">
        <w:t xml:space="preserve"> (commencing 1 March 2016)</w:t>
      </w:r>
    </w:p>
    <w:p w14:paraId="396B77F6" w14:textId="77777777" w:rsidR="00AB0275" w:rsidRDefault="00AB0275" w:rsidP="00AB0275">
      <w:pPr>
        <w:ind w:left="567" w:hanging="567"/>
      </w:pPr>
      <w:r w:rsidRPr="00456BD5">
        <w:t>B.</w:t>
      </w:r>
      <w:r w:rsidRPr="00456BD5">
        <w:tab/>
      </w:r>
      <w:r w:rsidR="002C4A91">
        <w:t xml:space="preserve">Draft </w:t>
      </w:r>
      <w:r>
        <w:t xml:space="preserve">Explanatory Statement </w:t>
      </w:r>
    </w:p>
    <w:p w14:paraId="6AE5E70A" w14:textId="77777777" w:rsidR="00D60568" w:rsidRPr="00E203C2" w:rsidRDefault="00D60568" w:rsidP="002432EE"/>
    <w:p w14:paraId="10DD6033" w14:textId="380DD9AE" w:rsidR="00AB0275" w:rsidRPr="00B57952" w:rsidRDefault="00AB0275" w:rsidP="00AB0275">
      <w:pPr>
        <w:pStyle w:val="Heading2"/>
        <w:ind w:left="0" w:firstLine="0"/>
      </w:pPr>
      <w:bookmarkStart w:id="92" w:name="_Toc300933454"/>
      <w:r w:rsidRPr="00932F14">
        <w:br w:type="page"/>
      </w:r>
      <w:bookmarkStart w:id="93" w:name="_Toc29883131"/>
      <w:bookmarkStart w:id="94" w:name="_Toc41906818"/>
      <w:bookmarkStart w:id="95" w:name="_Toc41907565"/>
      <w:bookmarkStart w:id="96" w:name="_Toc120358596"/>
      <w:bookmarkStart w:id="97" w:name="_Toc175381458"/>
      <w:bookmarkStart w:id="98" w:name="_Toc11735644"/>
      <w:bookmarkStart w:id="99" w:name="_Toc415572037"/>
      <w:bookmarkStart w:id="100" w:name="_Toc438728891"/>
      <w:r w:rsidRPr="00932F14">
        <w:lastRenderedPageBreak/>
        <w:t xml:space="preserve">Attachment </w:t>
      </w:r>
      <w:bookmarkEnd w:id="93"/>
      <w:bookmarkEnd w:id="94"/>
      <w:bookmarkEnd w:id="95"/>
      <w:bookmarkEnd w:id="96"/>
      <w:bookmarkEnd w:id="97"/>
      <w:r>
        <w:t>A</w:t>
      </w:r>
      <w:bookmarkStart w:id="101" w:name="_Toc120358597"/>
      <w:bookmarkStart w:id="102" w:name="_Toc175381459"/>
      <w:bookmarkEnd w:id="98"/>
      <w:r>
        <w:t xml:space="preserve"> –</w:t>
      </w:r>
      <w:r w:rsidR="00CA3C65">
        <w:t xml:space="preserve"> </w:t>
      </w:r>
      <w:bookmarkStart w:id="103" w:name="_Toc415572039"/>
      <w:bookmarkEnd w:id="92"/>
      <w:bookmarkEnd w:id="99"/>
      <w:bookmarkEnd w:id="101"/>
      <w:bookmarkEnd w:id="102"/>
      <w:r w:rsidR="00CA3C65">
        <w:t>D</w:t>
      </w:r>
      <w:r>
        <w:t xml:space="preserve">raft </w:t>
      </w:r>
      <w:r w:rsidRPr="00932F14">
        <w:t>variation to the</w:t>
      </w:r>
      <w:r w:rsidRPr="00755F02">
        <w:t xml:space="preserve"> </w:t>
      </w:r>
      <w:r>
        <w:t xml:space="preserve">revised </w:t>
      </w:r>
      <w:r w:rsidRPr="00795D86">
        <w:rPr>
          <w:i/>
        </w:rPr>
        <w:t>Australia New Zealand Food Standards Code</w:t>
      </w:r>
      <w:r>
        <w:rPr>
          <w:i/>
        </w:rPr>
        <w:t xml:space="preserve"> </w:t>
      </w:r>
      <w:r w:rsidRPr="00456BD5">
        <w:t>(commencing 1 March 2016)</w:t>
      </w:r>
      <w:bookmarkEnd w:id="100"/>
      <w:bookmarkEnd w:id="103"/>
    </w:p>
    <w:p w14:paraId="38C5ECA4" w14:textId="40EB74D6" w:rsidR="000C5707" w:rsidRPr="00B57952" w:rsidRDefault="00652182" w:rsidP="000C5707">
      <w:pPr>
        <w:rPr>
          <w:noProof/>
          <w:sz w:val="20"/>
          <w:lang w:val="en-AU" w:eastAsia="en-AU"/>
        </w:rPr>
      </w:pPr>
      <w:bookmarkStart w:id="104" w:name="_Toc415572277"/>
      <w:bookmarkStart w:id="105" w:name="_Toc421012590"/>
      <w:bookmarkStart w:id="106" w:name="_Toc414880388"/>
      <w:bookmarkEnd w:id="104"/>
      <w:bookmarkEnd w:id="105"/>
      <w:bookmarkEnd w:id="106"/>
      <w:r w:rsidRPr="00B57952">
        <w:rPr>
          <w:noProof/>
          <w:sz w:val="20"/>
          <w:lang w:eastAsia="en-GB" w:bidi="ar-SA"/>
        </w:rPr>
        <w:drawing>
          <wp:inline distT="0" distB="0" distL="0" distR="0" wp14:anchorId="2F52A3A0" wp14:editId="105BF430">
            <wp:extent cx="2657475" cy="438150"/>
            <wp:effectExtent l="0" t="0" r="9525" b="0"/>
            <wp:docPr id="4"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4AE2545F" w14:textId="77777777" w:rsidR="000C5707" w:rsidRPr="00B57952" w:rsidRDefault="000C5707" w:rsidP="000C5707">
      <w:pPr>
        <w:rPr>
          <w:noProof/>
          <w:sz w:val="20"/>
          <w:lang w:val="en-AU" w:eastAsia="en-AU"/>
        </w:rPr>
      </w:pPr>
    </w:p>
    <w:p w14:paraId="49DF5E10" w14:textId="77777777" w:rsidR="000C5707" w:rsidRDefault="000C5707" w:rsidP="000C5707">
      <w:pPr>
        <w:pBdr>
          <w:bottom w:val="single" w:sz="4" w:space="1" w:color="auto"/>
        </w:pBdr>
        <w:rPr>
          <w:b/>
          <w:sz w:val="20"/>
        </w:rPr>
      </w:pPr>
      <w:r w:rsidRPr="006153A1">
        <w:rPr>
          <w:b/>
          <w:sz w:val="20"/>
        </w:rPr>
        <w:t>Food Standards (</w:t>
      </w:r>
      <w:r w:rsidRPr="00F618DF">
        <w:rPr>
          <w:b/>
          <w:sz w:val="20"/>
        </w:rPr>
        <w:t xml:space="preserve">Application </w:t>
      </w:r>
      <w:r>
        <w:rPr>
          <w:b/>
          <w:sz w:val="20"/>
        </w:rPr>
        <w:t>A1109</w:t>
      </w:r>
      <w:r w:rsidRPr="00F618DF">
        <w:rPr>
          <w:b/>
          <w:sz w:val="20"/>
        </w:rPr>
        <w:t xml:space="preserve"> </w:t>
      </w:r>
      <w:r w:rsidRPr="00A32232">
        <w:rPr>
          <w:b/>
          <w:sz w:val="20"/>
        </w:rPr>
        <w:t xml:space="preserve">– </w:t>
      </w:r>
      <w:r>
        <w:rPr>
          <w:b/>
          <w:sz w:val="20"/>
        </w:rPr>
        <w:t xml:space="preserve">Glutaminase from </w:t>
      </w:r>
      <w:r w:rsidRPr="00A47556">
        <w:rPr>
          <w:b/>
          <w:i/>
          <w:sz w:val="20"/>
        </w:rPr>
        <w:t>Bacillus amyloliquefaciens</w:t>
      </w:r>
      <w:r>
        <w:rPr>
          <w:b/>
          <w:sz w:val="20"/>
        </w:rPr>
        <w:t xml:space="preserve"> as a Processing Aid (Enzyme))</w:t>
      </w:r>
      <w:r w:rsidRPr="00C0014E">
        <w:rPr>
          <w:b/>
          <w:sz w:val="20"/>
        </w:rPr>
        <w:t xml:space="preserve"> Variation</w:t>
      </w:r>
    </w:p>
    <w:p w14:paraId="192872B1" w14:textId="77777777" w:rsidR="000C5707" w:rsidRPr="00C0014E" w:rsidRDefault="000C5707" w:rsidP="000C5707">
      <w:pPr>
        <w:pBdr>
          <w:bottom w:val="single" w:sz="4" w:space="1" w:color="auto"/>
        </w:pBdr>
        <w:rPr>
          <w:b/>
          <w:sz w:val="20"/>
        </w:rPr>
      </w:pPr>
    </w:p>
    <w:p w14:paraId="3FC4B2D6" w14:textId="77777777" w:rsidR="000C5707" w:rsidRPr="008F2616" w:rsidRDefault="000C5707" w:rsidP="000C5707">
      <w:pPr>
        <w:rPr>
          <w:sz w:val="20"/>
        </w:rPr>
      </w:pPr>
    </w:p>
    <w:p w14:paraId="780DA0F8" w14:textId="77777777" w:rsidR="000C5707" w:rsidRPr="008F2616" w:rsidRDefault="000C5707" w:rsidP="000C5707">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xml:space="preserve">.  The </w:t>
      </w:r>
      <w:r>
        <w:rPr>
          <w:sz w:val="20"/>
        </w:rPr>
        <w:t>variation</w:t>
      </w:r>
      <w:r w:rsidRPr="008F2616">
        <w:rPr>
          <w:sz w:val="20"/>
        </w:rPr>
        <w:t xml:space="preserve"> commences on the date specified in clause 3 of this variation.</w:t>
      </w:r>
    </w:p>
    <w:p w14:paraId="3DE53325" w14:textId="77777777" w:rsidR="000C5707" w:rsidRPr="008F2616" w:rsidRDefault="000C5707" w:rsidP="000C5707">
      <w:pPr>
        <w:rPr>
          <w:sz w:val="20"/>
        </w:rPr>
      </w:pPr>
    </w:p>
    <w:p w14:paraId="1CE7DF3F" w14:textId="77777777" w:rsidR="000C5707" w:rsidRPr="008F2616" w:rsidRDefault="000C5707" w:rsidP="000C5707">
      <w:pPr>
        <w:rPr>
          <w:sz w:val="20"/>
        </w:rPr>
      </w:pPr>
      <w:r w:rsidRPr="008F2616">
        <w:rPr>
          <w:sz w:val="20"/>
        </w:rPr>
        <w:t xml:space="preserve">Dated </w:t>
      </w:r>
      <w:r>
        <w:rPr>
          <w:sz w:val="20"/>
        </w:rPr>
        <w:t>[To be completed by Sta</w:t>
      </w:r>
      <w:bookmarkStart w:id="107" w:name="_GoBack"/>
      <w:bookmarkEnd w:id="107"/>
      <w:r>
        <w:rPr>
          <w:sz w:val="20"/>
        </w:rPr>
        <w:t>ndards Management Officer]</w:t>
      </w:r>
    </w:p>
    <w:p w14:paraId="066C2E56" w14:textId="77777777" w:rsidR="000C5707" w:rsidRPr="008F2616" w:rsidRDefault="000C5707" w:rsidP="000C5707">
      <w:pPr>
        <w:rPr>
          <w:sz w:val="20"/>
        </w:rPr>
      </w:pPr>
    </w:p>
    <w:p w14:paraId="7F3A406D" w14:textId="77777777" w:rsidR="000C5707" w:rsidRDefault="000C5707" w:rsidP="000C5707">
      <w:pPr>
        <w:rPr>
          <w:sz w:val="20"/>
        </w:rPr>
      </w:pPr>
    </w:p>
    <w:p w14:paraId="78C695B9" w14:textId="77777777" w:rsidR="000C5707" w:rsidRDefault="000C5707" w:rsidP="000C5707">
      <w:pPr>
        <w:rPr>
          <w:sz w:val="20"/>
        </w:rPr>
      </w:pPr>
    </w:p>
    <w:p w14:paraId="756ACB45" w14:textId="77777777" w:rsidR="000C5707" w:rsidRPr="008F2616" w:rsidRDefault="000C5707" w:rsidP="000C5707">
      <w:pPr>
        <w:rPr>
          <w:sz w:val="20"/>
        </w:rPr>
      </w:pPr>
    </w:p>
    <w:p w14:paraId="1D051A05" w14:textId="77777777" w:rsidR="000C5707" w:rsidRPr="008F2616" w:rsidRDefault="000C5707" w:rsidP="000C5707">
      <w:pPr>
        <w:rPr>
          <w:sz w:val="20"/>
        </w:rPr>
      </w:pPr>
    </w:p>
    <w:p w14:paraId="67C3E058" w14:textId="77777777" w:rsidR="000C5707" w:rsidRPr="008F2616" w:rsidRDefault="000C5707" w:rsidP="000C5707">
      <w:pPr>
        <w:rPr>
          <w:sz w:val="20"/>
        </w:rPr>
      </w:pPr>
      <w:r w:rsidRPr="008F2616">
        <w:rPr>
          <w:sz w:val="20"/>
        </w:rPr>
        <w:t>Standards Management Officer</w:t>
      </w:r>
    </w:p>
    <w:p w14:paraId="60828874" w14:textId="77777777" w:rsidR="000C5707" w:rsidRPr="008F2616" w:rsidRDefault="000C5707" w:rsidP="000C5707">
      <w:pPr>
        <w:rPr>
          <w:sz w:val="20"/>
        </w:rPr>
      </w:pPr>
      <w:r w:rsidRPr="008F2616">
        <w:rPr>
          <w:sz w:val="20"/>
        </w:rPr>
        <w:t>Delegate of the Board of Food Standards Australia New Zealand</w:t>
      </w:r>
    </w:p>
    <w:p w14:paraId="0AB9A6FB" w14:textId="77777777" w:rsidR="000C5707" w:rsidRDefault="000C5707" w:rsidP="000C5707">
      <w:pPr>
        <w:rPr>
          <w:sz w:val="20"/>
        </w:rPr>
      </w:pPr>
    </w:p>
    <w:p w14:paraId="0F47A0B0" w14:textId="77777777" w:rsidR="000C5707" w:rsidRDefault="000C5707" w:rsidP="000C5707">
      <w:pPr>
        <w:rPr>
          <w:sz w:val="20"/>
        </w:rPr>
      </w:pPr>
    </w:p>
    <w:p w14:paraId="49EC2793" w14:textId="77777777" w:rsidR="000C5707" w:rsidRDefault="000C5707" w:rsidP="000C5707">
      <w:pPr>
        <w:rPr>
          <w:sz w:val="20"/>
        </w:rPr>
      </w:pPr>
    </w:p>
    <w:p w14:paraId="03B70F9E" w14:textId="77777777" w:rsidR="000C5707" w:rsidRDefault="000C5707" w:rsidP="000C5707">
      <w:pPr>
        <w:rPr>
          <w:sz w:val="20"/>
        </w:rPr>
      </w:pPr>
    </w:p>
    <w:p w14:paraId="20DED261" w14:textId="77777777" w:rsidR="000C5707" w:rsidRDefault="000C5707" w:rsidP="000C5707">
      <w:pPr>
        <w:rPr>
          <w:sz w:val="20"/>
        </w:rPr>
      </w:pPr>
    </w:p>
    <w:p w14:paraId="1F398CA3" w14:textId="77777777" w:rsidR="000C5707" w:rsidRPr="00360C8F" w:rsidRDefault="000C5707" w:rsidP="000C5707">
      <w:pPr>
        <w:pBdr>
          <w:top w:val="single" w:sz="4" w:space="1" w:color="auto"/>
          <w:left w:val="single" w:sz="4" w:space="4" w:color="auto"/>
          <w:bottom w:val="single" w:sz="4" w:space="1" w:color="auto"/>
          <w:right w:val="single" w:sz="4" w:space="4" w:color="auto"/>
        </w:pBdr>
        <w:rPr>
          <w:b/>
          <w:sz w:val="20"/>
          <w:lang w:val="en-AU"/>
        </w:rPr>
      </w:pPr>
      <w:r w:rsidRPr="00360C8F">
        <w:rPr>
          <w:b/>
          <w:sz w:val="20"/>
          <w:lang w:val="en-AU"/>
        </w:rPr>
        <w:t xml:space="preserve">Note:  </w:t>
      </w:r>
    </w:p>
    <w:p w14:paraId="7DD501EF" w14:textId="77777777" w:rsidR="000C5707" w:rsidRPr="00360C8F" w:rsidRDefault="000C5707" w:rsidP="000C5707">
      <w:pPr>
        <w:pBdr>
          <w:top w:val="single" w:sz="4" w:space="1" w:color="auto"/>
          <w:left w:val="single" w:sz="4" w:space="4" w:color="auto"/>
          <w:bottom w:val="single" w:sz="4" w:space="1" w:color="auto"/>
          <w:right w:val="single" w:sz="4" w:space="4" w:color="auto"/>
        </w:pBdr>
        <w:rPr>
          <w:sz w:val="20"/>
          <w:lang w:val="en-AU"/>
        </w:rPr>
      </w:pPr>
    </w:p>
    <w:p w14:paraId="6FB81AEB" w14:textId="77777777" w:rsidR="000C5707" w:rsidRPr="00360C8F" w:rsidRDefault="000C5707" w:rsidP="000C5707">
      <w:pPr>
        <w:pBdr>
          <w:top w:val="single" w:sz="4" w:space="1" w:color="auto"/>
          <w:left w:val="single" w:sz="4" w:space="4" w:color="auto"/>
          <w:bottom w:val="single" w:sz="4" w:space="1" w:color="auto"/>
          <w:right w:val="single" w:sz="4" w:space="4" w:color="auto"/>
        </w:pBdr>
        <w:rPr>
          <w:sz w:val="20"/>
          <w:lang w:val="en-AU"/>
        </w:rPr>
      </w:pPr>
      <w:r w:rsidRPr="00360C8F">
        <w:rPr>
          <w:sz w:val="20"/>
          <w:lang w:val="en-AU"/>
        </w:rPr>
        <w:t xml:space="preserve">This variation will be published in the Commonwealth of Australia Gazette No. </w:t>
      </w:r>
      <w:proofErr w:type="gramStart"/>
      <w:r w:rsidRPr="00360C8F">
        <w:rPr>
          <w:sz w:val="20"/>
          <w:lang w:val="en-AU"/>
        </w:rPr>
        <w:t xml:space="preserve">FSC </w:t>
      </w:r>
      <w:r w:rsidRPr="00360C8F">
        <w:rPr>
          <w:color w:val="FF0000"/>
          <w:sz w:val="20"/>
          <w:lang w:val="en-AU"/>
        </w:rPr>
        <w:t>XX on XX Month 20XX</w:t>
      </w:r>
      <w:r w:rsidRPr="00360C8F">
        <w:rPr>
          <w:sz w:val="20"/>
          <w:lang w:val="en-AU"/>
        </w:rPr>
        <w:t>.</w:t>
      </w:r>
      <w:proofErr w:type="gramEnd"/>
      <w:r w:rsidRPr="00360C8F">
        <w:rPr>
          <w:sz w:val="20"/>
          <w:lang w:val="en-AU"/>
        </w:rPr>
        <w:t xml:space="preserve"> This means that this date is the gazettal date for the purposes of clause 3 of the variation. </w:t>
      </w:r>
    </w:p>
    <w:p w14:paraId="04ED9532" w14:textId="77777777" w:rsidR="000C5707" w:rsidRDefault="000C5707" w:rsidP="000C5707">
      <w:pPr>
        <w:rPr>
          <w:sz w:val="20"/>
        </w:rPr>
      </w:pPr>
    </w:p>
    <w:p w14:paraId="29816154" w14:textId="77777777" w:rsidR="000C5707" w:rsidRDefault="000C5707" w:rsidP="000C5707">
      <w:pPr>
        <w:widowControl/>
        <w:rPr>
          <w:sz w:val="20"/>
        </w:rPr>
      </w:pPr>
      <w:r>
        <w:rPr>
          <w:sz w:val="20"/>
        </w:rPr>
        <w:br w:type="page"/>
      </w:r>
    </w:p>
    <w:p w14:paraId="637F95E6" w14:textId="77777777" w:rsidR="000C5707" w:rsidRPr="005F585D" w:rsidRDefault="000C5707" w:rsidP="000C5707">
      <w:pPr>
        <w:pStyle w:val="FSCDraftingitemheading"/>
      </w:pPr>
      <w:r w:rsidRPr="00D433B1">
        <w:lastRenderedPageBreak/>
        <w:t>1</w:t>
      </w:r>
      <w:r w:rsidRPr="00D433B1">
        <w:tab/>
        <w:t>Name</w:t>
      </w:r>
    </w:p>
    <w:p w14:paraId="30A69636" w14:textId="77777777" w:rsidR="000C5707" w:rsidRPr="00F618DF" w:rsidRDefault="000C5707" w:rsidP="000C5707">
      <w:pPr>
        <w:pStyle w:val="FSCDraftingitem"/>
      </w:pPr>
      <w:r w:rsidRPr="00DB170D">
        <w:t xml:space="preserve">This instrument is the </w:t>
      </w:r>
      <w:r w:rsidRPr="00792F7C">
        <w:rPr>
          <w:i/>
        </w:rPr>
        <w:t>Food Standards (Application A</w:t>
      </w:r>
      <w:r>
        <w:rPr>
          <w:i/>
        </w:rPr>
        <w:t>1109</w:t>
      </w:r>
      <w:r w:rsidRPr="00792F7C">
        <w:rPr>
          <w:i/>
        </w:rPr>
        <w:t xml:space="preserve"> – </w:t>
      </w:r>
      <w:r>
        <w:rPr>
          <w:i/>
        </w:rPr>
        <w:t xml:space="preserve">Glutaminase from </w:t>
      </w:r>
      <w:r w:rsidRPr="005A1E4F">
        <w:t>Bacillus amyloliquefaciens</w:t>
      </w:r>
      <w:r>
        <w:rPr>
          <w:i/>
        </w:rPr>
        <w:t xml:space="preserve"> as a Processing Aid (Enzyme)) </w:t>
      </w:r>
      <w:r w:rsidRPr="00792F7C">
        <w:rPr>
          <w:i/>
        </w:rPr>
        <w:t>Variation</w:t>
      </w:r>
      <w:r w:rsidRPr="00F618DF">
        <w:t>.</w:t>
      </w:r>
    </w:p>
    <w:p w14:paraId="01DD608D" w14:textId="77777777" w:rsidR="000C5707" w:rsidRPr="00D433B1" w:rsidRDefault="000C5707" w:rsidP="000C5707">
      <w:pPr>
        <w:pStyle w:val="FSCDraftingitemheading"/>
      </w:pPr>
      <w:r>
        <w:t>2</w:t>
      </w:r>
      <w:r>
        <w:tab/>
        <w:t>Variation to a s</w:t>
      </w:r>
      <w:r w:rsidRPr="00D433B1">
        <w:t xml:space="preserve">tandard in the </w:t>
      </w:r>
      <w:r w:rsidRPr="005A1E4F">
        <w:rPr>
          <w:i/>
        </w:rPr>
        <w:t>Australia New Zealand Food Standards Code</w:t>
      </w:r>
    </w:p>
    <w:p w14:paraId="24CDA6EA" w14:textId="0C6D12B3" w:rsidR="000C5707" w:rsidRDefault="000C5707" w:rsidP="000C5707">
      <w:pPr>
        <w:pStyle w:val="FSCDraftingitem"/>
      </w:pPr>
      <w:r>
        <w:t xml:space="preserve">The Schedule varies a </w:t>
      </w:r>
      <w:r w:rsidR="000C4528">
        <w:t xml:space="preserve">Schedule </w:t>
      </w:r>
      <w:r>
        <w:t xml:space="preserve">in the </w:t>
      </w:r>
      <w:r w:rsidRPr="00792F7C">
        <w:rPr>
          <w:i/>
        </w:rPr>
        <w:t>Australia New Zealand Food Standards Code</w:t>
      </w:r>
      <w:r>
        <w:t>.</w:t>
      </w:r>
    </w:p>
    <w:p w14:paraId="00892080" w14:textId="77777777" w:rsidR="000C5707" w:rsidRPr="00D433B1" w:rsidRDefault="000C5707" w:rsidP="000C5707">
      <w:pPr>
        <w:pStyle w:val="FSCDraftingitemheading"/>
      </w:pPr>
      <w:r w:rsidRPr="00D433B1">
        <w:t>3</w:t>
      </w:r>
      <w:r w:rsidRPr="00D433B1">
        <w:tab/>
        <w:t>Commencement</w:t>
      </w:r>
    </w:p>
    <w:p w14:paraId="27B08F8A" w14:textId="77777777" w:rsidR="000C5707" w:rsidRDefault="000C5707" w:rsidP="000C5707">
      <w:pPr>
        <w:pStyle w:val="FSCDraftingitem"/>
      </w:pPr>
      <w:r>
        <w:t>The variation commenc</w:t>
      </w:r>
      <w:r w:rsidRPr="000055C4">
        <w:t>e</w:t>
      </w:r>
      <w:r>
        <w:t>s</w:t>
      </w:r>
      <w:r w:rsidRPr="000055C4">
        <w:t xml:space="preserve"> on</w:t>
      </w:r>
      <w:r>
        <w:t xml:space="preserve"> the date of gazettal.</w:t>
      </w:r>
    </w:p>
    <w:p w14:paraId="3B7F6E16" w14:textId="77777777" w:rsidR="000C5707" w:rsidRPr="00D433B1" w:rsidRDefault="000C5707" w:rsidP="000C5707">
      <w:pPr>
        <w:jc w:val="center"/>
        <w:rPr>
          <w:b/>
          <w:sz w:val="20"/>
        </w:rPr>
      </w:pPr>
      <w:r w:rsidRPr="00D433B1">
        <w:rPr>
          <w:b/>
          <w:sz w:val="20"/>
        </w:rPr>
        <w:t>Schedule</w:t>
      </w:r>
    </w:p>
    <w:p w14:paraId="31E7065F" w14:textId="01BADB63" w:rsidR="000C5707" w:rsidRDefault="000C5707" w:rsidP="000C5707">
      <w:pPr>
        <w:pStyle w:val="FSCDraftingitem"/>
      </w:pPr>
      <w:r w:rsidRPr="00DA14FC">
        <w:rPr>
          <w:b/>
          <w:lang w:bidi="en-US"/>
        </w:rPr>
        <w:t>[1]</w:t>
      </w:r>
      <w:r w:rsidRPr="00DA14FC">
        <w:rPr>
          <w:b/>
          <w:lang w:bidi="en-US"/>
        </w:rPr>
        <w:tab/>
      </w:r>
      <w:r w:rsidRPr="00FC4576">
        <w:rPr>
          <w:b/>
          <w:lang w:bidi="en-US"/>
        </w:rPr>
        <w:t>Schedule S18</w:t>
      </w:r>
      <w:r w:rsidRPr="00FC4576">
        <w:rPr>
          <w:lang w:bidi="en-US"/>
        </w:rPr>
        <w:t xml:space="preserve"> </w:t>
      </w:r>
      <w:r w:rsidRPr="00CC2E5B">
        <w:rPr>
          <w:lang w:bidi="en-US"/>
        </w:rPr>
        <w:t xml:space="preserve">is varied </w:t>
      </w:r>
      <w:r w:rsidRPr="00FC4576">
        <w:rPr>
          <w:lang w:bidi="en-US"/>
        </w:rPr>
        <w:t>by</w:t>
      </w:r>
      <w:r w:rsidRPr="00FC4576">
        <w:t xml:space="preserve"> inserting in the table to subsection S18—4(5), in alphabetical order </w:t>
      </w:r>
    </w:p>
    <w:tbl>
      <w:tblPr>
        <w:tblW w:w="9072" w:type="dxa"/>
        <w:tblBorders>
          <w:top w:val="single" w:sz="4" w:space="0" w:color="auto"/>
          <w:bottom w:val="single" w:sz="4" w:space="0" w:color="auto"/>
          <w:insideH w:val="single" w:sz="4" w:space="0" w:color="auto"/>
        </w:tblBorders>
        <w:tblLook w:val="04A0" w:firstRow="1" w:lastRow="0" w:firstColumn="1" w:lastColumn="0" w:noHBand="0" w:noVBand="1"/>
      </w:tblPr>
      <w:tblGrid>
        <w:gridCol w:w="3369"/>
        <w:gridCol w:w="5703"/>
      </w:tblGrid>
      <w:tr w:rsidR="000C5707" w:rsidRPr="001D1563" w14:paraId="755000DB" w14:textId="77777777" w:rsidTr="004E3689">
        <w:trPr>
          <w:cantSplit/>
        </w:trPr>
        <w:tc>
          <w:tcPr>
            <w:tcW w:w="3369" w:type="dxa"/>
            <w:tcBorders>
              <w:top w:val="nil"/>
              <w:bottom w:val="nil"/>
            </w:tcBorders>
          </w:tcPr>
          <w:p w14:paraId="06EC35BE" w14:textId="77777777" w:rsidR="000C5707" w:rsidRPr="001D1563" w:rsidRDefault="000C5707" w:rsidP="004E3689">
            <w:pPr>
              <w:pStyle w:val="FSCtblMain"/>
            </w:pPr>
            <w:r>
              <w:t>Glutaminase (EC 3.5.1.2)</w:t>
            </w:r>
          </w:p>
        </w:tc>
        <w:tc>
          <w:tcPr>
            <w:tcW w:w="5703" w:type="dxa"/>
            <w:tcBorders>
              <w:top w:val="nil"/>
              <w:bottom w:val="nil"/>
            </w:tcBorders>
          </w:tcPr>
          <w:p w14:paraId="2ED67B96" w14:textId="77777777" w:rsidR="000C5707" w:rsidRPr="001D1563" w:rsidRDefault="000C5707" w:rsidP="004E3689">
            <w:pPr>
              <w:pStyle w:val="FSCtblMain"/>
            </w:pPr>
            <w:r>
              <w:rPr>
                <w:i/>
              </w:rPr>
              <w:t>Bacillus amyloliquefaciens</w:t>
            </w:r>
          </w:p>
        </w:tc>
      </w:tr>
    </w:tbl>
    <w:p w14:paraId="34A0ED10" w14:textId="38EC0D3E" w:rsidR="00652182" w:rsidRDefault="00652182" w:rsidP="000C5707">
      <w:pPr>
        <w:pStyle w:val="HR"/>
        <w:ind w:left="0" w:firstLine="0"/>
        <w:rPr>
          <w:lang w:eastAsia="en-GB"/>
        </w:rPr>
      </w:pPr>
      <w:r w:rsidRPr="00972DE7">
        <w:rPr>
          <w:rFonts w:cs="Arial"/>
          <w:color w:val="00B0F0"/>
          <w:sz w:val="22"/>
          <w:szCs w:val="22"/>
        </w:rPr>
        <w:br w:type="page"/>
      </w:r>
    </w:p>
    <w:p w14:paraId="564B6EE0" w14:textId="77777777" w:rsidR="00AB0275" w:rsidRDefault="002C4A91" w:rsidP="00AB0275">
      <w:pPr>
        <w:pStyle w:val="Heading2"/>
        <w:ind w:left="0" w:firstLine="0"/>
      </w:pPr>
      <w:bookmarkStart w:id="108" w:name="_Toc438728892"/>
      <w:r w:rsidRPr="00932F14">
        <w:lastRenderedPageBreak/>
        <w:t xml:space="preserve">Attachment </w:t>
      </w:r>
      <w:r>
        <w:t xml:space="preserve">B – </w:t>
      </w:r>
      <w:r w:rsidR="00AB0275">
        <w:t>Draft Explanatory Statement</w:t>
      </w:r>
      <w:bookmarkEnd w:id="108"/>
    </w:p>
    <w:p w14:paraId="26E97B37" w14:textId="77777777" w:rsidR="00AB0275" w:rsidRPr="000576EB" w:rsidRDefault="00AB0275" w:rsidP="00AB0275">
      <w:pPr>
        <w:rPr>
          <w:b/>
          <w:lang w:val="en-AU" w:eastAsia="en-GB" w:bidi="ar-SA"/>
        </w:rPr>
      </w:pPr>
      <w:r w:rsidRPr="000576EB">
        <w:rPr>
          <w:b/>
          <w:lang w:val="en-AU" w:eastAsia="en-GB" w:bidi="ar-SA"/>
        </w:rPr>
        <w:t>1.</w:t>
      </w:r>
      <w:r w:rsidRPr="000576EB">
        <w:rPr>
          <w:b/>
          <w:lang w:val="en-AU" w:eastAsia="en-GB" w:bidi="ar-SA"/>
        </w:rPr>
        <w:tab/>
        <w:t>Authority</w:t>
      </w:r>
    </w:p>
    <w:p w14:paraId="6628BFC6" w14:textId="77777777" w:rsidR="00AB0275" w:rsidRDefault="00AB0275" w:rsidP="00AB0275">
      <w:pPr>
        <w:rPr>
          <w:lang w:val="en-AU" w:eastAsia="en-GB" w:bidi="ar-SA"/>
        </w:rPr>
      </w:pPr>
    </w:p>
    <w:p w14:paraId="4452041E" w14:textId="77777777" w:rsidR="00AB0275" w:rsidRPr="00D13E34" w:rsidRDefault="00AB0275" w:rsidP="00AB027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1974D009" w14:textId="77777777" w:rsidR="00AB0275" w:rsidRPr="00D13E34" w:rsidRDefault="00AB0275" w:rsidP="00AB0275">
      <w:pPr>
        <w:widowControl/>
        <w:autoSpaceDE w:val="0"/>
        <w:autoSpaceDN w:val="0"/>
        <w:adjustRightInd w:val="0"/>
        <w:rPr>
          <w:rFonts w:eastAsia="Calibri" w:cs="Arial"/>
          <w:bCs/>
          <w:szCs w:val="22"/>
          <w:lang w:val="en-AU" w:bidi="ar-SA"/>
        </w:rPr>
      </w:pPr>
    </w:p>
    <w:p w14:paraId="315DBAA5" w14:textId="77777777" w:rsidR="00AB0275" w:rsidRPr="00995385" w:rsidRDefault="00AB0275" w:rsidP="00AB0275">
      <w:pPr>
        <w:widowControl/>
        <w:autoSpaceDE w:val="0"/>
        <w:autoSpaceDN w:val="0"/>
        <w:adjustRightInd w:val="0"/>
        <w:rPr>
          <w:rFonts w:eastAsia="Calibri" w:cs="Arial"/>
          <w:bCs/>
          <w:szCs w:val="22"/>
          <w:lang w:val="en-AU" w:bidi="ar-SA"/>
        </w:rPr>
      </w:pPr>
      <w:r w:rsidRPr="00995385">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73CE0974" w14:textId="77777777" w:rsidR="00AB0275" w:rsidRPr="00995385" w:rsidRDefault="00AB0275" w:rsidP="00AB0275">
      <w:pPr>
        <w:widowControl/>
        <w:autoSpaceDE w:val="0"/>
        <w:autoSpaceDN w:val="0"/>
        <w:adjustRightInd w:val="0"/>
        <w:rPr>
          <w:rFonts w:eastAsia="Calibri" w:cs="Arial"/>
          <w:bCs/>
          <w:szCs w:val="22"/>
          <w:lang w:val="en-AU" w:bidi="ar-SA"/>
        </w:rPr>
      </w:pPr>
    </w:p>
    <w:p w14:paraId="424DAC37" w14:textId="6125CB33" w:rsidR="00AB0275" w:rsidRPr="00995385" w:rsidRDefault="00AB0275" w:rsidP="00AB0275">
      <w:pPr>
        <w:widowControl/>
        <w:autoSpaceDE w:val="0"/>
        <w:autoSpaceDN w:val="0"/>
        <w:adjustRightInd w:val="0"/>
        <w:rPr>
          <w:rFonts w:eastAsia="Calibri" w:cs="Arial"/>
          <w:bCs/>
          <w:szCs w:val="22"/>
          <w:lang w:val="en-AU" w:bidi="ar-SA"/>
        </w:rPr>
      </w:pPr>
      <w:r w:rsidRPr="00995385">
        <w:rPr>
          <w:rFonts w:eastAsia="Calibri" w:cs="Arial"/>
          <w:bCs/>
          <w:szCs w:val="22"/>
          <w:lang w:val="en-AU" w:bidi="ar-SA"/>
        </w:rPr>
        <w:t>FSANZ accepted Application A</w:t>
      </w:r>
      <w:r w:rsidR="00995385">
        <w:rPr>
          <w:rFonts w:eastAsia="Calibri" w:cs="Arial"/>
          <w:bCs/>
          <w:szCs w:val="22"/>
          <w:lang w:val="en-AU" w:bidi="ar-SA"/>
        </w:rPr>
        <w:t>1109</w:t>
      </w:r>
      <w:r w:rsidRPr="00995385">
        <w:rPr>
          <w:rFonts w:eastAsia="Calibri" w:cs="Arial"/>
          <w:bCs/>
          <w:szCs w:val="22"/>
          <w:lang w:val="en-AU" w:bidi="ar-SA"/>
        </w:rPr>
        <w:t xml:space="preserve"> which seeks to </w:t>
      </w:r>
      <w:r w:rsidR="00995385" w:rsidRPr="00995385">
        <w:rPr>
          <w:rFonts w:eastAsia="Calibri" w:cs="Arial"/>
          <w:bCs/>
          <w:szCs w:val="22"/>
          <w:lang w:val="en-AU" w:bidi="ar-SA"/>
        </w:rPr>
        <w:t xml:space="preserve">permit glutaminase </w:t>
      </w:r>
      <w:r w:rsidR="0095122A">
        <w:rPr>
          <w:rFonts w:eastAsia="Calibri" w:cs="Arial"/>
          <w:bCs/>
          <w:szCs w:val="22"/>
          <w:lang w:val="en-AU" w:bidi="ar-SA"/>
        </w:rPr>
        <w:t>sourced</w:t>
      </w:r>
      <w:r w:rsidR="00995385" w:rsidRPr="00995385">
        <w:rPr>
          <w:rFonts w:eastAsia="Calibri" w:cs="Arial"/>
          <w:bCs/>
          <w:szCs w:val="22"/>
          <w:lang w:val="en-AU" w:bidi="ar-SA"/>
        </w:rPr>
        <w:t xml:space="preserve"> from </w:t>
      </w:r>
      <w:r w:rsidR="00995385" w:rsidRPr="00995385">
        <w:rPr>
          <w:rFonts w:eastAsia="Calibri" w:cs="Arial"/>
          <w:bCs/>
          <w:i/>
          <w:szCs w:val="22"/>
          <w:lang w:val="en-AU" w:bidi="ar-SA"/>
        </w:rPr>
        <w:t>B.</w:t>
      </w:r>
      <w:r w:rsidR="0095122A">
        <w:rPr>
          <w:rFonts w:eastAsia="Calibri" w:cs="Arial"/>
          <w:bCs/>
          <w:i/>
          <w:szCs w:val="22"/>
          <w:lang w:val="en-AU" w:bidi="ar-SA"/>
        </w:rPr>
        <w:t> </w:t>
      </w:r>
      <w:r w:rsidR="00995385" w:rsidRPr="00995385">
        <w:rPr>
          <w:rFonts w:eastAsia="Calibri" w:cs="Arial"/>
          <w:bCs/>
          <w:i/>
          <w:szCs w:val="22"/>
          <w:lang w:val="en-AU" w:bidi="ar-SA"/>
        </w:rPr>
        <w:t xml:space="preserve">amyloliquefaciens </w:t>
      </w:r>
      <w:r w:rsidR="00995385" w:rsidRPr="00995385">
        <w:rPr>
          <w:rFonts w:eastAsia="Calibri" w:cs="Arial"/>
          <w:bCs/>
          <w:szCs w:val="22"/>
          <w:lang w:val="en-AU" w:bidi="ar-SA"/>
        </w:rPr>
        <w:t>as a processing aid</w:t>
      </w:r>
      <w:r w:rsidR="006F311A">
        <w:rPr>
          <w:rFonts w:eastAsia="Calibri" w:cs="Arial"/>
          <w:bCs/>
          <w:szCs w:val="22"/>
          <w:lang w:val="en-AU" w:bidi="ar-SA"/>
        </w:rPr>
        <w:t>. The enzyme</w:t>
      </w:r>
      <w:r w:rsidR="00995385" w:rsidRPr="00995385">
        <w:rPr>
          <w:rFonts w:eastAsia="Calibri" w:cs="Arial"/>
          <w:bCs/>
          <w:szCs w:val="22"/>
          <w:lang w:val="en-AU" w:bidi="ar-SA"/>
        </w:rPr>
        <w:t xml:space="preserve"> </w:t>
      </w:r>
      <w:r w:rsidR="004A2206">
        <w:rPr>
          <w:rFonts w:eastAsia="Calibri" w:cs="Arial"/>
          <w:bCs/>
          <w:szCs w:val="22"/>
          <w:lang w:val="en-AU" w:bidi="ar-SA"/>
        </w:rPr>
        <w:t>would</w:t>
      </w:r>
      <w:r w:rsidR="006F311A">
        <w:rPr>
          <w:rFonts w:eastAsia="Calibri" w:cs="Arial"/>
          <w:bCs/>
          <w:szCs w:val="22"/>
          <w:lang w:val="en-AU" w:bidi="ar-SA"/>
        </w:rPr>
        <w:t xml:space="preserve"> be used </w:t>
      </w:r>
      <w:r w:rsidR="00995385" w:rsidRPr="00995385">
        <w:rPr>
          <w:rFonts w:eastAsia="Calibri" w:cs="Arial"/>
          <w:bCs/>
          <w:szCs w:val="22"/>
          <w:lang w:val="en-AU" w:bidi="ar-SA"/>
        </w:rPr>
        <w:t>in the production of certain seasoning ingredients or food</w:t>
      </w:r>
      <w:r w:rsidR="00482E86">
        <w:rPr>
          <w:rFonts w:eastAsia="Calibri" w:cs="Arial"/>
          <w:bCs/>
          <w:szCs w:val="22"/>
          <w:lang w:val="en-AU" w:bidi="ar-SA"/>
        </w:rPr>
        <w:t xml:space="preserve"> product</w:t>
      </w:r>
      <w:r w:rsidR="00995385" w:rsidRPr="00995385">
        <w:rPr>
          <w:rFonts w:eastAsia="Calibri" w:cs="Arial"/>
          <w:bCs/>
          <w:szCs w:val="22"/>
          <w:lang w:val="en-AU" w:bidi="ar-SA"/>
        </w:rPr>
        <w:t xml:space="preserve">s used </w:t>
      </w:r>
      <w:r w:rsidR="00482E86">
        <w:rPr>
          <w:rFonts w:eastAsia="Calibri" w:cs="Arial"/>
          <w:bCs/>
          <w:szCs w:val="22"/>
          <w:lang w:val="en-AU" w:bidi="ar-SA"/>
        </w:rPr>
        <w:t>as</w:t>
      </w:r>
      <w:r w:rsidR="00995385" w:rsidRPr="00995385">
        <w:rPr>
          <w:rFonts w:eastAsia="Calibri" w:cs="Arial"/>
          <w:bCs/>
          <w:szCs w:val="22"/>
          <w:lang w:val="en-AU" w:bidi="ar-SA"/>
        </w:rPr>
        <w:t xml:space="preserve"> seasoning</w:t>
      </w:r>
      <w:r w:rsidR="00482E86">
        <w:rPr>
          <w:rFonts w:eastAsia="Calibri" w:cs="Arial"/>
          <w:bCs/>
          <w:szCs w:val="22"/>
          <w:lang w:val="en-AU" w:bidi="ar-SA"/>
        </w:rPr>
        <w:t>s</w:t>
      </w:r>
      <w:r w:rsidR="00995385" w:rsidRPr="00995385">
        <w:rPr>
          <w:rFonts w:eastAsia="Calibri" w:cs="Arial"/>
          <w:bCs/>
          <w:szCs w:val="22"/>
          <w:lang w:val="en-AU" w:bidi="ar-SA"/>
        </w:rPr>
        <w:t>.</w:t>
      </w:r>
      <w:r w:rsidR="00995385">
        <w:rPr>
          <w:rFonts w:eastAsia="Calibri" w:cs="Arial"/>
          <w:bCs/>
          <w:szCs w:val="22"/>
          <w:lang w:val="en-AU" w:bidi="ar-SA"/>
        </w:rPr>
        <w:t xml:space="preserve"> </w:t>
      </w:r>
      <w:r w:rsidRPr="00995385">
        <w:rPr>
          <w:rFonts w:eastAsia="Calibri" w:cs="Arial"/>
          <w:bCs/>
          <w:szCs w:val="22"/>
          <w:lang w:val="en-AU" w:bidi="ar-SA"/>
        </w:rPr>
        <w:t xml:space="preserve">The Authority considered the Application in accordance with Division 1 of Part 3 and has </w:t>
      </w:r>
      <w:r w:rsidR="00CA3C65" w:rsidRPr="00995385">
        <w:rPr>
          <w:rFonts w:eastAsia="Calibri" w:cs="Arial"/>
          <w:bCs/>
          <w:szCs w:val="22"/>
          <w:lang w:val="en-AU" w:bidi="ar-SA"/>
        </w:rPr>
        <w:t>prepared</w:t>
      </w:r>
      <w:r w:rsidRPr="00995385">
        <w:rPr>
          <w:rFonts w:eastAsia="Calibri" w:cs="Arial"/>
          <w:bCs/>
          <w:szCs w:val="22"/>
          <w:lang w:val="en-AU" w:bidi="ar-SA"/>
        </w:rPr>
        <w:t xml:space="preserve"> a draft </w:t>
      </w:r>
      <w:r w:rsidR="00995385">
        <w:rPr>
          <w:rFonts w:eastAsia="Calibri" w:cs="Arial"/>
          <w:bCs/>
          <w:szCs w:val="22"/>
          <w:lang w:val="en-AU" w:bidi="ar-SA"/>
        </w:rPr>
        <w:t>variation to the revised Code</w:t>
      </w:r>
      <w:r w:rsidRPr="00995385">
        <w:rPr>
          <w:rFonts w:eastAsia="Calibri" w:cs="Arial"/>
          <w:bCs/>
          <w:szCs w:val="22"/>
          <w:lang w:val="en-AU" w:bidi="ar-SA"/>
        </w:rPr>
        <w:t xml:space="preserve">. </w:t>
      </w:r>
    </w:p>
    <w:p w14:paraId="0E5CA9E2" w14:textId="77777777" w:rsidR="00AB0275" w:rsidRPr="00D13E34" w:rsidRDefault="00AB0275" w:rsidP="00AB0275">
      <w:pPr>
        <w:widowControl/>
        <w:autoSpaceDE w:val="0"/>
        <w:autoSpaceDN w:val="0"/>
        <w:adjustRightInd w:val="0"/>
        <w:rPr>
          <w:rFonts w:eastAsia="Calibri" w:cs="Arial"/>
          <w:bCs/>
          <w:szCs w:val="22"/>
          <w:lang w:val="en-AU" w:bidi="ar-SA"/>
        </w:rPr>
      </w:pPr>
    </w:p>
    <w:p w14:paraId="13EDF7A1" w14:textId="77777777" w:rsidR="00AB0275" w:rsidRDefault="00AB0275" w:rsidP="00AB0275">
      <w:pPr>
        <w:rPr>
          <w:b/>
          <w:lang w:val="en-AU" w:eastAsia="en-GB" w:bidi="ar-SA"/>
        </w:rPr>
      </w:pPr>
      <w:r>
        <w:rPr>
          <w:b/>
          <w:lang w:val="en-AU" w:eastAsia="en-GB" w:bidi="ar-SA"/>
        </w:rPr>
        <w:t>2.</w:t>
      </w:r>
      <w:r>
        <w:rPr>
          <w:b/>
          <w:lang w:val="en-AU" w:eastAsia="en-GB" w:bidi="ar-SA"/>
        </w:rPr>
        <w:tab/>
        <w:t xml:space="preserve">Purpose </w:t>
      </w:r>
    </w:p>
    <w:p w14:paraId="2B419BA1" w14:textId="77777777" w:rsidR="00AB0275" w:rsidRDefault="00AB0275" w:rsidP="00AB0275">
      <w:pPr>
        <w:rPr>
          <w:lang w:val="en-AU" w:eastAsia="en-GB" w:bidi="ar-SA"/>
        </w:rPr>
      </w:pPr>
    </w:p>
    <w:p w14:paraId="7C9F0F53" w14:textId="2D252A84" w:rsidR="00AB0275" w:rsidRPr="00345928" w:rsidRDefault="00C032E0" w:rsidP="00AB0275">
      <w:pPr>
        <w:rPr>
          <w:lang w:val="en-AU" w:eastAsia="en-GB" w:bidi="ar-SA"/>
        </w:rPr>
      </w:pPr>
      <w:r>
        <w:rPr>
          <w:lang w:val="en-AU" w:eastAsia="en-GB" w:bidi="ar-SA"/>
        </w:rPr>
        <w:t>The purpose of this amendment is to permit the use of the</w:t>
      </w:r>
      <w:r w:rsidR="00995385">
        <w:rPr>
          <w:lang w:val="en-AU" w:eastAsia="en-GB" w:bidi="ar-SA"/>
        </w:rPr>
        <w:t xml:space="preserve"> enzyme</w:t>
      </w:r>
      <w:r w:rsidR="00256BC2">
        <w:rPr>
          <w:lang w:val="en-AU" w:eastAsia="en-GB" w:bidi="ar-SA"/>
        </w:rPr>
        <w:t>,</w:t>
      </w:r>
      <w:r w:rsidR="00995385">
        <w:rPr>
          <w:lang w:val="en-AU" w:eastAsia="en-GB" w:bidi="ar-SA"/>
        </w:rPr>
        <w:t xml:space="preserve"> glutaminase</w:t>
      </w:r>
      <w:r w:rsidR="00256BC2">
        <w:rPr>
          <w:lang w:val="en-AU" w:eastAsia="en-GB" w:bidi="ar-SA"/>
        </w:rPr>
        <w:t>,</w:t>
      </w:r>
      <w:r w:rsidR="00995385">
        <w:rPr>
          <w:lang w:val="en-AU" w:eastAsia="en-GB" w:bidi="ar-SA"/>
        </w:rPr>
        <w:t xml:space="preserve"> </w:t>
      </w:r>
      <w:r w:rsidR="0095122A">
        <w:rPr>
          <w:lang w:val="en-AU" w:eastAsia="en-GB" w:bidi="ar-SA"/>
        </w:rPr>
        <w:t>sourced</w:t>
      </w:r>
      <w:r w:rsidR="00345928">
        <w:rPr>
          <w:lang w:val="en-AU" w:eastAsia="en-GB" w:bidi="ar-SA"/>
        </w:rPr>
        <w:t xml:space="preserve"> from </w:t>
      </w:r>
      <w:r w:rsidR="00995385" w:rsidRPr="005F3677">
        <w:rPr>
          <w:i/>
        </w:rPr>
        <w:t>B</w:t>
      </w:r>
      <w:r w:rsidR="00995385">
        <w:rPr>
          <w:i/>
        </w:rPr>
        <w:t xml:space="preserve">. </w:t>
      </w:r>
      <w:r w:rsidR="00995385" w:rsidRPr="005F3677">
        <w:rPr>
          <w:i/>
        </w:rPr>
        <w:t>amyloliquefaciens</w:t>
      </w:r>
      <w:r w:rsidR="00345928">
        <w:rPr>
          <w:i/>
        </w:rPr>
        <w:t xml:space="preserve"> </w:t>
      </w:r>
      <w:r w:rsidR="00345928" w:rsidRPr="00345928">
        <w:t>as a processing aid. This requires an addition to the table to subsection S18––4(5) in Schedule 18</w:t>
      </w:r>
      <w:r>
        <w:t xml:space="preserve"> of the Code</w:t>
      </w:r>
      <w:r w:rsidR="00345928" w:rsidRPr="00345928">
        <w:t>.</w:t>
      </w:r>
    </w:p>
    <w:p w14:paraId="2CC84AEA" w14:textId="77777777" w:rsidR="00995385" w:rsidRDefault="00995385" w:rsidP="00AB0275">
      <w:pPr>
        <w:rPr>
          <w:lang w:val="en-AU" w:eastAsia="en-GB" w:bidi="ar-SA"/>
        </w:rPr>
      </w:pPr>
    </w:p>
    <w:p w14:paraId="7D1BF0B0" w14:textId="77777777" w:rsidR="00AB0275" w:rsidRPr="000576EB" w:rsidRDefault="00AB0275" w:rsidP="00AB0275">
      <w:pPr>
        <w:rPr>
          <w:b/>
          <w:lang w:val="en-AU" w:eastAsia="en-GB" w:bidi="ar-SA"/>
        </w:rPr>
      </w:pPr>
      <w:r w:rsidRPr="000576EB">
        <w:rPr>
          <w:b/>
          <w:lang w:val="en-AU" w:eastAsia="en-GB" w:bidi="ar-SA"/>
        </w:rPr>
        <w:t>3.</w:t>
      </w:r>
      <w:r w:rsidRPr="000576EB">
        <w:rPr>
          <w:b/>
          <w:lang w:val="en-AU" w:eastAsia="en-GB" w:bidi="ar-SA"/>
        </w:rPr>
        <w:tab/>
        <w:t>Documents incorporated by reference</w:t>
      </w:r>
    </w:p>
    <w:p w14:paraId="33ED94C9" w14:textId="77777777" w:rsidR="00AB0275" w:rsidRDefault="00AB0275" w:rsidP="00AB0275">
      <w:pPr>
        <w:rPr>
          <w:lang w:val="en-AU" w:eastAsia="en-GB" w:bidi="ar-SA"/>
        </w:rPr>
      </w:pPr>
    </w:p>
    <w:p w14:paraId="3C71BECF" w14:textId="77777777" w:rsidR="00AB0275" w:rsidRPr="00D13E34" w:rsidRDefault="00AB0275" w:rsidP="00AB027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72B1D23A" w14:textId="77777777" w:rsidR="00AB0275" w:rsidRDefault="00AB0275" w:rsidP="00AB0275">
      <w:pPr>
        <w:rPr>
          <w:lang w:val="en-AU" w:eastAsia="en-GB" w:bidi="ar-SA"/>
        </w:rPr>
      </w:pPr>
    </w:p>
    <w:p w14:paraId="2ADB02C4" w14:textId="77777777" w:rsidR="00AB0275" w:rsidRPr="000576EB" w:rsidRDefault="00AB0275" w:rsidP="00AB0275">
      <w:pPr>
        <w:rPr>
          <w:b/>
          <w:lang w:val="en-AU" w:eastAsia="en-GB" w:bidi="ar-SA"/>
        </w:rPr>
      </w:pPr>
      <w:r w:rsidRPr="000576EB">
        <w:rPr>
          <w:b/>
          <w:lang w:val="en-AU" w:eastAsia="en-GB" w:bidi="ar-SA"/>
        </w:rPr>
        <w:t>4.</w:t>
      </w:r>
      <w:r w:rsidRPr="000576EB">
        <w:rPr>
          <w:b/>
          <w:lang w:val="en-AU" w:eastAsia="en-GB" w:bidi="ar-SA"/>
        </w:rPr>
        <w:tab/>
        <w:t>Consultation</w:t>
      </w:r>
    </w:p>
    <w:p w14:paraId="2F05F13F" w14:textId="77777777" w:rsidR="00AB0275" w:rsidRDefault="00AB0275" w:rsidP="00AB0275">
      <w:pPr>
        <w:rPr>
          <w:lang w:val="en-AU" w:eastAsia="en-GB" w:bidi="ar-SA"/>
        </w:rPr>
      </w:pPr>
    </w:p>
    <w:p w14:paraId="661919A6" w14:textId="119E48A9" w:rsidR="00345928" w:rsidRPr="00E967A2" w:rsidRDefault="00AB0275" w:rsidP="00345928">
      <w:pPr>
        <w:rPr>
          <w:lang w:val="en-AU"/>
        </w:rPr>
      </w:pPr>
      <w:r w:rsidRPr="00F634A1">
        <w:rPr>
          <w:szCs w:val="22"/>
        </w:rPr>
        <w:t>In accordanc</w:t>
      </w:r>
      <w:r w:rsidR="00345928">
        <w:rPr>
          <w:szCs w:val="22"/>
        </w:rPr>
        <w:t xml:space="preserve">e with the procedure in Division 1 </w:t>
      </w:r>
      <w:r w:rsidRPr="00F634A1">
        <w:rPr>
          <w:szCs w:val="22"/>
        </w:rPr>
        <w:t xml:space="preserve">of Part </w:t>
      </w:r>
      <w:r w:rsidR="00345928">
        <w:rPr>
          <w:szCs w:val="22"/>
        </w:rPr>
        <w:t>3</w:t>
      </w:r>
      <w:r w:rsidRPr="00D06616">
        <w:rPr>
          <w:color w:val="FF0000"/>
          <w:szCs w:val="22"/>
        </w:rPr>
        <w:t xml:space="preserve"> </w:t>
      </w:r>
      <w:r w:rsidRPr="00F634A1">
        <w:rPr>
          <w:szCs w:val="22"/>
        </w:rPr>
        <w:t xml:space="preserve">of the FSANZ Act, </w:t>
      </w:r>
      <w:r w:rsidRPr="00F634A1">
        <w:rPr>
          <w:rFonts w:eastAsia="Calibri" w:cs="Arial"/>
          <w:bCs/>
          <w:szCs w:val="22"/>
          <w:lang w:val="en-AU" w:bidi="ar-SA"/>
        </w:rPr>
        <w:t>the Authority</w:t>
      </w:r>
      <w:r w:rsidRPr="00F634A1">
        <w:rPr>
          <w:szCs w:val="22"/>
        </w:rPr>
        <w:t xml:space="preserve">’s consideration of </w:t>
      </w:r>
      <w:r w:rsidR="00345928">
        <w:rPr>
          <w:szCs w:val="22"/>
        </w:rPr>
        <w:t>Application A1109</w:t>
      </w:r>
      <w:r w:rsidRPr="00D06616">
        <w:rPr>
          <w:color w:val="FF0000"/>
          <w:szCs w:val="22"/>
        </w:rPr>
        <w:t xml:space="preserve"> </w:t>
      </w:r>
      <w:r>
        <w:rPr>
          <w:szCs w:val="22"/>
        </w:rPr>
        <w:t xml:space="preserve">will </w:t>
      </w:r>
      <w:r w:rsidRPr="00345928">
        <w:rPr>
          <w:szCs w:val="22"/>
        </w:rPr>
        <w:t xml:space="preserve">include one round of public consultation following an assessment and the preparation of a draft </w:t>
      </w:r>
      <w:r w:rsidR="008875D3">
        <w:rPr>
          <w:szCs w:val="22"/>
        </w:rPr>
        <w:t>variation</w:t>
      </w:r>
      <w:r w:rsidR="008875D3" w:rsidRPr="00345928">
        <w:rPr>
          <w:szCs w:val="22"/>
        </w:rPr>
        <w:t xml:space="preserve"> </w:t>
      </w:r>
      <w:r w:rsidRPr="00345928">
        <w:rPr>
          <w:szCs w:val="22"/>
        </w:rPr>
        <w:t>and associated report</w:t>
      </w:r>
      <w:r w:rsidR="00345928">
        <w:rPr>
          <w:szCs w:val="22"/>
        </w:rPr>
        <w:t xml:space="preserve">. </w:t>
      </w:r>
      <w:r w:rsidR="00345928" w:rsidRPr="0057496B">
        <w:rPr>
          <w:szCs w:val="22"/>
        </w:rPr>
        <w:t xml:space="preserve">A call for </w:t>
      </w:r>
      <w:r w:rsidR="00345928" w:rsidRPr="00E967A2">
        <w:rPr>
          <w:szCs w:val="22"/>
        </w:rPr>
        <w:t>submissions (including the draft variation) will occur for a six-week consultation period.</w:t>
      </w:r>
    </w:p>
    <w:p w14:paraId="5B8A9222" w14:textId="77777777" w:rsidR="00AB0275" w:rsidRDefault="00AB0275" w:rsidP="00AB0275">
      <w:pPr>
        <w:rPr>
          <w:color w:val="FF0000"/>
        </w:rPr>
      </w:pPr>
    </w:p>
    <w:p w14:paraId="773DC481" w14:textId="63099C1F" w:rsidR="00AB0275" w:rsidRPr="00345928" w:rsidRDefault="00AB0275" w:rsidP="00AB0275">
      <w:pPr>
        <w:widowControl/>
        <w:autoSpaceDE w:val="0"/>
        <w:autoSpaceDN w:val="0"/>
        <w:adjustRightInd w:val="0"/>
        <w:rPr>
          <w:rFonts w:cs="Arial"/>
          <w:szCs w:val="22"/>
        </w:rPr>
      </w:pPr>
      <w:r w:rsidRPr="00345928">
        <w:rPr>
          <w:rFonts w:eastAsia="Calibri" w:cs="Arial"/>
          <w:bCs/>
          <w:szCs w:val="22"/>
          <w:lang w:val="en-AU" w:bidi="ar-SA"/>
        </w:rPr>
        <w:t xml:space="preserve">A Regulation Impact Statement was not required because the proposed variation to </w:t>
      </w:r>
      <w:r w:rsidR="00345928" w:rsidRPr="00345928">
        <w:rPr>
          <w:rFonts w:eastAsia="Calibri" w:cs="Arial"/>
          <w:bCs/>
          <w:szCs w:val="22"/>
          <w:lang w:val="en-AU" w:bidi="ar-SA"/>
        </w:rPr>
        <w:t>Schedule 18 is</w:t>
      </w:r>
      <w:r w:rsidRPr="00345928">
        <w:t xml:space="preserve"> likely to have a minor impact on business and individuals. </w:t>
      </w:r>
    </w:p>
    <w:p w14:paraId="17A8907C" w14:textId="77777777" w:rsidR="00AB0275" w:rsidRPr="00345928" w:rsidRDefault="00AB0275" w:rsidP="00AB0275">
      <w:pPr>
        <w:widowControl/>
        <w:rPr>
          <w:rFonts w:eastAsiaTheme="minorHAnsi" w:cs="Arial"/>
          <w:b/>
          <w:bCs/>
          <w:szCs w:val="22"/>
          <w:lang w:val="en-AU" w:bidi="ar-SA"/>
        </w:rPr>
      </w:pPr>
    </w:p>
    <w:p w14:paraId="38BBB60C" w14:textId="77777777" w:rsidR="00AB0275" w:rsidRDefault="00AB0275" w:rsidP="00AB0275">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1443AB66" w14:textId="77777777" w:rsidR="00AB0275" w:rsidRDefault="00AB0275" w:rsidP="00AB0275">
      <w:pPr>
        <w:rPr>
          <w:rFonts w:eastAsiaTheme="minorHAnsi"/>
          <w:lang w:val="en-AU" w:bidi="ar-SA"/>
        </w:rPr>
      </w:pPr>
    </w:p>
    <w:p w14:paraId="03133503" w14:textId="77777777" w:rsidR="00AB0275" w:rsidRDefault="00AB0275" w:rsidP="00AB0275">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12E5561C" w14:textId="77777777" w:rsidR="00AB0275" w:rsidRDefault="00AB0275" w:rsidP="00AB0275">
      <w:pPr>
        <w:rPr>
          <w:rFonts w:eastAsiaTheme="minorHAnsi"/>
          <w:lang w:val="en-AU" w:bidi="ar-SA"/>
        </w:rPr>
      </w:pPr>
    </w:p>
    <w:p w14:paraId="0325357D" w14:textId="77777777" w:rsidR="00AB0275" w:rsidRPr="00700239" w:rsidRDefault="00AB0275" w:rsidP="00AB0275">
      <w:pPr>
        <w:rPr>
          <w:b/>
          <w:lang w:val="en-AU" w:eastAsia="en-GB" w:bidi="ar-SA"/>
        </w:rPr>
      </w:pPr>
      <w:r w:rsidRPr="00700239">
        <w:rPr>
          <w:b/>
        </w:rPr>
        <w:t>6.</w:t>
      </w:r>
      <w:r w:rsidRPr="00700239">
        <w:rPr>
          <w:b/>
        </w:rPr>
        <w:tab/>
      </w:r>
      <w:r w:rsidRPr="00700239">
        <w:rPr>
          <w:b/>
          <w:lang w:val="en-AU" w:eastAsia="en-GB" w:bidi="ar-SA"/>
        </w:rPr>
        <w:t>Variation</w:t>
      </w:r>
    </w:p>
    <w:p w14:paraId="4581A133" w14:textId="77777777" w:rsidR="00AB0275" w:rsidRPr="00AD344F" w:rsidRDefault="00AB0275" w:rsidP="00AB0275">
      <w:pPr>
        <w:rPr>
          <w:b/>
        </w:rPr>
      </w:pPr>
    </w:p>
    <w:p w14:paraId="2A6DF9E3" w14:textId="5F475282" w:rsidR="009640B1" w:rsidRDefault="00345928" w:rsidP="009640B1">
      <w:r w:rsidRPr="0006177A">
        <w:t xml:space="preserve">The variation inserts a new entry into the </w:t>
      </w:r>
      <w:r w:rsidRPr="007A779F">
        <w:t>Table to subsection S18</w:t>
      </w:r>
      <w:r>
        <w:t>––</w:t>
      </w:r>
      <w:r w:rsidRPr="007A779F">
        <w:t>4(5) in Schedule 18.</w:t>
      </w:r>
      <w:r w:rsidRPr="0006177A">
        <w:t xml:space="preserve"> The new entry </w:t>
      </w:r>
      <w:r w:rsidR="004A2206">
        <w:t>would</w:t>
      </w:r>
      <w:r w:rsidRPr="0006177A">
        <w:t xml:space="preserve"> permit the use of </w:t>
      </w:r>
      <w:r>
        <w:t>glutaminase</w:t>
      </w:r>
      <w:r w:rsidRPr="0006177A">
        <w:t xml:space="preserve"> (EC</w:t>
      </w:r>
      <w:r w:rsidR="00256BC2">
        <w:t xml:space="preserve"> number</w:t>
      </w:r>
      <w:r w:rsidRPr="0006177A">
        <w:t xml:space="preserve"> 3.5.1.</w:t>
      </w:r>
      <w:r w:rsidR="00043C74">
        <w:t>2</w:t>
      </w:r>
      <w:r w:rsidRPr="0006177A">
        <w:t>)</w:t>
      </w:r>
      <w:r w:rsidR="00043C74">
        <w:t xml:space="preserve"> sourced from </w:t>
      </w:r>
      <w:r w:rsidR="00043C74">
        <w:rPr>
          <w:i/>
        </w:rPr>
        <w:t>B.</w:t>
      </w:r>
      <w:r w:rsidR="0095122A">
        <w:rPr>
          <w:i/>
        </w:rPr>
        <w:t> </w:t>
      </w:r>
      <w:r w:rsidR="00043C74">
        <w:rPr>
          <w:i/>
        </w:rPr>
        <w:t>amyloliquefaciens</w:t>
      </w:r>
      <w:r w:rsidRPr="0006177A">
        <w:t xml:space="preserve"> as a processin</w:t>
      </w:r>
      <w:r w:rsidR="00043C74">
        <w:t>g aid</w:t>
      </w:r>
      <w:r w:rsidR="00C032E0">
        <w:t xml:space="preserve"> in food</w:t>
      </w:r>
      <w:r w:rsidR="00AE41DD">
        <w:t xml:space="preserve">. </w:t>
      </w:r>
    </w:p>
    <w:p w14:paraId="3712D696" w14:textId="77777777" w:rsidR="009640B1" w:rsidRDefault="009640B1" w:rsidP="009640B1"/>
    <w:p w14:paraId="5053CD7F" w14:textId="77777777" w:rsidR="007C174F" w:rsidRDefault="007C174F" w:rsidP="007C174F"/>
    <w:sectPr w:rsidR="007C174F" w:rsidSect="00EF4606">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D6417B" w14:textId="77777777" w:rsidR="0016734B" w:rsidRDefault="0016734B">
      <w:r>
        <w:separator/>
      </w:r>
    </w:p>
  </w:endnote>
  <w:endnote w:type="continuationSeparator" w:id="0">
    <w:p w14:paraId="43FA3EAB" w14:textId="77777777" w:rsidR="0016734B" w:rsidRDefault="0016734B">
      <w:r>
        <w:continuationSeparator/>
      </w:r>
    </w:p>
  </w:endnote>
  <w:endnote w:type="continuationNotice" w:id="1">
    <w:p w14:paraId="0D572994" w14:textId="77777777" w:rsidR="0016734B" w:rsidRDefault="001673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CA3208" w14:textId="77777777" w:rsidR="00A26D2A" w:rsidRDefault="00A26D2A"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7EE4AD3" w14:textId="77777777" w:rsidR="00A26D2A" w:rsidRDefault="00A26D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806689" w14:textId="77777777" w:rsidR="00A26D2A" w:rsidRDefault="00A26D2A"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57952">
      <w:rPr>
        <w:rStyle w:val="PageNumber"/>
        <w:noProof/>
      </w:rPr>
      <w:t>14</w:t>
    </w:r>
    <w:r>
      <w:rPr>
        <w:rStyle w:val="PageNumber"/>
      </w:rPr>
      <w:fldChar w:fldCharType="end"/>
    </w:r>
  </w:p>
  <w:p w14:paraId="4FEA7BAC" w14:textId="77777777" w:rsidR="00A26D2A" w:rsidRDefault="00A26D2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96312C" w14:textId="77777777" w:rsidR="0016734B" w:rsidRDefault="0016734B">
      <w:r>
        <w:separator/>
      </w:r>
    </w:p>
  </w:footnote>
  <w:footnote w:type="continuationSeparator" w:id="0">
    <w:p w14:paraId="78D0E2AA" w14:textId="77777777" w:rsidR="0016734B" w:rsidRDefault="0016734B">
      <w:r>
        <w:continuationSeparator/>
      </w:r>
    </w:p>
  </w:footnote>
  <w:footnote w:type="continuationNotice" w:id="1">
    <w:p w14:paraId="5D08EC9D" w14:textId="77777777" w:rsidR="0016734B" w:rsidRDefault="0016734B"/>
  </w:footnote>
  <w:footnote w:id="2">
    <w:p w14:paraId="03B3EC5E" w14:textId="77777777" w:rsidR="00A26D2A" w:rsidRPr="008828D9" w:rsidRDefault="00A26D2A" w:rsidP="008828D9">
      <w:pPr>
        <w:pStyle w:val="Footnote"/>
        <w:rPr>
          <w:lang w:val="en-AU"/>
        </w:rPr>
      </w:pPr>
      <w:r w:rsidRPr="008828D9">
        <w:rPr>
          <w:rStyle w:val="FootnoteReference"/>
        </w:rPr>
        <w:footnoteRef/>
      </w:r>
      <w:r w:rsidRPr="008828D9">
        <w:t xml:space="preserve"> </w:t>
      </w:r>
      <w:r w:rsidRPr="008828D9">
        <w:rPr>
          <w:lang w:val="en-AU"/>
        </w:rPr>
        <w:t>Now known as the</w:t>
      </w:r>
      <w:r w:rsidRPr="00011187">
        <w:rPr>
          <w:rFonts w:cs="Helvetica"/>
          <w:lang w:val="en-AU"/>
        </w:rPr>
        <w:t xml:space="preserve"> </w:t>
      </w:r>
      <w:r>
        <w:rPr>
          <w:rFonts w:cs="Helvetica"/>
          <w:lang w:val="en-AU"/>
        </w:rPr>
        <w:t>Australia and New Zealand Ministerial Forum on Food Regulation (convening as the Australia and New Zealand Food Regulation Ministerial Council)</w:t>
      </w:r>
    </w:p>
  </w:footnote>
  <w:footnote w:id="3">
    <w:p w14:paraId="60D575A0" w14:textId="77777777" w:rsidR="00A26D2A" w:rsidRPr="006115C5" w:rsidRDefault="00A26D2A" w:rsidP="003840D6">
      <w:pPr>
        <w:pStyle w:val="FootnoteText"/>
        <w:rPr>
          <w:lang w:val="en-AU"/>
        </w:rPr>
      </w:pPr>
      <w:r w:rsidRPr="00DA2754">
        <w:rPr>
          <w:rStyle w:val="FootnoteReference"/>
          <w:sz w:val="18"/>
          <w:szCs w:val="18"/>
        </w:rPr>
        <w:footnoteRef/>
      </w:r>
      <w:r w:rsidRPr="00DA2754">
        <w:rPr>
          <w:sz w:val="18"/>
          <w:szCs w:val="18"/>
        </w:rPr>
        <w:t xml:space="preserve"> </w:t>
      </w:r>
      <w:hyperlink r:id="rId1" w:history="1">
        <w:r w:rsidRPr="00BB3B54">
          <w:rPr>
            <w:rStyle w:val="Hyperlink"/>
            <w:sz w:val="18"/>
            <w:szCs w:val="18"/>
          </w:rPr>
          <w:t>http://www.foodstandards.gov.au/code/fofr/fofrpolicy/pages/default.aspx</w:t>
        </w:r>
      </w:hyperlink>
      <w:r>
        <w:rPr>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EAAE46" w14:textId="7555A92F" w:rsidR="00A26D2A" w:rsidRPr="006342E0" w:rsidRDefault="00A26D2A" w:rsidP="006342E0">
    <w:pPr>
      <w:pStyle w:val="Header"/>
      <w:jc w:val="center"/>
      <w:rPr>
        <w:rFonts w:cs="Arial"/>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F8F2C1" w14:textId="77777777" w:rsidR="00A26D2A" w:rsidRDefault="00A26D2A">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3A23F91"/>
    <w:multiLevelType w:val="hybridMultilevel"/>
    <w:tmpl w:val="9DA67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D5F4A58"/>
    <w:multiLevelType w:val="hybridMultilevel"/>
    <w:tmpl w:val="9A10E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8">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1"/>
  </w:num>
  <w:num w:numId="2">
    <w:abstractNumId w:val="5"/>
  </w:num>
  <w:num w:numId="3">
    <w:abstractNumId w:val="0"/>
  </w:num>
  <w:num w:numId="4">
    <w:abstractNumId w:val="7"/>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6"/>
  </w:num>
  <w:num w:numId="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0055"/>
    <w:rsid w:val="00001CF2"/>
    <w:rsid w:val="0000247B"/>
    <w:rsid w:val="00004274"/>
    <w:rsid w:val="0000469B"/>
    <w:rsid w:val="00006718"/>
    <w:rsid w:val="0000699F"/>
    <w:rsid w:val="00016CB6"/>
    <w:rsid w:val="00022DBC"/>
    <w:rsid w:val="00025C91"/>
    <w:rsid w:val="00034F87"/>
    <w:rsid w:val="00035FF3"/>
    <w:rsid w:val="0003656A"/>
    <w:rsid w:val="000427B2"/>
    <w:rsid w:val="000435A8"/>
    <w:rsid w:val="00043C74"/>
    <w:rsid w:val="00051021"/>
    <w:rsid w:val="0005191B"/>
    <w:rsid w:val="00051ED9"/>
    <w:rsid w:val="000556B5"/>
    <w:rsid w:val="00055A6A"/>
    <w:rsid w:val="00057181"/>
    <w:rsid w:val="000574C0"/>
    <w:rsid w:val="00064B2D"/>
    <w:rsid w:val="00064CDE"/>
    <w:rsid w:val="00065F1F"/>
    <w:rsid w:val="0007466A"/>
    <w:rsid w:val="00076D33"/>
    <w:rsid w:val="000778D6"/>
    <w:rsid w:val="00091CC2"/>
    <w:rsid w:val="00095A7B"/>
    <w:rsid w:val="000A27E9"/>
    <w:rsid w:val="000A3D8B"/>
    <w:rsid w:val="000A4086"/>
    <w:rsid w:val="000A5769"/>
    <w:rsid w:val="000A5DF8"/>
    <w:rsid w:val="000B24D4"/>
    <w:rsid w:val="000B6AF2"/>
    <w:rsid w:val="000C4528"/>
    <w:rsid w:val="000C5707"/>
    <w:rsid w:val="000D08C6"/>
    <w:rsid w:val="000D295F"/>
    <w:rsid w:val="000D3EF2"/>
    <w:rsid w:val="000D6FD4"/>
    <w:rsid w:val="000E0AE4"/>
    <w:rsid w:val="000E24F3"/>
    <w:rsid w:val="000E3DBC"/>
    <w:rsid w:val="000F698F"/>
    <w:rsid w:val="0010630B"/>
    <w:rsid w:val="00113CE3"/>
    <w:rsid w:val="001166F3"/>
    <w:rsid w:val="00117522"/>
    <w:rsid w:val="001278A9"/>
    <w:rsid w:val="00142D74"/>
    <w:rsid w:val="0014368E"/>
    <w:rsid w:val="001459C5"/>
    <w:rsid w:val="00145A17"/>
    <w:rsid w:val="001532D5"/>
    <w:rsid w:val="001542D8"/>
    <w:rsid w:val="0016734B"/>
    <w:rsid w:val="00180C41"/>
    <w:rsid w:val="00182C4C"/>
    <w:rsid w:val="001858B0"/>
    <w:rsid w:val="00187655"/>
    <w:rsid w:val="00191977"/>
    <w:rsid w:val="00197D8D"/>
    <w:rsid w:val="00197F1A"/>
    <w:rsid w:val="001A1A75"/>
    <w:rsid w:val="001A7E9A"/>
    <w:rsid w:val="001C27A3"/>
    <w:rsid w:val="001C282C"/>
    <w:rsid w:val="001C3D2F"/>
    <w:rsid w:val="001C5295"/>
    <w:rsid w:val="001C7C30"/>
    <w:rsid w:val="001D4AC8"/>
    <w:rsid w:val="001E09FA"/>
    <w:rsid w:val="001E2F89"/>
    <w:rsid w:val="001F1829"/>
    <w:rsid w:val="001F429F"/>
    <w:rsid w:val="001F5B9C"/>
    <w:rsid w:val="001F6B81"/>
    <w:rsid w:val="001F74B2"/>
    <w:rsid w:val="001F7CFD"/>
    <w:rsid w:val="00200974"/>
    <w:rsid w:val="00202E35"/>
    <w:rsid w:val="00203540"/>
    <w:rsid w:val="002040DB"/>
    <w:rsid w:val="002046AC"/>
    <w:rsid w:val="00215D26"/>
    <w:rsid w:val="00221D07"/>
    <w:rsid w:val="00221EC3"/>
    <w:rsid w:val="002256B8"/>
    <w:rsid w:val="00226282"/>
    <w:rsid w:val="002262EB"/>
    <w:rsid w:val="00227E4A"/>
    <w:rsid w:val="00235B6F"/>
    <w:rsid w:val="002363E9"/>
    <w:rsid w:val="002432EE"/>
    <w:rsid w:val="0024582E"/>
    <w:rsid w:val="002547EF"/>
    <w:rsid w:val="00256BC2"/>
    <w:rsid w:val="00256D65"/>
    <w:rsid w:val="00263EA9"/>
    <w:rsid w:val="00271F00"/>
    <w:rsid w:val="00272D82"/>
    <w:rsid w:val="00273A80"/>
    <w:rsid w:val="0027513D"/>
    <w:rsid w:val="00276026"/>
    <w:rsid w:val="002851C8"/>
    <w:rsid w:val="0029204E"/>
    <w:rsid w:val="0029245B"/>
    <w:rsid w:val="00294BAD"/>
    <w:rsid w:val="0029631C"/>
    <w:rsid w:val="002A0194"/>
    <w:rsid w:val="002A5F8B"/>
    <w:rsid w:val="002A7F6C"/>
    <w:rsid w:val="002B0D8E"/>
    <w:rsid w:val="002B4058"/>
    <w:rsid w:val="002C4A91"/>
    <w:rsid w:val="002D6809"/>
    <w:rsid w:val="002E086A"/>
    <w:rsid w:val="002F0FDC"/>
    <w:rsid w:val="002F6488"/>
    <w:rsid w:val="00300C15"/>
    <w:rsid w:val="00310E84"/>
    <w:rsid w:val="00311D3A"/>
    <w:rsid w:val="00312564"/>
    <w:rsid w:val="00315A71"/>
    <w:rsid w:val="003213F9"/>
    <w:rsid w:val="00323DBF"/>
    <w:rsid w:val="00325074"/>
    <w:rsid w:val="003309A8"/>
    <w:rsid w:val="00332B12"/>
    <w:rsid w:val="003330D7"/>
    <w:rsid w:val="0033470E"/>
    <w:rsid w:val="00336711"/>
    <w:rsid w:val="00340D96"/>
    <w:rsid w:val="00345928"/>
    <w:rsid w:val="00347935"/>
    <w:rsid w:val="00350DBD"/>
    <w:rsid w:val="00351927"/>
    <w:rsid w:val="00351B07"/>
    <w:rsid w:val="003527FF"/>
    <w:rsid w:val="0036268A"/>
    <w:rsid w:val="00364841"/>
    <w:rsid w:val="00371B29"/>
    <w:rsid w:val="00372182"/>
    <w:rsid w:val="0037520F"/>
    <w:rsid w:val="00376BAD"/>
    <w:rsid w:val="003840D6"/>
    <w:rsid w:val="00385850"/>
    <w:rsid w:val="003865FF"/>
    <w:rsid w:val="0038726B"/>
    <w:rsid w:val="00391769"/>
    <w:rsid w:val="003953E1"/>
    <w:rsid w:val="003956B3"/>
    <w:rsid w:val="003A68BE"/>
    <w:rsid w:val="003A7725"/>
    <w:rsid w:val="003B1FBA"/>
    <w:rsid w:val="003B3C9D"/>
    <w:rsid w:val="003B78E0"/>
    <w:rsid w:val="003C4969"/>
    <w:rsid w:val="003C4F06"/>
    <w:rsid w:val="003D628B"/>
    <w:rsid w:val="003E41D5"/>
    <w:rsid w:val="003E46BA"/>
    <w:rsid w:val="003E5100"/>
    <w:rsid w:val="003E65E5"/>
    <w:rsid w:val="003E7D22"/>
    <w:rsid w:val="003F3366"/>
    <w:rsid w:val="003F74C1"/>
    <w:rsid w:val="00402D8C"/>
    <w:rsid w:val="00405B1A"/>
    <w:rsid w:val="00407241"/>
    <w:rsid w:val="0040761E"/>
    <w:rsid w:val="0040794F"/>
    <w:rsid w:val="00407DF4"/>
    <w:rsid w:val="00410C76"/>
    <w:rsid w:val="00411907"/>
    <w:rsid w:val="00413CA8"/>
    <w:rsid w:val="00417860"/>
    <w:rsid w:val="00417EE3"/>
    <w:rsid w:val="004207EB"/>
    <w:rsid w:val="004210E4"/>
    <w:rsid w:val="00421DA6"/>
    <w:rsid w:val="00427CDF"/>
    <w:rsid w:val="00435FA5"/>
    <w:rsid w:val="00436B8D"/>
    <w:rsid w:val="00437276"/>
    <w:rsid w:val="004419A2"/>
    <w:rsid w:val="0044654B"/>
    <w:rsid w:val="00447E67"/>
    <w:rsid w:val="004552CB"/>
    <w:rsid w:val="0045556F"/>
    <w:rsid w:val="00456B54"/>
    <w:rsid w:val="0046433B"/>
    <w:rsid w:val="00464643"/>
    <w:rsid w:val="004646F8"/>
    <w:rsid w:val="0046563E"/>
    <w:rsid w:val="004713C9"/>
    <w:rsid w:val="00482E86"/>
    <w:rsid w:val="00486793"/>
    <w:rsid w:val="004871F2"/>
    <w:rsid w:val="0049109C"/>
    <w:rsid w:val="004A2037"/>
    <w:rsid w:val="004A2206"/>
    <w:rsid w:val="004A3685"/>
    <w:rsid w:val="004A6A39"/>
    <w:rsid w:val="004B03A6"/>
    <w:rsid w:val="004B41AC"/>
    <w:rsid w:val="004C05A7"/>
    <w:rsid w:val="004C2CE7"/>
    <w:rsid w:val="004D2FDF"/>
    <w:rsid w:val="004D30A6"/>
    <w:rsid w:val="004E1759"/>
    <w:rsid w:val="004E3689"/>
    <w:rsid w:val="004E6CFB"/>
    <w:rsid w:val="004F4F98"/>
    <w:rsid w:val="004F5311"/>
    <w:rsid w:val="004F69F6"/>
    <w:rsid w:val="004F79AC"/>
    <w:rsid w:val="005017CF"/>
    <w:rsid w:val="00503629"/>
    <w:rsid w:val="00512290"/>
    <w:rsid w:val="005207D8"/>
    <w:rsid w:val="00521F70"/>
    <w:rsid w:val="0053464E"/>
    <w:rsid w:val="005358B0"/>
    <w:rsid w:val="0055015A"/>
    <w:rsid w:val="00553475"/>
    <w:rsid w:val="00553969"/>
    <w:rsid w:val="005602C7"/>
    <w:rsid w:val="00562917"/>
    <w:rsid w:val="005630C3"/>
    <w:rsid w:val="005760DD"/>
    <w:rsid w:val="00577871"/>
    <w:rsid w:val="00586228"/>
    <w:rsid w:val="0059227F"/>
    <w:rsid w:val="0059228D"/>
    <w:rsid w:val="0059498B"/>
    <w:rsid w:val="005A3A03"/>
    <w:rsid w:val="005A5E29"/>
    <w:rsid w:val="005A713A"/>
    <w:rsid w:val="005B01E7"/>
    <w:rsid w:val="005B2B7D"/>
    <w:rsid w:val="005B615C"/>
    <w:rsid w:val="005B6AF4"/>
    <w:rsid w:val="005C04CB"/>
    <w:rsid w:val="005C71BA"/>
    <w:rsid w:val="005D0DB8"/>
    <w:rsid w:val="005D16AD"/>
    <w:rsid w:val="005D72E1"/>
    <w:rsid w:val="005E057B"/>
    <w:rsid w:val="005E2F53"/>
    <w:rsid w:val="005E6E16"/>
    <w:rsid w:val="005F0FB8"/>
    <w:rsid w:val="005F156B"/>
    <w:rsid w:val="005F3677"/>
    <w:rsid w:val="005F400E"/>
    <w:rsid w:val="005F7342"/>
    <w:rsid w:val="00603A08"/>
    <w:rsid w:val="00604B68"/>
    <w:rsid w:val="006066BC"/>
    <w:rsid w:val="00606C88"/>
    <w:rsid w:val="00610A3C"/>
    <w:rsid w:val="006143BE"/>
    <w:rsid w:val="00627F48"/>
    <w:rsid w:val="00633ACA"/>
    <w:rsid w:val="006342E0"/>
    <w:rsid w:val="00637453"/>
    <w:rsid w:val="006404DF"/>
    <w:rsid w:val="00642A47"/>
    <w:rsid w:val="00645924"/>
    <w:rsid w:val="00646FDD"/>
    <w:rsid w:val="00647591"/>
    <w:rsid w:val="00652182"/>
    <w:rsid w:val="00663FCF"/>
    <w:rsid w:val="006652A2"/>
    <w:rsid w:val="00681754"/>
    <w:rsid w:val="00681D53"/>
    <w:rsid w:val="00683441"/>
    <w:rsid w:val="00683E69"/>
    <w:rsid w:val="0069078B"/>
    <w:rsid w:val="006937FF"/>
    <w:rsid w:val="006965BF"/>
    <w:rsid w:val="006A31EB"/>
    <w:rsid w:val="006A48A7"/>
    <w:rsid w:val="006A6611"/>
    <w:rsid w:val="006A6C49"/>
    <w:rsid w:val="006B12C8"/>
    <w:rsid w:val="006B4BA1"/>
    <w:rsid w:val="006C28E2"/>
    <w:rsid w:val="006C5CF5"/>
    <w:rsid w:val="006C5D08"/>
    <w:rsid w:val="006F17A0"/>
    <w:rsid w:val="006F311A"/>
    <w:rsid w:val="006F4A82"/>
    <w:rsid w:val="00700239"/>
    <w:rsid w:val="0070373B"/>
    <w:rsid w:val="00707E72"/>
    <w:rsid w:val="007113EB"/>
    <w:rsid w:val="007140C6"/>
    <w:rsid w:val="007156A7"/>
    <w:rsid w:val="0072150F"/>
    <w:rsid w:val="00721729"/>
    <w:rsid w:val="00724FA4"/>
    <w:rsid w:val="00726C2F"/>
    <w:rsid w:val="00730800"/>
    <w:rsid w:val="0073170F"/>
    <w:rsid w:val="007358F4"/>
    <w:rsid w:val="00735D79"/>
    <w:rsid w:val="007368AB"/>
    <w:rsid w:val="00737902"/>
    <w:rsid w:val="00741EFE"/>
    <w:rsid w:val="0074443A"/>
    <w:rsid w:val="007602AA"/>
    <w:rsid w:val="007652EF"/>
    <w:rsid w:val="00772BDC"/>
    <w:rsid w:val="00773033"/>
    <w:rsid w:val="00780792"/>
    <w:rsid w:val="00780FB2"/>
    <w:rsid w:val="007A44B4"/>
    <w:rsid w:val="007A7D3D"/>
    <w:rsid w:val="007B225D"/>
    <w:rsid w:val="007C174F"/>
    <w:rsid w:val="007C1C64"/>
    <w:rsid w:val="007D21F5"/>
    <w:rsid w:val="007D40A1"/>
    <w:rsid w:val="007E48BC"/>
    <w:rsid w:val="007E79F7"/>
    <w:rsid w:val="007F0D9A"/>
    <w:rsid w:val="007F2FFD"/>
    <w:rsid w:val="007F3630"/>
    <w:rsid w:val="00807559"/>
    <w:rsid w:val="00822595"/>
    <w:rsid w:val="00824AF7"/>
    <w:rsid w:val="00827ED6"/>
    <w:rsid w:val="00832867"/>
    <w:rsid w:val="00832B9C"/>
    <w:rsid w:val="00834359"/>
    <w:rsid w:val="00834510"/>
    <w:rsid w:val="008354C6"/>
    <w:rsid w:val="008450BC"/>
    <w:rsid w:val="00851A60"/>
    <w:rsid w:val="00852F2E"/>
    <w:rsid w:val="0085334B"/>
    <w:rsid w:val="00855446"/>
    <w:rsid w:val="00855CC6"/>
    <w:rsid w:val="00867B23"/>
    <w:rsid w:val="00870214"/>
    <w:rsid w:val="00871381"/>
    <w:rsid w:val="00876515"/>
    <w:rsid w:val="00877A3E"/>
    <w:rsid w:val="00877D3E"/>
    <w:rsid w:val="008828D9"/>
    <w:rsid w:val="00882FDF"/>
    <w:rsid w:val="00885C51"/>
    <w:rsid w:val="00885EB0"/>
    <w:rsid w:val="008875D3"/>
    <w:rsid w:val="00887EA5"/>
    <w:rsid w:val="0089264A"/>
    <w:rsid w:val="00896B85"/>
    <w:rsid w:val="00897554"/>
    <w:rsid w:val="008A22BE"/>
    <w:rsid w:val="008A3221"/>
    <w:rsid w:val="008A35FB"/>
    <w:rsid w:val="008B0075"/>
    <w:rsid w:val="008C0E7A"/>
    <w:rsid w:val="008C1B36"/>
    <w:rsid w:val="008C1F18"/>
    <w:rsid w:val="008C339B"/>
    <w:rsid w:val="008C585E"/>
    <w:rsid w:val="008D05CB"/>
    <w:rsid w:val="008D06C6"/>
    <w:rsid w:val="008E00B0"/>
    <w:rsid w:val="008E02BA"/>
    <w:rsid w:val="008E6250"/>
    <w:rsid w:val="008F0FBA"/>
    <w:rsid w:val="008F21C3"/>
    <w:rsid w:val="008F47CC"/>
    <w:rsid w:val="009012AF"/>
    <w:rsid w:val="00902AF6"/>
    <w:rsid w:val="00914030"/>
    <w:rsid w:val="009147BA"/>
    <w:rsid w:val="00920249"/>
    <w:rsid w:val="00923D96"/>
    <w:rsid w:val="00924C80"/>
    <w:rsid w:val="00932F14"/>
    <w:rsid w:val="009335C8"/>
    <w:rsid w:val="00935EFE"/>
    <w:rsid w:val="0094247F"/>
    <w:rsid w:val="00942D60"/>
    <w:rsid w:val="00944BA4"/>
    <w:rsid w:val="0095122A"/>
    <w:rsid w:val="00953921"/>
    <w:rsid w:val="00962475"/>
    <w:rsid w:val="009640B1"/>
    <w:rsid w:val="009649E5"/>
    <w:rsid w:val="0096523B"/>
    <w:rsid w:val="00966EE3"/>
    <w:rsid w:val="00972D06"/>
    <w:rsid w:val="00972DE7"/>
    <w:rsid w:val="0098560A"/>
    <w:rsid w:val="00995385"/>
    <w:rsid w:val="009A391C"/>
    <w:rsid w:val="009A50F2"/>
    <w:rsid w:val="009C3755"/>
    <w:rsid w:val="009C4322"/>
    <w:rsid w:val="009D2083"/>
    <w:rsid w:val="009D6386"/>
    <w:rsid w:val="009D78ED"/>
    <w:rsid w:val="009D790B"/>
    <w:rsid w:val="009E0A61"/>
    <w:rsid w:val="009E3010"/>
    <w:rsid w:val="009F007E"/>
    <w:rsid w:val="009F7065"/>
    <w:rsid w:val="00A07359"/>
    <w:rsid w:val="00A12B44"/>
    <w:rsid w:val="00A14053"/>
    <w:rsid w:val="00A17170"/>
    <w:rsid w:val="00A26D2A"/>
    <w:rsid w:val="00A32CAC"/>
    <w:rsid w:val="00A36320"/>
    <w:rsid w:val="00A40193"/>
    <w:rsid w:val="00A4175D"/>
    <w:rsid w:val="00A42BFC"/>
    <w:rsid w:val="00A54934"/>
    <w:rsid w:val="00A54B52"/>
    <w:rsid w:val="00A54B63"/>
    <w:rsid w:val="00A56DC7"/>
    <w:rsid w:val="00A56E34"/>
    <w:rsid w:val="00A57962"/>
    <w:rsid w:val="00A74FD1"/>
    <w:rsid w:val="00A84A58"/>
    <w:rsid w:val="00A873F8"/>
    <w:rsid w:val="00A91DF1"/>
    <w:rsid w:val="00AA2E8C"/>
    <w:rsid w:val="00AA5297"/>
    <w:rsid w:val="00AA5918"/>
    <w:rsid w:val="00AA5CFE"/>
    <w:rsid w:val="00AB0275"/>
    <w:rsid w:val="00AC1F13"/>
    <w:rsid w:val="00AC31F5"/>
    <w:rsid w:val="00AC3694"/>
    <w:rsid w:val="00AC74CB"/>
    <w:rsid w:val="00AD22F9"/>
    <w:rsid w:val="00AD7A3D"/>
    <w:rsid w:val="00AE1B00"/>
    <w:rsid w:val="00AE41DD"/>
    <w:rsid w:val="00AE4E6E"/>
    <w:rsid w:val="00AE766D"/>
    <w:rsid w:val="00AF06FC"/>
    <w:rsid w:val="00AF3391"/>
    <w:rsid w:val="00AF387F"/>
    <w:rsid w:val="00AF602C"/>
    <w:rsid w:val="00B0095C"/>
    <w:rsid w:val="00B00E7F"/>
    <w:rsid w:val="00B013B8"/>
    <w:rsid w:val="00B16B34"/>
    <w:rsid w:val="00B173DA"/>
    <w:rsid w:val="00B20CEF"/>
    <w:rsid w:val="00B21DCC"/>
    <w:rsid w:val="00B25F37"/>
    <w:rsid w:val="00B34FED"/>
    <w:rsid w:val="00B42BD5"/>
    <w:rsid w:val="00B44422"/>
    <w:rsid w:val="00B46EA0"/>
    <w:rsid w:val="00B51E03"/>
    <w:rsid w:val="00B57952"/>
    <w:rsid w:val="00B65710"/>
    <w:rsid w:val="00B71F51"/>
    <w:rsid w:val="00B731D3"/>
    <w:rsid w:val="00B7443F"/>
    <w:rsid w:val="00B839A3"/>
    <w:rsid w:val="00B853D2"/>
    <w:rsid w:val="00B87396"/>
    <w:rsid w:val="00B902BD"/>
    <w:rsid w:val="00B9694C"/>
    <w:rsid w:val="00BA24E2"/>
    <w:rsid w:val="00BB5930"/>
    <w:rsid w:val="00BB63E3"/>
    <w:rsid w:val="00BB73D7"/>
    <w:rsid w:val="00BD2A39"/>
    <w:rsid w:val="00BD2E80"/>
    <w:rsid w:val="00BD3BE7"/>
    <w:rsid w:val="00BE008B"/>
    <w:rsid w:val="00BE11B8"/>
    <w:rsid w:val="00BE3818"/>
    <w:rsid w:val="00BF0390"/>
    <w:rsid w:val="00BF7FF0"/>
    <w:rsid w:val="00C032E0"/>
    <w:rsid w:val="00C10AEF"/>
    <w:rsid w:val="00C12502"/>
    <w:rsid w:val="00C1266C"/>
    <w:rsid w:val="00C14FD2"/>
    <w:rsid w:val="00C15CCC"/>
    <w:rsid w:val="00C266E3"/>
    <w:rsid w:val="00C3011E"/>
    <w:rsid w:val="00C3395E"/>
    <w:rsid w:val="00C36578"/>
    <w:rsid w:val="00C40AA5"/>
    <w:rsid w:val="00C45737"/>
    <w:rsid w:val="00C46B33"/>
    <w:rsid w:val="00C46F70"/>
    <w:rsid w:val="00C476D0"/>
    <w:rsid w:val="00C52438"/>
    <w:rsid w:val="00C56F71"/>
    <w:rsid w:val="00C62B4B"/>
    <w:rsid w:val="00C63580"/>
    <w:rsid w:val="00C70B37"/>
    <w:rsid w:val="00C70BAA"/>
    <w:rsid w:val="00C7579E"/>
    <w:rsid w:val="00C81112"/>
    <w:rsid w:val="00C836E3"/>
    <w:rsid w:val="00C86577"/>
    <w:rsid w:val="00C92E07"/>
    <w:rsid w:val="00C94942"/>
    <w:rsid w:val="00C94D72"/>
    <w:rsid w:val="00C95A55"/>
    <w:rsid w:val="00C95A85"/>
    <w:rsid w:val="00C96868"/>
    <w:rsid w:val="00C96A50"/>
    <w:rsid w:val="00CA0416"/>
    <w:rsid w:val="00CA3C65"/>
    <w:rsid w:val="00CA66F5"/>
    <w:rsid w:val="00CA7F35"/>
    <w:rsid w:val="00CB1375"/>
    <w:rsid w:val="00CB2B0F"/>
    <w:rsid w:val="00CC21FA"/>
    <w:rsid w:val="00CC36E7"/>
    <w:rsid w:val="00CC560B"/>
    <w:rsid w:val="00CC75E2"/>
    <w:rsid w:val="00CD46EB"/>
    <w:rsid w:val="00CD548E"/>
    <w:rsid w:val="00CD7EBF"/>
    <w:rsid w:val="00CE0AEB"/>
    <w:rsid w:val="00CE25C8"/>
    <w:rsid w:val="00CE275D"/>
    <w:rsid w:val="00CE3CC8"/>
    <w:rsid w:val="00CF39F6"/>
    <w:rsid w:val="00CF7250"/>
    <w:rsid w:val="00D02CD8"/>
    <w:rsid w:val="00D032FF"/>
    <w:rsid w:val="00D04529"/>
    <w:rsid w:val="00D056F1"/>
    <w:rsid w:val="00D062E4"/>
    <w:rsid w:val="00D069CF"/>
    <w:rsid w:val="00D11171"/>
    <w:rsid w:val="00D12F21"/>
    <w:rsid w:val="00D1329A"/>
    <w:rsid w:val="00D14405"/>
    <w:rsid w:val="00D17256"/>
    <w:rsid w:val="00D2071E"/>
    <w:rsid w:val="00D209C9"/>
    <w:rsid w:val="00D22F3C"/>
    <w:rsid w:val="00D23DB6"/>
    <w:rsid w:val="00D244E9"/>
    <w:rsid w:val="00D26814"/>
    <w:rsid w:val="00D3171B"/>
    <w:rsid w:val="00D33F56"/>
    <w:rsid w:val="00D37A08"/>
    <w:rsid w:val="00D43FE6"/>
    <w:rsid w:val="00D51A95"/>
    <w:rsid w:val="00D55E6E"/>
    <w:rsid w:val="00D60568"/>
    <w:rsid w:val="00D70C7A"/>
    <w:rsid w:val="00D70EB7"/>
    <w:rsid w:val="00D72713"/>
    <w:rsid w:val="00D73931"/>
    <w:rsid w:val="00D77690"/>
    <w:rsid w:val="00D80E46"/>
    <w:rsid w:val="00D81D38"/>
    <w:rsid w:val="00D82E0B"/>
    <w:rsid w:val="00D82F09"/>
    <w:rsid w:val="00D8470F"/>
    <w:rsid w:val="00D8471A"/>
    <w:rsid w:val="00D9616D"/>
    <w:rsid w:val="00DA10A8"/>
    <w:rsid w:val="00DA25CA"/>
    <w:rsid w:val="00DA2766"/>
    <w:rsid w:val="00DB1E08"/>
    <w:rsid w:val="00DB2973"/>
    <w:rsid w:val="00DB324A"/>
    <w:rsid w:val="00DB7A08"/>
    <w:rsid w:val="00DC1B56"/>
    <w:rsid w:val="00DC2129"/>
    <w:rsid w:val="00DC3C72"/>
    <w:rsid w:val="00DC63B9"/>
    <w:rsid w:val="00DC6570"/>
    <w:rsid w:val="00DD3C5E"/>
    <w:rsid w:val="00DE42C1"/>
    <w:rsid w:val="00DE6FE9"/>
    <w:rsid w:val="00DE79D9"/>
    <w:rsid w:val="00DF217C"/>
    <w:rsid w:val="00DF25C3"/>
    <w:rsid w:val="00DF5354"/>
    <w:rsid w:val="00E011AD"/>
    <w:rsid w:val="00E04062"/>
    <w:rsid w:val="00E05E75"/>
    <w:rsid w:val="00E063C6"/>
    <w:rsid w:val="00E06920"/>
    <w:rsid w:val="00E11765"/>
    <w:rsid w:val="00E12E54"/>
    <w:rsid w:val="00E16F1D"/>
    <w:rsid w:val="00E2003B"/>
    <w:rsid w:val="00E203C2"/>
    <w:rsid w:val="00E20B5F"/>
    <w:rsid w:val="00E24DE8"/>
    <w:rsid w:val="00E279D8"/>
    <w:rsid w:val="00E319B1"/>
    <w:rsid w:val="00E338CB"/>
    <w:rsid w:val="00E40467"/>
    <w:rsid w:val="00E40ED4"/>
    <w:rsid w:val="00E44E0D"/>
    <w:rsid w:val="00E477A1"/>
    <w:rsid w:val="00E520FE"/>
    <w:rsid w:val="00E5492F"/>
    <w:rsid w:val="00E62DEF"/>
    <w:rsid w:val="00E63292"/>
    <w:rsid w:val="00E65EEB"/>
    <w:rsid w:val="00E673E2"/>
    <w:rsid w:val="00E70A86"/>
    <w:rsid w:val="00E75054"/>
    <w:rsid w:val="00E751D6"/>
    <w:rsid w:val="00E777EC"/>
    <w:rsid w:val="00E80FCD"/>
    <w:rsid w:val="00E818EA"/>
    <w:rsid w:val="00E81F6E"/>
    <w:rsid w:val="00E91063"/>
    <w:rsid w:val="00EA7F2F"/>
    <w:rsid w:val="00EC00DE"/>
    <w:rsid w:val="00EC30E1"/>
    <w:rsid w:val="00EC32B8"/>
    <w:rsid w:val="00EC3C4F"/>
    <w:rsid w:val="00EC5153"/>
    <w:rsid w:val="00ED048F"/>
    <w:rsid w:val="00ED172A"/>
    <w:rsid w:val="00EE0A23"/>
    <w:rsid w:val="00EE2163"/>
    <w:rsid w:val="00EF1821"/>
    <w:rsid w:val="00EF3D8A"/>
    <w:rsid w:val="00EF4606"/>
    <w:rsid w:val="00F0750B"/>
    <w:rsid w:val="00F07D96"/>
    <w:rsid w:val="00F14BEC"/>
    <w:rsid w:val="00F158AE"/>
    <w:rsid w:val="00F225C5"/>
    <w:rsid w:val="00F2587A"/>
    <w:rsid w:val="00F33BB8"/>
    <w:rsid w:val="00F354BF"/>
    <w:rsid w:val="00F367E7"/>
    <w:rsid w:val="00F3715D"/>
    <w:rsid w:val="00F420C8"/>
    <w:rsid w:val="00F42937"/>
    <w:rsid w:val="00F42A4C"/>
    <w:rsid w:val="00F53B04"/>
    <w:rsid w:val="00F5476E"/>
    <w:rsid w:val="00F55D77"/>
    <w:rsid w:val="00F604DE"/>
    <w:rsid w:val="00F629DB"/>
    <w:rsid w:val="00F64653"/>
    <w:rsid w:val="00F72684"/>
    <w:rsid w:val="00F7516E"/>
    <w:rsid w:val="00F847FE"/>
    <w:rsid w:val="00F86A86"/>
    <w:rsid w:val="00F90326"/>
    <w:rsid w:val="00F91BBE"/>
    <w:rsid w:val="00F9208C"/>
    <w:rsid w:val="00F9520E"/>
    <w:rsid w:val="00FA104F"/>
    <w:rsid w:val="00FA10DB"/>
    <w:rsid w:val="00FB1533"/>
    <w:rsid w:val="00FB427D"/>
    <w:rsid w:val="00FB67A3"/>
    <w:rsid w:val="00FB7512"/>
    <w:rsid w:val="00FC6E3F"/>
    <w:rsid w:val="00FD0128"/>
    <w:rsid w:val="00FD2FBE"/>
    <w:rsid w:val="00FD7547"/>
    <w:rsid w:val="00FF5F5C"/>
    <w:rsid w:val="00FF66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7C0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caption" w:semiHidden="1" w:unhideWhenUsed="1"/>
    <w:lsdException w:name="Title" w:uiPriority="10" w:qFormat="1"/>
    <w:lsdException w:name="Default Paragraph Font" w:uiPriority="1"/>
    <w:lsdException w:name="Subtitle" w:uiPriority="11"/>
    <w:lsdException w:name="Hyperlink" w:uiPriority="99"/>
    <w:lsdException w:name="Strong" w:uiPriority="22"/>
    <w:lsdException w:name="Emphasis" w:uiPriority="20"/>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7520F"/>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rsid w:val="00512290"/>
    <w:pPr>
      <w:keepNext/>
      <w:jc w:val="center"/>
    </w:pPr>
    <w:rPr>
      <w:iCs/>
      <w:sz w:val="20"/>
      <w:szCs w:val="20"/>
    </w:rPr>
  </w:style>
  <w:style w:type="paragraph" w:customStyle="1" w:styleId="142tableheading1">
    <w:name w:val="1.4.2 table heading1"/>
    <w:basedOn w:val="142Tableheading2"/>
    <w:rsid w:val="00512290"/>
    <w:rPr>
      <w:rFonts w:ascii="Arial Bold" w:hAnsi="Arial Bold"/>
      <w:b/>
      <w:bCs/>
      <w:iCs w:val="0"/>
      <w:smallCaps/>
    </w:rPr>
  </w:style>
  <w:style w:type="paragraph" w:customStyle="1" w:styleId="142tabletext1">
    <w:name w:val="1.4.2 table text1"/>
    <w:basedOn w:val="Normal"/>
    <w:rsid w:val="00512290"/>
    <w:pPr>
      <w:ind w:left="142" w:hanging="142"/>
    </w:pPr>
    <w:rPr>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link w:val="ClauseChar"/>
    <w:qFormat/>
    <w:rsid w:val="00E40ED4"/>
    <w:pPr>
      <w:tabs>
        <w:tab w:val="left" w:pos="851"/>
      </w:tabs>
    </w:pPr>
    <w:rPr>
      <w:sz w:val="20"/>
      <w:szCs w:val="20"/>
    </w:rPr>
  </w:style>
  <w:style w:type="paragraph" w:customStyle="1" w:styleId="Clauseheading">
    <w:name w:val="Clause heading"/>
    <w:basedOn w:val="Normal"/>
    <w:next w:val="Normal"/>
    <w:rsid w:val="00E40ED4"/>
    <w:pPr>
      <w:tabs>
        <w:tab w:val="left" w:pos="851"/>
      </w:tabs>
    </w:pPr>
    <w:rPr>
      <w:b/>
      <w:sz w:val="20"/>
      <w:szCs w:val="20"/>
    </w:rPr>
  </w:style>
  <w:style w:type="paragraph" w:customStyle="1" w:styleId="ClauseList">
    <w:name w:val="Clause List"/>
    <w:basedOn w:val="Clause"/>
    <w:next w:val="Normal"/>
  </w:style>
  <w:style w:type="paragraph" w:customStyle="1" w:styleId="Definition">
    <w:name w:val="Definition"/>
    <w:basedOn w:val="Normal"/>
    <w:next w:val="Normal"/>
    <w:rsid w:val="00E40ED4"/>
    <w:pPr>
      <w:ind w:left="1701" w:hanging="851"/>
    </w:pPr>
    <w:rPr>
      <w:sz w:val="20"/>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qFormat/>
    <w:rsid w:val="00E40ED4"/>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qFormat/>
    <w:rPr>
      <w:b w:val="0"/>
    </w:rPr>
  </w:style>
  <w:style w:type="paragraph" w:customStyle="1" w:styleId="Footnote">
    <w:name w:val="Footnote"/>
    <w:basedOn w:val="Normal"/>
    <w:rsid w:val="00E40ED4"/>
    <w:pPr>
      <w:tabs>
        <w:tab w:val="left" w:pos="851"/>
      </w:tabs>
    </w:pPr>
    <w:rPr>
      <w:sz w:val="18"/>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rsid w:val="00E40ED4"/>
    <w:pPr>
      <w:tabs>
        <w:tab w:val="left" w:pos="851"/>
      </w:tabs>
      <w:jc w:val="center"/>
    </w:pPr>
    <w:rPr>
      <w:b/>
      <w:caps/>
      <w:sz w:val="20"/>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rsid w:val="00E40ED4"/>
    <w:pPr>
      <w:spacing w:after="120"/>
      <w:jc w:val="center"/>
    </w:pPr>
    <w:rPr>
      <w:b/>
      <w:bCs/>
      <w:sz w:val="18"/>
      <w:szCs w:val="20"/>
    </w:rPr>
  </w:style>
  <w:style w:type="paragraph" w:customStyle="1" w:styleId="Table2">
    <w:name w:val="Table 2"/>
    <w:basedOn w:val="Normal"/>
    <w:rsid w:val="00E40ED4"/>
    <w:pPr>
      <w:ind w:left="142" w:hanging="142"/>
    </w:pPr>
    <w:rPr>
      <w:bCs/>
      <w:sz w:val="18"/>
      <w:szCs w:val="20"/>
    </w:rPr>
  </w:style>
  <w:style w:type="paragraph" w:customStyle="1" w:styleId="TableHeading">
    <w:name w:val="Table Heading"/>
    <w:basedOn w:val="Normal"/>
    <w:next w:val="Normal"/>
    <w:rsid w:val="00E40ED4"/>
    <w:pPr>
      <w:tabs>
        <w:tab w:val="left" w:pos="851"/>
      </w:tabs>
      <w:jc w:val="center"/>
    </w:pPr>
    <w:rPr>
      <w:b/>
      <w:sz w:val="20"/>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ootnotes Text,FSFootnotes Text"/>
    <w:basedOn w:val="Normal"/>
    <w:link w:val="FootnoteTextChar"/>
    <w:rPr>
      <w:sz w:val="20"/>
      <w:szCs w:val="20"/>
    </w:rPr>
  </w:style>
  <w:style w:type="character" w:styleId="FootnoteReference">
    <w:name w:val="footnote reference"/>
    <w:basedOn w:val="DefaultParagraphFont"/>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customStyle="1" w:styleId="FSBullet1">
    <w:name w:val="FSBullet 1"/>
    <w:basedOn w:val="Normal"/>
    <w:next w:val="Normal"/>
    <w:link w:val="FSBullet1Char"/>
    <w:qFormat/>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rsid w:val="00944BA4"/>
    <w:pPr>
      <w:widowControl/>
      <w:numPr>
        <w:numId w:val="3"/>
      </w:numPr>
      <w:ind w:left="1134" w:hanging="567"/>
    </w:pPr>
    <w:rPr>
      <w:rFonts w:eastAsia="Calibri"/>
      <w:szCs w:val="22"/>
      <w:lang w:bidi="ar-SA"/>
    </w:rPr>
  </w:style>
  <w:style w:type="paragraph" w:customStyle="1" w:styleId="FSBullet3">
    <w:name w:val="FSBullet 3"/>
    <w:basedOn w:val="Normal"/>
    <w:qFormat/>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character" w:customStyle="1" w:styleId="FootnoteTextChar">
    <w:name w:val="Footnote Text Char"/>
    <w:aliases w:val="Footnotes Text Char,FSFootnotes Text Char"/>
    <w:basedOn w:val="DefaultParagraphFont"/>
    <w:link w:val="FootnoteText"/>
    <w:rsid w:val="00F42937"/>
    <w:rPr>
      <w:rFonts w:ascii="Arial" w:hAnsi="Arial"/>
      <w:lang w:eastAsia="en-US" w:bidi="en-US"/>
    </w:rPr>
  </w:style>
  <w:style w:type="paragraph" w:styleId="ListParagraph">
    <w:name w:val="List Paragraph"/>
    <w:basedOn w:val="Normal"/>
    <w:uiPriority w:val="34"/>
    <w:rsid w:val="00721729"/>
    <w:pPr>
      <w:ind w:left="720"/>
      <w:contextualSpacing/>
    </w:pPr>
  </w:style>
  <w:style w:type="table" w:customStyle="1" w:styleId="TableGrid1">
    <w:name w:val="Table Grid1"/>
    <w:basedOn w:val="TableNormal"/>
    <w:next w:val="TableGrid"/>
    <w:rsid w:val="007217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R">
    <w:name w:val="HR"/>
    <w:aliases w:val="Regulation Heading"/>
    <w:basedOn w:val="Normal"/>
    <w:next w:val="Normal"/>
    <w:rsid w:val="00652182"/>
    <w:pPr>
      <w:keepNext/>
      <w:keepLines/>
      <w:widowControl/>
      <w:spacing w:before="360"/>
      <w:ind w:left="964" w:hanging="964"/>
    </w:pPr>
    <w:rPr>
      <w:b/>
      <w:sz w:val="24"/>
      <w:lang w:val="en-AU" w:eastAsia="en-AU" w:bidi="ar-SA"/>
    </w:rPr>
  </w:style>
  <w:style w:type="paragraph" w:styleId="Title">
    <w:name w:val="Title"/>
    <w:basedOn w:val="Normal"/>
    <w:link w:val="TitleChar"/>
    <w:uiPriority w:val="10"/>
    <w:qFormat/>
    <w:rsid w:val="00652182"/>
    <w:pPr>
      <w:tabs>
        <w:tab w:val="left" w:pos="851"/>
      </w:tabs>
      <w:jc w:val="center"/>
    </w:pPr>
    <w:rPr>
      <w:b/>
      <w:bCs/>
      <w:sz w:val="20"/>
      <w:lang w:val="en-AU" w:bidi="ar-SA"/>
    </w:rPr>
  </w:style>
  <w:style w:type="character" w:customStyle="1" w:styleId="TitleChar">
    <w:name w:val="Title Char"/>
    <w:basedOn w:val="DefaultParagraphFont"/>
    <w:link w:val="Title"/>
    <w:uiPriority w:val="10"/>
    <w:rsid w:val="00652182"/>
    <w:rPr>
      <w:rFonts w:ascii="Arial" w:hAnsi="Arial"/>
      <w:b/>
      <w:bCs/>
      <w:szCs w:val="24"/>
      <w:lang w:val="en-AU" w:eastAsia="en-US"/>
    </w:rPr>
  </w:style>
  <w:style w:type="character" w:customStyle="1" w:styleId="ClauseChar">
    <w:name w:val="Clause Char"/>
    <w:basedOn w:val="DefaultParagraphFont"/>
    <w:link w:val="Clause"/>
    <w:rsid w:val="00652182"/>
    <w:rPr>
      <w:rFonts w:ascii="Arial" w:hAnsi="Arial"/>
      <w:lang w:eastAsia="en-US" w:bidi="en-US"/>
    </w:rPr>
  </w:style>
  <w:style w:type="paragraph" w:customStyle="1" w:styleId="Scheduletitle">
    <w:name w:val="Schedule title"/>
    <w:basedOn w:val="Normal"/>
    <w:next w:val="Normal"/>
    <w:rsid w:val="00652182"/>
    <w:pPr>
      <w:keepNext/>
      <w:keepLines/>
      <w:widowControl/>
      <w:spacing w:before="480"/>
      <w:ind w:left="2410" w:hanging="2410"/>
    </w:pPr>
    <w:rPr>
      <w:b/>
      <w:sz w:val="32"/>
      <w:lang w:val="en-AU" w:eastAsia="en-AU" w:bidi="ar-SA"/>
    </w:rPr>
  </w:style>
  <w:style w:type="paragraph" w:customStyle="1" w:styleId="tbAt1Item">
    <w:name w:val="tbA_t1_Item"/>
    <w:aliases w:val="FSC_tbl_A_Main"/>
    <w:basedOn w:val="Normal"/>
    <w:qFormat/>
    <w:rsid w:val="00652182"/>
    <w:pPr>
      <w:keepLines/>
      <w:widowControl/>
      <w:spacing w:before="60" w:after="60"/>
    </w:pPr>
    <w:rPr>
      <w:rFonts w:ascii="Times New Roman" w:hAnsi="Times New Roman" w:cs="Arial"/>
      <w:iCs/>
      <w:sz w:val="20"/>
      <w:szCs w:val="22"/>
      <w:lang w:val="en-AU" w:eastAsia="en-AU" w:bidi="ar-SA"/>
    </w:rPr>
  </w:style>
  <w:style w:type="paragraph" w:customStyle="1" w:styleId="FSCtblMain">
    <w:name w:val="FSC_tbl_Main"/>
    <w:basedOn w:val="Normal"/>
    <w:rsid w:val="000C5707"/>
    <w:pPr>
      <w:keepLines/>
      <w:widowControl/>
      <w:tabs>
        <w:tab w:val="right" w:pos="3969"/>
      </w:tabs>
      <w:spacing w:before="60" w:after="60"/>
    </w:pPr>
    <w:rPr>
      <w:rFonts w:cs="Arial"/>
      <w:sz w:val="18"/>
      <w:szCs w:val="20"/>
      <w:lang w:eastAsia="en-AU" w:bidi="ar-SA"/>
    </w:rPr>
  </w:style>
  <w:style w:type="paragraph" w:customStyle="1" w:styleId="FSCtblMRL1">
    <w:name w:val="FSC_tbl_MRL1"/>
    <w:basedOn w:val="Normal"/>
    <w:rsid w:val="000C5707"/>
    <w:pPr>
      <w:keepLines/>
      <w:widowControl/>
      <w:spacing w:before="20" w:after="20"/>
    </w:pPr>
    <w:rPr>
      <w:rFonts w:cs="Arial"/>
      <w:sz w:val="18"/>
      <w:szCs w:val="20"/>
      <w:lang w:eastAsia="en-AU" w:bidi="ar-SA"/>
    </w:rPr>
  </w:style>
  <w:style w:type="paragraph" w:customStyle="1" w:styleId="FSCDraftingitem">
    <w:name w:val="FSC_Drafting_item"/>
    <w:basedOn w:val="Normal"/>
    <w:qFormat/>
    <w:rsid w:val="000C5707"/>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0C5707"/>
    <w:pPr>
      <w:spacing w:before="120" w:after="120"/>
      <w:ind w:left="851" w:hanging="851"/>
    </w:pPr>
    <w:rPr>
      <w:b/>
      <w:sz w:val="20"/>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caption" w:semiHidden="1" w:unhideWhenUsed="1"/>
    <w:lsdException w:name="Title" w:uiPriority="10" w:qFormat="1"/>
    <w:lsdException w:name="Default Paragraph Font" w:uiPriority="1"/>
    <w:lsdException w:name="Subtitle" w:uiPriority="11"/>
    <w:lsdException w:name="Hyperlink" w:uiPriority="99"/>
    <w:lsdException w:name="Strong" w:uiPriority="22"/>
    <w:lsdException w:name="Emphasis" w:uiPriority="20"/>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7520F"/>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rsid w:val="00512290"/>
    <w:pPr>
      <w:keepNext/>
      <w:jc w:val="center"/>
    </w:pPr>
    <w:rPr>
      <w:iCs/>
      <w:sz w:val="20"/>
      <w:szCs w:val="20"/>
    </w:rPr>
  </w:style>
  <w:style w:type="paragraph" w:customStyle="1" w:styleId="142tableheading1">
    <w:name w:val="1.4.2 table heading1"/>
    <w:basedOn w:val="142Tableheading2"/>
    <w:rsid w:val="00512290"/>
    <w:rPr>
      <w:rFonts w:ascii="Arial Bold" w:hAnsi="Arial Bold"/>
      <w:b/>
      <w:bCs/>
      <w:iCs w:val="0"/>
      <w:smallCaps/>
    </w:rPr>
  </w:style>
  <w:style w:type="paragraph" w:customStyle="1" w:styleId="142tabletext1">
    <w:name w:val="1.4.2 table text1"/>
    <w:basedOn w:val="Normal"/>
    <w:rsid w:val="00512290"/>
    <w:pPr>
      <w:ind w:left="142" w:hanging="142"/>
    </w:pPr>
    <w:rPr>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link w:val="ClauseChar"/>
    <w:qFormat/>
    <w:rsid w:val="00E40ED4"/>
    <w:pPr>
      <w:tabs>
        <w:tab w:val="left" w:pos="851"/>
      </w:tabs>
    </w:pPr>
    <w:rPr>
      <w:sz w:val="20"/>
      <w:szCs w:val="20"/>
    </w:rPr>
  </w:style>
  <w:style w:type="paragraph" w:customStyle="1" w:styleId="Clauseheading">
    <w:name w:val="Clause heading"/>
    <w:basedOn w:val="Normal"/>
    <w:next w:val="Normal"/>
    <w:rsid w:val="00E40ED4"/>
    <w:pPr>
      <w:tabs>
        <w:tab w:val="left" w:pos="851"/>
      </w:tabs>
    </w:pPr>
    <w:rPr>
      <w:b/>
      <w:sz w:val="20"/>
      <w:szCs w:val="20"/>
    </w:rPr>
  </w:style>
  <w:style w:type="paragraph" w:customStyle="1" w:styleId="ClauseList">
    <w:name w:val="Clause List"/>
    <w:basedOn w:val="Clause"/>
    <w:next w:val="Normal"/>
  </w:style>
  <w:style w:type="paragraph" w:customStyle="1" w:styleId="Definition">
    <w:name w:val="Definition"/>
    <w:basedOn w:val="Normal"/>
    <w:next w:val="Normal"/>
    <w:rsid w:val="00E40ED4"/>
    <w:pPr>
      <w:ind w:left="1701" w:hanging="851"/>
    </w:pPr>
    <w:rPr>
      <w:sz w:val="20"/>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qFormat/>
    <w:rsid w:val="00E40ED4"/>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qFormat/>
    <w:rPr>
      <w:b w:val="0"/>
    </w:rPr>
  </w:style>
  <w:style w:type="paragraph" w:customStyle="1" w:styleId="Footnote">
    <w:name w:val="Footnote"/>
    <w:basedOn w:val="Normal"/>
    <w:rsid w:val="00E40ED4"/>
    <w:pPr>
      <w:tabs>
        <w:tab w:val="left" w:pos="851"/>
      </w:tabs>
    </w:pPr>
    <w:rPr>
      <w:sz w:val="18"/>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rsid w:val="00E40ED4"/>
    <w:pPr>
      <w:tabs>
        <w:tab w:val="left" w:pos="851"/>
      </w:tabs>
      <w:jc w:val="center"/>
    </w:pPr>
    <w:rPr>
      <w:b/>
      <w:caps/>
      <w:sz w:val="20"/>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rsid w:val="00E40ED4"/>
    <w:pPr>
      <w:spacing w:after="120"/>
      <w:jc w:val="center"/>
    </w:pPr>
    <w:rPr>
      <w:b/>
      <w:bCs/>
      <w:sz w:val="18"/>
      <w:szCs w:val="20"/>
    </w:rPr>
  </w:style>
  <w:style w:type="paragraph" w:customStyle="1" w:styleId="Table2">
    <w:name w:val="Table 2"/>
    <w:basedOn w:val="Normal"/>
    <w:rsid w:val="00E40ED4"/>
    <w:pPr>
      <w:ind w:left="142" w:hanging="142"/>
    </w:pPr>
    <w:rPr>
      <w:bCs/>
      <w:sz w:val="18"/>
      <w:szCs w:val="20"/>
    </w:rPr>
  </w:style>
  <w:style w:type="paragraph" w:customStyle="1" w:styleId="TableHeading">
    <w:name w:val="Table Heading"/>
    <w:basedOn w:val="Normal"/>
    <w:next w:val="Normal"/>
    <w:rsid w:val="00E40ED4"/>
    <w:pPr>
      <w:tabs>
        <w:tab w:val="left" w:pos="851"/>
      </w:tabs>
      <w:jc w:val="center"/>
    </w:pPr>
    <w:rPr>
      <w:b/>
      <w:sz w:val="20"/>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ootnotes Text,FSFootnotes Text"/>
    <w:basedOn w:val="Normal"/>
    <w:link w:val="FootnoteTextChar"/>
    <w:rPr>
      <w:sz w:val="20"/>
      <w:szCs w:val="20"/>
    </w:rPr>
  </w:style>
  <w:style w:type="character" w:styleId="FootnoteReference">
    <w:name w:val="footnote reference"/>
    <w:basedOn w:val="DefaultParagraphFont"/>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customStyle="1" w:styleId="FSBullet1">
    <w:name w:val="FSBullet 1"/>
    <w:basedOn w:val="Normal"/>
    <w:next w:val="Normal"/>
    <w:link w:val="FSBullet1Char"/>
    <w:qFormat/>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rsid w:val="00944BA4"/>
    <w:pPr>
      <w:widowControl/>
      <w:numPr>
        <w:numId w:val="3"/>
      </w:numPr>
      <w:ind w:left="1134" w:hanging="567"/>
    </w:pPr>
    <w:rPr>
      <w:rFonts w:eastAsia="Calibri"/>
      <w:szCs w:val="22"/>
      <w:lang w:bidi="ar-SA"/>
    </w:rPr>
  </w:style>
  <w:style w:type="paragraph" w:customStyle="1" w:styleId="FSBullet3">
    <w:name w:val="FSBullet 3"/>
    <w:basedOn w:val="Normal"/>
    <w:qFormat/>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character" w:customStyle="1" w:styleId="FootnoteTextChar">
    <w:name w:val="Footnote Text Char"/>
    <w:aliases w:val="Footnotes Text Char,FSFootnotes Text Char"/>
    <w:basedOn w:val="DefaultParagraphFont"/>
    <w:link w:val="FootnoteText"/>
    <w:rsid w:val="00F42937"/>
    <w:rPr>
      <w:rFonts w:ascii="Arial" w:hAnsi="Arial"/>
      <w:lang w:eastAsia="en-US" w:bidi="en-US"/>
    </w:rPr>
  </w:style>
  <w:style w:type="paragraph" w:styleId="ListParagraph">
    <w:name w:val="List Paragraph"/>
    <w:basedOn w:val="Normal"/>
    <w:uiPriority w:val="34"/>
    <w:rsid w:val="00721729"/>
    <w:pPr>
      <w:ind w:left="720"/>
      <w:contextualSpacing/>
    </w:pPr>
  </w:style>
  <w:style w:type="table" w:customStyle="1" w:styleId="TableGrid1">
    <w:name w:val="Table Grid1"/>
    <w:basedOn w:val="TableNormal"/>
    <w:next w:val="TableGrid"/>
    <w:rsid w:val="007217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R">
    <w:name w:val="HR"/>
    <w:aliases w:val="Regulation Heading"/>
    <w:basedOn w:val="Normal"/>
    <w:next w:val="Normal"/>
    <w:rsid w:val="00652182"/>
    <w:pPr>
      <w:keepNext/>
      <w:keepLines/>
      <w:widowControl/>
      <w:spacing w:before="360"/>
      <w:ind w:left="964" w:hanging="964"/>
    </w:pPr>
    <w:rPr>
      <w:b/>
      <w:sz w:val="24"/>
      <w:lang w:val="en-AU" w:eastAsia="en-AU" w:bidi="ar-SA"/>
    </w:rPr>
  </w:style>
  <w:style w:type="paragraph" w:styleId="Title">
    <w:name w:val="Title"/>
    <w:basedOn w:val="Normal"/>
    <w:link w:val="TitleChar"/>
    <w:uiPriority w:val="10"/>
    <w:qFormat/>
    <w:rsid w:val="00652182"/>
    <w:pPr>
      <w:tabs>
        <w:tab w:val="left" w:pos="851"/>
      </w:tabs>
      <w:jc w:val="center"/>
    </w:pPr>
    <w:rPr>
      <w:b/>
      <w:bCs/>
      <w:sz w:val="20"/>
      <w:lang w:val="en-AU" w:bidi="ar-SA"/>
    </w:rPr>
  </w:style>
  <w:style w:type="character" w:customStyle="1" w:styleId="TitleChar">
    <w:name w:val="Title Char"/>
    <w:basedOn w:val="DefaultParagraphFont"/>
    <w:link w:val="Title"/>
    <w:uiPriority w:val="10"/>
    <w:rsid w:val="00652182"/>
    <w:rPr>
      <w:rFonts w:ascii="Arial" w:hAnsi="Arial"/>
      <w:b/>
      <w:bCs/>
      <w:szCs w:val="24"/>
      <w:lang w:val="en-AU" w:eastAsia="en-US"/>
    </w:rPr>
  </w:style>
  <w:style w:type="character" w:customStyle="1" w:styleId="ClauseChar">
    <w:name w:val="Clause Char"/>
    <w:basedOn w:val="DefaultParagraphFont"/>
    <w:link w:val="Clause"/>
    <w:rsid w:val="00652182"/>
    <w:rPr>
      <w:rFonts w:ascii="Arial" w:hAnsi="Arial"/>
      <w:lang w:eastAsia="en-US" w:bidi="en-US"/>
    </w:rPr>
  </w:style>
  <w:style w:type="paragraph" w:customStyle="1" w:styleId="Scheduletitle">
    <w:name w:val="Schedule title"/>
    <w:basedOn w:val="Normal"/>
    <w:next w:val="Normal"/>
    <w:rsid w:val="00652182"/>
    <w:pPr>
      <w:keepNext/>
      <w:keepLines/>
      <w:widowControl/>
      <w:spacing w:before="480"/>
      <w:ind w:left="2410" w:hanging="2410"/>
    </w:pPr>
    <w:rPr>
      <w:b/>
      <w:sz w:val="32"/>
      <w:lang w:val="en-AU" w:eastAsia="en-AU" w:bidi="ar-SA"/>
    </w:rPr>
  </w:style>
  <w:style w:type="paragraph" w:customStyle="1" w:styleId="tbAt1Item">
    <w:name w:val="tbA_t1_Item"/>
    <w:aliases w:val="FSC_tbl_A_Main"/>
    <w:basedOn w:val="Normal"/>
    <w:qFormat/>
    <w:rsid w:val="00652182"/>
    <w:pPr>
      <w:keepLines/>
      <w:widowControl/>
      <w:spacing w:before="60" w:after="60"/>
    </w:pPr>
    <w:rPr>
      <w:rFonts w:ascii="Times New Roman" w:hAnsi="Times New Roman" w:cs="Arial"/>
      <w:iCs/>
      <w:sz w:val="20"/>
      <w:szCs w:val="22"/>
      <w:lang w:val="en-AU" w:eastAsia="en-AU" w:bidi="ar-SA"/>
    </w:rPr>
  </w:style>
  <w:style w:type="paragraph" w:customStyle="1" w:styleId="FSCtblMain">
    <w:name w:val="FSC_tbl_Main"/>
    <w:basedOn w:val="Normal"/>
    <w:rsid w:val="000C5707"/>
    <w:pPr>
      <w:keepLines/>
      <w:widowControl/>
      <w:tabs>
        <w:tab w:val="right" w:pos="3969"/>
      </w:tabs>
      <w:spacing w:before="60" w:after="60"/>
    </w:pPr>
    <w:rPr>
      <w:rFonts w:cs="Arial"/>
      <w:sz w:val="18"/>
      <w:szCs w:val="20"/>
      <w:lang w:eastAsia="en-AU" w:bidi="ar-SA"/>
    </w:rPr>
  </w:style>
  <w:style w:type="paragraph" w:customStyle="1" w:styleId="FSCtblMRL1">
    <w:name w:val="FSC_tbl_MRL1"/>
    <w:basedOn w:val="Normal"/>
    <w:rsid w:val="000C5707"/>
    <w:pPr>
      <w:keepLines/>
      <w:widowControl/>
      <w:spacing w:before="20" w:after="20"/>
    </w:pPr>
    <w:rPr>
      <w:rFonts w:cs="Arial"/>
      <w:sz w:val="18"/>
      <w:szCs w:val="20"/>
      <w:lang w:eastAsia="en-AU" w:bidi="ar-SA"/>
    </w:rPr>
  </w:style>
  <w:style w:type="paragraph" w:customStyle="1" w:styleId="FSCDraftingitem">
    <w:name w:val="FSC_Drafting_item"/>
    <w:basedOn w:val="Normal"/>
    <w:qFormat/>
    <w:rsid w:val="000C5707"/>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0C5707"/>
    <w:pPr>
      <w:spacing w:before="120" w:after="120"/>
      <w:ind w:left="851" w:hanging="851"/>
    </w:pPr>
    <w:rPr>
      <w:b/>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9711">
      <w:bodyDiv w:val="1"/>
      <w:marLeft w:val="0"/>
      <w:marRight w:val="0"/>
      <w:marTop w:val="0"/>
      <w:marBottom w:val="0"/>
      <w:divBdr>
        <w:top w:val="none" w:sz="0" w:space="0" w:color="auto"/>
        <w:left w:val="none" w:sz="0" w:space="0" w:color="auto"/>
        <w:bottom w:val="none" w:sz="0" w:space="0" w:color="auto"/>
        <w:right w:val="none" w:sz="0" w:space="0" w:color="auto"/>
      </w:divBdr>
    </w:div>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mailto:submissions@foodstandards.gov.au" TargetMode="External"/><Relationship Id="rId26" Type="http://schemas.openxmlformats.org/officeDocument/2006/relationships/hyperlink" Target="http://www.usp.org/food-ingredients/food-chemicals-code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foodstandards.gov.au/code/changes/Pages/Documents-for-public-comment.aspx" TargetMode="External"/><Relationship Id="rId25" Type="http://schemas.openxmlformats.org/officeDocument/2006/relationships/hyperlink" Target="http://www.anses.fr/sites/default/files/documents/BIOT2009sa0089.pdf" TargetMode="External"/><Relationship Id="rId2" Type="http://schemas.openxmlformats.org/officeDocument/2006/relationships/customXml" Target="../customXml/item2.xml"/><Relationship Id="rId16" Type="http://schemas.openxmlformats.org/officeDocument/2006/relationships/hyperlink" Target="http://www.foodstandards.gov.au/code/changes/submission/Pages/default.aspx" TargetMode="External"/><Relationship Id="rId20" Type="http://schemas.openxmlformats.org/officeDocument/2006/relationships/header" Target="header1.xm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foodstandards.gov.au/code/applications/Pages/A1109Glutaminase.aspx" TargetMode="External"/><Relationship Id="rId28" Type="http://schemas.openxmlformats.org/officeDocument/2006/relationships/hyperlink" Target="http://www.fao.org/docrep/009/a0691e/A0691E03.htm" TargetMode="External"/><Relationship Id="rId15" Type="http://schemas.openxmlformats.org/officeDocument/2006/relationships/hyperlink" Target="http://www.foodstandards.gov.au/code/changes/submission/Pages/default.aspx" TargetMode="External"/><Relationship Id="rId23"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hyperlink" Target="mailto:standards.management@foodstandards.gov.au" TargetMode="External"/><Relationship Id="rId31" Type="http://schemas.openxmlformats.org/officeDocument/2006/relationships/theme" Target="theme/theme1.xml"/><Relationship Id="rId30" Type="http://schemas.openxmlformats.org/officeDocument/2006/relationships/fontTable" Target="fontTable.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footer" Target="footer2.xml"/><Relationship Id="rId27" Type="http://schemas.openxmlformats.org/officeDocument/2006/relationships/hyperlink" Target="http://www.enzyme-database.org/query.php?name=3.5.1.2&amp;search=search_all&amp;display=show_all&amp;order=ec_num&amp;nr=5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foodstandards.gov.au/code/fofr/fofrpolicy/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37" ma:contentTypeDescription="FSANZ Record" ma:contentTypeScope="" ma:versionID="7b64b238884a0de43c67e7d58d57d5c9">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1a8ac51ef46c7eeb69eb53e24678ccff"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nillable="true"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8959f586-1386-49a0-8f25-29490ba8c513" ContentTypeId="0x01010004C4C934AD08B647A78FCADD498BE31902"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52BCF1-C1D4-444D-8F8F-5E119B8089BF}"/>
</file>

<file path=customXml/itemProps2.xml><?xml version="1.0" encoding="utf-8"?>
<ds:datastoreItem xmlns:ds="http://schemas.openxmlformats.org/officeDocument/2006/customXml" ds:itemID="{65275E9E-91F4-4ADD-8898-0E5AD7B9BCE1}"/>
</file>

<file path=customXml/itemProps3.xml><?xml version="1.0" encoding="utf-8"?>
<ds:datastoreItem xmlns:ds="http://schemas.openxmlformats.org/officeDocument/2006/customXml" ds:itemID="{B9E7BA1F-BAF0-4B74-81A2-947B8BE51538}"/>
</file>

<file path=customXml/itemProps4.xml><?xml version="1.0" encoding="utf-8"?>
<ds:datastoreItem xmlns:ds="http://schemas.openxmlformats.org/officeDocument/2006/customXml" ds:itemID="{12696C1D-9CC5-4D55-B4F2-F3F96951F7D6}"/>
</file>

<file path=customXml/itemProps5.xml><?xml version="1.0" encoding="utf-8"?>
<ds:datastoreItem xmlns:ds="http://schemas.openxmlformats.org/officeDocument/2006/customXml" ds:itemID="{BCFA158E-0B2F-4A09-AEB4-364FDD596A4F}"/>
</file>

<file path=customXml/itemProps6.xml><?xml version="1.0" encoding="utf-8"?>
<ds:datastoreItem xmlns:ds="http://schemas.openxmlformats.org/officeDocument/2006/customXml" ds:itemID="{4404F03A-A95A-4207-A0D3-99C1599D663A}"/>
</file>

<file path=docProps/app.xml><?xml version="1.0" encoding="utf-8"?>
<Properties xmlns="http://schemas.openxmlformats.org/officeDocument/2006/extended-properties" xmlns:vt="http://schemas.openxmlformats.org/officeDocument/2006/docPropsVTypes">
  <Template>Normal.dotm</Template>
  <TotalTime>302</TotalTime>
  <Pages>15</Pages>
  <Words>4905</Words>
  <Characters>30298</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PLEASE REFER TO ANZFA’S GUIDE TO APPLICATIONS AND PROPOSALS FOR A MORE DETAILED EXPLANATION OF THE PROCESS ON HOW TO UNDERTAKE</vt:lpstr>
    </vt:vector>
  </TitlesOfParts>
  <Company>ANZFA</Company>
  <LinksUpToDate>false</LinksUpToDate>
  <CharactersWithSpaces>35133</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A1109-CFS</dc:title>
  <dc:creator>trevil</dc:creator>
  <cp:lastModifiedBy>humphc</cp:lastModifiedBy>
  <cp:revision>12</cp:revision>
  <cp:lastPrinted>2015-12-21T20:43:00Z</cp:lastPrinted>
  <dcterms:created xsi:type="dcterms:W3CDTF">2016-01-04T23:54:00Z</dcterms:created>
  <dcterms:modified xsi:type="dcterms:W3CDTF">2016-01-13T23:57:00Z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y fmtid="{D5CDD505-2E9C-101B-9397-08002B2CF9AE}" pid="3" name="DisposalClass">
    <vt:lpwstr/>
  </property>
  <property fmtid="{D5CDD505-2E9C-101B-9397-08002B2CF9AE}" pid="4" name="BCS_">
    <vt:lpwstr>40;#Evaluation|43bd8487-b9f6-4055-946c-a118d364275d</vt:lpwstr>
  </property>
  <property fmtid="{D5CDD505-2E9C-101B-9397-08002B2CF9AE}" pid="5" name="_dlc_DocIdItemGuid">
    <vt:lpwstr>150a6b55-8537-4b9b-9cf1-7e681a9c455a</vt:lpwstr>
  </property>
  <property fmtid="{D5CDD505-2E9C-101B-9397-08002B2CF9AE}" pid="6" name="SPPCopyMoveEvent">
    <vt:lpwstr>1</vt:lpwstr>
  </property>
</Properties>
</file>