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57E8" w14:textId="13ACC6C2" w:rsidR="00E203C2" w:rsidRDefault="00EA7A2C" w:rsidP="00E203C2">
      <w:bookmarkStart w:id="0" w:name="_GoBack"/>
      <w:bookmarkEnd w:id="0"/>
      <w:r>
        <w:t xml:space="preserve"> </w:t>
      </w:r>
      <w:r w:rsidR="00E203C2">
        <w:rPr>
          <w:noProof/>
          <w:lang w:eastAsia="en-GB" w:bidi="ar-SA"/>
        </w:rPr>
        <w:drawing>
          <wp:inline distT="0" distB="0" distL="0" distR="0" wp14:anchorId="50217948" wp14:editId="2F36B02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2898C5C" w14:textId="77777777" w:rsidR="008848A4" w:rsidRPr="002E68B2" w:rsidRDefault="008848A4" w:rsidP="00BA24E2">
      <w:pPr>
        <w:rPr>
          <w:b/>
          <w:szCs w:val="28"/>
        </w:rPr>
      </w:pPr>
    </w:p>
    <w:p w14:paraId="5E2848A4" w14:textId="77777777" w:rsidR="002E68B2" w:rsidRPr="002E68B2" w:rsidRDefault="002E68B2" w:rsidP="002E68B2">
      <w:pPr>
        <w:widowControl/>
        <w:rPr>
          <w:b/>
          <w:sz w:val="28"/>
          <w:szCs w:val="28"/>
          <w:lang w:bidi="ar-SA"/>
        </w:rPr>
      </w:pPr>
      <w:r w:rsidRPr="002E68B2">
        <w:rPr>
          <w:b/>
          <w:sz w:val="28"/>
          <w:szCs w:val="28"/>
          <w:lang w:bidi="ar-SA"/>
        </w:rPr>
        <w:t>25 September 2015</w:t>
      </w:r>
    </w:p>
    <w:p w14:paraId="4A77A274" w14:textId="77777777" w:rsidR="002E68B2" w:rsidRPr="002E68B2" w:rsidRDefault="002E68B2" w:rsidP="002E68B2">
      <w:pPr>
        <w:widowControl/>
        <w:rPr>
          <w:b/>
          <w:sz w:val="28"/>
          <w:szCs w:val="28"/>
          <w:lang w:bidi="ar-SA"/>
        </w:rPr>
      </w:pPr>
      <w:r w:rsidRPr="002E68B2">
        <w:rPr>
          <w:b/>
          <w:sz w:val="28"/>
          <w:szCs w:val="28"/>
          <w:lang w:bidi="ar-SA"/>
        </w:rPr>
        <w:t>[23–15]</w:t>
      </w:r>
    </w:p>
    <w:p w14:paraId="684582B7" w14:textId="77777777" w:rsidR="00BA24E2" w:rsidRDefault="00BA24E2" w:rsidP="00E203C2"/>
    <w:p w14:paraId="4DB4A39C" w14:textId="77777777" w:rsidR="00D056F1" w:rsidRPr="00A72FB5" w:rsidRDefault="000427B2" w:rsidP="002432EE">
      <w:pPr>
        <w:pStyle w:val="FSTitle"/>
        <w:rPr>
          <w:b/>
        </w:rPr>
      </w:pPr>
      <w:r w:rsidRPr="00A72FB5">
        <w:rPr>
          <w:b/>
        </w:rPr>
        <w:t>C</w:t>
      </w:r>
      <w:r w:rsidR="00D8470F" w:rsidRPr="00A72FB5">
        <w:rPr>
          <w:b/>
        </w:rPr>
        <w:t>all</w:t>
      </w:r>
      <w:r w:rsidRPr="00A72FB5">
        <w:rPr>
          <w:b/>
        </w:rPr>
        <w:t xml:space="preserve"> </w:t>
      </w:r>
      <w:r w:rsidR="00D8470F" w:rsidRPr="00A72FB5">
        <w:rPr>
          <w:b/>
        </w:rPr>
        <w:t>for</w:t>
      </w:r>
      <w:r w:rsidRPr="00A72FB5">
        <w:rPr>
          <w:b/>
        </w:rPr>
        <w:t xml:space="preserve"> </w:t>
      </w:r>
      <w:r w:rsidR="00D8470F" w:rsidRPr="00A72FB5">
        <w:rPr>
          <w:b/>
        </w:rPr>
        <w:t>submissions</w:t>
      </w:r>
      <w:r w:rsidRPr="00A72FB5">
        <w:rPr>
          <w:b/>
        </w:rPr>
        <w:t xml:space="preserve"> – </w:t>
      </w:r>
      <w:r w:rsidR="00D056F1" w:rsidRPr="00A72FB5">
        <w:rPr>
          <w:b/>
        </w:rPr>
        <w:t>A</w:t>
      </w:r>
      <w:r w:rsidR="00A91DF1" w:rsidRPr="00A72FB5">
        <w:rPr>
          <w:b/>
        </w:rPr>
        <w:t>pplication</w:t>
      </w:r>
      <w:r w:rsidR="004D4A6E" w:rsidRPr="00A72FB5">
        <w:rPr>
          <w:b/>
        </w:rPr>
        <w:t xml:space="preserve"> </w:t>
      </w:r>
      <w:r w:rsidR="00D056F1" w:rsidRPr="00A72FB5">
        <w:rPr>
          <w:b/>
        </w:rPr>
        <w:t>A</w:t>
      </w:r>
      <w:r w:rsidR="004D4A6E" w:rsidRPr="00A72FB5">
        <w:rPr>
          <w:b/>
        </w:rPr>
        <w:t>1111</w:t>
      </w:r>
    </w:p>
    <w:p w14:paraId="25F57E8D" w14:textId="77777777" w:rsidR="00E203C2" w:rsidRPr="00E203C2" w:rsidRDefault="00E203C2" w:rsidP="00E203C2"/>
    <w:p w14:paraId="1D0B6035" w14:textId="77777777" w:rsidR="00A72FB5" w:rsidRPr="008848A4" w:rsidRDefault="00A72FB5" w:rsidP="00A72FB5">
      <w:pPr>
        <w:pStyle w:val="FSTitle"/>
      </w:pPr>
      <w:r w:rsidRPr="00071694">
        <w:t>Bacteriophage S16 &amp; FO1a as a Processing Aid</w:t>
      </w:r>
    </w:p>
    <w:p w14:paraId="0BF15CB5" w14:textId="77777777" w:rsidR="00E203C2" w:rsidRPr="00E81F6E" w:rsidRDefault="00E203C2" w:rsidP="00E203C2">
      <w:pPr>
        <w:pBdr>
          <w:bottom w:val="single" w:sz="12" w:space="1" w:color="auto"/>
        </w:pBdr>
        <w:spacing w:line="280" w:lineRule="exact"/>
        <w:rPr>
          <w:rFonts w:cs="Arial"/>
          <w:bCs/>
        </w:rPr>
      </w:pPr>
    </w:p>
    <w:p w14:paraId="457E4E71" w14:textId="77777777" w:rsidR="001271FC" w:rsidRDefault="001271FC" w:rsidP="00E203C2">
      <w:pPr>
        <w:rPr>
          <w:sz w:val="20"/>
          <w:szCs w:val="20"/>
        </w:rPr>
      </w:pPr>
    </w:p>
    <w:p w14:paraId="199411DB" w14:textId="40FE1D33" w:rsidR="00E063C6" w:rsidRPr="00A72FB5" w:rsidRDefault="00E063C6" w:rsidP="00E203C2">
      <w:pPr>
        <w:rPr>
          <w:sz w:val="20"/>
          <w:szCs w:val="20"/>
        </w:rPr>
      </w:pPr>
      <w:r w:rsidRPr="00A72FB5">
        <w:rPr>
          <w:sz w:val="20"/>
          <w:szCs w:val="20"/>
        </w:rPr>
        <w:t xml:space="preserve">FSANZ </w:t>
      </w:r>
      <w:r w:rsidR="00D81D38" w:rsidRPr="00A72FB5">
        <w:rPr>
          <w:sz w:val="20"/>
          <w:szCs w:val="20"/>
        </w:rPr>
        <w:t>has assessed an A</w:t>
      </w:r>
      <w:r w:rsidR="00351B07" w:rsidRPr="00A72FB5">
        <w:rPr>
          <w:sz w:val="20"/>
          <w:szCs w:val="20"/>
        </w:rPr>
        <w:t>pplication made by</w:t>
      </w:r>
      <w:r w:rsidR="00A72FB5" w:rsidRPr="00A72FB5">
        <w:rPr>
          <w:sz w:val="20"/>
          <w:szCs w:val="20"/>
        </w:rPr>
        <w:t xml:space="preserve"> Micreos B</w:t>
      </w:r>
      <w:r w:rsidR="005A1BDE">
        <w:rPr>
          <w:sz w:val="20"/>
          <w:szCs w:val="20"/>
        </w:rPr>
        <w:t>.</w:t>
      </w:r>
      <w:r w:rsidR="00A72FB5" w:rsidRPr="00A72FB5">
        <w:rPr>
          <w:sz w:val="20"/>
          <w:szCs w:val="20"/>
        </w:rPr>
        <w:t>V</w:t>
      </w:r>
      <w:r w:rsidR="005A1BDE">
        <w:rPr>
          <w:sz w:val="20"/>
          <w:szCs w:val="20"/>
        </w:rPr>
        <w:t>.</w:t>
      </w:r>
      <w:r w:rsidR="00351B07" w:rsidRPr="00A72FB5">
        <w:rPr>
          <w:sz w:val="20"/>
          <w:szCs w:val="20"/>
        </w:rPr>
        <w:t xml:space="preserve"> </w:t>
      </w:r>
      <w:r w:rsidR="00A72FB5" w:rsidRPr="00A72FB5">
        <w:rPr>
          <w:sz w:val="20"/>
          <w:szCs w:val="20"/>
        </w:rPr>
        <w:t>to approve a preparation</w:t>
      </w:r>
      <w:r w:rsidR="001337B6">
        <w:rPr>
          <w:sz w:val="20"/>
          <w:szCs w:val="20"/>
        </w:rPr>
        <w:t xml:space="preserve"> </w:t>
      </w:r>
      <w:r w:rsidR="00A72FB5" w:rsidRPr="00A72FB5">
        <w:rPr>
          <w:sz w:val="20"/>
          <w:szCs w:val="20"/>
        </w:rPr>
        <w:t>of two bacteriophages (S16 and FO1a)</w:t>
      </w:r>
      <w:r w:rsidR="001337B6">
        <w:rPr>
          <w:sz w:val="20"/>
          <w:szCs w:val="20"/>
        </w:rPr>
        <w:t>, Salmonelex</w:t>
      </w:r>
      <w:r w:rsidR="001337B6" w:rsidRPr="001337B6">
        <w:rPr>
          <w:sz w:val="20"/>
          <w:szCs w:val="20"/>
          <w:vertAlign w:val="superscript"/>
        </w:rPr>
        <w:t>TM</w:t>
      </w:r>
      <w:r w:rsidR="001337B6">
        <w:rPr>
          <w:sz w:val="20"/>
          <w:szCs w:val="20"/>
        </w:rPr>
        <w:t xml:space="preserve">, </w:t>
      </w:r>
      <w:r w:rsidR="00A72FB5" w:rsidRPr="00A72FB5">
        <w:rPr>
          <w:sz w:val="20"/>
          <w:szCs w:val="20"/>
        </w:rPr>
        <w:t>(</w:t>
      </w:r>
      <w:r w:rsidR="001337B6">
        <w:rPr>
          <w:sz w:val="20"/>
          <w:szCs w:val="20"/>
        </w:rPr>
        <w:t xml:space="preserve">hereafter referred to as </w:t>
      </w:r>
      <w:r w:rsidR="001337B6" w:rsidRPr="001337B6">
        <w:rPr>
          <w:i/>
          <w:sz w:val="20"/>
          <w:szCs w:val="20"/>
        </w:rPr>
        <w:t>Salmonella</w:t>
      </w:r>
      <w:r w:rsidR="001337B6">
        <w:rPr>
          <w:sz w:val="20"/>
          <w:szCs w:val="20"/>
        </w:rPr>
        <w:t xml:space="preserve"> phage)</w:t>
      </w:r>
      <w:r w:rsidR="00A72FB5" w:rsidRPr="00A72FB5">
        <w:rPr>
          <w:sz w:val="20"/>
          <w:szCs w:val="20"/>
        </w:rPr>
        <w:t xml:space="preserve"> as a processing aid to reduce </w:t>
      </w:r>
      <w:r w:rsidR="00A72FB5" w:rsidRPr="00A72FB5">
        <w:rPr>
          <w:i/>
          <w:sz w:val="20"/>
          <w:szCs w:val="20"/>
        </w:rPr>
        <w:t>Salmonella</w:t>
      </w:r>
      <w:r w:rsidR="00A72FB5" w:rsidRPr="00A72FB5">
        <w:rPr>
          <w:sz w:val="20"/>
          <w:szCs w:val="20"/>
        </w:rPr>
        <w:t xml:space="preserve"> spp. contamination in specific foods</w:t>
      </w:r>
      <w:r w:rsidR="00DB1EEE">
        <w:rPr>
          <w:sz w:val="20"/>
          <w:szCs w:val="20"/>
        </w:rPr>
        <w:t>,</w:t>
      </w:r>
      <w:r w:rsidR="00413CA8" w:rsidRPr="00A72FB5">
        <w:rPr>
          <w:sz w:val="20"/>
          <w:szCs w:val="20"/>
        </w:rPr>
        <w:t xml:space="preserve"> and has prepared a draft </w:t>
      </w:r>
      <w:r w:rsidR="00D8470F" w:rsidRPr="00A72FB5">
        <w:rPr>
          <w:sz w:val="20"/>
          <w:szCs w:val="20"/>
        </w:rPr>
        <w:t>food regulatory measure</w:t>
      </w:r>
      <w:r w:rsidR="00351B07" w:rsidRPr="00A72FB5">
        <w:rPr>
          <w:sz w:val="20"/>
          <w:szCs w:val="20"/>
        </w:rPr>
        <w:t xml:space="preserve">. </w:t>
      </w:r>
      <w:r w:rsidR="00D22F3C" w:rsidRPr="00A72FB5">
        <w:rPr>
          <w:sz w:val="20"/>
          <w:szCs w:val="20"/>
        </w:rPr>
        <w:t xml:space="preserve">Pursuant to section 31 of the </w:t>
      </w:r>
      <w:r w:rsidR="00D22F3C" w:rsidRPr="00A72FB5">
        <w:rPr>
          <w:i/>
          <w:sz w:val="20"/>
          <w:szCs w:val="20"/>
        </w:rPr>
        <w:t>Food Standard</w:t>
      </w:r>
      <w:r w:rsidR="00E203C2" w:rsidRPr="00A72FB5">
        <w:rPr>
          <w:i/>
          <w:sz w:val="20"/>
          <w:szCs w:val="20"/>
        </w:rPr>
        <w:t>s Australia New Zealand Act 1991</w:t>
      </w:r>
      <w:r w:rsidR="00D22F3C" w:rsidRPr="00A72FB5">
        <w:rPr>
          <w:i/>
          <w:sz w:val="20"/>
          <w:szCs w:val="20"/>
        </w:rPr>
        <w:t xml:space="preserve"> </w:t>
      </w:r>
      <w:r w:rsidR="00E203C2" w:rsidRPr="00A72FB5">
        <w:rPr>
          <w:sz w:val="20"/>
          <w:szCs w:val="20"/>
        </w:rPr>
        <w:t>(</w:t>
      </w:r>
      <w:r w:rsidR="00D22F3C" w:rsidRPr="00A72FB5">
        <w:rPr>
          <w:sz w:val="20"/>
          <w:szCs w:val="20"/>
        </w:rPr>
        <w:t>FSANZ Act), FSANZ now c</w:t>
      </w:r>
      <w:r w:rsidR="00E203C2" w:rsidRPr="00A72FB5">
        <w:rPr>
          <w:sz w:val="20"/>
          <w:szCs w:val="20"/>
        </w:rPr>
        <w:t xml:space="preserve">alls for submissions to assist consideration of the </w:t>
      </w:r>
      <w:r w:rsidR="00413CA8" w:rsidRPr="00A72FB5">
        <w:rPr>
          <w:sz w:val="20"/>
          <w:szCs w:val="20"/>
        </w:rPr>
        <w:t xml:space="preserve">draft </w:t>
      </w:r>
      <w:r w:rsidR="00D8470F" w:rsidRPr="00A72FB5">
        <w:rPr>
          <w:sz w:val="20"/>
          <w:szCs w:val="20"/>
        </w:rPr>
        <w:t>food regulatory measure</w:t>
      </w:r>
      <w:r w:rsidR="00D22F3C" w:rsidRPr="00A72FB5">
        <w:rPr>
          <w:sz w:val="20"/>
          <w:szCs w:val="20"/>
        </w:rPr>
        <w:t>.</w:t>
      </w:r>
    </w:p>
    <w:p w14:paraId="607DB900" w14:textId="77777777" w:rsidR="00413CA8" w:rsidRPr="002E68B2" w:rsidRDefault="00413CA8" w:rsidP="00E203C2">
      <w:pPr>
        <w:rPr>
          <w:sz w:val="18"/>
          <w:szCs w:val="20"/>
        </w:rPr>
      </w:pPr>
    </w:p>
    <w:p w14:paraId="522F28E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764172C5" w14:textId="77777777" w:rsidR="00D81D38" w:rsidRPr="00276026" w:rsidRDefault="00D81D38" w:rsidP="00276026">
      <w:pPr>
        <w:rPr>
          <w:sz w:val="20"/>
          <w:szCs w:val="20"/>
        </w:rPr>
      </w:pPr>
    </w:p>
    <w:p w14:paraId="47DCE0A2"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FA2846F" w14:textId="77777777" w:rsidR="00876515" w:rsidRPr="002E68B2" w:rsidRDefault="00876515" w:rsidP="00276026">
      <w:pPr>
        <w:rPr>
          <w:color w:val="000000"/>
          <w:sz w:val="18"/>
          <w:szCs w:val="20"/>
          <w:lang w:val="en-AU"/>
        </w:rPr>
      </w:pPr>
    </w:p>
    <w:p w14:paraId="18BF918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083DF362" w14:textId="77777777" w:rsidR="00E203C2" w:rsidRPr="002E68B2" w:rsidRDefault="00E203C2" w:rsidP="00E203C2">
      <w:pPr>
        <w:rPr>
          <w:color w:val="000000"/>
          <w:sz w:val="18"/>
          <w:szCs w:val="20"/>
          <w:lang w:val="en-AU"/>
        </w:rPr>
      </w:pPr>
    </w:p>
    <w:p w14:paraId="4BAEB132"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7D0A6A8" w14:textId="77777777" w:rsidR="00E203C2" w:rsidRPr="002E68B2" w:rsidRDefault="00E203C2" w:rsidP="00E203C2">
      <w:pPr>
        <w:rPr>
          <w:color w:val="000000"/>
          <w:sz w:val="18"/>
          <w:szCs w:val="20"/>
          <w:lang w:val="en-AU"/>
        </w:rPr>
      </w:pPr>
    </w:p>
    <w:p w14:paraId="6A962630"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1D43F142" w14:textId="77777777" w:rsidR="00E203C2" w:rsidRPr="00071694" w:rsidRDefault="00E203C2" w:rsidP="00E203C2">
      <w:pPr>
        <w:rPr>
          <w:color w:val="000000"/>
          <w:sz w:val="18"/>
          <w:lang w:val="en-AU"/>
        </w:rPr>
      </w:pPr>
    </w:p>
    <w:p w14:paraId="528B2114" w14:textId="3A02FCCE" w:rsidR="00E063C6" w:rsidRPr="002E68B2"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2E68B2">
        <w:rPr>
          <w:rFonts w:cs="Arial"/>
          <w:b/>
          <w:bCs/>
          <w:sz w:val="24"/>
        </w:rPr>
        <w:t xml:space="preserve">e) </w:t>
      </w:r>
      <w:r w:rsidR="002E68B2" w:rsidRPr="002E68B2">
        <w:rPr>
          <w:rFonts w:cs="Arial"/>
          <w:b/>
          <w:bCs/>
          <w:sz w:val="24"/>
        </w:rPr>
        <w:t>6 November 2015</w:t>
      </w:r>
    </w:p>
    <w:p w14:paraId="3E80EDA2" w14:textId="77777777" w:rsidR="00E203C2" w:rsidRPr="00071694" w:rsidRDefault="00E203C2" w:rsidP="00E203C2">
      <w:pPr>
        <w:rPr>
          <w:sz w:val="18"/>
          <w:szCs w:val="20"/>
          <w:lang w:val="en-AU"/>
        </w:rPr>
      </w:pPr>
    </w:p>
    <w:p w14:paraId="732932DF" w14:textId="77777777" w:rsidR="00E063C6" w:rsidRPr="007C174F" w:rsidRDefault="00E063C6" w:rsidP="002E68B2">
      <w:pPr>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E9178BF" w14:textId="77777777" w:rsidR="00E203C2" w:rsidRPr="00071694" w:rsidRDefault="00E203C2" w:rsidP="00E203C2">
      <w:pPr>
        <w:rPr>
          <w:sz w:val="18"/>
          <w:szCs w:val="20"/>
          <w:lang w:val="en-AU"/>
        </w:rPr>
      </w:pPr>
    </w:p>
    <w:p w14:paraId="7DD1E1D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7D30179" w14:textId="77777777" w:rsidR="00E203C2" w:rsidRPr="00071694" w:rsidRDefault="00E203C2" w:rsidP="003A7725">
      <w:pPr>
        <w:rPr>
          <w:sz w:val="18"/>
          <w:lang w:val="en-AU"/>
        </w:rPr>
      </w:pPr>
    </w:p>
    <w:p w14:paraId="74EC7A83"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F24E1A9" w14:textId="77777777" w:rsidR="00E203C2" w:rsidRPr="00071694" w:rsidRDefault="00E203C2" w:rsidP="00E203C2">
      <w:pPr>
        <w:rPr>
          <w:sz w:val="18"/>
          <w:szCs w:val="20"/>
          <w:lang w:val="en-AU"/>
        </w:rPr>
      </w:pPr>
    </w:p>
    <w:p w14:paraId="34F1E3CA"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EBC9C97"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64D02F62"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21B6BD56"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7C36499" w14:textId="704839A5"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DF71AD3" w14:textId="77777777" w:rsidR="00413CA8" w:rsidRDefault="00413CA8" w:rsidP="00E203C2">
      <w:pPr>
        <w:spacing w:line="280" w:lineRule="exact"/>
        <w:jc w:val="center"/>
        <w:rPr>
          <w:rFonts w:cs="Arial"/>
          <w:bCs/>
          <w:sz w:val="28"/>
          <w:szCs w:val="28"/>
        </w:rPr>
        <w:sectPr w:rsidR="00413CA8" w:rsidSect="002E68B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5BCCD0F0"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5B78818B" w14:textId="77777777" w:rsidR="00562917" w:rsidRPr="00AE766D" w:rsidRDefault="00562917" w:rsidP="00051ED9">
      <w:pPr>
        <w:rPr>
          <w:rFonts w:cs="Arial"/>
        </w:rPr>
      </w:pPr>
    </w:p>
    <w:p w14:paraId="357FB851" w14:textId="77777777" w:rsidR="00071694" w:rsidRDefault="00051ED9">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30251009" w:history="1">
        <w:r w:rsidR="00071694" w:rsidRPr="00430FA4">
          <w:rPr>
            <w:rStyle w:val="Hyperlink"/>
            <w:noProof/>
          </w:rPr>
          <w:t>Executive summary</w:t>
        </w:r>
        <w:r w:rsidR="00071694">
          <w:rPr>
            <w:noProof/>
            <w:webHidden/>
          </w:rPr>
          <w:tab/>
        </w:r>
        <w:r w:rsidR="00071694">
          <w:rPr>
            <w:noProof/>
            <w:webHidden/>
          </w:rPr>
          <w:fldChar w:fldCharType="begin"/>
        </w:r>
        <w:r w:rsidR="00071694">
          <w:rPr>
            <w:noProof/>
            <w:webHidden/>
          </w:rPr>
          <w:instrText xml:space="preserve"> PAGEREF _Toc430251009 \h </w:instrText>
        </w:r>
        <w:r w:rsidR="00071694">
          <w:rPr>
            <w:noProof/>
            <w:webHidden/>
          </w:rPr>
        </w:r>
        <w:r w:rsidR="00071694">
          <w:rPr>
            <w:noProof/>
            <w:webHidden/>
          </w:rPr>
          <w:fldChar w:fldCharType="separate"/>
        </w:r>
        <w:r w:rsidR="00071694">
          <w:rPr>
            <w:noProof/>
            <w:webHidden/>
          </w:rPr>
          <w:t>2</w:t>
        </w:r>
        <w:r w:rsidR="00071694">
          <w:rPr>
            <w:noProof/>
            <w:webHidden/>
          </w:rPr>
          <w:fldChar w:fldCharType="end"/>
        </w:r>
      </w:hyperlink>
    </w:p>
    <w:p w14:paraId="7FCEC00E" w14:textId="77777777" w:rsidR="00071694" w:rsidRDefault="00FB13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0251010" w:history="1">
        <w:r w:rsidR="00071694" w:rsidRPr="00430FA4">
          <w:rPr>
            <w:rStyle w:val="Hyperlink"/>
            <w:noProof/>
          </w:rPr>
          <w:t>1</w:t>
        </w:r>
        <w:r w:rsidR="00071694">
          <w:rPr>
            <w:rFonts w:eastAsiaTheme="minorEastAsia" w:cstheme="minorBidi"/>
            <w:b w:val="0"/>
            <w:bCs w:val="0"/>
            <w:caps w:val="0"/>
            <w:noProof/>
            <w:sz w:val="22"/>
            <w:szCs w:val="22"/>
            <w:lang w:eastAsia="en-GB" w:bidi="ar-SA"/>
          </w:rPr>
          <w:tab/>
        </w:r>
        <w:r w:rsidR="00071694" w:rsidRPr="00430FA4">
          <w:rPr>
            <w:rStyle w:val="Hyperlink"/>
            <w:noProof/>
          </w:rPr>
          <w:t>Introduction</w:t>
        </w:r>
        <w:r w:rsidR="00071694">
          <w:rPr>
            <w:noProof/>
            <w:webHidden/>
          </w:rPr>
          <w:tab/>
        </w:r>
        <w:r w:rsidR="00071694">
          <w:rPr>
            <w:noProof/>
            <w:webHidden/>
          </w:rPr>
          <w:fldChar w:fldCharType="begin"/>
        </w:r>
        <w:r w:rsidR="00071694">
          <w:rPr>
            <w:noProof/>
            <w:webHidden/>
          </w:rPr>
          <w:instrText xml:space="preserve"> PAGEREF _Toc430251010 \h </w:instrText>
        </w:r>
        <w:r w:rsidR="00071694">
          <w:rPr>
            <w:noProof/>
            <w:webHidden/>
          </w:rPr>
        </w:r>
        <w:r w:rsidR="00071694">
          <w:rPr>
            <w:noProof/>
            <w:webHidden/>
          </w:rPr>
          <w:fldChar w:fldCharType="separate"/>
        </w:r>
        <w:r w:rsidR="00071694">
          <w:rPr>
            <w:noProof/>
            <w:webHidden/>
          </w:rPr>
          <w:t>3</w:t>
        </w:r>
        <w:r w:rsidR="00071694">
          <w:rPr>
            <w:noProof/>
            <w:webHidden/>
          </w:rPr>
          <w:fldChar w:fldCharType="end"/>
        </w:r>
      </w:hyperlink>
    </w:p>
    <w:p w14:paraId="39AAE7FA"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1" w:history="1">
        <w:r w:rsidR="00071694" w:rsidRPr="00430FA4">
          <w:rPr>
            <w:rStyle w:val="Hyperlink"/>
            <w:noProof/>
          </w:rPr>
          <w:t>1.1</w:t>
        </w:r>
        <w:r w:rsidR="00071694">
          <w:rPr>
            <w:rFonts w:eastAsiaTheme="minorEastAsia" w:cstheme="minorBidi"/>
            <w:smallCaps w:val="0"/>
            <w:noProof/>
            <w:sz w:val="22"/>
            <w:szCs w:val="22"/>
            <w:lang w:eastAsia="en-GB" w:bidi="ar-SA"/>
          </w:rPr>
          <w:tab/>
        </w:r>
        <w:r w:rsidR="00071694" w:rsidRPr="00430FA4">
          <w:rPr>
            <w:rStyle w:val="Hyperlink"/>
            <w:noProof/>
          </w:rPr>
          <w:t>The Applicant</w:t>
        </w:r>
        <w:r w:rsidR="00071694">
          <w:rPr>
            <w:noProof/>
            <w:webHidden/>
          </w:rPr>
          <w:tab/>
        </w:r>
        <w:r w:rsidR="00071694">
          <w:rPr>
            <w:noProof/>
            <w:webHidden/>
          </w:rPr>
          <w:fldChar w:fldCharType="begin"/>
        </w:r>
        <w:r w:rsidR="00071694">
          <w:rPr>
            <w:noProof/>
            <w:webHidden/>
          </w:rPr>
          <w:instrText xml:space="preserve"> PAGEREF _Toc430251011 \h </w:instrText>
        </w:r>
        <w:r w:rsidR="00071694">
          <w:rPr>
            <w:noProof/>
            <w:webHidden/>
          </w:rPr>
        </w:r>
        <w:r w:rsidR="00071694">
          <w:rPr>
            <w:noProof/>
            <w:webHidden/>
          </w:rPr>
          <w:fldChar w:fldCharType="separate"/>
        </w:r>
        <w:r w:rsidR="00071694">
          <w:rPr>
            <w:noProof/>
            <w:webHidden/>
          </w:rPr>
          <w:t>3</w:t>
        </w:r>
        <w:r w:rsidR="00071694">
          <w:rPr>
            <w:noProof/>
            <w:webHidden/>
          </w:rPr>
          <w:fldChar w:fldCharType="end"/>
        </w:r>
      </w:hyperlink>
    </w:p>
    <w:p w14:paraId="6C922448"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2" w:history="1">
        <w:r w:rsidR="00071694" w:rsidRPr="00430FA4">
          <w:rPr>
            <w:rStyle w:val="Hyperlink"/>
            <w:noProof/>
          </w:rPr>
          <w:t>1.2</w:t>
        </w:r>
        <w:r w:rsidR="00071694">
          <w:rPr>
            <w:rFonts w:eastAsiaTheme="minorEastAsia" w:cstheme="minorBidi"/>
            <w:smallCaps w:val="0"/>
            <w:noProof/>
            <w:sz w:val="22"/>
            <w:szCs w:val="22"/>
            <w:lang w:eastAsia="en-GB" w:bidi="ar-SA"/>
          </w:rPr>
          <w:tab/>
        </w:r>
        <w:r w:rsidR="00071694" w:rsidRPr="00430FA4">
          <w:rPr>
            <w:rStyle w:val="Hyperlink"/>
            <w:noProof/>
          </w:rPr>
          <w:t>The Application</w:t>
        </w:r>
        <w:r w:rsidR="00071694">
          <w:rPr>
            <w:noProof/>
            <w:webHidden/>
          </w:rPr>
          <w:tab/>
        </w:r>
        <w:r w:rsidR="00071694">
          <w:rPr>
            <w:noProof/>
            <w:webHidden/>
          </w:rPr>
          <w:fldChar w:fldCharType="begin"/>
        </w:r>
        <w:r w:rsidR="00071694">
          <w:rPr>
            <w:noProof/>
            <w:webHidden/>
          </w:rPr>
          <w:instrText xml:space="preserve"> PAGEREF _Toc430251012 \h </w:instrText>
        </w:r>
        <w:r w:rsidR="00071694">
          <w:rPr>
            <w:noProof/>
            <w:webHidden/>
          </w:rPr>
        </w:r>
        <w:r w:rsidR="00071694">
          <w:rPr>
            <w:noProof/>
            <w:webHidden/>
          </w:rPr>
          <w:fldChar w:fldCharType="separate"/>
        </w:r>
        <w:r w:rsidR="00071694">
          <w:rPr>
            <w:noProof/>
            <w:webHidden/>
          </w:rPr>
          <w:t>3</w:t>
        </w:r>
        <w:r w:rsidR="00071694">
          <w:rPr>
            <w:noProof/>
            <w:webHidden/>
          </w:rPr>
          <w:fldChar w:fldCharType="end"/>
        </w:r>
      </w:hyperlink>
    </w:p>
    <w:p w14:paraId="3D86BC6B"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3" w:history="1">
        <w:r w:rsidR="00071694" w:rsidRPr="00430FA4">
          <w:rPr>
            <w:rStyle w:val="Hyperlink"/>
            <w:noProof/>
          </w:rPr>
          <w:t>1.3</w:t>
        </w:r>
        <w:r w:rsidR="00071694">
          <w:rPr>
            <w:rFonts w:eastAsiaTheme="minorEastAsia" w:cstheme="minorBidi"/>
            <w:smallCaps w:val="0"/>
            <w:noProof/>
            <w:sz w:val="22"/>
            <w:szCs w:val="22"/>
            <w:lang w:eastAsia="en-GB" w:bidi="ar-SA"/>
          </w:rPr>
          <w:tab/>
        </w:r>
        <w:r w:rsidR="00071694" w:rsidRPr="00430FA4">
          <w:rPr>
            <w:rStyle w:val="Hyperlink"/>
            <w:noProof/>
          </w:rPr>
          <w:t>The current Standard</w:t>
        </w:r>
        <w:r w:rsidR="00071694">
          <w:rPr>
            <w:noProof/>
            <w:webHidden/>
          </w:rPr>
          <w:tab/>
        </w:r>
        <w:r w:rsidR="00071694">
          <w:rPr>
            <w:noProof/>
            <w:webHidden/>
          </w:rPr>
          <w:fldChar w:fldCharType="begin"/>
        </w:r>
        <w:r w:rsidR="00071694">
          <w:rPr>
            <w:noProof/>
            <w:webHidden/>
          </w:rPr>
          <w:instrText xml:space="preserve"> PAGEREF _Toc430251013 \h </w:instrText>
        </w:r>
        <w:r w:rsidR="00071694">
          <w:rPr>
            <w:noProof/>
            <w:webHidden/>
          </w:rPr>
        </w:r>
        <w:r w:rsidR="00071694">
          <w:rPr>
            <w:noProof/>
            <w:webHidden/>
          </w:rPr>
          <w:fldChar w:fldCharType="separate"/>
        </w:r>
        <w:r w:rsidR="00071694">
          <w:rPr>
            <w:noProof/>
            <w:webHidden/>
          </w:rPr>
          <w:t>3</w:t>
        </w:r>
        <w:r w:rsidR="00071694">
          <w:rPr>
            <w:noProof/>
            <w:webHidden/>
          </w:rPr>
          <w:fldChar w:fldCharType="end"/>
        </w:r>
      </w:hyperlink>
    </w:p>
    <w:p w14:paraId="74F71BAD" w14:textId="77777777" w:rsidR="00071694" w:rsidRDefault="00FB1358" w:rsidP="00071694">
      <w:pPr>
        <w:pStyle w:val="TOC3"/>
        <w:rPr>
          <w:rFonts w:eastAsiaTheme="minorEastAsia" w:cstheme="minorBidi"/>
          <w:noProof/>
          <w:sz w:val="22"/>
          <w:szCs w:val="22"/>
          <w:lang w:eastAsia="en-GB" w:bidi="ar-SA"/>
        </w:rPr>
      </w:pPr>
      <w:hyperlink w:anchor="_Toc430251014" w:history="1">
        <w:r w:rsidR="00071694" w:rsidRPr="00430FA4">
          <w:rPr>
            <w:rStyle w:val="Hyperlink"/>
            <w:noProof/>
          </w:rPr>
          <w:t>1.3.1</w:t>
        </w:r>
        <w:r w:rsidR="00071694">
          <w:rPr>
            <w:rFonts w:eastAsiaTheme="minorEastAsia" w:cstheme="minorBidi"/>
            <w:noProof/>
            <w:sz w:val="22"/>
            <w:szCs w:val="22"/>
            <w:lang w:eastAsia="en-GB" w:bidi="ar-SA"/>
          </w:rPr>
          <w:tab/>
        </w:r>
        <w:r w:rsidR="00071694" w:rsidRPr="00430FA4">
          <w:rPr>
            <w:rStyle w:val="Hyperlink"/>
            <w:noProof/>
          </w:rPr>
          <w:t>International Standards</w:t>
        </w:r>
        <w:r w:rsidR="00071694">
          <w:rPr>
            <w:noProof/>
            <w:webHidden/>
          </w:rPr>
          <w:tab/>
        </w:r>
        <w:r w:rsidR="00071694">
          <w:rPr>
            <w:noProof/>
            <w:webHidden/>
          </w:rPr>
          <w:fldChar w:fldCharType="begin"/>
        </w:r>
        <w:r w:rsidR="00071694">
          <w:rPr>
            <w:noProof/>
            <w:webHidden/>
          </w:rPr>
          <w:instrText xml:space="preserve"> PAGEREF _Toc430251014 \h </w:instrText>
        </w:r>
        <w:r w:rsidR="00071694">
          <w:rPr>
            <w:noProof/>
            <w:webHidden/>
          </w:rPr>
        </w:r>
        <w:r w:rsidR="00071694">
          <w:rPr>
            <w:noProof/>
            <w:webHidden/>
          </w:rPr>
          <w:fldChar w:fldCharType="separate"/>
        </w:r>
        <w:r w:rsidR="00071694">
          <w:rPr>
            <w:noProof/>
            <w:webHidden/>
          </w:rPr>
          <w:t>4</w:t>
        </w:r>
        <w:r w:rsidR="00071694">
          <w:rPr>
            <w:noProof/>
            <w:webHidden/>
          </w:rPr>
          <w:fldChar w:fldCharType="end"/>
        </w:r>
      </w:hyperlink>
    </w:p>
    <w:p w14:paraId="46EDAEA3"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5" w:history="1">
        <w:r w:rsidR="00071694" w:rsidRPr="00430FA4">
          <w:rPr>
            <w:rStyle w:val="Hyperlink"/>
            <w:noProof/>
            <w:u w:color="FFFF00"/>
          </w:rPr>
          <w:t>1.4</w:t>
        </w:r>
        <w:r w:rsidR="00071694">
          <w:rPr>
            <w:rFonts w:eastAsiaTheme="minorEastAsia" w:cstheme="minorBidi"/>
            <w:smallCaps w:val="0"/>
            <w:noProof/>
            <w:sz w:val="22"/>
            <w:szCs w:val="22"/>
            <w:lang w:eastAsia="en-GB" w:bidi="ar-SA"/>
          </w:rPr>
          <w:tab/>
        </w:r>
        <w:r w:rsidR="00071694" w:rsidRPr="00430FA4">
          <w:rPr>
            <w:rStyle w:val="Hyperlink"/>
            <w:noProof/>
            <w:u w:color="FFFF00"/>
          </w:rPr>
          <w:t>Reasons for accepting Application</w:t>
        </w:r>
        <w:r w:rsidR="00071694">
          <w:rPr>
            <w:noProof/>
            <w:webHidden/>
          </w:rPr>
          <w:tab/>
        </w:r>
        <w:r w:rsidR="00071694">
          <w:rPr>
            <w:noProof/>
            <w:webHidden/>
          </w:rPr>
          <w:fldChar w:fldCharType="begin"/>
        </w:r>
        <w:r w:rsidR="00071694">
          <w:rPr>
            <w:noProof/>
            <w:webHidden/>
          </w:rPr>
          <w:instrText xml:space="preserve"> PAGEREF _Toc430251015 \h </w:instrText>
        </w:r>
        <w:r w:rsidR="00071694">
          <w:rPr>
            <w:noProof/>
            <w:webHidden/>
          </w:rPr>
        </w:r>
        <w:r w:rsidR="00071694">
          <w:rPr>
            <w:noProof/>
            <w:webHidden/>
          </w:rPr>
          <w:fldChar w:fldCharType="separate"/>
        </w:r>
        <w:r w:rsidR="00071694">
          <w:rPr>
            <w:noProof/>
            <w:webHidden/>
          </w:rPr>
          <w:t>5</w:t>
        </w:r>
        <w:r w:rsidR="00071694">
          <w:rPr>
            <w:noProof/>
            <w:webHidden/>
          </w:rPr>
          <w:fldChar w:fldCharType="end"/>
        </w:r>
      </w:hyperlink>
    </w:p>
    <w:p w14:paraId="2751878C"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6" w:history="1">
        <w:r w:rsidR="00071694" w:rsidRPr="00430FA4">
          <w:rPr>
            <w:rStyle w:val="Hyperlink"/>
            <w:noProof/>
          </w:rPr>
          <w:t>1.5</w:t>
        </w:r>
        <w:r w:rsidR="00071694">
          <w:rPr>
            <w:rFonts w:eastAsiaTheme="minorEastAsia" w:cstheme="minorBidi"/>
            <w:smallCaps w:val="0"/>
            <w:noProof/>
            <w:sz w:val="22"/>
            <w:szCs w:val="22"/>
            <w:lang w:eastAsia="en-GB" w:bidi="ar-SA"/>
          </w:rPr>
          <w:tab/>
        </w:r>
        <w:r w:rsidR="00071694" w:rsidRPr="00430FA4">
          <w:rPr>
            <w:rStyle w:val="Hyperlink"/>
            <w:noProof/>
          </w:rPr>
          <w:t>Procedure for assessment</w:t>
        </w:r>
        <w:r w:rsidR="00071694">
          <w:rPr>
            <w:noProof/>
            <w:webHidden/>
          </w:rPr>
          <w:tab/>
        </w:r>
        <w:r w:rsidR="00071694">
          <w:rPr>
            <w:noProof/>
            <w:webHidden/>
          </w:rPr>
          <w:fldChar w:fldCharType="begin"/>
        </w:r>
        <w:r w:rsidR="00071694">
          <w:rPr>
            <w:noProof/>
            <w:webHidden/>
          </w:rPr>
          <w:instrText xml:space="preserve"> PAGEREF _Toc430251016 \h </w:instrText>
        </w:r>
        <w:r w:rsidR="00071694">
          <w:rPr>
            <w:noProof/>
            <w:webHidden/>
          </w:rPr>
        </w:r>
        <w:r w:rsidR="00071694">
          <w:rPr>
            <w:noProof/>
            <w:webHidden/>
          </w:rPr>
          <w:fldChar w:fldCharType="separate"/>
        </w:r>
        <w:r w:rsidR="00071694">
          <w:rPr>
            <w:noProof/>
            <w:webHidden/>
          </w:rPr>
          <w:t>5</w:t>
        </w:r>
        <w:r w:rsidR="00071694">
          <w:rPr>
            <w:noProof/>
            <w:webHidden/>
          </w:rPr>
          <w:fldChar w:fldCharType="end"/>
        </w:r>
      </w:hyperlink>
    </w:p>
    <w:p w14:paraId="7DC9C1A6" w14:textId="77777777" w:rsidR="00071694" w:rsidRDefault="00FB13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0251017" w:history="1">
        <w:r w:rsidR="00071694" w:rsidRPr="00430FA4">
          <w:rPr>
            <w:rStyle w:val="Hyperlink"/>
            <w:noProof/>
          </w:rPr>
          <w:t>2</w:t>
        </w:r>
        <w:r w:rsidR="00071694">
          <w:rPr>
            <w:rFonts w:eastAsiaTheme="minorEastAsia" w:cstheme="minorBidi"/>
            <w:b w:val="0"/>
            <w:bCs w:val="0"/>
            <w:caps w:val="0"/>
            <w:noProof/>
            <w:sz w:val="22"/>
            <w:szCs w:val="22"/>
            <w:lang w:eastAsia="en-GB" w:bidi="ar-SA"/>
          </w:rPr>
          <w:tab/>
        </w:r>
        <w:r w:rsidR="00071694" w:rsidRPr="00430FA4">
          <w:rPr>
            <w:rStyle w:val="Hyperlink"/>
            <w:noProof/>
          </w:rPr>
          <w:t>Summary of the assessment</w:t>
        </w:r>
        <w:r w:rsidR="00071694">
          <w:rPr>
            <w:noProof/>
            <w:webHidden/>
          </w:rPr>
          <w:tab/>
        </w:r>
        <w:r w:rsidR="00071694">
          <w:rPr>
            <w:noProof/>
            <w:webHidden/>
          </w:rPr>
          <w:fldChar w:fldCharType="begin"/>
        </w:r>
        <w:r w:rsidR="00071694">
          <w:rPr>
            <w:noProof/>
            <w:webHidden/>
          </w:rPr>
          <w:instrText xml:space="preserve"> PAGEREF _Toc430251017 \h </w:instrText>
        </w:r>
        <w:r w:rsidR="00071694">
          <w:rPr>
            <w:noProof/>
            <w:webHidden/>
          </w:rPr>
        </w:r>
        <w:r w:rsidR="00071694">
          <w:rPr>
            <w:noProof/>
            <w:webHidden/>
          </w:rPr>
          <w:fldChar w:fldCharType="separate"/>
        </w:r>
        <w:r w:rsidR="00071694">
          <w:rPr>
            <w:noProof/>
            <w:webHidden/>
          </w:rPr>
          <w:t>5</w:t>
        </w:r>
        <w:r w:rsidR="00071694">
          <w:rPr>
            <w:noProof/>
            <w:webHidden/>
          </w:rPr>
          <w:fldChar w:fldCharType="end"/>
        </w:r>
      </w:hyperlink>
    </w:p>
    <w:p w14:paraId="4016FB8F"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8" w:history="1">
        <w:r w:rsidR="00071694" w:rsidRPr="00430FA4">
          <w:rPr>
            <w:rStyle w:val="Hyperlink"/>
            <w:noProof/>
          </w:rPr>
          <w:t>2.1</w:t>
        </w:r>
        <w:r w:rsidR="00071694">
          <w:rPr>
            <w:rFonts w:eastAsiaTheme="minorEastAsia" w:cstheme="minorBidi"/>
            <w:smallCaps w:val="0"/>
            <w:noProof/>
            <w:sz w:val="22"/>
            <w:szCs w:val="22"/>
            <w:lang w:eastAsia="en-GB" w:bidi="ar-SA"/>
          </w:rPr>
          <w:tab/>
        </w:r>
        <w:r w:rsidR="00071694" w:rsidRPr="00430FA4">
          <w:rPr>
            <w:rStyle w:val="Hyperlink"/>
            <w:noProof/>
          </w:rPr>
          <w:t>Risk assessment</w:t>
        </w:r>
        <w:r w:rsidR="00071694">
          <w:rPr>
            <w:noProof/>
            <w:webHidden/>
          </w:rPr>
          <w:tab/>
        </w:r>
        <w:r w:rsidR="00071694">
          <w:rPr>
            <w:noProof/>
            <w:webHidden/>
          </w:rPr>
          <w:fldChar w:fldCharType="begin"/>
        </w:r>
        <w:r w:rsidR="00071694">
          <w:rPr>
            <w:noProof/>
            <w:webHidden/>
          </w:rPr>
          <w:instrText xml:space="preserve"> PAGEREF _Toc430251018 \h </w:instrText>
        </w:r>
        <w:r w:rsidR="00071694">
          <w:rPr>
            <w:noProof/>
            <w:webHidden/>
          </w:rPr>
        </w:r>
        <w:r w:rsidR="00071694">
          <w:rPr>
            <w:noProof/>
            <w:webHidden/>
          </w:rPr>
          <w:fldChar w:fldCharType="separate"/>
        </w:r>
        <w:r w:rsidR="00071694">
          <w:rPr>
            <w:noProof/>
            <w:webHidden/>
          </w:rPr>
          <w:t>5</w:t>
        </w:r>
        <w:r w:rsidR="00071694">
          <w:rPr>
            <w:noProof/>
            <w:webHidden/>
          </w:rPr>
          <w:fldChar w:fldCharType="end"/>
        </w:r>
      </w:hyperlink>
    </w:p>
    <w:p w14:paraId="4CBD7956"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19" w:history="1">
        <w:r w:rsidR="00071694" w:rsidRPr="00430FA4">
          <w:rPr>
            <w:rStyle w:val="Hyperlink"/>
            <w:noProof/>
          </w:rPr>
          <w:t>2.2</w:t>
        </w:r>
        <w:r w:rsidR="00071694">
          <w:rPr>
            <w:rFonts w:eastAsiaTheme="minorEastAsia" w:cstheme="minorBidi"/>
            <w:smallCaps w:val="0"/>
            <w:noProof/>
            <w:sz w:val="22"/>
            <w:szCs w:val="22"/>
            <w:lang w:eastAsia="en-GB" w:bidi="ar-SA"/>
          </w:rPr>
          <w:tab/>
        </w:r>
        <w:r w:rsidR="00071694" w:rsidRPr="00430FA4">
          <w:rPr>
            <w:rStyle w:val="Hyperlink"/>
            <w:noProof/>
          </w:rPr>
          <w:t>Risk management</w:t>
        </w:r>
        <w:r w:rsidR="00071694">
          <w:rPr>
            <w:noProof/>
            <w:webHidden/>
          </w:rPr>
          <w:tab/>
        </w:r>
        <w:r w:rsidR="00071694">
          <w:rPr>
            <w:noProof/>
            <w:webHidden/>
          </w:rPr>
          <w:fldChar w:fldCharType="begin"/>
        </w:r>
        <w:r w:rsidR="00071694">
          <w:rPr>
            <w:noProof/>
            <w:webHidden/>
          </w:rPr>
          <w:instrText xml:space="preserve"> PAGEREF _Toc430251019 \h </w:instrText>
        </w:r>
        <w:r w:rsidR="00071694">
          <w:rPr>
            <w:noProof/>
            <w:webHidden/>
          </w:rPr>
        </w:r>
        <w:r w:rsidR="00071694">
          <w:rPr>
            <w:noProof/>
            <w:webHidden/>
          </w:rPr>
          <w:fldChar w:fldCharType="separate"/>
        </w:r>
        <w:r w:rsidR="00071694">
          <w:rPr>
            <w:noProof/>
            <w:webHidden/>
          </w:rPr>
          <w:t>6</w:t>
        </w:r>
        <w:r w:rsidR="00071694">
          <w:rPr>
            <w:noProof/>
            <w:webHidden/>
          </w:rPr>
          <w:fldChar w:fldCharType="end"/>
        </w:r>
      </w:hyperlink>
    </w:p>
    <w:p w14:paraId="1BE4B0A9" w14:textId="77777777" w:rsidR="00071694" w:rsidRDefault="00FB1358" w:rsidP="00071694">
      <w:pPr>
        <w:pStyle w:val="TOC3"/>
        <w:rPr>
          <w:rFonts w:eastAsiaTheme="minorEastAsia" w:cstheme="minorBidi"/>
          <w:noProof/>
          <w:sz w:val="22"/>
          <w:szCs w:val="22"/>
          <w:lang w:eastAsia="en-GB" w:bidi="ar-SA"/>
        </w:rPr>
      </w:pPr>
      <w:hyperlink w:anchor="_Toc430251020" w:history="1">
        <w:r w:rsidR="00071694" w:rsidRPr="00430FA4">
          <w:rPr>
            <w:rStyle w:val="Hyperlink"/>
            <w:noProof/>
          </w:rPr>
          <w:t>2.2.1</w:t>
        </w:r>
        <w:r w:rsidR="00071694">
          <w:rPr>
            <w:rFonts w:eastAsiaTheme="minorEastAsia" w:cstheme="minorBidi"/>
            <w:noProof/>
            <w:sz w:val="22"/>
            <w:szCs w:val="22"/>
            <w:lang w:eastAsia="en-GB" w:bidi="ar-SA"/>
          </w:rPr>
          <w:tab/>
        </w:r>
        <w:r w:rsidR="00071694" w:rsidRPr="00430FA4">
          <w:rPr>
            <w:rStyle w:val="Hyperlink"/>
            <w:noProof/>
          </w:rPr>
          <w:t>Specification for Salmonella phage preparation (S16 and FO1a)</w:t>
        </w:r>
        <w:r w:rsidR="00071694">
          <w:rPr>
            <w:noProof/>
            <w:webHidden/>
          </w:rPr>
          <w:tab/>
        </w:r>
        <w:r w:rsidR="00071694">
          <w:rPr>
            <w:noProof/>
            <w:webHidden/>
          </w:rPr>
          <w:fldChar w:fldCharType="begin"/>
        </w:r>
        <w:r w:rsidR="00071694">
          <w:rPr>
            <w:noProof/>
            <w:webHidden/>
          </w:rPr>
          <w:instrText xml:space="preserve"> PAGEREF _Toc430251020 \h </w:instrText>
        </w:r>
        <w:r w:rsidR="00071694">
          <w:rPr>
            <w:noProof/>
            <w:webHidden/>
          </w:rPr>
        </w:r>
        <w:r w:rsidR="00071694">
          <w:rPr>
            <w:noProof/>
            <w:webHidden/>
          </w:rPr>
          <w:fldChar w:fldCharType="separate"/>
        </w:r>
        <w:r w:rsidR="00071694">
          <w:rPr>
            <w:noProof/>
            <w:webHidden/>
          </w:rPr>
          <w:t>6</w:t>
        </w:r>
        <w:r w:rsidR="00071694">
          <w:rPr>
            <w:noProof/>
            <w:webHidden/>
          </w:rPr>
          <w:fldChar w:fldCharType="end"/>
        </w:r>
      </w:hyperlink>
    </w:p>
    <w:p w14:paraId="2F5A03C2" w14:textId="77777777" w:rsidR="00071694" w:rsidRDefault="00FB1358" w:rsidP="00071694">
      <w:pPr>
        <w:pStyle w:val="TOC3"/>
        <w:rPr>
          <w:rFonts w:eastAsiaTheme="minorEastAsia" w:cstheme="minorBidi"/>
          <w:noProof/>
          <w:sz w:val="22"/>
          <w:szCs w:val="22"/>
          <w:lang w:eastAsia="en-GB" w:bidi="ar-SA"/>
        </w:rPr>
      </w:pPr>
      <w:hyperlink w:anchor="_Toc430251021" w:history="1">
        <w:r w:rsidR="00071694" w:rsidRPr="00430FA4">
          <w:rPr>
            <w:rStyle w:val="Hyperlink"/>
            <w:noProof/>
          </w:rPr>
          <w:t>2.2.2</w:t>
        </w:r>
        <w:r w:rsidR="00071694">
          <w:rPr>
            <w:rFonts w:eastAsiaTheme="minorEastAsia" w:cstheme="minorBidi"/>
            <w:noProof/>
            <w:sz w:val="22"/>
            <w:szCs w:val="22"/>
            <w:lang w:eastAsia="en-GB" w:bidi="ar-SA"/>
          </w:rPr>
          <w:tab/>
        </w:r>
        <w:r w:rsidR="00071694" w:rsidRPr="00430FA4">
          <w:rPr>
            <w:rStyle w:val="Hyperlink"/>
            <w:noProof/>
          </w:rPr>
          <w:t>Labelling considerations</w:t>
        </w:r>
        <w:r w:rsidR="00071694">
          <w:rPr>
            <w:noProof/>
            <w:webHidden/>
          </w:rPr>
          <w:tab/>
        </w:r>
        <w:r w:rsidR="00071694">
          <w:rPr>
            <w:noProof/>
            <w:webHidden/>
          </w:rPr>
          <w:fldChar w:fldCharType="begin"/>
        </w:r>
        <w:r w:rsidR="00071694">
          <w:rPr>
            <w:noProof/>
            <w:webHidden/>
          </w:rPr>
          <w:instrText xml:space="preserve"> PAGEREF _Toc430251021 \h </w:instrText>
        </w:r>
        <w:r w:rsidR="00071694">
          <w:rPr>
            <w:noProof/>
            <w:webHidden/>
          </w:rPr>
        </w:r>
        <w:r w:rsidR="00071694">
          <w:rPr>
            <w:noProof/>
            <w:webHidden/>
          </w:rPr>
          <w:fldChar w:fldCharType="separate"/>
        </w:r>
        <w:r w:rsidR="00071694">
          <w:rPr>
            <w:noProof/>
            <w:webHidden/>
          </w:rPr>
          <w:t>6</w:t>
        </w:r>
        <w:r w:rsidR="00071694">
          <w:rPr>
            <w:noProof/>
            <w:webHidden/>
          </w:rPr>
          <w:fldChar w:fldCharType="end"/>
        </w:r>
      </w:hyperlink>
    </w:p>
    <w:p w14:paraId="2B4F0471"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22" w:history="1">
        <w:r w:rsidR="00071694" w:rsidRPr="00430FA4">
          <w:rPr>
            <w:rStyle w:val="Hyperlink"/>
            <w:noProof/>
          </w:rPr>
          <w:t>2.3</w:t>
        </w:r>
        <w:r w:rsidR="00071694">
          <w:rPr>
            <w:rFonts w:eastAsiaTheme="minorEastAsia" w:cstheme="minorBidi"/>
            <w:smallCaps w:val="0"/>
            <w:noProof/>
            <w:sz w:val="22"/>
            <w:szCs w:val="22"/>
            <w:lang w:eastAsia="en-GB" w:bidi="ar-SA"/>
          </w:rPr>
          <w:tab/>
        </w:r>
        <w:r w:rsidR="00071694" w:rsidRPr="00430FA4">
          <w:rPr>
            <w:rStyle w:val="Hyperlink"/>
            <w:noProof/>
          </w:rPr>
          <w:t>Risk communication</w:t>
        </w:r>
        <w:r w:rsidR="00071694">
          <w:rPr>
            <w:noProof/>
            <w:webHidden/>
          </w:rPr>
          <w:tab/>
        </w:r>
        <w:r w:rsidR="00071694">
          <w:rPr>
            <w:noProof/>
            <w:webHidden/>
          </w:rPr>
          <w:fldChar w:fldCharType="begin"/>
        </w:r>
        <w:r w:rsidR="00071694">
          <w:rPr>
            <w:noProof/>
            <w:webHidden/>
          </w:rPr>
          <w:instrText xml:space="preserve"> PAGEREF _Toc430251022 \h </w:instrText>
        </w:r>
        <w:r w:rsidR="00071694">
          <w:rPr>
            <w:noProof/>
            <w:webHidden/>
          </w:rPr>
        </w:r>
        <w:r w:rsidR="00071694">
          <w:rPr>
            <w:noProof/>
            <w:webHidden/>
          </w:rPr>
          <w:fldChar w:fldCharType="separate"/>
        </w:r>
        <w:r w:rsidR="00071694">
          <w:rPr>
            <w:noProof/>
            <w:webHidden/>
          </w:rPr>
          <w:t>6</w:t>
        </w:r>
        <w:r w:rsidR="00071694">
          <w:rPr>
            <w:noProof/>
            <w:webHidden/>
          </w:rPr>
          <w:fldChar w:fldCharType="end"/>
        </w:r>
      </w:hyperlink>
    </w:p>
    <w:p w14:paraId="116A2A29" w14:textId="77777777" w:rsidR="00071694" w:rsidRDefault="00FB1358" w:rsidP="00071694">
      <w:pPr>
        <w:pStyle w:val="TOC3"/>
        <w:rPr>
          <w:rFonts w:eastAsiaTheme="minorEastAsia" w:cstheme="minorBidi"/>
          <w:noProof/>
          <w:sz w:val="22"/>
          <w:szCs w:val="22"/>
          <w:lang w:eastAsia="en-GB" w:bidi="ar-SA"/>
        </w:rPr>
      </w:pPr>
      <w:hyperlink w:anchor="_Toc430251023" w:history="1">
        <w:r w:rsidR="00071694" w:rsidRPr="00430FA4">
          <w:rPr>
            <w:rStyle w:val="Hyperlink"/>
            <w:noProof/>
          </w:rPr>
          <w:t>2.3.1</w:t>
        </w:r>
        <w:r w:rsidR="00071694">
          <w:rPr>
            <w:rFonts w:eastAsiaTheme="minorEastAsia" w:cstheme="minorBidi"/>
            <w:noProof/>
            <w:sz w:val="22"/>
            <w:szCs w:val="22"/>
            <w:lang w:eastAsia="en-GB" w:bidi="ar-SA"/>
          </w:rPr>
          <w:tab/>
        </w:r>
        <w:r w:rsidR="00071694" w:rsidRPr="00430FA4">
          <w:rPr>
            <w:rStyle w:val="Hyperlink"/>
            <w:noProof/>
          </w:rPr>
          <w:t>Consultation</w:t>
        </w:r>
        <w:r w:rsidR="00071694">
          <w:rPr>
            <w:noProof/>
            <w:webHidden/>
          </w:rPr>
          <w:tab/>
        </w:r>
        <w:r w:rsidR="00071694">
          <w:rPr>
            <w:noProof/>
            <w:webHidden/>
          </w:rPr>
          <w:fldChar w:fldCharType="begin"/>
        </w:r>
        <w:r w:rsidR="00071694">
          <w:rPr>
            <w:noProof/>
            <w:webHidden/>
          </w:rPr>
          <w:instrText xml:space="preserve"> PAGEREF _Toc430251023 \h </w:instrText>
        </w:r>
        <w:r w:rsidR="00071694">
          <w:rPr>
            <w:noProof/>
            <w:webHidden/>
          </w:rPr>
        </w:r>
        <w:r w:rsidR="00071694">
          <w:rPr>
            <w:noProof/>
            <w:webHidden/>
          </w:rPr>
          <w:fldChar w:fldCharType="separate"/>
        </w:r>
        <w:r w:rsidR="00071694">
          <w:rPr>
            <w:noProof/>
            <w:webHidden/>
          </w:rPr>
          <w:t>6</w:t>
        </w:r>
        <w:r w:rsidR="00071694">
          <w:rPr>
            <w:noProof/>
            <w:webHidden/>
          </w:rPr>
          <w:fldChar w:fldCharType="end"/>
        </w:r>
      </w:hyperlink>
    </w:p>
    <w:p w14:paraId="30E028D5" w14:textId="77777777" w:rsidR="00071694" w:rsidRDefault="00FB1358" w:rsidP="00071694">
      <w:pPr>
        <w:pStyle w:val="TOC3"/>
        <w:rPr>
          <w:rFonts w:eastAsiaTheme="minorEastAsia" w:cstheme="minorBidi"/>
          <w:noProof/>
          <w:sz w:val="22"/>
          <w:szCs w:val="22"/>
          <w:lang w:eastAsia="en-GB" w:bidi="ar-SA"/>
        </w:rPr>
      </w:pPr>
      <w:hyperlink w:anchor="_Toc430251024" w:history="1">
        <w:r w:rsidR="00071694" w:rsidRPr="00430FA4">
          <w:rPr>
            <w:rStyle w:val="Hyperlink"/>
            <w:noProof/>
          </w:rPr>
          <w:t>2.3.2</w:t>
        </w:r>
        <w:r w:rsidR="00071694">
          <w:rPr>
            <w:rFonts w:eastAsiaTheme="minorEastAsia" w:cstheme="minorBidi"/>
            <w:noProof/>
            <w:sz w:val="22"/>
            <w:szCs w:val="22"/>
            <w:lang w:eastAsia="en-GB" w:bidi="ar-SA"/>
          </w:rPr>
          <w:tab/>
        </w:r>
        <w:r w:rsidR="00071694" w:rsidRPr="00430FA4">
          <w:rPr>
            <w:rStyle w:val="Hyperlink"/>
            <w:noProof/>
          </w:rPr>
          <w:t>World Trade Organization (WTO)</w:t>
        </w:r>
        <w:r w:rsidR="00071694">
          <w:rPr>
            <w:noProof/>
            <w:webHidden/>
          </w:rPr>
          <w:tab/>
        </w:r>
        <w:r w:rsidR="00071694">
          <w:rPr>
            <w:noProof/>
            <w:webHidden/>
          </w:rPr>
          <w:fldChar w:fldCharType="begin"/>
        </w:r>
        <w:r w:rsidR="00071694">
          <w:rPr>
            <w:noProof/>
            <w:webHidden/>
          </w:rPr>
          <w:instrText xml:space="preserve"> PAGEREF _Toc430251024 \h </w:instrText>
        </w:r>
        <w:r w:rsidR="00071694">
          <w:rPr>
            <w:noProof/>
            <w:webHidden/>
          </w:rPr>
        </w:r>
        <w:r w:rsidR="00071694">
          <w:rPr>
            <w:noProof/>
            <w:webHidden/>
          </w:rPr>
          <w:fldChar w:fldCharType="separate"/>
        </w:r>
        <w:r w:rsidR="00071694">
          <w:rPr>
            <w:noProof/>
            <w:webHidden/>
          </w:rPr>
          <w:t>8</w:t>
        </w:r>
        <w:r w:rsidR="00071694">
          <w:rPr>
            <w:noProof/>
            <w:webHidden/>
          </w:rPr>
          <w:fldChar w:fldCharType="end"/>
        </w:r>
      </w:hyperlink>
    </w:p>
    <w:p w14:paraId="228B473A" w14:textId="77777777" w:rsidR="00071694" w:rsidRDefault="00FB1358">
      <w:pPr>
        <w:pStyle w:val="TOC2"/>
        <w:tabs>
          <w:tab w:val="left" w:pos="880"/>
          <w:tab w:val="right" w:leader="dot" w:pos="9060"/>
        </w:tabs>
        <w:rPr>
          <w:rFonts w:eastAsiaTheme="minorEastAsia" w:cstheme="minorBidi"/>
          <w:smallCaps w:val="0"/>
          <w:noProof/>
          <w:sz w:val="22"/>
          <w:szCs w:val="22"/>
          <w:lang w:eastAsia="en-GB" w:bidi="ar-SA"/>
        </w:rPr>
      </w:pPr>
      <w:hyperlink w:anchor="_Toc430251025" w:history="1">
        <w:r w:rsidR="00071694" w:rsidRPr="00430FA4">
          <w:rPr>
            <w:rStyle w:val="Hyperlink"/>
            <w:noProof/>
          </w:rPr>
          <w:t>2.4</w:t>
        </w:r>
        <w:r w:rsidR="00071694">
          <w:rPr>
            <w:rFonts w:eastAsiaTheme="minorEastAsia" w:cstheme="minorBidi"/>
            <w:smallCaps w:val="0"/>
            <w:noProof/>
            <w:sz w:val="22"/>
            <w:szCs w:val="22"/>
            <w:lang w:eastAsia="en-GB" w:bidi="ar-SA"/>
          </w:rPr>
          <w:tab/>
        </w:r>
        <w:r w:rsidR="00071694" w:rsidRPr="00430FA4">
          <w:rPr>
            <w:rStyle w:val="Hyperlink"/>
            <w:noProof/>
          </w:rPr>
          <w:t>FSANZ Act assessment requirements</w:t>
        </w:r>
        <w:r w:rsidR="00071694">
          <w:rPr>
            <w:noProof/>
            <w:webHidden/>
          </w:rPr>
          <w:tab/>
        </w:r>
        <w:r w:rsidR="00071694">
          <w:rPr>
            <w:noProof/>
            <w:webHidden/>
          </w:rPr>
          <w:fldChar w:fldCharType="begin"/>
        </w:r>
        <w:r w:rsidR="00071694">
          <w:rPr>
            <w:noProof/>
            <w:webHidden/>
          </w:rPr>
          <w:instrText xml:space="preserve"> PAGEREF _Toc430251025 \h </w:instrText>
        </w:r>
        <w:r w:rsidR="00071694">
          <w:rPr>
            <w:noProof/>
            <w:webHidden/>
          </w:rPr>
        </w:r>
        <w:r w:rsidR="00071694">
          <w:rPr>
            <w:noProof/>
            <w:webHidden/>
          </w:rPr>
          <w:fldChar w:fldCharType="separate"/>
        </w:r>
        <w:r w:rsidR="00071694">
          <w:rPr>
            <w:noProof/>
            <w:webHidden/>
          </w:rPr>
          <w:t>8</w:t>
        </w:r>
        <w:r w:rsidR="00071694">
          <w:rPr>
            <w:noProof/>
            <w:webHidden/>
          </w:rPr>
          <w:fldChar w:fldCharType="end"/>
        </w:r>
      </w:hyperlink>
    </w:p>
    <w:p w14:paraId="5438395C" w14:textId="77777777" w:rsidR="00071694" w:rsidRDefault="00FB1358" w:rsidP="00071694">
      <w:pPr>
        <w:pStyle w:val="TOC3"/>
        <w:rPr>
          <w:rFonts w:eastAsiaTheme="minorEastAsia" w:cstheme="minorBidi"/>
          <w:noProof/>
          <w:sz w:val="22"/>
          <w:szCs w:val="22"/>
          <w:lang w:eastAsia="en-GB" w:bidi="ar-SA"/>
        </w:rPr>
      </w:pPr>
      <w:hyperlink w:anchor="_Toc430251026" w:history="1">
        <w:r w:rsidR="00071694" w:rsidRPr="00430FA4">
          <w:rPr>
            <w:rStyle w:val="Hyperlink"/>
            <w:noProof/>
          </w:rPr>
          <w:t>2.4.1</w:t>
        </w:r>
        <w:r w:rsidR="00071694">
          <w:rPr>
            <w:rFonts w:eastAsiaTheme="minorEastAsia" w:cstheme="minorBidi"/>
            <w:noProof/>
            <w:sz w:val="22"/>
            <w:szCs w:val="22"/>
            <w:lang w:eastAsia="en-GB" w:bidi="ar-SA"/>
          </w:rPr>
          <w:tab/>
        </w:r>
        <w:r w:rsidR="00071694" w:rsidRPr="00430FA4">
          <w:rPr>
            <w:rStyle w:val="Hyperlink"/>
            <w:noProof/>
          </w:rPr>
          <w:t>Section 29</w:t>
        </w:r>
        <w:r w:rsidR="00071694">
          <w:rPr>
            <w:noProof/>
            <w:webHidden/>
          </w:rPr>
          <w:tab/>
        </w:r>
        <w:r w:rsidR="00071694">
          <w:rPr>
            <w:noProof/>
            <w:webHidden/>
          </w:rPr>
          <w:fldChar w:fldCharType="begin"/>
        </w:r>
        <w:r w:rsidR="00071694">
          <w:rPr>
            <w:noProof/>
            <w:webHidden/>
          </w:rPr>
          <w:instrText xml:space="preserve"> PAGEREF _Toc430251026 \h </w:instrText>
        </w:r>
        <w:r w:rsidR="00071694">
          <w:rPr>
            <w:noProof/>
            <w:webHidden/>
          </w:rPr>
        </w:r>
        <w:r w:rsidR="00071694">
          <w:rPr>
            <w:noProof/>
            <w:webHidden/>
          </w:rPr>
          <w:fldChar w:fldCharType="separate"/>
        </w:r>
        <w:r w:rsidR="00071694">
          <w:rPr>
            <w:noProof/>
            <w:webHidden/>
          </w:rPr>
          <w:t>8</w:t>
        </w:r>
        <w:r w:rsidR="00071694">
          <w:rPr>
            <w:noProof/>
            <w:webHidden/>
          </w:rPr>
          <w:fldChar w:fldCharType="end"/>
        </w:r>
      </w:hyperlink>
    </w:p>
    <w:p w14:paraId="0BFD6E98" w14:textId="59A8377F" w:rsidR="00071694" w:rsidRDefault="00FB1358" w:rsidP="00071694">
      <w:pPr>
        <w:pStyle w:val="TOC3"/>
        <w:rPr>
          <w:rFonts w:eastAsiaTheme="minorEastAsia" w:cstheme="minorBidi"/>
          <w:noProof/>
          <w:sz w:val="22"/>
          <w:szCs w:val="22"/>
          <w:lang w:eastAsia="en-GB" w:bidi="ar-SA"/>
        </w:rPr>
      </w:pPr>
      <w:hyperlink w:anchor="_Toc430251027" w:history="1">
        <w:r w:rsidR="00071694" w:rsidRPr="00430FA4">
          <w:rPr>
            <w:rStyle w:val="Hyperlink"/>
            <w:noProof/>
          </w:rPr>
          <w:t>2.4.2.</w:t>
        </w:r>
        <w:r w:rsidR="00071694">
          <w:rPr>
            <w:rFonts w:eastAsiaTheme="minorEastAsia" w:cstheme="minorBidi"/>
            <w:noProof/>
            <w:sz w:val="22"/>
            <w:szCs w:val="22"/>
            <w:lang w:eastAsia="en-GB" w:bidi="ar-SA"/>
          </w:rPr>
          <w:tab/>
        </w:r>
        <w:r w:rsidR="00071694" w:rsidRPr="00430FA4">
          <w:rPr>
            <w:rStyle w:val="Hyperlink"/>
            <w:noProof/>
          </w:rPr>
          <w:t>Subsection 18(1)</w:t>
        </w:r>
        <w:r w:rsidR="00071694">
          <w:rPr>
            <w:noProof/>
            <w:webHidden/>
          </w:rPr>
          <w:tab/>
        </w:r>
        <w:r w:rsidR="00071694">
          <w:rPr>
            <w:noProof/>
            <w:webHidden/>
          </w:rPr>
          <w:fldChar w:fldCharType="begin"/>
        </w:r>
        <w:r w:rsidR="00071694">
          <w:rPr>
            <w:noProof/>
            <w:webHidden/>
          </w:rPr>
          <w:instrText xml:space="preserve"> PAGEREF _Toc430251027 \h </w:instrText>
        </w:r>
        <w:r w:rsidR="00071694">
          <w:rPr>
            <w:noProof/>
            <w:webHidden/>
          </w:rPr>
        </w:r>
        <w:r w:rsidR="00071694">
          <w:rPr>
            <w:noProof/>
            <w:webHidden/>
          </w:rPr>
          <w:fldChar w:fldCharType="separate"/>
        </w:r>
        <w:r w:rsidR="00071694">
          <w:rPr>
            <w:noProof/>
            <w:webHidden/>
          </w:rPr>
          <w:t>9</w:t>
        </w:r>
        <w:r w:rsidR="00071694">
          <w:rPr>
            <w:noProof/>
            <w:webHidden/>
          </w:rPr>
          <w:fldChar w:fldCharType="end"/>
        </w:r>
      </w:hyperlink>
    </w:p>
    <w:p w14:paraId="14886D7A" w14:textId="77777777" w:rsidR="00071694" w:rsidRDefault="00FB1358" w:rsidP="00071694">
      <w:pPr>
        <w:pStyle w:val="TOC3"/>
        <w:rPr>
          <w:rFonts w:eastAsiaTheme="minorEastAsia" w:cstheme="minorBidi"/>
          <w:noProof/>
          <w:sz w:val="22"/>
          <w:szCs w:val="22"/>
          <w:lang w:eastAsia="en-GB" w:bidi="ar-SA"/>
        </w:rPr>
      </w:pPr>
      <w:hyperlink w:anchor="_Toc430251028" w:history="1">
        <w:r w:rsidR="00071694" w:rsidRPr="00430FA4">
          <w:rPr>
            <w:rStyle w:val="Hyperlink"/>
            <w:noProof/>
          </w:rPr>
          <w:t>2.4.3</w:t>
        </w:r>
        <w:r w:rsidR="00071694">
          <w:rPr>
            <w:rFonts w:eastAsiaTheme="minorEastAsia" w:cstheme="minorBidi"/>
            <w:noProof/>
            <w:sz w:val="22"/>
            <w:szCs w:val="22"/>
            <w:lang w:eastAsia="en-GB" w:bidi="ar-SA"/>
          </w:rPr>
          <w:tab/>
        </w:r>
        <w:r w:rsidR="00071694" w:rsidRPr="00430FA4">
          <w:rPr>
            <w:rStyle w:val="Hyperlink"/>
            <w:noProof/>
          </w:rPr>
          <w:t>Subsection 18(2) considerations</w:t>
        </w:r>
        <w:r w:rsidR="00071694">
          <w:rPr>
            <w:noProof/>
            <w:webHidden/>
          </w:rPr>
          <w:tab/>
        </w:r>
        <w:r w:rsidR="00071694">
          <w:rPr>
            <w:noProof/>
            <w:webHidden/>
          </w:rPr>
          <w:fldChar w:fldCharType="begin"/>
        </w:r>
        <w:r w:rsidR="00071694">
          <w:rPr>
            <w:noProof/>
            <w:webHidden/>
          </w:rPr>
          <w:instrText xml:space="preserve"> PAGEREF _Toc430251028 \h </w:instrText>
        </w:r>
        <w:r w:rsidR="00071694">
          <w:rPr>
            <w:noProof/>
            <w:webHidden/>
          </w:rPr>
        </w:r>
        <w:r w:rsidR="00071694">
          <w:rPr>
            <w:noProof/>
            <w:webHidden/>
          </w:rPr>
          <w:fldChar w:fldCharType="separate"/>
        </w:r>
        <w:r w:rsidR="00071694">
          <w:rPr>
            <w:noProof/>
            <w:webHidden/>
          </w:rPr>
          <w:t>10</w:t>
        </w:r>
        <w:r w:rsidR="00071694">
          <w:rPr>
            <w:noProof/>
            <w:webHidden/>
          </w:rPr>
          <w:fldChar w:fldCharType="end"/>
        </w:r>
      </w:hyperlink>
    </w:p>
    <w:p w14:paraId="50DC93E5" w14:textId="77777777" w:rsidR="00071694" w:rsidRDefault="00FB13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0251029" w:history="1">
        <w:r w:rsidR="00071694" w:rsidRPr="00430FA4">
          <w:rPr>
            <w:rStyle w:val="Hyperlink"/>
            <w:noProof/>
          </w:rPr>
          <w:t>3</w:t>
        </w:r>
        <w:r w:rsidR="00071694">
          <w:rPr>
            <w:rFonts w:eastAsiaTheme="minorEastAsia" w:cstheme="minorBidi"/>
            <w:b w:val="0"/>
            <w:bCs w:val="0"/>
            <w:caps w:val="0"/>
            <w:noProof/>
            <w:sz w:val="22"/>
            <w:szCs w:val="22"/>
            <w:lang w:eastAsia="en-GB" w:bidi="ar-SA"/>
          </w:rPr>
          <w:tab/>
        </w:r>
        <w:r w:rsidR="00071694" w:rsidRPr="00430FA4">
          <w:rPr>
            <w:rStyle w:val="Hyperlink"/>
            <w:noProof/>
          </w:rPr>
          <w:t>Draft variation</w:t>
        </w:r>
        <w:r w:rsidR="00071694">
          <w:rPr>
            <w:noProof/>
            <w:webHidden/>
          </w:rPr>
          <w:tab/>
        </w:r>
        <w:r w:rsidR="00071694">
          <w:rPr>
            <w:noProof/>
            <w:webHidden/>
          </w:rPr>
          <w:fldChar w:fldCharType="begin"/>
        </w:r>
        <w:r w:rsidR="00071694">
          <w:rPr>
            <w:noProof/>
            <w:webHidden/>
          </w:rPr>
          <w:instrText xml:space="preserve"> PAGEREF _Toc430251029 \h </w:instrText>
        </w:r>
        <w:r w:rsidR="00071694">
          <w:rPr>
            <w:noProof/>
            <w:webHidden/>
          </w:rPr>
        </w:r>
        <w:r w:rsidR="00071694">
          <w:rPr>
            <w:noProof/>
            <w:webHidden/>
          </w:rPr>
          <w:fldChar w:fldCharType="separate"/>
        </w:r>
        <w:r w:rsidR="00071694">
          <w:rPr>
            <w:noProof/>
            <w:webHidden/>
          </w:rPr>
          <w:t>11</w:t>
        </w:r>
        <w:r w:rsidR="00071694">
          <w:rPr>
            <w:noProof/>
            <w:webHidden/>
          </w:rPr>
          <w:fldChar w:fldCharType="end"/>
        </w:r>
      </w:hyperlink>
    </w:p>
    <w:p w14:paraId="3922A955" w14:textId="77777777" w:rsidR="00071694" w:rsidRDefault="00FB13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0251030" w:history="1">
        <w:r w:rsidR="00071694" w:rsidRPr="00430FA4">
          <w:rPr>
            <w:rStyle w:val="Hyperlink"/>
            <w:noProof/>
          </w:rPr>
          <w:t>4</w:t>
        </w:r>
        <w:r w:rsidR="00071694">
          <w:rPr>
            <w:rFonts w:eastAsiaTheme="minorEastAsia" w:cstheme="minorBidi"/>
            <w:b w:val="0"/>
            <w:bCs w:val="0"/>
            <w:caps w:val="0"/>
            <w:noProof/>
            <w:sz w:val="22"/>
            <w:szCs w:val="22"/>
            <w:lang w:eastAsia="en-GB" w:bidi="ar-SA"/>
          </w:rPr>
          <w:tab/>
        </w:r>
        <w:r w:rsidR="00071694" w:rsidRPr="00430FA4">
          <w:rPr>
            <w:rStyle w:val="Hyperlink"/>
            <w:noProof/>
          </w:rPr>
          <w:t>References</w:t>
        </w:r>
        <w:r w:rsidR="00071694">
          <w:rPr>
            <w:noProof/>
            <w:webHidden/>
          </w:rPr>
          <w:tab/>
        </w:r>
        <w:r w:rsidR="00071694">
          <w:rPr>
            <w:noProof/>
            <w:webHidden/>
          </w:rPr>
          <w:fldChar w:fldCharType="begin"/>
        </w:r>
        <w:r w:rsidR="00071694">
          <w:rPr>
            <w:noProof/>
            <w:webHidden/>
          </w:rPr>
          <w:instrText xml:space="preserve"> PAGEREF _Toc430251030 \h </w:instrText>
        </w:r>
        <w:r w:rsidR="00071694">
          <w:rPr>
            <w:noProof/>
            <w:webHidden/>
          </w:rPr>
        </w:r>
        <w:r w:rsidR="00071694">
          <w:rPr>
            <w:noProof/>
            <w:webHidden/>
          </w:rPr>
          <w:fldChar w:fldCharType="separate"/>
        </w:r>
        <w:r w:rsidR="00071694">
          <w:rPr>
            <w:noProof/>
            <w:webHidden/>
          </w:rPr>
          <w:t>11</w:t>
        </w:r>
        <w:r w:rsidR="00071694">
          <w:rPr>
            <w:noProof/>
            <w:webHidden/>
          </w:rPr>
          <w:fldChar w:fldCharType="end"/>
        </w:r>
      </w:hyperlink>
    </w:p>
    <w:p w14:paraId="01C7065D" w14:textId="77777777" w:rsidR="00071694" w:rsidRDefault="00FB1358">
      <w:pPr>
        <w:pStyle w:val="TOC2"/>
        <w:tabs>
          <w:tab w:val="right" w:leader="dot" w:pos="9060"/>
        </w:tabs>
        <w:rPr>
          <w:rFonts w:eastAsiaTheme="minorEastAsia" w:cstheme="minorBidi"/>
          <w:smallCaps w:val="0"/>
          <w:noProof/>
          <w:sz w:val="22"/>
          <w:szCs w:val="22"/>
          <w:lang w:eastAsia="en-GB" w:bidi="ar-SA"/>
        </w:rPr>
      </w:pPr>
      <w:hyperlink w:anchor="_Toc430251031" w:history="1">
        <w:r w:rsidR="00071694" w:rsidRPr="00430FA4">
          <w:rPr>
            <w:rStyle w:val="Hyperlink"/>
            <w:noProof/>
          </w:rPr>
          <w:t xml:space="preserve">Attachment A – Draft variation to the revised </w:t>
        </w:r>
        <w:r w:rsidR="00071694" w:rsidRPr="00430FA4">
          <w:rPr>
            <w:rStyle w:val="Hyperlink"/>
            <w:i/>
            <w:noProof/>
          </w:rPr>
          <w:t>Australia New Zealand Food Standards Code</w:t>
        </w:r>
        <w:r w:rsidR="00071694">
          <w:rPr>
            <w:noProof/>
            <w:webHidden/>
          </w:rPr>
          <w:tab/>
        </w:r>
        <w:r w:rsidR="00071694">
          <w:rPr>
            <w:noProof/>
            <w:webHidden/>
          </w:rPr>
          <w:fldChar w:fldCharType="begin"/>
        </w:r>
        <w:r w:rsidR="00071694">
          <w:rPr>
            <w:noProof/>
            <w:webHidden/>
          </w:rPr>
          <w:instrText xml:space="preserve"> PAGEREF _Toc430251031 \h </w:instrText>
        </w:r>
        <w:r w:rsidR="00071694">
          <w:rPr>
            <w:noProof/>
            <w:webHidden/>
          </w:rPr>
        </w:r>
        <w:r w:rsidR="00071694">
          <w:rPr>
            <w:noProof/>
            <w:webHidden/>
          </w:rPr>
          <w:fldChar w:fldCharType="separate"/>
        </w:r>
        <w:r w:rsidR="00071694">
          <w:rPr>
            <w:noProof/>
            <w:webHidden/>
          </w:rPr>
          <w:t>13</w:t>
        </w:r>
        <w:r w:rsidR="00071694">
          <w:rPr>
            <w:noProof/>
            <w:webHidden/>
          </w:rPr>
          <w:fldChar w:fldCharType="end"/>
        </w:r>
      </w:hyperlink>
    </w:p>
    <w:p w14:paraId="4B4BC127" w14:textId="77777777" w:rsidR="00071694" w:rsidRDefault="00FB1358">
      <w:pPr>
        <w:pStyle w:val="TOC2"/>
        <w:tabs>
          <w:tab w:val="right" w:leader="dot" w:pos="9060"/>
        </w:tabs>
        <w:rPr>
          <w:rFonts w:eastAsiaTheme="minorEastAsia" w:cstheme="minorBidi"/>
          <w:smallCaps w:val="0"/>
          <w:noProof/>
          <w:sz w:val="22"/>
          <w:szCs w:val="22"/>
          <w:lang w:eastAsia="en-GB" w:bidi="ar-SA"/>
        </w:rPr>
      </w:pPr>
      <w:hyperlink w:anchor="_Toc430251032" w:history="1">
        <w:r w:rsidR="00071694" w:rsidRPr="00430FA4">
          <w:rPr>
            <w:rStyle w:val="Hyperlink"/>
            <w:noProof/>
          </w:rPr>
          <w:t>Attachment B – Draft Explanatory Statement</w:t>
        </w:r>
        <w:r w:rsidR="00071694">
          <w:rPr>
            <w:noProof/>
            <w:webHidden/>
          </w:rPr>
          <w:tab/>
        </w:r>
        <w:r w:rsidR="00071694">
          <w:rPr>
            <w:noProof/>
            <w:webHidden/>
          </w:rPr>
          <w:fldChar w:fldCharType="begin"/>
        </w:r>
        <w:r w:rsidR="00071694">
          <w:rPr>
            <w:noProof/>
            <w:webHidden/>
          </w:rPr>
          <w:instrText xml:space="preserve"> PAGEREF _Toc430251032 \h </w:instrText>
        </w:r>
        <w:r w:rsidR="00071694">
          <w:rPr>
            <w:noProof/>
            <w:webHidden/>
          </w:rPr>
        </w:r>
        <w:r w:rsidR="00071694">
          <w:rPr>
            <w:noProof/>
            <w:webHidden/>
          </w:rPr>
          <w:fldChar w:fldCharType="separate"/>
        </w:r>
        <w:r w:rsidR="00071694">
          <w:rPr>
            <w:noProof/>
            <w:webHidden/>
          </w:rPr>
          <w:t>15</w:t>
        </w:r>
        <w:r w:rsidR="00071694">
          <w:rPr>
            <w:noProof/>
            <w:webHidden/>
          </w:rPr>
          <w:fldChar w:fldCharType="end"/>
        </w:r>
      </w:hyperlink>
    </w:p>
    <w:p w14:paraId="687C8B15" w14:textId="77777777" w:rsidR="00051ED9" w:rsidRPr="0059227F" w:rsidRDefault="00051ED9" w:rsidP="00051ED9">
      <w:pPr>
        <w:rPr>
          <w:rFonts w:cs="Arial"/>
        </w:rPr>
      </w:pPr>
      <w:r w:rsidRPr="0059227F">
        <w:rPr>
          <w:rFonts w:cs="Arial"/>
        </w:rPr>
        <w:fldChar w:fldCharType="end"/>
      </w:r>
    </w:p>
    <w:p w14:paraId="0CF08717" w14:textId="77777777" w:rsidR="00D73931" w:rsidRPr="00E203C2" w:rsidRDefault="00D73931" w:rsidP="00051ED9"/>
    <w:p w14:paraId="027B2466" w14:textId="41BEA53A" w:rsidR="0037520F" w:rsidRPr="008844E4" w:rsidRDefault="0037520F" w:rsidP="0037520F">
      <w:pPr>
        <w:rPr>
          <w:b/>
          <w:szCs w:val="22"/>
        </w:rPr>
      </w:pPr>
      <w:r w:rsidRPr="008844E4">
        <w:rPr>
          <w:b/>
          <w:szCs w:val="22"/>
        </w:rPr>
        <w:t>Supporting document</w:t>
      </w:r>
    </w:p>
    <w:p w14:paraId="49300285" w14:textId="77777777" w:rsidR="0037520F" w:rsidRPr="0089264A" w:rsidRDefault="0037520F" w:rsidP="0037520F">
      <w:pPr>
        <w:rPr>
          <w:szCs w:val="22"/>
        </w:rPr>
      </w:pPr>
    </w:p>
    <w:p w14:paraId="51DD7B43" w14:textId="7721BD03" w:rsidR="0037520F" w:rsidRDefault="0037520F" w:rsidP="0037520F">
      <w:pPr>
        <w:rPr>
          <w:color w:val="FF0000"/>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this </w:t>
      </w:r>
      <w:r w:rsidR="00681754" w:rsidRPr="00A72FB5">
        <w:rPr>
          <w:szCs w:val="22"/>
        </w:rPr>
        <w:t>Application</w:t>
      </w:r>
      <w:r w:rsidR="00A72FB5" w:rsidRPr="00A72FB5">
        <w:rPr>
          <w:szCs w:val="22"/>
        </w:rPr>
        <w:t xml:space="preserve"> </w:t>
      </w:r>
      <w:r w:rsidR="00D857BD">
        <w:rPr>
          <w:szCs w:val="22"/>
        </w:rPr>
        <w:t>is</w:t>
      </w:r>
      <w:r w:rsidR="00D857BD" w:rsidRPr="0089264A">
        <w:rPr>
          <w:szCs w:val="22"/>
        </w:rPr>
        <w:t xml:space="preserve"> </w:t>
      </w:r>
      <w:r w:rsidRPr="0089264A">
        <w:rPr>
          <w:szCs w:val="22"/>
        </w:rPr>
        <w:t>available on the FSANZ website at</w:t>
      </w:r>
      <w:r w:rsidRPr="0089264A">
        <w:rPr>
          <w:color w:val="FF0000"/>
          <w:szCs w:val="22"/>
        </w:rPr>
        <w:t xml:space="preserve"> </w:t>
      </w:r>
      <w:hyperlink r:id="rId21" w:history="1">
        <w:r w:rsidR="00071694" w:rsidRPr="00210327">
          <w:rPr>
            <w:rStyle w:val="Hyperlink"/>
            <w:szCs w:val="22"/>
          </w:rPr>
          <w:t>http://www.foodstandards.gov.au/code/applications/Pages/A1111BacteriophageS16-F01asPA.aspx</w:t>
        </w:r>
      </w:hyperlink>
    </w:p>
    <w:p w14:paraId="7EA20C7C" w14:textId="77777777" w:rsidR="00071694" w:rsidRPr="0089264A" w:rsidRDefault="00071694" w:rsidP="0037520F">
      <w:pPr>
        <w:rPr>
          <w:color w:val="FF0000"/>
          <w:szCs w:val="22"/>
        </w:rPr>
      </w:pPr>
    </w:p>
    <w:p w14:paraId="6BD3B0A2" w14:textId="0025C036" w:rsidR="0089264A" w:rsidRPr="00A477D7" w:rsidRDefault="0089264A" w:rsidP="003A7725">
      <w:pPr>
        <w:ind w:left="1134" w:hanging="1134"/>
      </w:pPr>
      <w:r w:rsidRPr="00A477D7">
        <w:t>SD1</w:t>
      </w:r>
      <w:r w:rsidRPr="00A477D7">
        <w:tab/>
      </w:r>
      <w:r w:rsidR="00A477D7" w:rsidRPr="00A477D7">
        <w:t xml:space="preserve">Risk </w:t>
      </w:r>
      <w:r w:rsidR="002E68B2">
        <w:t>a</w:t>
      </w:r>
      <w:r w:rsidR="00A477D7" w:rsidRPr="00A477D7">
        <w:t>ssessment</w:t>
      </w:r>
    </w:p>
    <w:p w14:paraId="332C3029" w14:textId="77777777" w:rsidR="00051ED9" w:rsidRDefault="00562917" w:rsidP="00772BDC">
      <w:r w:rsidRPr="00E203C2">
        <w:br w:type="page"/>
      </w:r>
    </w:p>
    <w:p w14:paraId="414071BB" w14:textId="77777777" w:rsidR="00E063C6" w:rsidRPr="003C4BD5" w:rsidRDefault="00F33BB8" w:rsidP="003C4BD5">
      <w:pPr>
        <w:pStyle w:val="Heading1"/>
      </w:pPr>
      <w:bookmarkStart w:id="1" w:name="_Toc286391001"/>
      <w:bookmarkStart w:id="2" w:name="_Toc300933414"/>
      <w:bookmarkStart w:id="3" w:name="_Toc43025100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EA5C4D7" w14:textId="60237339" w:rsidR="008848A4" w:rsidRDefault="008848A4" w:rsidP="008848A4">
      <w:pPr>
        <w:rPr>
          <w:color w:val="000000" w:themeColor="text1"/>
        </w:rPr>
      </w:pPr>
      <w:bookmarkStart w:id="9" w:name="_Toc286391003"/>
      <w:r>
        <w:rPr>
          <w:color w:val="000000" w:themeColor="text1"/>
        </w:rPr>
        <w:t xml:space="preserve">All references to the </w:t>
      </w:r>
      <w:r w:rsidRPr="00B5032F">
        <w:rPr>
          <w:i/>
        </w:rPr>
        <w:t>Australia New Zealand Food Standards Code</w:t>
      </w:r>
      <w:r w:rsidRPr="00B5032F">
        <w:t xml:space="preserve"> (the Code</w:t>
      </w:r>
      <w:r>
        <w:t>)</w:t>
      </w:r>
      <w:r>
        <w:rPr>
          <w:color w:val="000000" w:themeColor="text1"/>
        </w:rPr>
        <w:t xml:space="preserve"> in this assessment summary and related S</w:t>
      </w:r>
      <w:r w:rsidR="00313534">
        <w:rPr>
          <w:color w:val="000000" w:themeColor="text1"/>
        </w:rPr>
        <w:t xml:space="preserve">upporting </w:t>
      </w:r>
      <w:r>
        <w:rPr>
          <w:color w:val="000000" w:themeColor="text1"/>
        </w:rPr>
        <w:t>D</w:t>
      </w:r>
      <w:r w:rsidR="00313534">
        <w:rPr>
          <w:color w:val="000000" w:themeColor="text1"/>
        </w:rPr>
        <w:t>ocument (SD)</w:t>
      </w:r>
      <w:r>
        <w:rPr>
          <w:color w:val="000000" w:themeColor="text1"/>
        </w:rPr>
        <w:t xml:space="preserve">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162F58">
        <w:rPr>
          <w:color w:val="000000" w:themeColor="text1"/>
        </w:rPr>
        <w:t xml:space="preserve">until </w:t>
      </w:r>
      <w:r>
        <w:rPr>
          <w:color w:val="000000" w:themeColor="text1"/>
        </w:rPr>
        <w:t>after</w:t>
      </w:r>
      <w:r w:rsidRPr="00162F58">
        <w:rPr>
          <w:color w:val="000000" w:themeColor="text1"/>
        </w:rPr>
        <w:t xml:space="preserve"> this date</w:t>
      </w:r>
      <w:r>
        <w:rPr>
          <w:color w:val="000000" w:themeColor="text1"/>
        </w:rPr>
        <w:t>,</w:t>
      </w:r>
      <w:r w:rsidRPr="00162F58">
        <w:rPr>
          <w:color w:val="000000" w:themeColor="text1"/>
        </w:rPr>
        <w:t xml:space="preserve"> if </w:t>
      </w:r>
      <w:r>
        <w:t>approved by the FSANZ Board</w:t>
      </w:r>
      <w:r w:rsidRPr="00D209C9">
        <w:t xml:space="preserve"> </w:t>
      </w:r>
      <w:r>
        <w:t>and no review of that decision is requested by Ministers, and FSANZ therefore considers it is unnecessary to amend the current Code.</w:t>
      </w:r>
      <w:r w:rsidRPr="001E1FAB">
        <w:rPr>
          <w:color w:val="000000" w:themeColor="text1"/>
        </w:rPr>
        <w:t xml:space="preserve"> </w:t>
      </w:r>
    </w:p>
    <w:p w14:paraId="21B98F2B" w14:textId="77777777" w:rsidR="008848A4" w:rsidRDefault="008848A4" w:rsidP="008848A4">
      <w:pPr>
        <w:rPr>
          <w:color w:val="000000" w:themeColor="text1"/>
        </w:rPr>
      </w:pPr>
    </w:p>
    <w:p w14:paraId="7348DF15" w14:textId="79DC8699" w:rsidR="00AB4A83" w:rsidRDefault="00AB4A83" w:rsidP="00AB4A83">
      <w:r>
        <w:t xml:space="preserve">FSANZ received an application (A1111) from Micreos B.V. on 13 March 2015, seeking to permit a </w:t>
      </w:r>
      <w:r w:rsidRPr="001337B6">
        <w:rPr>
          <w:i/>
        </w:rPr>
        <w:t>Salmonella</w:t>
      </w:r>
      <w:r w:rsidRPr="001337B6">
        <w:t xml:space="preserve"> phage</w:t>
      </w:r>
      <w:r>
        <w:t xml:space="preserve"> preparation </w:t>
      </w:r>
      <w:r w:rsidRPr="00B676EA">
        <w:t>(S16 and F</w:t>
      </w:r>
      <w:r>
        <w:t>O</w:t>
      </w:r>
      <w:r w:rsidRPr="00B676EA">
        <w:t>1a)</w:t>
      </w:r>
      <w:r>
        <w:t>,</w:t>
      </w:r>
      <w:r w:rsidRPr="00B676EA">
        <w:t xml:space="preserve"> </w:t>
      </w:r>
      <w:r>
        <w:t>Salmonele</w:t>
      </w:r>
      <w:r>
        <w:rPr>
          <w:color w:val="000000" w:themeColor="text1"/>
        </w:rPr>
        <w:t>x</w:t>
      </w:r>
      <w:r>
        <w:rPr>
          <w:color w:val="000000" w:themeColor="text1"/>
          <w:vertAlign w:val="superscript"/>
        </w:rPr>
        <w:t>TM</w:t>
      </w:r>
      <w:r>
        <w:rPr>
          <w:color w:val="000000" w:themeColor="text1"/>
        </w:rPr>
        <w:t xml:space="preserve">, </w:t>
      </w:r>
      <w:r>
        <w:t xml:space="preserve">(subsequently called </w:t>
      </w:r>
      <w:r w:rsidRPr="001337B6">
        <w:rPr>
          <w:i/>
        </w:rPr>
        <w:t>Salmonella</w:t>
      </w:r>
      <w:r w:rsidRPr="001337B6">
        <w:t xml:space="preserve"> phage</w:t>
      </w:r>
      <w:r>
        <w:t xml:space="preserve"> in this report) </w:t>
      </w:r>
      <w:r w:rsidRPr="00B676EA">
        <w:t xml:space="preserve">for use as a processing aid </w:t>
      </w:r>
      <w:r w:rsidR="003F7ACD">
        <w:t>to control</w:t>
      </w:r>
      <w:r w:rsidRPr="00B676EA">
        <w:t xml:space="preserve"> </w:t>
      </w:r>
      <w:r w:rsidRPr="00B676EA">
        <w:rPr>
          <w:i/>
        </w:rPr>
        <w:t>Salmonella</w:t>
      </w:r>
      <w:r>
        <w:rPr>
          <w:i/>
        </w:rPr>
        <w:t> </w:t>
      </w:r>
      <w:r w:rsidRPr="00B676EA">
        <w:t>spp. during post-slaughter processing of fresh meat and poultry products.</w:t>
      </w:r>
    </w:p>
    <w:p w14:paraId="7235E7A5" w14:textId="77777777" w:rsidR="00AB4A83" w:rsidRDefault="00AB4A83" w:rsidP="00A56E34"/>
    <w:p w14:paraId="49B2A306" w14:textId="1BF177A1" w:rsidR="00EC5B87" w:rsidRDefault="00EC5B87" w:rsidP="00EC5B87">
      <w:r w:rsidRPr="009426C1">
        <w:rPr>
          <w:i/>
        </w:rPr>
        <w:t>Salmonella</w:t>
      </w:r>
      <w:r w:rsidRPr="009426C1">
        <w:t xml:space="preserve"> is one of the most commonly reported causes of foodborne illness, with </w:t>
      </w:r>
      <w:r>
        <w:t xml:space="preserve">raw fresh </w:t>
      </w:r>
      <w:r w:rsidRPr="009426C1">
        <w:t xml:space="preserve">meat and poultry often implicated as a source of infection. Fresh </w:t>
      </w:r>
      <w:r>
        <w:t xml:space="preserve">raw </w:t>
      </w:r>
      <w:r w:rsidRPr="009426C1">
        <w:t xml:space="preserve">meat and poultry can be contaminated with </w:t>
      </w:r>
      <w:r w:rsidRPr="009426C1">
        <w:rPr>
          <w:i/>
        </w:rPr>
        <w:t>Salmonella</w:t>
      </w:r>
      <w:r w:rsidRPr="009426C1">
        <w:t xml:space="preserve"> which can cause illness if meat is consumed undercooked or if cross contamination occurs </w:t>
      </w:r>
      <w:r>
        <w:t>during handling and preparation.</w:t>
      </w:r>
    </w:p>
    <w:p w14:paraId="09A5DD13" w14:textId="6D9254BA" w:rsidR="00FD4007" w:rsidRDefault="00FD4007" w:rsidP="00A56E34"/>
    <w:p w14:paraId="4DBE3DEA" w14:textId="7E47ED5D" w:rsidR="00D0084A" w:rsidRDefault="00D0084A" w:rsidP="00A56E34">
      <w:pPr>
        <w:rPr>
          <w:rFonts w:cs="Arial"/>
          <w:color w:val="000000" w:themeColor="text1"/>
        </w:rPr>
      </w:pPr>
      <w:r w:rsidRPr="006D23A5">
        <w:t xml:space="preserve">Bacteriophages are viruses that infect and break down bacterial cells. They </w:t>
      </w:r>
      <w:r>
        <w:rPr>
          <w:rFonts w:cs="Arial"/>
          <w:color w:val="000000" w:themeColor="text1"/>
        </w:rPr>
        <w:t xml:space="preserve">are specific to the strains of bacteria they infect and are not pathogenic to plants, animals or humans. </w:t>
      </w:r>
      <w:r w:rsidRPr="006D23A5">
        <w:t>Bacteriophages cannot actively locate bacterial cells</w:t>
      </w:r>
      <w:r>
        <w:t xml:space="preserve">; </w:t>
      </w:r>
      <w:r w:rsidRPr="006D23A5">
        <w:t xml:space="preserve">they are non-motile and rely on passive diffusion to locate and attach to receptor sites on target bacterial cells. They are not meant as a replacement </w:t>
      </w:r>
      <w:r w:rsidR="00714529">
        <w:t>for</w:t>
      </w:r>
      <w:r w:rsidR="00714529" w:rsidRPr="006D23A5">
        <w:t xml:space="preserve"> </w:t>
      </w:r>
      <w:r w:rsidRPr="006D23A5">
        <w:t>good hygienic practices nor as an alternative to approved and effective cleaning and sanitising agents generally used in the food industry</w:t>
      </w:r>
      <w:r w:rsidR="00D857BD">
        <w:t>.</w:t>
      </w:r>
    </w:p>
    <w:p w14:paraId="193F576E" w14:textId="77777777" w:rsidR="00D0084A" w:rsidRDefault="00D0084A" w:rsidP="00A56E34">
      <w:pPr>
        <w:rPr>
          <w:rFonts w:cs="Arial"/>
          <w:color w:val="000000" w:themeColor="text1"/>
        </w:rPr>
      </w:pPr>
    </w:p>
    <w:p w14:paraId="3DCC9C3B" w14:textId="2355DBA9" w:rsidR="00FD4007" w:rsidRDefault="00D0084A" w:rsidP="002E68B2">
      <w:pPr>
        <w:ind w:right="-286"/>
      </w:pPr>
      <w:r>
        <w:t>Th</w:t>
      </w:r>
      <w:r w:rsidR="001271FC">
        <w:t>e</w:t>
      </w:r>
      <w:r>
        <w:t xml:space="preserve"> Applicant has provided evidence that the </w:t>
      </w:r>
      <w:r w:rsidRPr="00D0084A">
        <w:rPr>
          <w:i/>
        </w:rPr>
        <w:t>Salmonella</w:t>
      </w:r>
      <w:r>
        <w:t xml:space="preserve"> phage which is the subject of this Application, is </w:t>
      </w:r>
      <w:r w:rsidR="00FD4007">
        <w:t xml:space="preserve">highly specific to </w:t>
      </w:r>
      <w:r w:rsidR="00FD4007" w:rsidRPr="008D1C2B">
        <w:rPr>
          <w:i/>
        </w:rPr>
        <w:t>Salmonella</w:t>
      </w:r>
      <w:r w:rsidR="00FD4007">
        <w:t xml:space="preserve"> species and </w:t>
      </w:r>
      <w:r>
        <w:t xml:space="preserve">is </w:t>
      </w:r>
      <w:r w:rsidR="00FD4007">
        <w:t xml:space="preserve">for use during post-slaughter processing of raw meat. </w:t>
      </w:r>
      <w:r>
        <w:t xml:space="preserve">Further, use of the </w:t>
      </w:r>
      <w:r w:rsidRPr="00D0084A">
        <w:rPr>
          <w:i/>
        </w:rPr>
        <w:t>Salmonella</w:t>
      </w:r>
      <w:r>
        <w:t xml:space="preserve"> phage</w:t>
      </w:r>
      <w:r w:rsidR="00FD4007">
        <w:t xml:space="preserve"> should be viewed as an additional tool for control of </w:t>
      </w:r>
      <w:r w:rsidR="00FD4007" w:rsidRPr="006D23A5">
        <w:rPr>
          <w:i/>
        </w:rPr>
        <w:t>Salmonella</w:t>
      </w:r>
      <w:r w:rsidR="00FD4007">
        <w:t xml:space="preserve"> in food, supplementing G</w:t>
      </w:r>
      <w:r w:rsidR="007070DD">
        <w:t xml:space="preserve">ood </w:t>
      </w:r>
      <w:r w:rsidR="00FD4007">
        <w:t>M</w:t>
      </w:r>
      <w:r w:rsidR="007070DD">
        <w:t xml:space="preserve">anufacturing </w:t>
      </w:r>
      <w:r w:rsidR="00FD4007">
        <w:t>P</w:t>
      </w:r>
      <w:r w:rsidR="007070DD">
        <w:t>ractices (GMP)</w:t>
      </w:r>
      <w:r w:rsidR="00FD4007">
        <w:t>, H</w:t>
      </w:r>
      <w:r w:rsidR="007070DD">
        <w:t xml:space="preserve">azard </w:t>
      </w:r>
      <w:r w:rsidR="00FD4007">
        <w:t>A</w:t>
      </w:r>
      <w:r w:rsidR="007070DD">
        <w:t xml:space="preserve">nalysis </w:t>
      </w:r>
      <w:r w:rsidR="00FD4007">
        <w:t>C</w:t>
      </w:r>
      <w:r w:rsidR="007070DD">
        <w:t xml:space="preserve">ritical </w:t>
      </w:r>
      <w:r w:rsidR="00FD4007">
        <w:t>C</w:t>
      </w:r>
      <w:r w:rsidR="007070DD">
        <w:t xml:space="preserve">ontrol </w:t>
      </w:r>
      <w:r w:rsidR="00FD4007">
        <w:t>P</w:t>
      </w:r>
      <w:r w:rsidR="007070DD">
        <w:t>oints (HACCP)</w:t>
      </w:r>
      <w:r w:rsidR="00FD4007">
        <w:t xml:space="preserve"> and other measures aimed at </w:t>
      </w:r>
      <w:r w:rsidR="00DF2A84">
        <w:t xml:space="preserve">preventing </w:t>
      </w:r>
      <w:r w:rsidR="00FD4007" w:rsidRPr="008D1C2B">
        <w:rPr>
          <w:i/>
        </w:rPr>
        <w:t>Salmonella</w:t>
      </w:r>
      <w:r w:rsidR="00FD4007">
        <w:t xml:space="preserve"> contamination, and should not be seen as a replacement of hygiene.</w:t>
      </w:r>
    </w:p>
    <w:p w14:paraId="1065AF50" w14:textId="77777777" w:rsidR="00FD4007" w:rsidRDefault="00FD4007" w:rsidP="00A56E34"/>
    <w:p w14:paraId="7A75CE7C" w14:textId="5867B284" w:rsidR="00FD4007" w:rsidRDefault="00FD4007" w:rsidP="00FD4007">
      <w:r>
        <w:t xml:space="preserve">No permissions currently exist for </w:t>
      </w:r>
      <w:r w:rsidR="001271FC">
        <w:t xml:space="preserve">the </w:t>
      </w:r>
      <w:r w:rsidRPr="004D729A">
        <w:rPr>
          <w:i/>
        </w:rPr>
        <w:t>Salmonella</w:t>
      </w:r>
      <w:r>
        <w:t xml:space="preserve"> phage in the table to section S18</w:t>
      </w:r>
      <w:r>
        <w:rPr>
          <w:rFonts w:cs="Arial"/>
        </w:rPr>
        <w:t>―</w:t>
      </w:r>
      <w:r>
        <w:t xml:space="preserve">9 in Schedule 18. Permission does exist for another phage preparation, </w:t>
      </w:r>
      <w:r w:rsidRPr="004D729A">
        <w:rPr>
          <w:i/>
        </w:rPr>
        <w:t>Listeria</w:t>
      </w:r>
      <w:r>
        <w:t xml:space="preserve"> phage P100, which is specific for </w:t>
      </w:r>
      <w:r w:rsidRPr="00AD409E">
        <w:rPr>
          <w:i/>
        </w:rPr>
        <w:t>Listeria monocytogenes</w:t>
      </w:r>
      <w:r>
        <w:t xml:space="preserve"> and is permitted for use as a l</w:t>
      </w:r>
      <w:r w:rsidRPr="00592060">
        <w:t>istericidal treatment on approved food for use of phage</w:t>
      </w:r>
      <w:r>
        <w:t xml:space="preserve"> under conditions of GMP, in accordance with section S18</w:t>
      </w:r>
      <w:r w:rsidR="001271FC">
        <w:rPr>
          <w:rFonts w:cs="Arial"/>
        </w:rPr>
        <w:t>―</w:t>
      </w:r>
      <w:r>
        <w:t>9.</w:t>
      </w:r>
    </w:p>
    <w:p w14:paraId="04A3872D" w14:textId="63A22071" w:rsidR="00FD4007" w:rsidRDefault="00FD4007" w:rsidP="00A56E34"/>
    <w:p w14:paraId="6079B6C7" w14:textId="2565E166" w:rsidR="00FD4007" w:rsidRDefault="00FD4007" w:rsidP="00A56E34">
      <w:r>
        <w:rPr>
          <w:lang w:bidi="ar-SA"/>
        </w:rPr>
        <w:t xml:space="preserve">Permitted processing aids also need to have an appropriate specification for identity and purity. No specification monographs for </w:t>
      </w:r>
      <w:r w:rsidR="001271FC">
        <w:rPr>
          <w:lang w:bidi="ar-SA"/>
        </w:rPr>
        <w:t xml:space="preserve">the </w:t>
      </w:r>
      <w:r w:rsidRPr="00FD4007">
        <w:rPr>
          <w:i/>
          <w:lang w:bidi="ar-SA"/>
        </w:rPr>
        <w:t>Salmonella</w:t>
      </w:r>
      <w:r>
        <w:rPr>
          <w:lang w:bidi="ar-SA"/>
        </w:rPr>
        <w:t xml:space="preserve"> phage are within the references in </w:t>
      </w:r>
      <w:r w:rsidR="008848A4">
        <w:rPr>
          <w:lang w:bidi="ar-SA"/>
        </w:rPr>
        <w:t xml:space="preserve">sections </w:t>
      </w:r>
      <w:r>
        <w:rPr>
          <w:lang w:bidi="ar-SA"/>
        </w:rPr>
        <w:t>S3—2 and S3—3 of Schedule 3.</w:t>
      </w:r>
      <w:r w:rsidR="00313534" w:rsidRPr="00313534">
        <w:rPr>
          <w:lang w:bidi="ar-SA"/>
        </w:rPr>
        <w:t xml:space="preserve"> </w:t>
      </w:r>
      <w:r w:rsidR="00313534">
        <w:rPr>
          <w:lang w:bidi="ar-SA"/>
        </w:rPr>
        <w:t xml:space="preserve">A soy peptone product is used during the manufacture of the </w:t>
      </w:r>
      <w:r w:rsidR="00313534" w:rsidRPr="00071694">
        <w:rPr>
          <w:i/>
          <w:lang w:bidi="ar-SA"/>
        </w:rPr>
        <w:t>Salmonella</w:t>
      </w:r>
      <w:r w:rsidR="00313534">
        <w:rPr>
          <w:lang w:bidi="ar-SA"/>
        </w:rPr>
        <w:t xml:space="preserve"> phage. Food manufacturers who use the </w:t>
      </w:r>
      <w:r w:rsidR="00313534" w:rsidRPr="00071694">
        <w:rPr>
          <w:i/>
          <w:lang w:bidi="ar-SA"/>
        </w:rPr>
        <w:t>Salmonella</w:t>
      </w:r>
      <w:r w:rsidR="00313534">
        <w:rPr>
          <w:lang w:bidi="ar-SA"/>
        </w:rPr>
        <w:t xml:space="preserve"> phage as a processing aid need to be aware of their responsibilities under subsection 1.2.3</w:t>
      </w:r>
      <w:r w:rsidR="00313534">
        <w:rPr>
          <w:rFonts w:cs="Arial"/>
          <w:lang w:bidi="ar-SA"/>
        </w:rPr>
        <w:t>―</w:t>
      </w:r>
      <w:r w:rsidR="00313534">
        <w:rPr>
          <w:lang w:bidi="ar-SA"/>
        </w:rPr>
        <w:t>4 should any residual soy product be present in the final food.</w:t>
      </w:r>
    </w:p>
    <w:p w14:paraId="346F83ED" w14:textId="77777777" w:rsidR="00FD4007" w:rsidRDefault="00FD4007" w:rsidP="00A56E34"/>
    <w:p w14:paraId="10D3DBB0" w14:textId="6183BDA0" w:rsidR="00FD4007" w:rsidRDefault="00FD4007" w:rsidP="00FD4007">
      <w:r w:rsidRPr="001070E4">
        <w:t xml:space="preserve">The risk assessment </w:t>
      </w:r>
      <w:r w:rsidR="00D0084A">
        <w:t xml:space="preserve">carried out </w:t>
      </w:r>
      <w:r w:rsidRPr="001070E4">
        <w:t xml:space="preserve">for this Application concluded that the </w:t>
      </w:r>
      <w:r w:rsidRPr="00621603">
        <w:rPr>
          <w:i/>
        </w:rPr>
        <w:t>Salmonella</w:t>
      </w:r>
      <w:r w:rsidRPr="001337B6">
        <w:t xml:space="preserve"> phage</w:t>
      </w:r>
      <w:r>
        <w:t xml:space="preserve"> </w:t>
      </w:r>
      <w:r w:rsidRPr="001070E4">
        <w:t>was completely characterised</w:t>
      </w:r>
      <w:r w:rsidR="001271FC">
        <w:t xml:space="preserve"> and</w:t>
      </w:r>
      <w:r w:rsidRPr="001070E4">
        <w:t xml:space="preserve"> </w:t>
      </w:r>
      <w:r w:rsidR="001271FC">
        <w:t xml:space="preserve">its use, </w:t>
      </w:r>
      <w:r w:rsidR="001271FC" w:rsidRPr="001070E4">
        <w:t xml:space="preserve">as </w:t>
      </w:r>
      <w:r w:rsidR="001271FC">
        <w:t>p</w:t>
      </w:r>
      <w:r w:rsidR="001271FC" w:rsidRPr="001070E4">
        <w:t>roposed by the Applicant</w:t>
      </w:r>
      <w:r w:rsidR="001271FC">
        <w:t xml:space="preserve">, was </w:t>
      </w:r>
      <w:r w:rsidRPr="001070E4">
        <w:t>technologically justified and safe</w:t>
      </w:r>
      <w:r>
        <w:t xml:space="preserve">. </w:t>
      </w:r>
      <w:r w:rsidRPr="001070E4">
        <w:t xml:space="preserve">It was </w:t>
      </w:r>
      <w:r>
        <w:t xml:space="preserve">further </w:t>
      </w:r>
      <w:r w:rsidRPr="001070E4">
        <w:t xml:space="preserve">concluded that </w:t>
      </w:r>
      <w:r>
        <w:t xml:space="preserve">the </w:t>
      </w:r>
      <w:r w:rsidRPr="00BE6FCB">
        <w:rPr>
          <w:i/>
        </w:rPr>
        <w:t>Salmonella</w:t>
      </w:r>
      <w:r w:rsidRPr="001337B6">
        <w:t xml:space="preserve"> phage</w:t>
      </w:r>
      <w:r>
        <w:t xml:space="preserve"> </w:t>
      </w:r>
      <w:r w:rsidRPr="001070E4">
        <w:t xml:space="preserve">is likely to maintain its efficacy (not develop reduced sensitivity to </w:t>
      </w:r>
      <w:r>
        <w:rPr>
          <w:i/>
        </w:rPr>
        <w:t xml:space="preserve">Salmonella </w:t>
      </w:r>
      <w:r w:rsidRPr="00B77657">
        <w:t>spp</w:t>
      </w:r>
      <w:r>
        <w:rPr>
          <w:i/>
        </w:rPr>
        <w:t>.</w:t>
      </w:r>
      <w:r w:rsidRPr="001070E4">
        <w:t xml:space="preserve">) provided appropriate </w:t>
      </w:r>
      <w:r>
        <w:t xml:space="preserve">GMP and </w:t>
      </w:r>
      <w:r w:rsidRPr="007070DD">
        <w:t>G</w:t>
      </w:r>
      <w:r w:rsidR="007070DD" w:rsidRPr="007070DD">
        <w:t xml:space="preserve">ood </w:t>
      </w:r>
      <w:r w:rsidRPr="007070DD">
        <w:t>H</w:t>
      </w:r>
      <w:r w:rsidR="007070DD" w:rsidRPr="007070DD">
        <w:t xml:space="preserve">andling </w:t>
      </w:r>
      <w:r w:rsidRPr="007070DD">
        <w:t>P</w:t>
      </w:r>
      <w:r w:rsidR="007070DD">
        <w:t xml:space="preserve">ractices </w:t>
      </w:r>
      <w:r w:rsidRPr="001070E4">
        <w:t xml:space="preserve">are maintained </w:t>
      </w:r>
      <w:r>
        <w:t>during processing.</w:t>
      </w:r>
    </w:p>
    <w:p w14:paraId="3EEEF1D2" w14:textId="49710B85" w:rsidR="00FD4007" w:rsidRDefault="00FD4007" w:rsidP="00A56E34"/>
    <w:p w14:paraId="2870D61D" w14:textId="721A31FD" w:rsidR="0053464E" w:rsidRDefault="00D0084A" w:rsidP="00A56E34">
      <w:r>
        <w:t xml:space="preserve">FSANZ therefore proposes to include </w:t>
      </w:r>
      <w:r w:rsidR="009C6995">
        <w:t xml:space="preserve">specifications and </w:t>
      </w:r>
      <w:r>
        <w:t>permission</w:t>
      </w:r>
      <w:r w:rsidR="009C6995">
        <w:t xml:space="preserve"> </w:t>
      </w:r>
      <w:r>
        <w:t xml:space="preserve">for </w:t>
      </w:r>
      <w:r w:rsidR="009C6995">
        <w:t>use of</w:t>
      </w:r>
      <w:r w:rsidR="001271FC">
        <w:t xml:space="preserve"> the</w:t>
      </w:r>
      <w:r w:rsidR="009C6995">
        <w:t xml:space="preserve"> </w:t>
      </w:r>
      <w:r w:rsidRPr="005C0AF1">
        <w:rPr>
          <w:i/>
        </w:rPr>
        <w:t>Salmonella</w:t>
      </w:r>
      <w:r>
        <w:t xml:space="preserve"> phage as a processing aid in the </w:t>
      </w:r>
      <w:r w:rsidRPr="00071694">
        <w:t>Code</w:t>
      </w:r>
      <w:r>
        <w:t>.</w:t>
      </w:r>
      <w:r w:rsidR="0053464E">
        <w:br w:type="page"/>
      </w:r>
    </w:p>
    <w:p w14:paraId="0BD2CD63" w14:textId="77777777" w:rsidR="002A5F8B" w:rsidRPr="003C4BD5" w:rsidRDefault="00F33BB8" w:rsidP="003C4BD5">
      <w:pPr>
        <w:pStyle w:val="Heading1"/>
      </w:pPr>
      <w:bookmarkStart w:id="10" w:name="_Toc300933417"/>
      <w:bookmarkStart w:id="11" w:name="_Toc430251010"/>
      <w:r>
        <w:lastRenderedPageBreak/>
        <w:t>1</w:t>
      </w:r>
      <w:r w:rsidR="001542D8">
        <w:tab/>
      </w:r>
      <w:r w:rsidR="002A5F8B" w:rsidRPr="000B6AF2">
        <w:t>Introduction</w:t>
      </w:r>
      <w:bookmarkEnd w:id="9"/>
      <w:bookmarkEnd w:id="10"/>
      <w:bookmarkEnd w:id="11"/>
    </w:p>
    <w:p w14:paraId="311E00F1" w14:textId="18487399" w:rsidR="0053464E" w:rsidRPr="0053464E" w:rsidRDefault="00F33BB8" w:rsidP="00A56E34">
      <w:pPr>
        <w:pStyle w:val="Heading2"/>
      </w:pPr>
      <w:bookmarkStart w:id="12" w:name="_Toc300761890"/>
      <w:bookmarkStart w:id="13" w:name="_Toc300933419"/>
      <w:bookmarkStart w:id="14" w:name="_Toc430251011"/>
      <w:r>
        <w:t>1</w:t>
      </w:r>
      <w:r w:rsidR="0053464E" w:rsidRPr="0053464E">
        <w:t>.1</w:t>
      </w:r>
      <w:r w:rsidR="0053464E" w:rsidRPr="0053464E">
        <w:tab/>
        <w:t>The Applicant</w:t>
      </w:r>
      <w:bookmarkEnd w:id="12"/>
      <w:bookmarkEnd w:id="13"/>
      <w:bookmarkEnd w:id="14"/>
    </w:p>
    <w:p w14:paraId="6716FD4F" w14:textId="5471682D" w:rsidR="0053464E" w:rsidRPr="00B676EA" w:rsidRDefault="00237406" w:rsidP="0053464E">
      <w:r w:rsidRPr="00B676EA">
        <w:t>The Applicant is Micreos B</w:t>
      </w:r>
      <w:r w:rsidR="005A1BDE">
        <w:t>.</w:t>
      </w:r>
      <w:r w:rsidRPr="00B676EA">
        <w:t>V</w:t>
      </w:r>
      <w:r w:rsidR="005A1BDE">
        <w:t>.</w:t>
      </w:r>
      <w:r w:rsidRPr="00B676EA">
        <w:t>, a company specialising in supply of antibacterial products for human health and food safety.</w:t>
      </w:r>
    </w:p>
    <w:p w14:paraId="78009EC8" w14:textId="1F1F1419" w:rsidR="0053464E" w:rsidRPr="00B676EA" w:rsidRDefault="00F33BB8" w:rsidP="00A56E34">
      <w:pPr>
        <w:pStyle w:val="Heading2"/>
      </w:pPr>
      <w:bookmarkStart w:id="15" w:name="_Toc300761891"/>
      <w:bookmarkStart w:id="16" w:name="_Toc300933420"/>
      <w:bookmarkStart w:id="17" w:name="_Toc430251012"/>
      <w:r w:rsidRPr="00B676EA">
        <w:t>1</w:t>
      </w:r>
      <w:r w:rsidR="0053464E" w:rsidRPr="00B676EA">
        <w:t>.2</w:t>
      </w:r>
      <w:r w:rsidR="0053464E" w:rsidRPr="00B676EA">
        <w:tab/>
        <w:t>The Application</w:t>
      </w:r>
      <w:bookmarkEnd w:id="15"/>
      <w:bookmarkEnd w:id="16"/>
      <w:bookmarkEnd w:id="17"/>
    </w:p>
    <w:p w14:paraId="7D49DE1D" w14:textId="00CEBE55" w:rsidR="00486F59" w:rsidRDefault="00486F59" w:rsidP="0053464E">
      <w:r>
        <w:t xml:space="preserve">FSANZ received an application (A1111) from Micreos B.V. on </w:t>
      </w:r>
      <w:r w:rsidR="00B67B29">
        <w:t>13 March 2015,</w:t>
      </w:r>
      <w:r>
        <w:t xml:space="preserve"> to permit a </w:t>
      </w:r>
      <w:r w:rsidR="001337B6" w:rsidRPr="001337B6">
        <w:rPr>
          <w:i/>
        </w:rPr>
        <w:t>Salmonella</w:t>
      </w:r>
      <w:r w:rsidR="001337B6" w:rsidRPr="001337B6">
        <w:t xml:space="preserve"> phage</w:t>
      </w:r>
      <w:r w:rsidR="001337B6">
        <w:t xml:space="preserve"> preparation </w:t>
      </w:r>
      <w:r w:rsidRPr="00B676EA">
        <w:t>(S16 and F</w:t>
      </w:r>
      <w:r>
        <w:t>O</w:t>
      </w:r>
      <w:r w:rsidRPr="00B676EA">
        <w:t>1a)</w:t>
      </w:r>
      <w:r>
        <w:t>,</w:t>
      </w:r>
      <w:r w:rsidRPr="00B676EA">
        <w:t xml:space="preserve"> </w:t>
      </w:r>
      <w:r w:rsidR="00AB4A83">
        <w:t xml:space="preserve">tradename </w:t>
      </w:r>
      <w:r>
        <w:t>Salmonele</w:t>
      </w:r>
      <w:r>
        <w:rPr>
          <w:color w:val="000000" w:themeColor="text1"/>
        </w:rPr>
        <w:t>x</w:t>
      </w:r>
      <w:r>
        <w:rPr>
          <w:color w:val="000000" w:themeColor="text1"/>
          <w:vertAlign w:val="superscript"/>
        </w:rPr>
        <w:t>TM</w:t>
      </w:r>
      <w:r>
        <w:rPr>
          <w:color w:val="000000" w:themeColor="text1"/>
        </w:rPr>
        <w:t xml:space="preserve">, </w:t>
      </w:r>
      <w:r>
        <w:t xml:space="preserve">(subsequently called </w:t>
      </w:r>
      <w:r w:rsidR="001337B6" w:rsidRPr="001337B6">
        <w:rPr>
          <w:i/>
        </w:rPr>
        <w:t>Salmonella</w:t>
      </w:r>
      <w:r w:rsidR="001337B6" w:rsidRPr="001337B6">
        <w:t xml:space="preserve"> phage</w:t>
      </w:r>
      <w:r w:rsidR="001337B6">
        <w:t xml:space="preserve"> </w:t>
      </w:r>
      <w:r>
        <w:t xml:space="preserve">in this report) </w:t>
      </w:r>
      <w:r w:rsidRPr="00B676EA">
        <w:t xml:space="preserve">for use as a processing aid aimed at controlling </w:t>
      </w:r>
      <w:r w:rsidRPr="00B676EA">
        <w:rPr>
          <w:i/>
        </w:rPr>
        <w:t>Salmonella</w:t>
      </w:r>
      <w:r w:rsidR="00A16700">
        <w:rPr>
          <w:i/>
        </w:rPr>
        <w:t> </w:t>
      </w:r>
      <w:r w:rsidRPr="00B676EA">
        <w:t>spp. during post-slaughter processing of fresh meat and poultry products.</w:t>
      </w:r>
    </w:p>
    <w:p w14:paraId="397CFA73" w14:textId="77777777" w:rsidR="00486F59" w:rsidRDefault="00486F59" w:rsidP="0053464E"/>
    <w:p w14:paraId="70994C94" w14:textId="31362136" w:rsidR="00AB4A83" w:rsidRDefault="007070DD" w:rsidP="0053464E">
      <w:r w:rsidRPr="009426C1">
        <w:rPr>
          <w:i/>
        </w:rPr>
        <w:t>Salmonella</w:t>
      </w:r>
      <w:r w:rsidRPr="009426C1">
        <w:t xml:space="preserve"> is one of the most commonly reported causes of foodborne illness, with </w:t>
      </w:r>
      <w:r>
        <w:t xml:space="preserve">fresh raw </w:t>
      </w:r>
      <w:r w:rsidRPr="009426C1">
        <w:t xml:space="preserve">meat and poultry often implicated as a source of infection. Fresh </w:t>
      </w:r>
      <w:r>
        <w:t xml:space="preserve">raw </w:t>
      </w:r>
      <w:r w:rsidRPr="009426C1">
        <w:t xml:space="preserve">meat and poultry can be contaminated with </w:t>
      </w:r>
      <w:r w:rsidRPr="009426C1">
        <w:rPr>
          <w:i/>
        </w:rPr>
        <w:t>Salmonella</w:t>
      </w:r>
      <w:r w:rsidRPr="009426C1">
        <w:t xml:space="preserve"> which can cause illness if meat is consumed undercooked or if cross contamination occurs </w:t>
      </w:r>
      <w:r>
        <w:t>during handling and preparation.</w:t>
      </w:r>
    </w:p>
    <w:p w14:paraId="48EC6D9E" w14:textId="77777777" w:rsidR="007070DD" w:rsidRDefault="007070DD" w:rsidP="0053464E"/>
    <w:p w14:paraId="48FBFD31" w14:textId="193EE519" w:rsidR="00A16700" w:rsidRDefault="00A16700" w:rsidP="0053464E">
      <w:r>
        <w:t xml:space="preserve">Meat is susceptible </w:t>
      </w:r>
      <w:r w:rsidR="003F7ACD">
        <w:t>to</w:t>
      </w:r>
      <w:r>
        <w:t xml:space="preserve"> </w:t>
      </w:r>
      <w:r w:rsidRPr="00A16700">
        <w:rPr>
          <w:i/>
        </w:rPr>
        <w:t>Salmonella</w:t>
      </w:r>
      <w:r>
        <w:t xml:space="preserve"> contamination</w:t>
      </w:r>
      <w:r w:rsidR="00DF2A84">
        <w:t xml:space="preserve"> during processing, with</w:t>
      </w:r>
      <w:r>
        <w:t xml:space="preserve"> poultry meat more </w:t>
      </w:r>
      <w:r w:rsidR="00DF2A84">
        <w:t xml:space="preserve">susceptible than </w:t>
      </w:r>
      <w:r w:rsidR="00AB4A83">
        <w:t xml:space="preserve">other </w:t>
      </w:r>
      <w:r>
        <w:t xml:space="preserve">meat. Poultry processing is a highly automated industry in which many points exists for cross-contamination when </w:t>
      </w:r>
      <w:r w:rsidRPr="00A16700">
        <w:rPr>
          <w:i/>
        </w:rPr>
        <w:t>Salmonella</w:t>
      </w:r>
      <w:r w:rsidR="008848A4">
        <w:t>-</w:t>
      </w:r>
      <w:r>
        <w:t xml:space="preserve">positive birds enter the processing plant. To address the multiple points where birds may be contaminated, several antimicrobial controls are applied at various steps during processing. This multi-hurdle approach </w:t>
      </w:r>
      <w:r w:rsidR="001271FC">
        <w:t>usually</w:t>
      </w:r>
      <w:r>
        <w:t xml:space="preserve"> results in multiple antimicrobial interventions being used. Generally, sites where antimicrobials are applied include online reprocessing or inside/outside bird wash</w:t>
      </w:r>
      <w:r w:rsidR="0073564A">
        <w:t xml:space="preserve"> </w:t>
      </w:r>
      <w:r>
        <w:t>s</w:t>
      </w:r>
      <w:r w:rsidR="0073564A">
        <w:t>tages</w:t>
      </w:r>
      <w:r>
        <w:t>, the poultry chiller and post-chill applications where carcasses are disassembled.</w:t>
      </w:r>
    </w:p>
    <w:p w14:paraId="5FDE3685" w14:textId="77777777" w:rsidR="008D1C2B" w:rsidRDefault="008D1C2B" w:rsidP="006D23A5"/>
    <w:p w14:paraId="3A6D53BF" w14:textId="4C59FA28" w:rsidR="00486F59" w:rsidRPr="006D23A5" w:rsidRDefault="00AB4A83" w:rsidP="006D23A5">
      <w:r w:rsidRPr="006D23A5">
        <w:t>Bacteriophages are</w:t>
      </w:r>
      <w:r w:rsidR="00486F59" w:rsidRPr="006D23A5">
        <w:t xml:space="preserve"> viruses that infect and break down bacterial cells. They </w:t>
      </w:r>
      <w:r>
        <w:rPr>
          <w:rFonts w:cs="Arial"/>
          <w:color w:val="000000" w:themeColor="text1"/>
        </w:rPr>
        <w:t xml:space="preserve">are specific to the strains of bacteria they infect and are not pathogenic to plants, animals or humans </w:t>
      </w:r>
      <w:r w:rsidR="00486F59" w:rsidRPr="006D23A5">
        <w:t>and have therefore been considered safe for use in environmental, veterinary, agricultural, clinical and food-related applications. They are naturally abundant in saltwater, freshwater, soil, plants and animals (including people) and have been shown to be unavoidably present in foods.</w:t>
      </w:r>
    </w:p>
    <w:p w14:paraId="0F3288C7" w14:textId="77777777" w:rsidR="00486F59" w:rsidRPr="006D23A5" w:rsidRDefault="00486F59" w:rsidP="006D23A5"/>
    <w:p w14:paraId="373EE505" w14:textId="71042E2B" w:rsidR="00486F59" w:rsidRPr="006D23A5" w:rsidRDefault="00486F59" w:rsidP="00486F59">
      <w:r w:rsidRPr="006D23A5">
        <w:t>Bacteriophages cannot actively locate bacterial cells</w:t>
      </w:r>
      <w:r w:rsidR="003F7ACD">
        <w:t>;</w:t>
      </w:r>
      <w:r w:rsidRPr="006D23A5">
        <w:t xml:space="preserve"> they are non-motile and rely on passive diffusion to locate and attach to receptor sites on target bacterial cells. They are not meant as a replacement of good hygienic practices nor as an alternative to approved and effective cleaning and sanitising agents generally used in the food industry. </w:t>
      </w:r>
    </w:p>
    <w:p w14:paraId="1D9B8814" w14:textId="77777777" w:rsidR="00486F59" w:rsidRPr="006D23A5" w:rsidRDefault="00486F59" w:rsidP="00486F59"/>
    <w:p w14:paraId="1B48752B" w14:textId="1CE79EEA" w:rsidR="00486F59" w:rsidRDefault="00E23703" w:rsidP="00486F59">
      <w:r>
        <w:t>The Applicant states the</w:t>
      </w:r>
      <w:r w:rsidR="008D1C2B">
        <w:t xml:space="preserve"> </w:t>
      </w:r>
      <w:r w:rsidR="008D1C2B" w:rsidRPr="00E23703">
        <w:rPr>
          <w:i/>
        </w:rPr>
        <w:t>Salmonella</w:t>
      </w:r>
      <w:r w:rsidR="008D1C2B">
        <w:t xml:space="preserve"> phage is highly specific to </w:t>
      </w:r>
      <w:r w:rsidR="008D1C2B" w:rsidRPr="008D1C2B">
        <w:rPr>
          <w:i/>
        </w:rPr>
        <w:t>Salmonella</w:t>
      </w:r>
      <w:r w:rsidR="008D1C2B">
        <w:t xml:space="preserve"> species</w:t>
      </w:r>
      <w:r>
        <w:t xml:space="preserve"> and</w:t>
      </w:r>
      <w:r w:rsidR="008D1C2B">
        <w:t xml:space="preserve"> for use during post-slaughter processing of raw meat. </w:t>
      </w:r>
      <w:r w:rsidR="00984763">
        <w:t xml:space="preserve">Further, the use of </w:t>
      </w:r>
      <w:r w:rsidR="001271FC">
        <w:t xml:space="preserve">the </w:t>
      </w:r>
      <w:r w:rsidR="001271FC" w:rsidRPr="001271FC">
        <w:rPr>
          <w:i/>
        </w:rPr>
        <w:t>Salmonella</w:t>
      </w:r>
      <w:r w:rsidR="001271FC">
        <w:t xml:space="preserve"> phage</w:t>
      </w:r>
      <w:r w:rsidR="00486F59">
        <w:t xml:space="preserve"> </w:t>
      </w:r>
      <w:r w:rsidR="008D1C2B">
        <w:t>should be viewed</w:t>
      </w:r>
      <w:r w:rsidR="00486F59">
        <w:t xml:space="preserve"> as an additional tool for control of </w:t>
      </w:r>
      <w:r w:rsidR="00486F59" w:rsidRPr="006D23A5">
        <w:rPr>
          <w:i/>
        </w:rPr>
        <w:t>Salmonella</w:t>
      </w:r>
      <w:r w:rsidR="00486F59">
        <w:t xml:space="preserve"> in food</w:t>
      </w:r>
      <w:r w:rsidR="008D1C2B">
        <w:t xml:space="preserve">, </w:t>
      </w:r>
      <w:r w:rsidR="007070DD">
        <w:t xml:space="preserve">Good Manufacturing Practices (GMP), Hazard Analysis Critical Control Points (HACCP) </w:t>
      </w:r>
      <w:r w:rsidR="00486F59">
        <w:t>and other measures aimed at the preventi</w:t>
      </w:r>
      <w:r w:rsidR="00DF2A84">
        <w:t>ng</w:t>
      </w:r>
      <w:r w:rsidR="00486F59">
        <w:t xml:space="preserve"> </w:t>
      </w:r>
      <w:r w:rsidR="008D1C2B" w:rsidRPr="008D1C2B">
        <w:rPr>
          <w:i/>
        </w:rPr>
        <w:t>Salmonella</w:t>
      </w:r>
      <w:r w:rsidR="008D1C2B">
        <w:t xml:space="preserve"> contamination</w:t>
      </w:r>
      <w:r w:rsidR="00486F59">
        <w:t xml:space="preserve">, </w:t>
      </w:r>
      <w:r>
        <w:t>and</w:t>
      </w:r>
      <w:r w:rsidR="000368B7">
        <w:t xml:space="preserve"> should</w:t>
      </w:r>
      <w:r>
        <w:t xml:space="preserve"> not</w:t>
      </w:r>
      <w:r w:rsidR="00486F59">
        <w:t xml:space="preserve"> be seen as a replacement </w:t>
      </w:r>
      <w:r w:rsidR="00D45250">
        <w:t>for</w:t>
      </w:r>
      <w:r w:rsidR="00486F59">
        <w:t xml:space="preserve"> </w:t>
      </w:r>
      <w:r w:rsidR="00D45250">
        <w:t xml:space="preserve">good </w:t>
      </w:r>
      <w:r w:rsidR="00486F59">
        <w:t>hygiene</w:t>
      </w:r>
      <w:r w:rsidR="008D1C2B">
        <w:t>.</w:t>
      </w:r>
    </w:p>
    <w:p w14:paraId="66DEF092" w14:textId="77777777" w:rsidR="0053464E" w:rsidRPr="00B676EA" w:rsidRDefault="00F33BB8" w:rsidP="00A56E34">
      <w:pPr>
        <w:pStyle w:val="Heading2"/>
      </w:pPr>
      <w:bookmarkStart w:id="18" w:name="_Toc300761892"/>
      <w:bookmarkStart w:id="19" w:name="_Toc300933421"/>
      <w:bookmarkStart w:id="20" w:name="_Toc430251013"/>
      <w:r w:rsidRPr="00B676EA">
        <w:t>1</w:t>
      </w:r>
      <w:r w:rsidR="00A56E34" w:rsidRPr="00B676EA">
        <w:t>.3</w:t>
      </w:r>
      <w:r w:rsidR="00A56E34" w:rsidRPr="00B676EA">
        <w:tab/>
        <w:t>The c</w:t>
      </w:r>
      <w:r w:rsidR="0053464E" w:rsidRPr="00B676EA">
        <w:t>urrent Standard</w:t>
      </w:r>
      <w:bookmarkEnd w:id="18"/>
      <w:bookmarkEnd w:id="19"/>
      <w:bookmarkEnd w:id="20"/>
    </w:p>
    <w:p w14:paraId="5F95A5B0" w14:textId="77777777" w:rsidR="002E68B2" w:rsidRDefault="008848A4" w:rsidP="00C2232E">
      <w:r>
        <w:t xml:space="preserve">Paragraph </w:t>
      </w:r>
      <w:r w:rsidR="00C2232E" w:rsidRPr="00C2232E">
        <w:t>1.1.1—10(4)(c)</w:t>
      </w:r>
      <w:r w:rsidR="004D729A">
        <w:t xml:space="preserve"> of the revised </w:t>
      </w:r>
      <w:r w:rsidR="004D729A" w:rsidRPr="00772A05">
        <w:rPr>
          <w:i/>
        </w:rPr>
        <w:t>Australia New Zealand Food Standards Code</w:t>
      </w:r>
      <w:r w:rsidR="004D729A">
        <w:t xml:space="preserve"> (the Code)</w:t>
      </w:r>
      <w:r w:rsidR="00772A05">
        <w:t>,</w:t>
      </w:r>
      <w:r w:rsidR="00C2232E" w:rsidRPr="00C2232E">
        <w:t xml:space="preserve"> provides that a food for sale must not have, as an ingredient or a component, a substance that is used as a processing aid, unless expressly permitted</w:t>
      </w:r>
      <w:r w:rsidR="004D729A">
        <w:t>.</w:t>
      </w:r>
      <w:r w:rsidR="00C2232E" w:rsidRPr="00C2232E">
        <w:t xml:space="preserve"> Section 1.1.2—13 defines the expression ‘used as a processing aid’. </w:t>
      </w:r>
      <w:r w:rsidR="002E68B2">
        <w:br w:type="page"/>
      </w:r>
    </w:p>
    <w:p w14:paraId="41D1DA59" w14:textId="77777777" w:rsidR="002E68B2" w:rsidRDefault="008848A4" w:rsidP="002E68B2">
      <w:pPr>
        <w:ind w:right="-286"/>
      </w:pPr>
      <w:r w:rsidRPr="00C2232E">
        <w:lastRenderedPageBreak/>
        <w:t>S</w:t>
      </w:r>
      <w:r>
        <w:t xml:space="preserve">ection </w:t>
      </w:r>
      <w:r w:rsidR="00C2232E">
        <w:t>1</w:t>
      </w:r>
      <w:r w:rsidR="00C2232E" w:rsidRPr="00C2232E">
        <w:t>.3.3—11</w:t>
      </w:r>
      <w:r w:rsidR="004D729A">
        <w:t xml:space="preserve"> </w:t>
      </w:r>
      <w:r w:rsidR="001337B6">
        <w:t>afford</w:t>
      </w:r>
      <w:r w:rsidR="00E23703">
        <w:t>s the</w:t>
      </w:r>
      <w:r w:rsidR="004D729A">
        <w:t xml:space="preserve"> permission for processing aids that perform various technological </w:t>
      </w:r>
      <w:r w:rsidR="000368B7">
        <w:t>functions</w:t>
      </w:r>
      <w:r w:rsidR="00BE1D23">
        <w:t xml:space="preserve"> with specific permissions in </w:t>
      </w:r>
      <w:r w:rsidR="00984763">
        <w:t xml:space="preserve">the </w:t>
      </w:r>
      <w:r w:rsidR="00BE1D23">
        <w:t xml:space="preserve">table to </w:t>
      </w:r>
      <w:r>
        <w:t xml:space="preserve">section </w:t>
      </w:r>
      <w:r w:rsidR="00BE1D23">
        <w:t>S18</w:t>
      </w:r>
      <w:r w:rsidR="00E23703">
        <w:rPr>
          <w:rFonts w:cs="Arial"/>
        </w:rPr>
        <w:t>―</w:t>
      </w:r>
      <w:r w:rsidR="00BE1D23">
        <w:t>9 in Schedule 18.</w:t>
      </w:r>
    </w:p>
    <w:p w14:paraId="1A6CACA4" w14:textId="77777777" w:rsidR="002E68B2" w:rsidRDefault="002E68B2" w:rsidP="0053464E"/>
    <w:p w14:paraId="6DBFB2D0" w14:textId="2AB26F83" w:rsidR="00B676EA" w:rsidRPr="00B676EA" w:rsidRDefault="004D729A" w:rsidP="0053464E">
      <w:r>
        <w:t xml:space="preserve">No permissions currently exist </w:t>
      </w:r>
      <w:r w:rsidR="00E23703">
        <w:t xml:space="preserve">for </w:t>
      </w:r>
      <w:r w:rsidR="001271FC">
        <w:t xml:space="preserve">the </w:t>
      </w:r>
      <w:r w:rsidR="00E23703" w:rsidRPr="004D729A">
        <w:rPr>
          <w:i/>
        </w:rPr>
        <w:t>Salmonella</w:t>
      </w:r>
      <w:r w:rsidR="00E23703">
        <w:t xml:space="preserve"> phage </w:t>
      </w:r>
      <w:r>
        <w:t>in the table to section S18</w:t>
      </w:r>
      <w:r w:rsidR="00E23703">
        <w:rPr>
          <w:rFonts w:cs="Arial"/>
        </w:rPr>
        <w:t>―</w:t>
      </w:r>
      <w:r>
        <w:t>9.</w:t>
      </w:r>
    </w:p>
    <w:p w14:paraId="2A8F202C" w14:textId="77777777" w:rsidR="004D729A" w:rsidRDefault="004D729A" w:rsidP="0053464E">
      <w:pPr>
        <w:rPr>
          <w:highlight w:val="yellow"/>
        </w:rPr>
      </w:pPr>
    </w:p>
    <w:p w14:paraId="480BDDED" w14:textId="37B7EF92" w:rsidR="00B676EA" w:rsidRDefault="00A16700" w:rsidP="0053464E">
      <w:r>
        <w:t>Permission does exist for a</w:t>
      </w:r>
      <w:r w:rsidR="004D729A">
        <w:t>nother phage preparation</w:t>
      </w:r>
      <w:r w:rsidR="00984763">
        <w:t>, that being</w:t>
      </w:r>
      <w:r w:rsidR="004D729A">
        <w:t xml:space="preserve"> </w:t>
      </w:r>
      <w:r w:rsidR="004D729A" w:rsidRPr="004D729A">
        <w:rPr>
          <w:i/>
        </w:rPr>
        <w:t>Listeria</w:t>
      </w:r>
      <w:r w:rsidR="004D729A">
        <w:t xml:space="preserve"> phage P100</w:t>
      </w:r>
      <w:r w:rsidR="00984763">
        <w:t>, which</w:t>
      </w:r>
      <w:r w:rsidR="00CE582F">
        <w:t xml:space="preserve"> is</w:t>
      </w:r>
      <w:r w:rsidR="00AD409E">
        <w:t xml:space="preserve"> </w:t>
      </w:r>
      <w:r w:rsidR="00CE582F">
        <w:t xml:space="preserve">specific for </w:t>
      </w:r>
      <w:r w:rsidR="00CE582F" w:rsidRPr="00AD409E">
        <w:rPr>
          <w:i/>
        </w:rPr>
        <w:t>Listeria monocytogenes</w:t>
      </w:r>
      <w:r w:rsidR="00CE582F">
        <w:t xml:space="preserve"> and</w:t>
      </w:r>
      <w:r w:rsidR="004D729A">
        <w:t xml:space="preserve"> is permitted for use as a l</w:t>
      </w:r>
      <w:r w:rsidR="004D729A" w:rsidRPr="00592060">
        <w:t>istericidal treatment on approved food for use of phage</w:t>
      </w:r>
      <w:r w:rsidR="004D729A">
        <w:t xml:space="preserve"> </w:t>
      </w:r>
      <w:r w:rsidR="00E90A2C">
        <w:t>under conditions of</w:t>
      </w:r>
      <w:r w:rsidR="004D729A">
        <w:t xml:space="preserve"> GMP</w:t>
      </w:r>
      <w:r>
        <w:t>,</w:t>
      </w:r>
      <w:r w:rsidR="004D729A">
        <w:t xml:space="preserve"> in accordance with section S18</w:t>
      </w:r>
      <w:r w:rsidR="00071694">
        <w:rPr>
          <w:rFonts w:cs="Arial"/>
        </w:rPr>
        <w:t>―</w:t>
      </w:r>
      <w:r w:rsidR="004D729A">
        <w:t>9.</w:t>
      </w:r>
    </w:p>
    <w:p w14:paraId="1591384D" w14:textId="77777777" w:rsidR="00BE1D23" w:rsidRPr="00AD409E" w:rsidRDefault="00BE1D23" w:rsidP="0053464E">
      <w:pPr>
        <w:rPr>
          <w:highlight w:val="yellow"/>
        </w:rPr>
      </w:pPr>
    </w:p>
    <w:p w14:paraId="689EE55D" w14:textId="28131DF2" w:rsidR="00B676EA" w:rsidRDefault="00AD409E" w:rsidP="002E68B2">
      <w:pPr>
        <w:ind w:right="-144"/>
      </w:pPr>
      <w:r w:rsidRPr="00AD409E">
        <w:t xml:space="preserve">In accordance with </w:t>
      </w:r>
      <w:r w:rsidR="00D857BD">
        <w:t>section</w:t>
      </w:r>
      <w:r w:rsidR="00D857BD" w:rsidRPr="00AD409E">
        <w:t xml:space="preserve"> </w:t>
      </w:r>
      <w:r w:rsidRPr="00AD409E">
        <w:t>1.1.1—15, all permitted processing aids must comply with relevant specifications</w:t>
      </w:r>
      <w:r>
        <w:t xml:space="preserve"> which</w:t>
      </w:r>
      <w:r w:rsidRPr="00AD409E">
        <w:t xml:space="preserve"> are set out in </w:t>
      </w:r>
      <w:r w:rsidR="002B25D9" w:rsidRPr="00AD409E">
        <w:t>Schedule 3</w:t>
      </w:r>
      <w:r w:rsidRPr="00AD409E">
        <w:t>.</w:t>
      </w:r>
      <w:r w:rsidR="002B25D9" w:rsidRPr="00AD409E">
        <w:t xml:space="preserve"> </w:t>
      </w:r>
      <w:r>
        <w:t xml:space="preserve">No specifications for </w:t>
      </w:r>
      <w:r w:rsidR="001271FC">
        <w:t xml:space="preserve">the </w:t>
      </w:r>
      <w:r w:rsidRPr="00AD409E">
        <w:rPr>
          <w:i/>
        </w:rPr>
        <w:t>Salmonella</w:t>
      </w:r>
      <w:r>
        <w:t xml:space="preserve"> phage are </w:t>
      </w:r>
      <w:r w:rsidR="000368B7">
        <w:t>listed in specification</w:t>
      </w:r>
      <w:r w:rsidR="00984763">
        <w:t>s</w:t>
      </w:r>
      <w:r>
        <w:t xml:space="preserve"> under </w:t>
      </w:r>
      <w:r w:rsidR="008848A4">
        <w:t xml:space="preserve">section </w:t>
      </w:r>
      <w:r>
        <w:t>S3</w:t>
      </w:r>
      <w:r w:rsidRPr="00C2232E">
        <w:t>—</w:t>
      </w:r>
      <w:r>
        <w:t xml:space="preserve">2 </w:t>
      </w:r>
      <w:r w:rsidR="008848A4">
        <w:t>(</w:t>
      </w:r>
      <w:r>
        <w:t>Substances with specifications in primary sources</w:t>
      </w:r>
      <w:r w:rsidR="008848A4">
        <w:t>)</w:t>
      </w:r>
      <w:r>
        <w:t xml:space="preserve"> or </w:t>
      </w:r>
      <w:r w:rsidR="008848A4">
        <w:t xml:space="preserve">section </w:t>
      </w:r>
      <w:r>
        <w:t>S3</w:t>
      </w:r>
      <w:r w:rsidRPr="00C2232E">
        <w:t>—</w:t>
      </w:r>
      <w:r>
        <w:t xml:space="preserve">3 </w:t>
      </w:r>
      <w:r w:rsidR="008848A4">
        <w:t>(</w:t>
      </w:r>
      <w:r>
        <w:t>Substances with specifications in secondary sources</w:t>
      </w:r>
      <w:r w:rsidR="008848A4">
        <w:t>)</w:t>
      </w:r>
      <w:r w:rsidR="000368B7">
        <w:t>. Therefore,</w:t>
      </w:r>
      <w:r>
        <w:t xml:space="preserve"> </w:t>
      </w:r>
      <w:r w:rsidR="00CE582F">
        <w:t>specifications for</w:t>
      </w:r>
      <w:r w:rsidR="001271FC">
        <w:t xml:space="preserve"> the</w:t>
      </w:r>
      <w:r w:rsidR="00CE582F">
        <w:t xml:space="preserve"> </w:t>
      </w:r>
      <w:r w:rsidR="00CE582F" w:rsidRPr="00CE582F">
        <w:rPr>
          <w:i/>
        </w:rPr>
        <w:t>Salmonella</w:t>
      </w:r>
      <w:r w:rsidR="00CE582F">
        <w:t xml:space="preserve"> phage </w:t>
      </w:r>
      <w:r w:rsidR="008848A4">
        <w:t xml:space="preserve">are proposed to be included in </w:t>
      </w:r>
      <w:r>
        <w:t>Schedule 3.</w:t>
      </w:r>
    </w:p>
    <w:p w14:paraId="4FB55CB4" w14:textId="77777777" w:rsidR="0075017A" w:rsidRDefault="0075017A" w:rsidP="0075017A">
      <w:pPr>
        <w:pStyle w:val="Heading3"/>
      </w:pPr>
      <w:bookmarkStart w:id="21" w:name="_Toc393271466"/>
      <w:bookmarkStart w:id="22" w:name="_Toc430251014"/>
      <w:r>
        <w:t>1.3.1</w:t>
      </w:r>
      <w:r>
        <w:tab/>
        <w:t>International Standards</w:t>
      </w:r>
      <w:bookmarkEnd w:id="21"/>
      <w:bookmarkEnd w:id="22"/>
    </w:p>
    <w:p w14:paraId="0034406F" w14:textId="007082A4" w:rsidR="008E677C" w:rsidRDefault="0075017A" w:rsidP="008E677C">
      <w:pPr>
        <w:rPr>
          <w:lang w:eastAsia="en-AU" w:bidi="ar-SA"/>
        </w:rPr>
      </w:pPr>
      <w:r w:rsidRPr="001A1F77">
        <w:t xml:space="preserve">Codex Alimentarius does not </w:t>
      </w:r>
      <w:r>
        <w:t>list</w:t>
      </w:r>
      <w:r w:rsidRPr="001A1F77">
        <w:t xml:space="preserve"> </w:t>
      </w:r>
      <w:r w:rsidR="008848A4">
        <w:t>s</w:t>
      </w:r>
      <w:r w:rsidRPr="001A1F77">
        <w:t xml:space="preserve">tandards for </w:t>
      </w:r>
      <w:r w:rsidR="000368B7">
        <w:t xml:space="preserve">either </w:t>
      </w:r>
      <w:r w:rsidRPr="001A1F77">
        <w:t>processing aids</w:t>
      </w:r>
      <w:r>
        <w:t xml:space="preserve"> or bacteriophages</w:t>
      </w:r>
      <w:r w:rsidRPr="001A1F77">
        <w:t xml:space="preserve">. Individual countries regulate the use of </w:t>
      </w:r>
      <w:r>
        <w:t>processing aids</w:t>
      </w:r>
      <w:r w:rsidR="008E677C">
        <w:t xml:space="preserve"> and bacteriophages</w:t>
      </w:r>
      <w:r w:rsidR="00CE582F">
        <w:t xml:space="preserve"> differently</w:t>
      </w:r>
      <w:r w:rsidR="008E677C">
        <w:t>.</w:t>
      </w:r>
      <w:r w:rsidR="008E677C" w:rsidRPr="008E677C">
        <w:rPr>
          <w:lang w:eastAsia="en-AU" w:bidi="ar-SA"/>
        </w:rPr>
        <w:t xml:space="preserve"> </w:t>
      </w:r>
      <w:r w:rsidR="00984763">
        <w:rPr>
          <w:lang w:eastAsia="en-AU" w:bidi="ar-SA"/>
        </w:rPr>
        <w:t>A number of</w:t>
      </w:r>
      <w:r w:rsidR="008E677C">
        <w:rPr>
          <w:lang w:eastAsia="en-AU" w:bidi="ar-SA"/>
        </w:rPr>
        <w:t xml:space="preserve"> </w:t>
      </w:r>
      <w:r w:rsidR="00AD409E">
        <w:rPr>
          <w:lang w:eastAsia="en-AU" w:bidi="ar-SA"/>
        </w:rPr>
        <w:t xml:space="preserve">permissions for bacteriophages </w:t>
      </w:r>
      <w:r w:rsidR="000368B7">
        <w:rPr>
          <w:lang w:eastAsia="en-AU" w:bidi="ar-SA"/>
        </w:rPr>
        <w:t xml:space="preserve">used </w:t>
      </w:r>
      <w:r w:rsidR="00AD409E">
        <w:rPr>
          <w:lang w:eastAsia="en-AU" w:bidi="ar-SA"/>
        </w:rPr>
        <w:t xml:space="preserve">as processing aids </w:t>
      </w:r>
      <w:r w:rsidR="00D30D03">
        <w:rPr>
          <w:lang w:eastAsia="en-AU" w:bidi="ar-SA"/>
        </w:rPr>
        <w:t xml:space="preserve">in foods </w:t>
      </w:r>
      <w:r w:rsidR="00984763">
        <w:rPr>
          <w:lang w:eastAsia="en-AU" w:bidi="ar-SA"/>
        </w:rPr>
        <w:t xml:space="preserve">are provided </w:t>
      </w:r>
      <w:r w:rsidR="00CE582F">
        <w:rPr>
          <w:lang w:eastAsia="en-AU" w:bidi="ar-SA"/>
        </w:rPr>
        <w:t xml:space="preserve">in </w:t>
      </w:r>
      <w:r w:rsidR="00AD409E">
        <w:rPr>
          <w:lang w:eastAsia="en-AU" w:bidi="ar-SA"/>
        </w:rPr>
        <w:t>international</w:t>
      </w:r>
      <w:r w:rsidR="00CE582F">
        <w:rPr>
          <w:lang w:eastAsia="en-AU" w:bidi="ar-SA"/>
        </w:rPr>
        <w:t xml:space="preserve"> regulations.</w:t>
      </w:r>
    </w:p>
    <w:p w14:paraId="6F98A229" w14:textId="77777777" w:rsidR="008E677C" w:rsidRDefault="008E677C" w:rsidP="008E677C"/>
    <w:p w14:paraId="796F71B5" w14:textId="47FFC405" w:rsidR="008D1D3B" w:rsidDel="008D1D3B" w:rsidRDefault="0075017A" w:rsidP="002E68B2">
      <w:pPr>
        <w:ind w:right="-286"/>
      </w:pPr>
      <w:r w:rsidRPr="005721ED" w:rsidDel="004A00DF">
        <w:t>The European Food Safety Authority (EFSA) issued a scientific opinion in 2009 on the general use of bacteriophages in food products and concluded that each phage/food application should be considered on a case-by-case basis</w:t>
      </w:r>
      <w:r w:rsidR="008848A4">
        <w:t>,</w:t>
      </w:r>
      <w:r w:rsidRPr="005721ED" w:rsidDel="004A00DF">
        <w:t xml:space="preserve"> taking into consideration the biology and safety aspects of each bacteriophage and the food matrix to which it is applied </w:t>
      </w:r>
      <w:r w:rsidRPr="005721ED" w:rsidDel="004A00DF">
        <w:fldChar w:fldCharType="begin"/>
      </w:r>
      <w:r w:rsidRPr="005721ED" w:rsidDel="004A00DF">
        <w:instrText xml:space="preserve"> ADDIN REFMGR.CITE &lt;Refman&gt;&lt;Cite&gt;&lt;Author&gt;EFSA&lt;/Author&gt;&lt;Year&gt;2009&lt;/Year&gt;&lt;RecNum&gt;137&lt;/RecNum&gt;&lt;IDText&gt;The use and mode of action of bacteriophages in food production&lt;/IDText&gt;&lt;MDL Ref_Type="Journal"&gt;&lt;Ref_Type&gt;Journal&lt;/Ref_Type&gt;&lt;Ref_ID&gt;137&lt;/Ref_ID&gt;&lt;Title_Primary&gt;The use and mode of action of bacteriophages in food production&lt;/Title_Primary&gt;&lt;Authors_Primary&gt;EFSA&lt;/Authors_Primary&gt;&lt;Date_Primary&gt;2009&lt;/Date_Primary&gt;&lt;Keywords&gt;Bacteriophages&lt;/Keywords&gt;&lt;Reprint&gt;In File&lt;/Reprint&gt;&lt;Start_Page&gt;1&lt;/Start_Page&gt;&lt;End_Page&gt;26&lt;/End_Page&gt;&lt;Periodical&gt;The EFSA Journal (2009)&lt;/Periodical&gt;&lt;Volume&gt;1076&lt;/Volume&gt;&lt;ZZ_JournalFull&gt;&lt;f name="System"&gt;The EFSA Journal (2009)&lt;/f&gt;&lt;/ZZ_JournalFull&gt;&lt;ZZ_WorkformID&gt;1&lt;/ZZ_WorkformID&gt;&lt;/MDL&gt;&lt;/Cite&gt;&lt;/Refman&gt;</w:instrText>
      </w:r>
      <w:r w:rsidRPr="005721ED" w:rsidDel="004A00DF">
        <w:fldChar w:fldCharType="separate"/>
      </w:r>
      <w:r w:rsidRPr="005721ED" w:rsidDel="004A00DF">
        <w:rPr>
          <w:noProof/>
        </w:rPr>
        <w:t>(EFSA 2009)</w:t>
      </w:r>
      <w:r w:rsidRPr="005721ED" w:rsidDel="004A00DF">
        <w:fldChar w:fldCharType="end"/>
      </w:r>
      <w:r w:rsidRPr="005721ED" w:rsidDel="004A00DF">
        <w:t>.</w:t>
      </w:r>
      <w:r w:rsidR="008D1D3B" w:rsidRPr="008D1D3B" w:rsidDel="008D1D3B">
        <w:t xml:space="preserve"> </w:t>
      </w:r>
      <w:r w:rsidR="008D1D3B" w:rsidDel="008D1D3B">
        <w:t>In 2012, EFSA released an opinion on the safety and efficacy of using Listex P100</w:t>
      </w:r>
      <w:r w:rsidR="008D1D3B" w:rsidRPr="008D1D3B" w:rsidDel="008D1D3B">
        <w:t xml:space="preserve">TM </w:t>
      </w:r>
      <w:r w:rsidR="008D1D3B" w:rsidDel="008D1D3B">
        <w:t>to treat raw fish.</w:t>
      </w:r>
    </w:p>
    <w:p w14:paraId="529996AD" w14:textId="77777777" w:rsidR="00CE582F" w:rsidRDefault="00CE582F" w:rsidP="0075017A"/>
    <w:p w14:paraId="0F8FCC5D" w14:textId="0BC55805" w:rsidR="00CE582F" w:rsidRDefault="00984763" w:rsidP="00CE582F">
      <w:pPr>
        <w:rPr>
          <w:lang w:eastAsia="en-AU" w:bidi="ar-SA"/>
        </w:rPr>
      </w:pPr>
      <w:r>
        <w:rPr>
          <w:lang w:eastAsia="en-AU" w:bidi="ar-SA"/>
        </w:rPr>
        <w:t>A</w:t>
      </w:r>
      <w:r w:rsidR="00CE582F">
        <w:rPr>
          <w:lang w:eastAsia="en-AU" w:bidi="ar-SA"/>
        </w:rPr>
        <w:t xml:space="preserve"> number of Generally Recognized as Safe (GRAS) notifications</w:t>
      </w:r>
      <w:r>
        <w:rPr>
          <w:lang w:eastAsia="en-AU" w:bidi="ar-SA"/>
        </w:rPr>
        <w:t xml:space="preserve"> have been made</w:t>
      </w:r>
      <w:r w:rsidR="00CE582F">
        <w:rPr>
          <w:lang w:eastAsia="en-AU" w:bidi="ar-SA"/>
        </w:rPr>
        <w:t xml:space="preserve"> to the United States Food and Drug Administration (USFDA) for various </w:t>
      </w:r>
      <w:r w:rsidR="00CE582F" w:rsidRPr="00772A05">
        <w:rPr>
          <w:i/>
          <w:lang w:eastAsia="en-AU" w:bidi="ar-SA"/>
        </w:rPr>
        <w:t>Salmonella</w:t>
      </w:r>
      <w:r w:rsidR="00CE582F">
        <w:rPr>
          <w:lang w:eastAsia="en-AU" w:bidi="ar-SA"/>
        </w:rPr>
        <w:t xml:space="preserve"> and </w:t>
      </w:r>
      <w:r w:rsidR="00CE582F" w:rsidRPr="00772A05">
        <w:rPr>
          <w:i/>
          <w:lang w:eastAsia="en-AU" w:bidi="ar-SA"/>
        </w:rPr>
        <w:t>Listeria</w:t>
      </w:r>
      <w:r w:rsidR="00CE582F">
        <w:rPr>
          <w:lang w:eastAsia="en-AU" w:bidi="ar-SA"/>
        </w:rPr>
        <w:t xml:space="preserve"> bacteriophage preparations for use</w:t>
      </w:r>
      <w:r w:rsidR="000368B7">
        <w:rPr>
          <w:lang w:eastAsia="en-AU" w:bidi="ar-SA"/>
        </w:rPr>
        <w:t xml:space="preserve"> </w:t>
      </w:r>
      <w:r w:rsidR="00CE582F">
        <w:rPr>
          <w:lang w:eastAsia="en-AU" w:bidi="ar-SA"/>
        </w:rPr>
        <w:t xml:space="preserve">in foods. </w:t>
      </w:r>
    </w:p>
    <w:p w14:paraId="5DD15D6A" w14:textId="631D79C4" w:rsidR="0075017A" w:rsidRDefault="0075017A" w:rsidP="0075017A">
      <w:pPr>
        <w:pStyle w:val="Heading4"/>
      </w:pPr>
      <w:r>
        <w:t>1.3.1.1</w:t>
      </w:r>
      <w:r>
        <w:tab/>
      </w:r>
      <w:r w:rsidR="006E146C">
        <w:t>Salmonella bacteriophage</w:t>
      </w:r>
      <w:r w:rsidR="00772A05">
        <w:t>s</w:t>
      </w:r>
    </w:p>
    <w:p w14:paraId="67C615E1" w14:textId="2917E5EF" w:rsidR="001F508D" w:rsidRDefault="008A54CC" w:rsidP="009F6665">
      <w:r>
        <w:t xml:space="preserve">In </w:t>
      </w:r>
      <w:r w:rsidR="008E677C">
        <w:t xml:space="preserve">December </w:t>
      </w:r>
      <w:r w:rsidR="00366527">
        <w:t xml:space="preserve">2013 </w:t>
      </w:r>
      <w:r w:rsidR="008E677C">
        <w:t>GRAS Notice No. GRN468</w:t>
      </w:r>
      <w:r w:rsidR="005E2157">
        <w:t>,</w:t>
      </w:r>
      <w:r w:rsidR="008E677C">
        <w:t xml:space="preserve"> submitted by the Applicant</w:t>
      </w:r>
      <w:r w:rsidR="001C4063">
        <w:t xml:space="preserve"> (Micreos B.V.)</w:t>
      </w:r>
      <w:r w:rsidR="008E677C">
        <w:t xml:space="preserve"> to </w:t>
      </w:r>
      <w:r w:rsidR="001C4063">
        <w:t>the USFDA</w:t>
      </w:r>
      <w:r w:rsidR="008E677C">
        <w:t>, received a ‘no questions’ notification</w:t>
      </w:r>
      <w:r>
        <w:t xml:space="preserve"> </w:t>
      </w:r>
      <w:r w:rsidR="008E677C">
        <w:t>for the use of bacteriophage preparation S16 and FO1a (Salmonelex</w:t>
      </w:r>
      <w:r w:rsidR="008E677C" w:rsidRPr="008E677C">
        <w:rPr>
          <w:vertAlign w:val="superscript"/>
        </w:rPr>
        <w:t>TM</w:t>
      </w:r>
      <w:r w:rsidR="008E677C">
        <w:t>)</w:t>
      </w:r>
      <w:r w:rsidR="00366527">
        <w:t>,</w:t>
      </w:r>
      <w:r w:rsidR="008E677C">
        <w:t xml:space="preserve"> as </w:t>
      </w:r>
      <w:r w:rsidR="0000410F">
        <w:t xml:space="preserve">an antimicrobial to control </w:t>
      </w:r>
      <w:r w:rsidR="0000410F">
        <w:rPr>
          <w:i/>
          <w:iCs/>
        </w:rPr>
        <w:t>Salmonella</w:t>
      </w:r>
      <w:r w:rsidR="0000410F">
        <w:t xml:space="preserve"> in meat and poultry, at up </w:t>
      </w:r>
      <w:r w:rsidR="0000410F" w:rsidRPr="000368B7">
        <w:rPr>
          <w:szCs w:val="22"/>
        </w:rPr>
        <w:t>to</w:t>
      </w:r>
      <w:r w:rsidR="000368B7">
        <w:rPr>
          <w:szCs w:val="22"/>
        </w:rPr>
        <w:t xml:space="preserve"> 10</w:t>
      </w:r>
      <w:r w:rsidR="000368B7" w:rsidRPr="000368B7">
        <w:rPr>
          <w:szCs w:val="22"/>
          <w:vertAlign w:val="superscript"/>
        </w:rPr>
        <w:t>8</w:t>
      </w:r>
      <w:r w:rsidR="0000410F" w:rsidRPr="000368B7">
        <w:rPr>
          <w:szCs w:val="22"/>
        </w:rPr>
        <w:t xml:space="preserve"> plaque</w:t>
      </w:r>
      <w:r w:rsidR="0000410F">
        <w:t xml:space="preserve"> forming units</w:t>
      </w:r>
      <w:r w:rsidR="00772A05">
        <w:t xml:space="preserve"> (pfu)</w:t>
      </w:r>
      <w:r w:rsidR="0000410F">
        <w:t xml:space="preserve"> per gram of food</w:t>
      </w:r>
      <w:r w:rsidR="008E677C">
        <w:t>.</w:t>
      </w:r>
      <w:r w:rsidR="008E677C" w:rsidDel="008E677C">
        <w:t xml:space="preserve"> </w:t>
      </w:r>
      <w:r w:rsidR="00CE582F">
        <w:t xml:space="preserve">This is the same phage preparation and intended use as proposed </w:t>
      </w:r>
      <w:r w:rsidR="000368B7">
        <w:t>in</w:t>
      </w:r>
      <w:r w:rsidR="00CE582F">
        <w:t xml:space="preserve"> this Application.</w:t>
      </w:r>
    </w:p>
    <w:p w14:paraId="12156D87" w14:textId="77777777" w:rsidR="008E677C" w:rsidRDefault="008E677C" w:rsidP="009F6665"/>
    <w:p w14:paraId="2A738892" w14:textId="7447FCC3" w:rsidR="006E146C" w:rsidRDefault="00366527" w:rsidP="006E146C">
      <w:r>
        <w:t>Intralytix Inc., a</w:t>
      </w:r>
      <w:r w:rsidR="006E146C">
        <w:t xml:space="preserve"> </w:t>
      </w:r>
      <w:r>
        <w:t>competitor to Micreos B.V</w:t>
      </w:r>
      <w:r w:rsidR="000368B7">
        <w:t>.</w:t>
      </w:r>
      <w:r>
        <w:t xml:space="preserve">, </w:t>
      </w:r>
      <w:r w:rsidR="00D30D03">
        <w:t xml:space="preserve">also </w:t>
      </w:r>
      <w:r>
        <w:t>received a ‘no questions’ notification</w:t>
      </w:r>
      <w:r w:rsidR="001C4063">
        <w:t xml:space="preserve"> from the USFDA</w:t>
      </w:r>
      <w:r>
        <w:t xml:space="preserve"> in February 2013 to GRAS Notice</w:t>
      </w:r>
      <w:r w:rsidR="00772A05">
        <w:t>,</w:t>
      </w:r>
      <w:r>
        <w:t xml:space="preserve"> No. GRN435 for use of a p</w:t>
      </w:r>
      <w:r w:rsidR="006E146C">
        <w:t xml:space="preserve">reparation containing six bacterial monophages specific to </w:t>
      </w:r>
      <w:r w:rsidR="006E146C" w:rsidRPr="00366527">
        <w:rPr>
          <w:i/>
        </w:rPr>
        <w:t>Salmonella</w:t>
      </w:r>
      <w:r>
        <w:t xml:space="preserve"> (tradename SalmoFresh</w:t>
      </w:r>
      <w:r w:rsidRPr="00366527">
        <w:rPr>
          <w:vertAlign w:val="superscript"/>
        </w:rPr>
        <w:t>TM</w:t>
      </w:r>
      <w:r>
        <w:t xml:space="preserve">) for use as </w:t>
      </w:r>
      <w:r w:rsidR="006E146C">
        <w:t>an antimicrobial in certain poultry products, fish, shellfish, and fresh and processed fruits and vegetables at</w:t>
      </w:r>
      <w:r w:rsidR="000368B7">
        <w:t xml:space="preserve"> levels up to</w:t>
      </w:r>
      <w:r w:rsidR="006E146C">
        <w:t xml:space="preserve"> 10</w:t>
      </w:r>
      <w:r w:rsidR="006E146C" w:rsidRPr="000368B7">
        <w:rPr>
          <w:szCs w:val="22"/>
          <w:vertAlign w:val="superscript"/>
        </w:rPr>
        <w:t>7</w:t>
      </w:r>
      <w:r w:rsidR="006E146C">
        <w:t xml:space="preserve"> </w:t>
      </w:r>
      <w:r w:rsidR="00772A05">
        <w:t>pfu/g</w:t>
      </w:r>
      <w:r>
        <w:t>.</w:t>
      </w:r>
      <w:r w:rsidR="006E146C">
        <w:t xml:space="preserve"> </w:t>
      </w:r>
    </w:p>
    <w:p w14:paraId="1804E02C" w14:textId="3000D3D2" w:rsidR="001F508D" w:rsidRDefault="0075017A" w:rsidP="0075017A">
      <w:pPr>
        <w:pStyle w:val="Heading4"/>
      </w:pPr>
      <w:r>
        <w:t>1.3.1.2</w:t>
      </w:r>
      <w:r>
        <w:tab/>
      </w:r>
      <w:r w:rsidR="00772A05">
        <w:t>Listeria</w:t>
      </w:r>
      <w:r w:rsidR="001F508D">
        <w:t xml:space="preserve"> </w:t>
      </w:r>
      <w:r w:rsidR="006E146C">
        <w:t>bacteriophage</w:t>
      </w:r>
      <w:r w:rsidR="00772A05">
        <w:t>s</w:t>
      </w:r>
    </w:p>
    <w:p w14:paraId="5B137380" w14:textId="32D135FA" w:rsidR="002E68B2" w:rsidRDefault="008D1D3B" w:rsidP="008D1D3B">
      <w:pPr>
        <w:ind w:right="-144"/>
      </w:pPr>
      <w:r>
        <w:t xml:space="preserve"> </w:t>
      </w:r>
      <w:r w:rsidR="006E146C">
        <w:t xml:space="preserve">In 2014, the USFDA issued a ‘no questions’ notification to GRAS Notice No. </w:t>
      </w:r>
      <w:r w:rsidR="00821F00">
        <w:t>GRN528</w:t>
      </w:r>
      <w:r w:rsidR="006E146C">
        <w:t xml:space="preserve"> </w:t>
      </w:r>
      <w:r w:rsidR="00591F1B">
        <w:t xml:space="preserve">submitted by Intralytix Inc. </w:t>
      </w:r>
      <w:r w:rsidR="005E0A16">
        <w:t xml:space="preserve">The submission was for use of a preparation containing six bacterial monophages (LIST-36, IMSP-25, IMTA-34, IMT-57, IMTA-94 and IMTA-148) specific to </w:t>
      </w:r>
      <w:r w:rsidR="005E0A16" w:rsidRPr="006E146C">
        <w:rPr>
          <w:i/>
        </w:rPr>
        <w:t>Listeria monocytogenes</w:t>
      </w:r>
      <w:r w:rsidR="005E0A16">
        <w:rPr>
          <w:i/>
        </w:rPr>
        <w:t xml:space="preserve"> </w:t>
      </w:r>
      <w:r w:rsidR="005E0A16" w:rsidRPr="00621603">
        <w:t>(tradename ListShi</w:t>
      </w:r>
      <w:r w:rsidR="005E0A16">
        <w:t>e</w:t>
      </w:r>
      <w:r w:rsidR="005E0A16" w:rsidRPr="00621603">
        <w:t>ld</w:t>
      </w:r>
      <w:r w:rsidR="005E0A16" w:rsidRPr="00621603">
        <w:rPr>
          <w:vertAlign w:val="superscript"/>
        </w:rPr>
        <w:t>TM</w:t>
      </w:r>
      <w:r w:rsidR="005E0A16" w:rsidRPr="00621603">
        <w:t>),</w:t>
      </w:r>
      <w:r w:rsidR="005E0A16">
        <w:t xml:space="preserve"> for use as an antimicrobial to control </w:t>
      </w:r>
      <w:r w:rsidR="005E0A16">
        <w:rPr>
          <w:i/>
          <w:iCs/>
        </w:rPr>
        <w:t>L. monocytogenes</w:t>
      </w:r>
      <w:r w:rsidR="005E0A16">
        <w:t xml:space="preserve"> in fish and shellfish, fresh and processed fruits, fresh and processed vegetables, and dairy products applied to food surfaces at levels up to 1 x 10</w:t>
      </w:r>
      <w:r w:rsidR="005E0A16">
        <w:rPr>
          <w:vertAlign w:val="superscript"/>
        </w:rPr>
        <w:t>6</w:t>
      </w:r>
      <w:r w:rsidR="005E0A16">
        <w:t xml:space="preserve"> pfu/g.</w:t>
      </w:r>
      <w:r w:rsidR="005E0A16" w:rsidDel="006E146C">
        <w:t xml:space="preserve"> </w:t>
      </w:r>
      <w:r w:rsidR="002E68B2">
        <w:br w:type="page"/>
      </w:r>
    </w:p>
    <w:p w14:paraId="5FE5C751" w14:textId="71B63421" w:rsidR="001F508D" w:rsidRDefault="00591F1B" w:rsidP="009F6665">
      <w:r>
        <w:lastRenderedPageBreak/>
        <w:t xml:space="preserve">In 2012, </w:t>
      </w:r>
      <w:r w:rsidR="0075017A">
        <w:t>FSANZ approved an application (</w:t>
      </w:r>
      <w:r w:rsidR="00BE6FCB">
        <w:t xml:space="preserve">Application </w:t>
      </w:r>
      <w:r w:rsidR="0075017A">
        <w:t xml:space="preserve">A1045) </w:t>
      </w:r>
      <w:r w:rsidR="006E146C">
        <w:t>submitted by the Applicant to this Application</w:t>
      </w:r>
      <w:r w:rsidR="00621603">
        <w:t xml:space="preserve"> (Micreos B.V.)</w:t>
      </w:r>
      <w:r w:rsidR="006E146C">
        <w:t xml:space="preserve">, </w:t>
      </w:r>
      <w:r w:rsidR="0075017A">
        <w:t xml:space="preserve">to permit </w:t>
      </w:r>
      <w:r w:rsidR="00821F00">
        <w:t xml:space="preserve">the </w:t>
      </w:r>
      <w:r w:rsidR="0075017A">
        <w:t xml:space="preserve">use of </w:t>
      </w:r>
      <w:r w:rsidR="0075017A" w:rsidRPr="0075017A">
        <w:rPr>
          <w:i/>
        </w:rPr>
        <w:t>Listeria</w:t>
      </w:r>
      <w:r w:rsidR="0075017A">
        <w:t xml:space="preserve"> phage P100 (tradename Listex P100</w:t>
      </w:r>
      <w:r w:rsidR="0075017A" w:rsidRPr="0075017A">
        <w:rPr>
          <w:vertAlign w:val="superscript"/>
        </w:rPr>
        <w:t>TM</w:t>
      </w:r>
      <w:r w:rsidR="0075017A">
        <w:t>) as a processing aid</w:t>
      </w:r>
      <w:r w:rsidR="00821F00">
        <w:t xml:space="preserve"> on</w:t>
      </w:r>
      <w:r w:rsidR="0075017A">
        <w:t xml:space="preserve"> approved foods for use of phage under conditions of GMP</w:t>
      </w:r>
      <w:r w:rsidR="00821F00">
        <w:t xml:space="preserve">. </w:t>
      </w:r>
    </w:p>
    <w:p w14:paraId="1590B664" w14:textId="77777777" w:rsidR="001F508D" w:rsidRDefault="001F508D" w:rsidP="009F6665"/>
    <w:p w14:paraId="656F6BFC" w14:textId="0A1BF199" w:rsidR="00821F00" w:rsidRDefault="00821F00" w:rsidP="009F6665">
      <w:r>
        <w:t>The product Listex P100</w:t>
      </w:r>
      <w:r w:rsidRPr="0075017A">
        <w:rPr>
          <w:vertAlign w:val="superscript"/>
        </w:rPr>
        <w:t>TM</w:t>
      </w:r>
      <w:r>
        <w:rPr>
          <w:vertAlign w:val="superscript"/>
        </w:rPr>
        <w:t xml:space="preserve"> </w:t>
      </w:r>
      <w:r w:rsidRPr="00821F00">
        <w:t xml:space="preserve">is </w:t>
      </w:r>
      <w:r>
        <w:t xml:space="preserve">also </w:t>
      </w:r>
      <w:r w:rsidRPr="00821F00">
        <w:t>approved for use in</w:t>
      </w:r>
      <w:r>
        <w:t xml:space="preserve"> a number of other countries:</w:t>
      </w:r>
    </w:p>
    <w:p w14:paraId="5869DC59" w14:textId="77777777" w:rsidR="001F508D" w:rsidRDefault="001F508D" w:rsidP="00821F00">
      <w:pPr>
        <w:ind w:left="567" w:hanging="567"/>
      </w:pPr>
    </w:p>
    <w:p w14:paraId="28D73F33" w14:textId="279E575F" w:rsidR="001F508D" w:rsidRDefault="001F508D" w:rsidP="00071694">
      <w:pPr>
        <w:pStyle w:val="FSBullet1"/>
      </w:pPr>
      <w:r>
        <w:t xml:space="preserve">The Dutch Ministry of Public Health permitted use of </w:t>
      </w:r>
      <w:r w:rsidR="00821F00">
        <w:t>Listex P100</w:t>
      </w:r>
      <w:r w:rsidR="00821F00" w:rsidRPr="0075017A">
        <w:rPr>
          <w:vertAlign w:val="superscript"/>
        </w:rPr>
        <w:t>TM</w:t>
      </w:r>
      <w:r w:rsidR="00821F00">
        <w:rPr>
          <w:vertAlign w:val="superscript"/>
        </w:rPr>
        <w:t xml:space="preserve"> </w:t>
      </w:r>
      <w:r>
        <w:t>as a processing aid for use on all foods in The Netherlands in July 2009.</w:t>
      </w:r>
    </w:p>
    <w:p w14:paraId="62388885" w14:textId="77777777" w:rsidR="001F508D" w:rsidRDefault="001F508D" w:rsidP="00821F00">
      <w:pPr>
        <w:ind w:left="567" w:hanging="567"/>
      </w:pPr>
    </w:p>
    <w:p w14:paraId="3F9E40E1" w14:textId="57DAC1C1" w:rsidR="001F508D" w:rsidRDefault="00821F00" w:rsidP="00071694">
      <w:pPr>
        <w:pStyle w:val="FSBullet1"/>
      </w:pPr>
      <w:r>
        <w:t>Listex P100</w:t>
      </w:r>
      <w:r w:rsidRPr="0075017A">
        <w:rPr>
          <w:vertAlign w:val="superscript"/>
        </w:rPr>
        <w:t>TM</w:t>
      </w:r>
      <w:r>
        <w:rPr>
          <w:vertAlign w:val="superscript"/>
        </w:rPr>
        <w:t xml:space="preserve"> </w:t>
      </w:r>
      <w:r w:rsidR="001F508D">
        <w:t>is self-assessed GRAS in the USA in cheese (</w:t>
      </w:r>
      <w:r w:rsidR="00591F1B">
        <w:t>GRAS Notice No</w:t>
      </w:r>
      <w:r w:rsidR="00BE6FCB">
        <w:t>.</w:t>
      </w:r>
      <w:r w:rsidR="00591F1B">
        <w:t xml:space="preserve"> GRN198 in </w:t>
      </w:r>
      <w:r w:rsidR="001F508D">
        <w:t xml:space="preserve">2006), and </w:t>
      </w:r>
      <w:r w:rsidR="00355D3A">
        <w:t xml:space="preserve">was  </w:t>
      </w:r>
      <w:r w:rsidR="001F508D">
        <w:t>extended to all food products susceptible to</w:t>
      </w:r>
      <w:r w:rsidR="00B62DCF">
        <w:t xml:space="preserve"> contamination with</w:t>
      </w:r>
      <w:r w:rsidR="001F508D">
        <w:t xml:space="preserve"> </w:t>
      </w:r>
      <w:r w:rsidR="001F508D" w:rsidRPr="00821F00">
        <w:rPr>
          <w:i/>
        </w:rPr>
        <w:t>L. monocytogenes</w:t>
      </w:r>
      <w:r w:rsidR="001F508D">
        <w:t xml:space="preserve"> in 2007</w:t>
      </w:r>
      <w:r w:rsidR="00591F1B">
        <w:t xml:space="preserve"> (GRAS Notice GRN218)</w:t>
      </w:r>
      <w:r w:rsidR="001F508D">
        <w:t>, with labelling provisions. In 2011, USDA permitted its use as a processing aid on RTE meat and poultry products without labelling requirements.</w:t>
      </w:r>
    </w:p>
    <w:p w14:paraId="019AA0EB" w14:textId="77777777" w:rsidR="001F508D" w:rsidRDefault="001F508D" w:rsidP="00821F00">
      <w:pPr>
        <w:ind w:left="567" w:hanging="567"/>
      </w:pPr>
    </w:p>
    <w:p w14:paraId="6D6AD191" w14:textId="37195038" w:rsidR="001F508D" w:rsidRDefault="001F508D" w:rsidP="00071694">
      <w:pPr>
        <w:pStyle w:val="FSBullet1"/>
      </w:pPr>
      <w:r>
        <w:t xml:space="preserve">Health Canada issued a </w:t>
      </w:r>
      <w:r w:rsidRPr="00821F00">
        <w:rPr>
          <w:i/>
        </w:rPr>
        <w:t>‘letter of no objection’</w:t>
      </w:r>
      <w:r>
        <w:t xml:space="preserve"> for use of </w:t>
      </w:r>
      <w:r w:rsidR="00821F00">
        <w:t>Listex P100</w:t>
      </w:r>
      <w:r w:rsidR="00821F00" w:rsidRPr="0075017A">
        <w:rPr>
          <w:vertAlign w:val="superscript"/>
        </w:rPr>
        <w:t>TM</w:t>
      </w:r>
      <w:r w:rsidR="00821F00">
        <w:rPr>
          <w:vertAlign w:val="superscript"/>
        </w:rPr>
        <w:t xml:space="preserve"> </w:t>
      </w:r>
      <w:r>
        <w:t>for use as a processing aid in several foods in 2010.</w:t>
      </w:r>
    </w:p>
    <w:p w14:paraId="0CD31232" w14:textId="79BEFB7B" w:rsidR="00AF387F" w:rsidRPr="00B676EA" w:rsidRDefault="00F33BB8" w:rsidP="00D062E4">
      <w:pPr>
        <w:pStyle w:val="Heading2"/>
        <w:rPr>
          <w:u w:color="FFFF00"/>
        </w:rPr>
      </w:pPr>
      <w:bookmarkStart w:id="23" w:name="_Toc286391007"/>
      <w:bookmarkStart w:id="24" w:name="_Toc430251015"/>
      <w:bookmarkStart w:id="25" w:name="_Toc300933423"/>
      <w:bookmarkStart w:id="26" w:name="_Toc175381432"/>
      <w:r w:rsidRPr="00B676EA">
        <w:rPr>
          <w:u w:color="FFFF00"/>
        </w:rPr>
        <w:t>1</w:t>
      </w:r>
      <w:r w:rsidR="00606C88" w:rsidRPr="00B676EA">
        <w:rPr>
          <w:u w:color="FFFF00"/>
        </w:rPr>
        <w:t>.4</w:t>
      </w:r>
      <w:r w:rsidR="001542D8" w:rsidRPr="00B676EA">
        <w:rPr>
          <w:u w:color="FFFF00"/>
        </w:rPr>
        <w:tab/>
      </w:r>
      <w:r w:rsidR="00741EFE" w:rsidRPr="00B676EA">
        <w:rPr>
          <w:u w:color="FFFF00"/>
        </w:rPr>
        <w:t>Reasons for accepting A</w:t>
      </w:r>
      <w:r w:rsidR="00AF387F" w:rsidRPr="00B676EA">
        <w:rPr>
          <w:u w:color="FFFF00"/>
        </w:rPr>
        <w:t>pplication</w:t>
      </w:r>
      <w:bookmarkEnd w:id="23"/>
      <w:bookmarkEnd w:id="24"/>
      <w:r w:rsidR="00180C41" w:rsidRPr="00B676EA">
        <w:rPr>
          <w:u w:color="FFFF00"/>
        </w:rPr>
        <w:t xml:space="preserve"> </w:t>
      </w:r>
      <w:bookmarkEnd w:id="25"/>
    </w:p>
    <w:p w14:paraId="186DBD37" w14:textId="77777777" w:rsidR="00180C41" w:rsidRPr="00B676EA"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B676EA">
        <w:t xml:space="preserve">The Application was accepted for assessment </w:t>
      </w:r>
      <w:r w:rsidR="00741EFE" w:rsidRPr="00B676EA">
        <w:t>because</w:t>
      </w:r>
      <w:r w:rsidRPr="00B676EA">
        <w:t>:</w:t>
      </w:r>
    </w:p>
    <w:p w14:paraId="4500B189" w14:textId="77777777" w:rsidR="00180C41" w:rsidRPr="00B676EA" w:rsidRDefault="00180C41" w:rsidP="00180C41"/>
    <w:p w14:paraId="46A7A458" w14:textId="6E956D6D" w:rsidR="00180C41" w:rsidRPr="00B676EA" w:rsidRDefault="00741EFE" w:rsidP="00180C41">
      <w:pPr>
        <w:pStyle w:val="FSBullet"/>
      </w:pPr>
      <w:r w:rsidRPr="00B676EA">
        <w:t>it complied</w:t>
      </w:r>
      <w:r w:rsidR="00180C41" w:rsidRPr="00B676EA">
        <w:t xml:space="preserve"> with the procedural requirements under s</w:t>
      </w:r>
      <w:r w:rsidR="00944BA4" w:rsidRPr="00B676EA">
        <w:t>ubsection</w:t>
      </w:r>
      <w:r w:rsidR="00180C41" w:rsidRPr="00B676EA">
        <w:t xml:space="preserve"> 22(2)</w:t>
      </w:r>
      <w:r w:rsidR="00B676EA" w:rsidRPr="00B676EA">
        <w:t xml:space="preserve"> of the FSANZ Act</w:t>
      </w:r>
    </w:p>
    <w:p w14:paraId="6A1B2656" w14:textId="61DB0634" w:rsidR="00180C41" w:rsidRPr="00B676EA" w:rsidRDefault="00741EFE" w:rsidP="00C26287">
      <w:pPr>
        <w:pStyle w:val="FSBullet"/>
      </w:pPr>
      <w:r w:rsidRPr="00B676EA">
        <w:t>it related to a matter that might</w:t>
      </w:r>
      <w:r w:rsidR="00180C41" w:rsidRPr="00B676EA">
        <w:t xml:space="preserve"> be developed as a food regulatory </w:t>
      </w:r>
      <w:r w:rsidRPr="00B676EA">
        <w:t>measure</w:t>
      </w:r>
      <w:r w:rsidR="00DF2A84">
        <w:t>.</w:t>
      </w:r>
      <w:r w:rsidRPr="00B676EA">
        <w:t xml:space="preserve"> </w:t>
      </w:r>
    </w:p>
    <w:p w14:paraId="79030064" w14:textId="77777777" w:rsidR="00DE79D9" w:rsidRDefault="00D3171B" w:rsidP="00DE79D9">
      <w:pPr>
        <w:pStyle w:val="Heading2"/>
      </w:pPr>
      <w:bookmarkStart w:id="34" w:name="_Toc430251016"/>
      <w:r>
        <w:t>1</w:t>
      </w:r>
      <w:r w:rsidR="00606C88">
        <w:t>.5</w:t>
      </w:r>
      <w:r w:rsidR="00DE79D9">
        <w:tab/>
        <w:t>Procedure for assessment</w:t>
      </w:r>
      <w:bookmarkEnd w:id="34"/>
    </w:p>
    <w:p w14:paraId="0332F9B0" w14:textId="1C8A6712" w:rsidR="00DE79D9" w:rsidRPr="00B676EA" w:rsidRDefault="00DE79D9" w:rsidP="00DE79D9">
      <w:r w:rsidRPr="00B676EA">
        <w:t>The Application is being assessed under the General Procedure.</w:t>
      </w:r>
    </w:p>
    <w:p w14:paraId="55A18411" w14:textId="77777777" w:rsidR="00DE79D9" w:rsidRPr="00D062E4" w:rsidRDefault="00DE79D9" w:rsidP="00180C41"/>
    <w:p w14:paraId="305463AF" w14:textId="77777777" w:rsidR="00AF387F" w:rsidRPr="00180C41" w:rsidRDefault="00D3171B" w:rsidP="00180C41">
      <w:pPr>
        <w:pStyle w:val="Heading1"/>
      </w:pPr>
      <w:bookmarkStart w:id="35" w:name="_Toc300933424"/>
      <w:bookmarkStart w:id="36" w:name="_Toc430251017"/>
      <w:r>
        <w:t>2</w:t>
      </w:r>
      <w:r w:rsidR="001542D8">
        <w:tab/>
      </w:r>
      <w:r w:rsidR="00350DBD">
        <w:t>S</w:t>
      </w:r>
      <w:r w:rsidR="00FB1533">
        <w:t>ummary of the a</w:t>
      </w:r>
      <w:r w:rsidR="00FD2FBE">
        <w:t>ssessment</w:t>
      </w:r>
      <w:bookmarkEnd w:id="27"/>
      <w:bookmarkEnd w:id="35"/>
      <w:bookmarkEnd w:id="36"/>
    </w:p>
    <w:p w14:paraId="3572A4AF" w14:textId="18965234" w:rsidR="004F69F6" w:rsidRPr="00932F14" w:rsidRDefault="00D3171B" w:rsidP="004646F8">
      <w:pPr>
        <w:pStyle w:val="Heading2"/>
      </w:pPr>
      <w:bookmarkStart w:id="37" w:name="_Toc286391009"/>
      <w:bookmarkStart w:id="38" w:name="_Toc300933425"/>
      <w:bookmarkStart w:id="39" w:name="_Toc430251018"/>
      <w:bookmarkStart w:id="40" w:name="_Toc120358583"/>
      <w:bookmarkStart w:id="41" w:name="_Toc175381440"/>
      <w:r w:rsidRPr="00A477D7">
        <w:t>2</w:t>
      </w:r>
      <w:r w:rsidR="00271F00" w:rsidRPr="00A477D7">
        <w:t>.</w:t>
      </w:r>
      <w:r w:rsidR="009C3F97" w:rsidRPr="00A477D7">
        <w:t>1</w:t>
      </w:r>
      <w:r w:rsidR="00271F00" w:rsidRPr="00A477D7">
        <w:tab/>
      </w:r>
      <w:r w:rsidR="004F69F6" w:rsidRPr="00A477D7">
        <w:t xml:space="preserve">Risk </w:t>
      </w:r>
      <w:r w:rsidR="00741EFE" w:rsidRPr="00A477D7">
        <w:t>a</w:t>
      </w:r>
      <w:r w:rsidR="004F69F6" w:rsidRPr="00A477D7">
        <w:t>ssessment</w:t>
      </w:r>
      <w:bookmarkEnd w:id="37"/>
      <w:bookmarkEnd w:id="38"/>
      <w:bookmarkEnd w:id="39"/>
      <w:r w:rsidR="004F69F6" w:rsidRPr="00932F14">
        <w:t xml:space="preserve"> </w:t>
      </w:r>
      <w:bookmarkEnd w:id="40"/>
      <w:bookmarkEnd w:id="41"/>
    </w:p>
    <w:p w14:paraId="50B5C24B" w14:textId="5790B921" w:rsidR="00CF5B37" w:rsidRDefault="006945FC" w:rsidP="00CF5B37">
      <w:pPr>
        <w:rPr>
          <w:rFonts w:cs="Arial"/>
        </w:rPr>
      </w:pPr>
      <w:r>
        <w:rPr>
          <w:rFonts w:cs="Arial"/>
        </w:rPr>
        <w:t>A</w:t>
      </w:r>
      <w:r w:rsidR="00CF5B37" w:rsidRPr="00F14802">
        <w:rPr>
          <w:rFonts w:cs="Arial"/>
        </w:rPr>
        <w:t xml:space="preserve"> risk assessment </w:t>
      </w:r>
      <w:r>
        <w:rPr>
          <w:rFonts w:cs="Arial"/>
        </w:rPr>
        <w:t xml:space="preserve">was conducted which </w:t>
      </w:r>
      <w:r w:rsidR="00CF5B37" w:rsidRPr="00F14802">
        <w:rPr>
          <w:rFonts w:cs="Arial"/>
        </w:rPr>
        <w:t xml:space="preserve">considered the technological suitability, the potential hazards and any public health and safety issues of using the </w:t>
      </w:r>
      <w:r w:rsidR="00CF5B37" w:rsidRPr="004A4FEE">
        <w:rPr>
          <w:rFonts w:cs="Arial"/>
          <w:i/>
        </w:rPr>
        <w:t>Salmonella</w:t>
      </w:r>
      <w:r w:rsidR="00CF5B37">
        <w:rPr>
          <w:rFonts w:cs="Arial"/>
        </w:rPr>
        <w:t xml:space="preserve"> phage </w:t>
      </w:r>
      <w:r w:rsidR="00CF5B37" w:rsidRPr="00F14802">
        <w:rPr>
          <w:rFonts w:cs="Arial"/>
        </w:rPr>
        <w:t>to treat food</w:t>
      </w:r>
      <w:r>
        <w:rPr>
          <w:rFonts w:cs="Arial"/>
        </w:rPr>
        <w:t xml:space="preserve">. </w:t>
      </w:r>
      <w:r w:rsidR="00FF6F40">
        <w:rPr>
          <w:rFonts w:cs="Arial"/>
        </w:rPr>
        <w:t>A brief overview of the assessment is provided below (r</w:t>
      </w:r>
      <w:r>
        <w:rPr>
          <w:rFonts w:cs="Arial"/>
        </w:rPr>
        <w:t xml:space="preserve">efer </w:t>
      </w:r>
      <w:r w:rsidRPr="006945FC">
        <w:rPr>
          <w:rFonts w:cs="Arial"/>
        </w:rPr>
        <w:t>to</w:t>
      </w:r>
      <w:r w:rsidRPr="006945FC">
        <w:rPr>
          <w:rFonts w:cs="Arial"/>
          <w:b/>
        </w:rPr>
        <w:t xml:space="preserve"> </w:t>
      </w:r>
      <w:r w:rsidRPr="006945FC">
        <w:t>Supporting Document 1 (SD1) for full details</w:t>
      </w:r>
      <w:r w:rsidR="00FF6F40">
        <w:t>)</w:t>
      </w:r>
      <w:r w:rsidRPr="006945FC">
        <w:rPr>
          <w:b/>
        </w:rPr>
        <w:t>.</w:t>
      </w:r>
    </w:p>
    <w:p w14:paraId="67EBA28B" w14:textId="77777777" w:rsidR="00CF5B37" w:rsidRDefault="00CF5B37" w:rsidP="00CF5B37"/>
    <w:p w14:paraId="7AA37967" w14:textId="77777777" w:rsidR="006C3031" w:rsidRDefault="00FF6F40" w:rsidP="00FF6F40">
      <w:r>
        <w:rPr>
          <w:lang w:val="en-AU" w:eastAsia="en-AU"/>
        </w:rPr>
        <w:t>T</w:t>
      </w:r>
      <w:r w:rsidR="006945FC" w:rsidRPr="008D3532">
        <w:rPr>
          <w:lang w:val="en-AU" w:eastAsia="en-AU"/>
        </w:rPr>
        <w:t>he stated purpose for th</w:t>
      </w:r>
      <w:r w:rsidR="006945FC">
        <w:rPr>
          <w:lang w:val="en-AU" w:eastAsia="en-AU"/>
        </w:rPr>
        <w:t>e</w:t>
      </w:r>
      <w:r w:rsidR="006945FC" w:rsidRPr="008D3532">
        <w:rPr>
          <w:lang w:val="en-AU" w:eastAsia="en-AU"/>
        </w:rPr>
        <w:t xml:space="preserve"> </w:t>
      </w:r>
      <w:r w:rsidR="006945FC" w:rsidRPr="0054012A">
        <w:rPr>
          <w:i/>
          <w:lang w:val="en-AU" w:eastAsia="en-AU"/>
        </w:rPr>
        <w:t>Salmonella</w:t>
      </w:r>
      <w:r w:rsidR="006945FC">
        <w:rPr>
          <w:lang w:val="en-AU" w:eastAsia="en-AU"/>
        </w:rPr>
        <w:t xml:space="preserve"> phage</w:t>
      </w:r>
      <w:r>
        <w:rPr>
          <w:lang w:val="en-AU" w:eastAsia="en-AU"/>
        </w:rPr>
        <w:t xml:space="preserve"> is</w:t>
      </w:r>
      <w:r w:rsidR="006945FC" w:rsidRPr="008D3532">
        <w:rPr>
          <w:lang w:val="en-AU" w:eastAsia="en-AU"/>
        </w:rPr>
        <w:t xml:space="preserve"> as a processing aid to reduce </w:t>
      </w:r>
      <w:r w:rsidR="006945FC" w:rsidRPr="008D3532">
        <w:rPr>
          <w:i/>
          <w:lang w:val="en-AU" w:eastAsia="en-AU"/>
        </w:rPr>
        <w:t>Salmonella</w:t>
      </w:r>
      <w:r w:rsidR="006945FC" w:rsidRPr="008D3532">
        <w:rPr>
          <w:lang w:val="en-AU" w:eastAsia="en-AU"/>
        </w:rPr>
        <w:t xml:space="preserve"> </w:t>
      </w:r>
      <w:r w:rsidR="006945FC">
        <w:rPr>
          <w:lang w:val="en-AU" w:eastAsia="en-AU"/>
        </w:rPr>
        <w:t>during post-slaughter processing of</w:t>
      </w:r>
      <w:r w:rsidR="006945FC" w:rsidRPr="008D3532">
        <w:rPr>
          <w:lang w:val="en-AU" w:eastAsia="en-AU"/>
        </w:rPr>
        <w:t xml:space="preserve"> </w:t>
      </w:r>
      <w:r w:rsidR="006945FC">
        <w:rPr>
          <w:lang w:val="en-AU" w:eastAsia="en-AU"/>
        </w:rPr>
        <w:t>raw fresh meat and poultry.</w:t>
      </w:r>
      <w:r w:rsidR="006945FC" w:rsidRPr="00CF5B37">
        <w:rPr>
          <w:lang w:val="en-AU" w:eastAsia="en-AU"/>
        </w:rPr>
        <w:t xml:space="preserve"> </w:t>
      </w:r>
      <w:r w:rsidR="006945FC" w:rsidRPr="00295772">
        <w:rPr>
          <w:lang w:val="en-AU" w:eastAsia="en-AU"/>
        </w:rPr>
        <w:t xml:space="preserve">FSANZ investigated how the </w:t>
      </w:r>
      <w:r w:rsidR="006945FC" w:rsidRPr="00295772">
        <w:rPr>
          <w:i/>
          <w:lang w:val="en-AU" w:eastAsia="en-AU"/>
        </w:rPr>
        <w:t>Salmonella</w:t>
      </w:r>
      <w:r w:rsidR="006945FC" w:rsidRPr="00295772">
        <w:rPr>
          <w:lang w:val="en-AU" w:eastAsia="en-AU"/>
        </w:rPr>
        <w:t xml:space="preserve"> phage performs its technological function when used as proposed by the Applicant. In assessing the technological function, both efficacy (ability to reduce numbers of </w:t>
      </w:r>
      <w:r w:rsidR="006945FC" w:rsidRPr="00295772">
        <w:rPr>
          <w:i/>
          <w:lang w:val="en-AU" w:eastAsia="en-AU"/>
        </w:rPr>
        <w:t>Salmonella</w:t>
      </w:r>
      <w:r>
        <w:rPr>
          <w:i/>
          <w:lang w:val="en-AU" w:eastAsia="en-AU"/>
        </w:rPr>
        <w:t xml:space="preserve"> </w:t>
      </w:r>
      <w:r w:rsidRPr="00FF6F40">
        <w:rPr>
          <w:lang w:val="en-AU" w:eastAsia="en-AU"/>
        </w:rPr>
        <w:t>on application</w:t>
      </w:r>
      <w:r w:rsidR="006945FC" w:rsidRPr="00295772">
        <w:rPr>
          <w:lang w:val="en-AU" w:eastAsia="en-AU"/>
        </w:rPr>
        <w:t xml:space="preserve">) and ongoing technological function (ability to </w:t>
      </w:r>
      <w:r w:rsidR="006945FC" w:rsidRPr="00295772">
        <w:rPr>
          <w:i/>
          <w:lang w:val="en-AU" w:eastAsia="en-AU"/>
        </w:rPr>
        <w:t>continuously</w:t>
      </w:r>
      <w:r w:rsidR="006945FC" w:rsidRPr="00295772">
        <w:rPr>
          <w:lang w:val="en-AU" w:eastAsia="en-AU"/>
        </w:rPr>
        <w:t xml:space="preserve"> reduce bacterial numbers) were considered</w:t>
      </w:r>
      <w:r w:rsidR="006945FC">
        <w:rPr>
          <w:lang w:val="en-AU" w:eastAsia="en-AU"/>
        </w:rPr>
        <w:t>. O</w:t>
      </w:r>
      <w:r w:rsidR="006945FC">
        <w:t xml:space="preserve">ngoing technological function was qualitatively assessed from the changes in </w:t>
      </w:r>
      <w:r w:rsidR="006945FC" w:rsidRPr="00FC187C">
        <w:rPr>
          <w:i/>
        </w:rPr>
        <w:t>Salmonella</w:t>
      </w:r>
      <w:r w:rsidR="006945FC">
        <w:t xml:space="preserve"> concentration throughout duration of the challenge studies provided by the Applicant. Efficacy was determined by statistical analysis of </w:t>
      </w:r>
      <w:r w:rsidR="006945FC" w:rsidRPr="000B5F00">
        <w:rPr>
          <w:i/>
        </w:rPr>
        <w:t>Salmonella</w:t>
      </w:r>
      <w:r w:rsidR="006945FC">
        <w:t xml:space="preserve"> concentrations between </w:t>
      </w:r>
      <w:r>
        <w:t>untreated</w:t>
      </w:r>
      <w:r w:rsidR="006945FC">
        <w:t xml:space="preserve"> and treated samples at different times.</w:t>
      </w:r>
      <w:r w:rsidR="006945FC" w:rsidRPr="006945FC">
        <w:t xml:space="preserve"> </w:t>
      </w:r>
    </w:p>
    <w:p w14:paraId="281637C0" w14:textId="77777777" w:rsidR="006C3031" w:rsidRDefault="006C3031" w:rsidP="00FF6F40"/>
    <w:p w14:paraId="1C4A4214" w14:textId="77777777" w:rsidR="002E68B2" w:rsidRDefault="006945FC" w:rsidP="00FF6F40">
      <w:r>
        <w:t xml:space="preserve">Overall the </w:t>
      </w:r>
      <w:r w:rsidRPr="0018029E">
        <w:rPr>
          <w:i/>
        </w:rPr>
        <w:t>Salmonella</w:t>
      </w:r>
      <w:r>
        <w:t xml:space="preserve"> phage</w:t>
      </w:r>
      <w:r>
        <w:rPr>
          <w:vertAlign w:val="superscript"/>
        </w:rPr>
        <w:t xml:space="preserve"> </w:t>
      </w:r>
      <w:r w:rsidRPr="002C4058">
        <w:t>was found to be efficacious</w:t>
      </w:r>
      <w:r>
        <w:t xml:space="preserve"> and does not have an ongoing technological function on raw fresh meat and poultry products. </w:t>
      </w:r>
      <w:r w:rsidR="00FF6F40">
        <w:t xml:space="preserve">How the </w:t>
      </w:r>
      <w:r w:rsidR="00FF6F40" w:rsidRPr="00FF6F40">
        <w:rPr>
          <w:i/>
        </w:rPr>
        <w:t>Salmonella</w:t>
      </w:r>
      <w:r w:rsidR="00FF6F40">
        <w:t xml:space="preserve"> phage is applied</w:t>
      </w:r>
      <w:r w:rsidR="003F7ACD">
        <w:t>,</w:t>
      </w:r>
      <w:r w:rsidR="00FF6F40">
        <w:t xml:space="preserve"> the concentration </w:t>
      </w:r>
      <w:r w:rsidR="003F7ACD">
        <w:t xml:space="preserve">of the phage used </w:t>
      </w:r>
      <w:r w:rsidR="00FF6F40">
        <w:t xml:space="preserve">and </w:t>
      </w:r>
      <w:r w:rsidR="003F7ACD">
        <w:t xml:space="preserve">the </w:t>
      </w:r>
      <w:r w:rsidR="00FF6F40">
        <w:t>contact time</w:t>
      </w:r>
      <w:r w:rsidR="003F7ACD">
        <w:t>,</w:t>
      </w:r>
      <w:r>
        <w:t xml:space="preserve"> are all factors which </w:t>
      </w:r>
      <w:r w:rsidR="00FF6F40">
        <w:t xml:space="preserve">would </w:t>
      </w:r>
      <w:r>
        <w:t>need</w:t>
      </w:r>
      <w:r w:rsidR="00FF6F40">
        <w:t xml:space="preserve"> consideration </w:t>
      </w:r>
      <w:r w:rsidR="00DF2A84">
        <w:t>before</w:t>
      </w:r>
      <w:r w:rsidR="00FF6F40">
        <w:t xml:space="preserve"> use.</w:t>
      </w:r>
      <w:r w:rsidR="007B6353">
        <w:t xml:space="preserve"> </w:t>
      </w:r>
      <w:r w:rsidR="00FF6F40">
        <w:t xml:space="preserve">The </w:t>
      </w:r>
      <w:r w:rsidR="00FF6F40" w:rsidRPr="00E23703">
        <w:rPr>
          <w:i/>
        </w:rPr>
        <w:t>Salmonella</w:t>
      </w:r>
      <w:r w:rsidR="00FF6F40">
        <w:t xml:space="preserve"> phage is highly specific to </w:t>
      </w:r>
      <w:r w:rsidR="00FF6F40" w:rsidRPr="008D1C2B">
        <w:rPr>
          <w:i/>
        </w:rPr>
        <w:t>Salmonella</w:t>
      </w:r>
      <w:r w:rsidR="00FF6F40">
        <w:t xml:space="preserve"> species and for use during post-slaughter processing of fresh meat. </w:t>
      </w:r>
      <w:r w:rsidR="002E68B2">
        <w:br w:type="page"/>
      </w:r>
    </w:p>
    <w:p w14:paraId="4CDA3DF6" w14:textId="75ECE641" w:rsidR="00FF6F40" w:rsidRDefault="00FF6F40" w:rsidP="00FF6F40">
      <w:r>
        <w:lastRenderedPageBreak/>
        <w:t xml:space="preserve">Use of the </w:t>
      </w:r>
      <w:r w:rsidRPr="006945FC">
        <w:rPr>
          <w:i/>
        </w:rPr>
        <w:t>Salmonella</w:t>
      </w:r>
      <w:r>
        <w:t xml:space="preserve"> phage should be viewed as an additional tool for control of </w:t>
      </w:r>
      <w:r w:rsidRPr="006D23A5">
        <w:rPr>
          <w:i/>
        </w:rPr>
        <w:t>Salmonella</w:t>
      </w:r>
      <w:r>
        <w:t xml:space="preserve"> in food, supplementing GMP, HACCP and other measures aimed at the preventi</w:t>
      </w:r>
      <w:r w:rsidR="00DF2A84">
        <w:t>ng</w:t>
      </w:r>
      <w:r>
        <w:t xml:space="preserve"> </w:t>
      </w:r>
      <w:r w:rsidRPr="008D1C2B">
        <w:rPr>
          <w:i/>
        </w:rPr>
        <w:t>Salmonella</w:t>
      </w:r>
      <w:r>
        <w:t xml:space="preserve"> contamination, and should not be seen as a replacement of </w:t>
      </w:r>
      <w:r w:rsidR="004B22B4">
        <w:t xml:space="preserve">good </w:t>
      </w:r>
      <w:r>
        <w:t xml:space="preserve">hygiene. The </w:t>
      </w:r>
      <w:r w:rsidRPr="00BE6FCB">
        <w:rPr>
          <w:i/>
        </w:rPr>
        <w:t>Salmonella</w:t>
      </w:r>
      <w:r w:rsidRPr="001337B6">
        <w:t xml:space="preserve"> phage</w:t>
      </w:r>
      <w:r>
        <w:t xml:space="preserve"> </w:t>
      </w:r>
      <w:r w:rsidRPr="001070E4">
        <w:t xml:space="preserve">is likely to maintain its efficacy (not develop reduced sensitivity to </w:t>
      </w:r>
      <w:r>
        <w:rPr>
          <w:i/>
        </w:rPr>
        <w:t xml:space="preserve">Salmonella </w:t>
      </w:r>
      <w:r w:rsidRPr="00B77657">
        <w:t>spp</w:t>
      </w:r>
      <w:r>
        <w:rPr>
          <w:i/>
        </w:rPr>
        <w:t>.</w:t>
      </w:r>
      <w:r w:rsidRPr="001070E4">
        <w:t xml:space="preserve">) provided appropriate </w:t>
      </w:r>
      <w:r>
        <w:t xml:space="preserve">GMP and </w:t>
      </w:r>
      <w:r w:rsidRPr="001070E4">
        <w:t>G</w:t>
      </w:r>
      <w:r>
        <w:t xml:space="preserve">ood </w:t>
      </w:r>
      <w:r w:rsidRPr="001070E4">
        <w:t>H</w:t>
      </w:r>
      <w:r>
        <w:t xml:space="preserve">andling </w:t>
      </w:r>
      <w:r w:rsidRPr="001070E4">
        <w:t>P</w:t>
      </w:r>
      <w:r>
        <w:t xml:space="preserve">ractices </w:t>
      </w:r>
      <w:r w:rsidR="007B6353">
        <w:t xml:space="preserve">(GHP) </w:t>
      </w:r>
      <w:r w:rsidRPr="001070E4">
        <w:t xml:space="preserve">are maintained </w:t>
      </w:r>
      <w:r>
        <w:t>during processing.</w:t>
      </w:r>
    </w:p>
    <w:p w14:paraId="6B87EFB7" w14:textId="77777777" w:rsidR="00FF6F40" w:rsidRDefault="00FF6F40" w:rsidP="00FF6F40"/>
    <w:p w14:paraId="56DE2D0F" w14:textId="44CE9CB4" w:rsidR="00B77657" w:rsidRDefault="006945FC" w:rsidP="00071694">
      <w:pPr>
        <w:keepLines/>
      </w:pPr>
      <w:r>
        <w:rPr>
          <w:rFonts w:cs="Arial"/>
        </w:rPr>
        <w:t xml:space="preserve">The </w:t>
      </w:r>
      <w:r w:rsidRPr="002F040D">
        <w:rPr>
          <w:rFonts w:cs="Arial"/>
          <w:i/>
        </w:rPr>
        <w:t>Salmonella</w:t>
      </w:r>
      <w:r>
        <w:rPr>
          <w:rFonts w:cs="Arial"/>
        </w:rPr>
        <w:t xml:space="preserve"> phage</w:t>
      </w:r>
      <w:r w:rsidRPr="00F14802">
        <w:rPr>
          <w:rFonts w:cs="Arial"/>
        </w:rPr>
        <w:t xml:space="preserve"> is unlikely to pose any health risk when used</w:t>
      </w:r>
      <w:r>
        <w:rPr>
          <w:rFonts w:cs="Arial"/>
        </w:rPr>
        <w:t xml:space="preserve"> as intended</w:t>
      </w:r>
      <w:r w:rsidRPr="00F14802">
        <w:rPr>
          <w:rFonts w:cs="Arial"/>
        </w:rPr>
        <w:t xml:space="preserve"> to treat</w:t>
      </w:r>
      <w:r>
        <w:rPr>
          <w:rFonts w:cs="Arial"/>
        </w:rPr>
        <w:t xml:space="preserve"> fresh raw meat and poultry</w:t>
      </w:r>
      <w:r w:rsidRPr="00F14802">
        <w:rPr>
          <w:rFonts w:cs="Arial"/>
        </w:rPr>
        <w:t xml:space="preserve">. </w:t>
      </w:r>
      <w:r>
        <w:rPr>
          <w:rFonts w:cs="Arial"/>
        </w:rPr>
        <w:t>Further,</w:t>
      </w:r>
      <w:r w:rsidRPr="00F14802">
        <w:rPr>
          <w:rFonts w:cs="Arial"/>
        </w:rPr>
        <w:t xml:space="preserve"> the proposed use of </w:t>
      </w:r>
      <w:r>
        <w:rPr>
          <w:rFonts w:cs="Arial"/>
        </w:rPr>
        <w:t xml:space="preserve">the </w:t>
      </w:r>
      <w:r w:rsidRPr="002F040D">
        <w:rPr>
          <w:rFonts w:cs="Arial"/>
          <w:i/>
        </w:rPr>
        <w:t>Salmonella</w:t>
      </w:r>
      <w:r>
        <w:rPr>
          <w:rFonts w:cs="Arial"/>
        </w:rPr>
        <w:t xml:space="preserve"> phage as a processing aid</w:t>
      </w:r>
      <w:r w:rsidRPr="00F14802">
        <w:rPr>
          <w:rFonts w:cs="Arial"/>
        </w:rPr>
        <w:t xml:space="preserve"> to reduce the levels of </w:t>
      </w:r>
      <w:r>
        <w:rPr>
          <w:rFonts w:cs="Arial"/>
          <w:i/>
        </w:rPr>
        <w:t xml:space="preserve">Salmonella </w:t>
      </w:r>
      <w:r>
        <w:rPr>
          <w:rFonts w:cs="Arial"/>
        </w:rPr>
        <w:t>during post-slaughter processing of raw fresh meat and poultry</w:t>
      </w:r>
      <w:r w:rsidRPr="00F14802">
        <w:rPr>
          <w:rFonts w:cs="Arial"/>
        </w:rPr>
        <w:t xml:space="preserve">, </w:t>
      </w:r>
      <w:r>
        <w:rPr>
          <w:rFonts w:cs="Arial"/>
        </w:rPr>
        <w:t>is</w:t>
      </w:r>
      <w:r w:rsidRPr="00F14802">
        <w:rPr>
          <w:rFonts w:cs="Arial"/>
        </w:rPr>
        <w:t xml:space="preserve"> technologically justified in the form and prescribed amounts, and demonstrated to be effective. </w:t>
      </w:r>
      <w:r w:rsidR="00B54720" w:rsidRPr="005B71AA">
        <w:t>The</w:t>
      </w:r>
      <w:r w:rsidR="00B54720">
        <w:t xml:space="preserve"> </w:t>
      </w:r>
      <w:r w:rsidR="00B54720" w:rsidRPr="00CE1689">
        <w:rPr>
          <w:rFonts w:cs="Arial"/>
          <w:i/>
        </w:rPr>
        <w:t>Salmonella</w:t>
      </w:r>
      <w:r w:rsidR="00B54720">
        <w:rPr>
          <w:rFonts w:cs="Arial"/>
        </w:rPr>
        <w:t xml:space="preserve"> phage</w:t>
      </w:r>
      <w:r w:rsidR="00B54720" w:rsidRPr="00F14802">
        <w:rPr>
          <w:rFonts w:cs="Arial"/>
        </w:rPr>
        <w:t xml:space="preserve"> </w:t>
      </w:r>
      <w:r w:rsidR="00B54720">
        <w:rPr>
          <w:rFonts w:cs="Arial"/>
        </w:rPr>
        <w:t>is</w:t>
      </w:r>
      <w:r w:rsidR="00B54720" w:rsidRPr="00F14802">
        <w:rPr>
          <w:rFonts w:cs="Arial"/>
        </w:rPr>
        <w:t xml:space="preserve"> completely characterised</w:t>
      </w:r>
      <w:r w:rsidR="00B54720" w:rsidRPr="005B71AA">
        <w:t xml:space="preserve"> </w:t>
      </w:r>
      <w:r w:rsidR="00B54720">
        <w:t>and there</w:t>
      </w:r>
      <w:r w:rsidR="00B54720" w:rsidRPr="005B71AA">
        <w:t xml:space="preserve"> is no ongoing technological function performed when used as intended.</w:t>
      </w:r>
    </w:p>
    <w:p w14:paraId="3BF516A5" w14:textId="507C8615" w:rsidR="004F69F6" w:rsidRPr="00932F14" w:rsidRDefault="00D3171B" w:rsidP="004646F8">
      <w:pPr>
        <w:pStyle w:val="Heading2"/>
      </w:pPr>
      <w:bookmarkStart w:id="42" w:name="_Toc175381442"/>
      <w:bookmarkStart w:id="43" w:name="_Toc286391010"/>
      <w:bookmarkStart w:id="44" w:name="_Toc300933426"/>
      <w:bookmarkStart w:id="45" w:name="_Toc430251019"/>
      <w:r>
        <w:t>2</w:t>
      </w:r>
      <w:r w:rsidR="0045556F">
        <w:t>.</w:t>
      </w:r>
      <w:r w:rsidR="009C3F97">
        <w:t>2</w:t>
      </w:r>
      <w:r w:rsidR="00271F00">
        <w:tab/>
      </w:r>
      <w:bookmarkEnd w:id="42"/>
      <w:bookmarkEnd w:id="43"/>
      <w:bookmarkEnd w:id="44"/>
      <w:r w:rsidR="0045556F">
        <w:t>R</w:t>
      </w:r>
      <w:r w:rsidR="00707E72">
        <w:t>isk m</w:t>
      </w:r>
      <w:r w:rsidR="008A35FB">
        <w:t>anagement</w:t>
      </w:r>
      <w:bookmarkEnd w:id="45"/>
    </w:p>
    <w:p w14:paraId="1C8521D3" w14:textId="46D9FD13" w:rsidR="00B77657" w:rsidRDefault="00B77657" w:rsidP="00B676EA">
      <w:pPr>
        <w:rPr>
          <w:rFonts w:cs="Arial"/>
        </w:rPr>
      </w:pPr>
      <w:bookmarkStart w:id="46" w:name="_Toc300761910"/>
      <w:r w:rsidRPr="001070E4">
        <w:rPr>
          <w:rFonts w:cs="Arial"/>
        </w:rPr>
        <w:t xml:space="preserve">The conclusions of the risk assessment were that the use of </w:t>
      </w:r>
      <w:r w:rsidR="001337B6">
        <w:rPr>
          <w:rFonts w:cs="Arial"/>
        </w:rPr>
        <w:t xml:space="preserve">the </w:t>
      </w:r>
      <w:r w:rsidR="001337B6" w:rsidRPr="00621603">
        <w:rPr>
          <w:rFonts w:cs="Arial"/>
          <w:i/>
        </w:rPr>
        <w:t>Salmonella</w:t>
      </w:r>
      <w:r w:rsidR="001337B6" w:rsidRPr="001337B6">
        <w:rPr>
          <w:rFonts w:cs="Arial"/>
        </w:rPr>
        <w:t xml:space="preserve"> phage</w:t>
      </w:r>
      <w:r w:rsidR="00621603">
        <w:rPr>
          <w:rFonts w:cs="Arial"/>
        </w:rPr>
        <w:t xml:space="preserve"> </w:t>
      </w:r>
      <w:r w:rsidRPr="001070E4">
        <w:rPr>
          <w:rFonts w:cs="Arial"/>
        </w:rPr>
        <w:t xml:space="preserve">was </w:t>
      </w:r>
      <w:r>
        <w:rPr>
          <w:rFonts w:cs="Arial"/>
        </w:rPr>
        <w:t xml:space="preserve">safe for use and </w:t>
      </w:r>
      <w:r w:rsidRPr="001070E4">
        <w:rPr>
          <w:rFonts w:cs="Arial"/>
        </w:rPr>
        <w:t xml:space="preserve">technologically justified </w:t>
      </w:r>
      <w:r>
        <w:rPr>
          <w:rFonts w:cs="Arial"/>
        </w:rPr>
        <w:t>for the intended purpose</w:t>
      </w:r>
      <w:r w:rsidRPr="001070E4">
        <w:rPr>
          <w:rFonts w:cs="Arial"/>
        </w:rPr>
        <w:t>. FSANZ has considered the risk management matters relevant to the Application.</w:t>
      </w:r>
    </w:p>
    <w:p w14:paraId="286D61D7" w14:textId="77777777" w:rsidR="00071694" w:rsidRDefault="00071694" w:rsidP="00B676EA">
      <w:pPr>
        <w:rPr>
          <w:rFonts w:cs="Arial"/>
        </w:rPr>
      </w:pPr>
    </w:p>
    <w:p w14:paraId="33E23D9D" w14:textId="43AA181F" w:rsidR="001B2C96" w:rsidRPr="001070E4" w:rsidRDefault="00F9473E" w:rsidP="001B2C96">
      <w:pPr>
        <w:pStyle w:val="Heading3"/>
      </w:pPr>
      <w:bookmarkStart w:id="47" w:name="_Toc430251020"/>
      <w:r>
        <w:t>2.2.1</w:t>
      </w:r>
      <w:r>
        <w:tab/>
      </w:r>
      <w:r w:rsidR="001B2C96" w:rsidRPr="001070E4">
        <w:t xml:space="preserve">Specification for </w:t>
      </w:r>
      <w:r w:rsidR="001337B6" w:rsidRPr="00F9473E">
        <w:rPr>
          <w:i/>
        </w:rPr>
        <w:t>Salmonella</w:t>
      </w:r>
      <w:r w:rsidR="001337B6" w:rsidRPr="001337B6">
        <w:t xml:space="preserve"> phage</w:t>
      </w:r>
      <w:r w:rsidR="00621603">
        <w:t xml:space="preserve"> preparation </w:t>
      </w:r>
      <w:r w:rsidR="001B2C96">
        <w:t>(S16 and FO1a)</w:t>
      </w:r>
      <w:bookmarkEnd w:id="47"/>
    </w:p>
    <w:p w14:paraId="7DD5A065" w14:textId="1F16E15A" w:rsidR="000368B7" w:rsidRPr="001070E4" w:rsidRDefault="001B2C96" w:rsidP="000368B7">
      <w:r w:rsidRPr="001070E4">
        <w:rPr>
          <w:rFonts w:cs="Arial"/>
          <w:szCs w:val="22"/>
        </w:rPr>
        <w:t xml:space="preserve">There </w:t>
      </w:r>
      <w:r w:rsidR="000368B7">
        <w:rPr>
          <w:rFonts w:cs="Arial"/>
          <w:szCs w:val="22"/>
        </w:rPr>
        <w:t>are</w:t>
      </w:r>
      <w:r w:rsidRPr="001070E4">
        <w:rPr>
          <w:rFonts w:cs="Arial"/>
          <w:szCs w:val="22"/>
        </w:rPr>
        <w:t xml:space="preserve"> no specifications for bacteriophages, or specifically </w:t>
      </w:r>
      <w:r w:rsidR="00621603" w:rsidRPr="00621603">
        <w:rPr>
          <w:rFonts w:cs="Arial"/>
          <w:i/>
          <w:szCs w:val="22"/>
        </w:rPr>
        <w:t>Salmonella</w:t>
      </w:r>
      <w:r w:rsidR="00621603">
        <w:rPr>
          <w:rFonts w:cs="Arial"/>
          <w:szCs w:val="22"/>
        </w:rPr>
        <w:t xml:space="preserve"> phage</w:t>
      </w:r>
      <w:r w:rsidRPr="001070E4">
        <w:rPr>
          <w:rFonts w:cs="Arial"/>
          <w:szCs w:val="22"/>
        </w:rPr>
        <w:t xml:space="preserve">, in </w:t>
      </w:r>
      <w:r w:rsidR="00AE434E">
        <w:rPr>
          <w:rFonts w:cs="Arial"/>
          <w:szCs w:val="22"/>
        </w:rPr>
        <w:t xml:space="preserve">any of </w:t>
      </w:r>
      <w:r w:rsidRPr="001070E4">
        <w:rPr>
          <w:rFonts w:cs="Arial"/>
          <w:szCs w:val="22"/>
        </w:rPr>
        <w:t xml:space="preserve">the primary or secondary references for specifications or in Schedule </w:t>
      </w:r>
      <w:r>
        <w:rPr>
          <w:rFonts w:cs="Arial"/>
          <w:szCs w:val="22"/>
        </w:rPr>
        <w:t>3</w:t>
      </w:r>
      <w:r w:rsidRPr="001070E4">
        <w:rPr>
          <w:rFonts w:cs="Arial"/>
          <w:szCs w:val="22"/>
        </w:rPr>
        <w:t xml:space="preserve"> – Identity and Purity. </w:t>
      </w:r>
      <w:r w:rsidR="000368B7">
        <w:rPr>
          <w:lang w:eastAsia="en-AU" w:bidi="ar-SA"/>
        </w:rPr>
        <w:t xml:space="preserve">A proposed specification has been </w:t>
      </w:r>
      <w:r w:rsidR="008848A4">
        <w:rPr>
          <w:lang w:eastAsia="en-AU" w:bidi="ar-SA"/>
        </w:rPr>
        <w:t xml:space="preserve">prepared </w:t>
      </w:r>
      <w:r w:rsidR="000368B7">
        <w:rPr>
          <w:lang w:eastAsia="en-AU" w:bidi="ar-SA"/>
        </w:rPr>
        <w:t xml:space="preserve">and is </w:t>
      </w:r>
      <w:r w:rsidR="008848A4">
        <w:rPr>
          <w:lang w:eastAsia="en-AU" w:bidi="ar-SA"/>
        </w:rPr>
        <w:t xml:space="preserve">included </w:t>
      </w:r>
      <w:r w:rsidR="000368B7">
        <w:rPr>
          <w:lang w:eastAsia="en-AU" w:bidi="ar-SA"/>
        </w:rPr>
        <w:t>in the draft variations at Attachment A.</w:t>
      </w:r>
    </w:p>
    <w:p w14:paraId="4FA7C07F" w14:textId="31E9A927" w:rsidR="00AE434E" w:rsidRDefault="00AE434E" w:rsidP="00AE434E">
      <w:pPr>
        <w:rPr>
          <w:lang w:eastAsia="en-AU" w:bidi="ar-SA"/>
        </w:rPr>
      </w:pPr>
    </w:p>
    <w:p w14:paraId="09626EC1" w14:textId="1DB419F3" w:rsidR="001B2C96" w:rsidRPr="001070E4" w:rsidRDefault="001B2C96" w:rsidP="001B2C96">
      <w:pPr>
        <w:widowControl/>
        <w:rPr>
          <w:rFonts w:cs="Arial"/>
          <w:szCs w:val="22"/>
        </w:rPr>
      </w:pPr>
      <w:r>
        <w:rPr>
          <w:rFonts w:cs="Arial"/>
          <w:szCs w:val="22"/>
        </w:rPr>
        <w:t xml:space="preserve">Consistent with specifications written for </w:t>
      </w:r>
      <w:r w:rsidRPr="001B2C96">
        <w:rPr>
          <w:rFonts w:cs="Arial"/>
          <w:i/>
          <w:szCs w:val="22"/>
        </w:rPr>
        <w:t>Listeria</w:t>
      </w:r>
      <w:r>
        <w:rPr>
          <w:rFonts w:cs="Arial"/>
          <w:szCs w:val="22"/>
        </w:rPr>
        <w:t xml:space="preserve"> phage P100, s</w:t>
      </w:r>
      <w:r w:rsidRPr="001070E4">
        <w:rPr>
          <w:rFonts w:cs="Arial"/>
          <w:szCs w:val="22"/>
        </w:rPr>
        <w:t xml:space="preserve">pecifications for lead and arsenic are addressed </w:t>
      </w:r>
      <w:r w:rsidRPr="00912269">
        <w:rPr>
          <w:rFonts w:cs="Arial"/>
          <w:szCs w:val="22"/>
        </w:rPr>
        <w:t xml:space="preserve">by the requirements of </w:t>
      </w:r>
      <w:r w:rsidR="00667D0A" w:rsidRPr="00912269">
        <w:rPr>
          <w:rFonts w:cs="Arial"/>
          <w:szCs w:val="22"/>
        </w:rPr>
        <w:t>section S3</w:t>
      </w:r>
      <w:r w:rsidR="000368B7">
        <w:rPr>
          <w:rFonts w:cs="Arial"/>
          <w:szCs w:val="22"/>
        </w:rPr>
        <w:t>―</w:t>
      </w:r>
      <w:r w:rsidR="00667D0A" w:rsidRPr="00912269">
        <w:rPr>
          <w:rFonts w:cs="Arial"/>
          <w:szCs w:val="22"/>
        </w:rPr>
        <w:t>4</w:t>
      </w:r>
      <w:r w:rsidRPr="001070E4">
        <w:rPr>
          <w:rFonts w:cs="Arial"/>
          <w:szCs w:val="22"/>
        </w:rPr>
        <w:t xml:space="preserve">. The Applicant has demonstrated that the </w:t>
      </w:r>
      <w:r w:rsidR="00621603" w:rsidRPr="00621603">
        <w:rPr>
          <w:rFonts w:cs="Arial"/>
          <w:i/>
          <w:szCs w:val="22"/>
        </w:rPr>
        <w:t>Salmonella</w:t>
      </w:r>
      <w:r w:rsidR="00621603">
        <w:rPr>
          <w:rFonts w:cs="Arial"/>
          <w:szCs w:val="22"/>
        </w:rPr>
        <w:t xml:space="preserve"> phage</w:t>
      </w:r>
      <w:r w:rsidRPr="001070E4">
        <w:rPr>
          <w:rFonts w:cs="Arial"/>
          <w:szCs w:val="22"/>
        </w:rPr>
        <w:t xml:space="preserve"> is manufactured according to GMP.</w:t>
      </w:r>
      <w:r w:rsidRPr="001070E4" w:rsidDel="00A1669B">
        <w:rPr>
          <w:rFonts w:cs="Arial"/>
          <w:szCs w:val="22"/>
        </w:rPr>
        <w:t xml:space="preserve"> </w:t>
      </w:r>
    </w:p>
    <w:p w14:paraId="7A878392" w14:textId="194A068D" w:rsidR="001B2C96" w:rsidRPr="001070E4" w:rsidRDefault="001B2C96" w:rsidP="001B2C96">
      <w:pPr>
        <w:widowControl/>
        <w:rPr>
          <w:rFonts w:cs="Arial"/>
          <w:bCs/>
          <w:szCs w:val="22"/>
          <w:lang w:eastAsia="en-GB" w:bidi="ar-SA"/>
        </w:rPr>
      </w:pPr>
    </w:p>
    <w:p w14:paraId="3C83A714" w14:textId="35A3971F" w:rsidR="001B2C96" w:rsidRDefault="001B2C96" w:rsidP="001B2C96">
      <w:pPr>
        <w:widowControl/>
        <w:rPr>
          <w:rFonts w:cs="Arial"/>
          <w:szCs w:val="22"/>
        </w:rPr>
      </w:pPr>
      <w:r w:rsidRPr="001070E4">
        <w:rPr>
          <w:rFonts w:cs="Arial"/>
          <w:szCs w:val="22"/>
        </w:rPr>
        <w:t xml:space="preserve">The Application provided product specifications including microbial limits for the </w:t>
      </w:r>
      <w:r w:rsidR="002742B7" w:rsidRPr="002742B7">
        <w:rPr>
          <w:rFonts w:cs="Arial"/>
          <w:i/>
          <w:szCs w:val="22"/>
        </w:rPr>
        <w:t>Salmonella</w:t>
      </w:r>
      <w:r w:rsidR="002742B7">
        <w:rPr>
          <w:rFonts w:cs="Arial"/>
          <w:szCs w:val="22"/>
        </w:rPr>
        <w:t xml:space="preserve"> phage</w:t>
      </w:r>
      <w:r w:rsidRPr="001070E4">
        <w:rPr>
          <w:rFonts w:cs="Arial"/>
          <w:szCs w:val="22"/>
        </w:rPr>
        <w:t xml:space="preserve">. The Applicant also provided results confirming production of the preparation to meet these microbial limits. FSANZ assessed the specifications and results and concluded that there is no need to include microbial limits as part of the </w:t>
      </w:r>
      <w:r w:rsidR="00AE434E">
        <w:rPr>
          <w:rFonts w:cs="Arial"/>
          <w:szCs w:val="22"/>
        </w:rPr>
        <w:t xml:space="preserve">proposed </w:t>
      </w:r>
      <w:r w:rsidR="002742B7" w:rsidRPr="002742B7">
        <w:rPr>
          <w:rFonts w:cs="Arial"/>
          <w:i/>
          <w:szCs w:val="22"/>
        </w:rPr>
        <w:t>Salmonella</w:t>
      </w:r>
      <w:r w:rsidR="002742B7">
        <w:rPr>
          <w:rFonts w:cs="Arial"/>
          <w:szCs w:val="22"/>
        </w:rPr>
        <w:t xml:space="preserve"> phage </w:t>
      </w:r>
      <w:r w:rsidRPr="001070E4">
        <w:rPr>
          <w:rFonts w:cs="Arial"/>
          <w:szCs w:val="22"/>
        </w:rPr>
        <w:t xml:space="preserve">specification. There are no concerns that the Applicant cannot produce the </w:t>
      </w:r>
      <w:r w:rsidR="00AE434E" w:rsidRPr="00AE434E">
        <w:rPr>
          <w:rFonts w:cs="Arial"/>
          <w:i/>
          <w:szCs w:val="22"/>
        </w:rPr>
        <w:t>Salmonella</w:t>
      </w:r>
      <w:r w:rsidR="00AE434E">
        <w:rPr>
          <w:rFonts w:cs="Arial"/>
          <w:szCs w:val="22"/>
        </w:rPr>
        <w:t xml:space="preserve"> phage</w:t>
      </w:r>
      <w:r w:rsidRPr="001070E4">
        <w:rPr>
          <w:rFonts w:cs="Arial"/>
          <w:szCs w:val="22"/>
        </w:rPr>
        <w:t xml:space="preserve"> without microbial contamination. </w:t>
      </w:r>
    </w:p>
    <w:p w14:paraId="0DE29C06" w14:textId="215449AF" w:rsidR="00071694" w:rsidRDefault="00071694" w:rsidP="001B2C96">
      <w:pPr>
        <w:widowControl/>
        <w:rPr>
          <w:rFonts w:cs="Arial"/>
          <w:szCs w:val="22"/>
        </w:rPr>
      </w:pPr>
    </w:p>
    <w:p w14:paraId="30CFF333" w14:textId="4BC1C196" w:rsidR="00071694" w:rsidRPr="00071694" w:rsidRDefault="00071694" w:rsidP="00071694">
      <w:pPr>
        <w:pStyle w:val="Heading3"/>
      </w:pPr>
      <w:bookmarkStart w:id="48" w:name="_Toc430251021"/>
      <w:r w:rsidRPr="00071694">
        <w:t>2.2.2</w:t>
      </w:r>
      <w:r w:rsidRPr="00071694">
        <w:tab/>
        <w:t>Labelling considerations</w:t>
      </w:r>
      <w:bookmarkEnd w:id="48"/>
    </w:p>
    <w:p w14:paraId="16B54E0B" w14:textId="77777777" w:rsidR="00071694" w:rsidRPr="002B6CB2" w:rsidRDefault="00071694" w:rsidP="00071694">
      <w:pPr>
        <w:rPr>
          <w:rFonts w:cs="Arial"/>
          <w:b/>
          <w:bCs/>
          <w:szCs w:val="26"/>
          <w:lang w:eastAsia="en-AU"/>
        </w:rPr>
      </w:pPr>
      <w:r w:rsidRPr="002B6CB2">
        <w:rPr>
          <w:rFonts w:cs="Arial"/>
          <w:lang w:eastAsia="en-AU"/>
        </w:rPr>
        <w:t xml:space="preserve">Soy peptone is used as a medium in the production of the </w:t>
      </w:r>
      <w:r w:rsidRPr="002B6CB2">
        <w:rPr>
          <w:rFonts w:cs="Arial"/>
          <w:i/>
          <w:lang w:eastAsia="en-AU"/>
        </w:rPr>
        <w:t>Salmonella</w:t>
      </w:r>
      <w:r w:rsidRPr="002B6CB2">
        <w:rPr>
          <w:rFonts w:cs="Arial"/>
          <w:lang w:eastAsia="en-AU"/>
        </w:rPr>
        <w:t xml:space="preserve"> phage. A soy peptone-salt buffer is used to elute the bound phages from the chromatography column. Soybean products are identified as substances requiring declaration due to section 1.2.3—4 of the Code if present in a food for sale. Food manufacturers who use the </w:t>
      </w:r>
      <w:r w:rsidRPr="002B6CB2">
        <w:rPr>
          <w:i/>
          <w:lang w:eastAsia="en-AU"/>
        </w:rPr>
        <w:t>Salmonella</w:t>
      </w:r>
      <w:r w:rsidRPr="002B6CB2">
        <w:rPr>
          <w:lang w:eastAsia="en-AU"/>
        </w:rPr>
        <w:t xml:space="preserve"> phage as a processing aid need to be aware of their responsibilities under section 1.2.3—4.</w:t>
      </w:r>
    </w:p>
    <w:p w14:paraId="6F542897" w14:textId="2BBE1CFE" w:rsidR="00E520FE" w:rsidRPr="00932F14" w:rsidRDefault="009C3F97" w:rsidP="00E520FE">
      <w:pPr>
        <w:pStyle w:val="Heading2"/>
      </w:pPr>
      <w:bookmarkStart w:id="49" w:name="_Toc300933435"/>
      <w:bookmarkStart w:id="50" w:name="_Toc430251022"/>
      <w:r>
        <w:t>2.3</w:t>
      </w:r>
      <w:r w:rsidR="00E520FE">
        <w:tab/>
        <w:t>Risk communication</w:t>
      </w:r>
      <w:bookmarkEnd w:id="49"/>
      <w:bookmarkEnd w:id="50"/>
      <w:r w:rsidR="00E520FE">
        <w:t xml:space="preserve"> </w:t>
      </w:r>
    </w:p>
    <w:p w14:paraId="7D8BB741" w14:textId="1DD50A15" w:rsidR="009F3546" w:rsidRDefault="009F3546" w:rsidP="009F3546">
      <w:pPr>
        <w:rPr>
          <w:szCs w:val="22"/>
        </w:rPr>
      </w:pPr>
      <w:bookmarkStart w:id="51" w:name="_Toc300933437"/>
      <w:bookmarkStart w:id="52" w:name="_Toc286391012"/>
      <w:r>
        <w:rPr>
          <w:szCs w:val="22"/>
        </w:rPr>
        <w:t>FSANZ has developed and applied a basic communication strategy to this Application.</w:t>
      </w:r>
    </w:p>
    <w:p w14:paraId="0E7B54F4" w14:textId="77777777" w:rsidR="006C3031" w:rsidRDefault="006C3031">
      <w:pPr>
        <w:widowControl/>
        <w:rPr>
          <w:b/>
          <w:bCs/>
          <w:lang w:eastAsia="en-AU" w:bidi="ar-SA"/>
        </w:rPr>
      </w:pPr>
      <w:bookmarkStart w:id="53" w:name="_Toc430251023"/>
      <w:r>
        <w:br w:type="page"/>
      </w:r>
    </w:p>
    <w:p w14:paraId="0AA60A0B" w14:textId="77659112" w:rsidR="00E520FE" w:rsidRPr="00B676EA" w:rsidRDefault="00E520FE" w:rsidP="00022DBC">
      <w:pPr>
        <w:pStyle w:val="Heading3"/>
        <w:rPr>
          <w:color w:val="auto"/>
        </w:rPr>
      </w:pPr>
      <w:r w:rsidRPr="00B676EA">
        <w:rPr>
          <w:color w:val="auto"/>
        </w:rPr>
        <w:lastRenderedPageBreak/>
        <w:t>2.</w:t>
      </w:r>
      <w:r w:rsidR="009C3F97" w:rsidRPr="00B676EA">
        <w:rPr>
          <w:color w:val="auto"/>
        </w:rPr>
        <w:t>3</w:t>
      </w:r>
      <w:r w:rsidRPr="00B676EA">
        <w:rPr>
          <w:color w:val="auto"/>
        </w:rPr>
        <w:t>.1</w:t>
      </w:r>
      <w:r w:rsidRPr="00B676EA">
        <w:rPr>
          <w:color w:val="auto"/>
        </w:rPr>
        <w:tab/>
        <w:t>Consultation</w:t>
      </w:r>
      <w:bookmarkEnd w:id="51"/>
      <w:bookmarkEnd w:id="53"/>
    </w:p>
    <w:p w14:paraId="1A7A67BB" w14:textId="174673D5" w:rsidR="001B2C96" w:rsidRDefault="009F3546" w:rsidP="00B676EA">
      <w:pPr>
        <w:rPr>
          <w:szCs w:val="22"/>
        </w:rPr>
      </w:pPr>
      <w:r w:rsidRPr="007E7895">
        <w:rPr>
          <w:szCs w:val="22"/>
        </w:rPr>
        <w:t xml:space="preserve">Consultation is a key part of FSANZ’s standards development process. </w:t>
      </w:r>
      <w:r w:rsidRPr="007E7895">
        <w:t xml:space="preserve">The process by which FSANZ considers standard development matters is open, accountable, consultative and transparent. Public submissions are </w:t>
      </w:r>
      <w:r w:rsidR="00A1522B">
        <w:t>sought</w:t>
      </w:r>
      <w:r>
        <w:t xml:space="preserve"> </w:t>
      </w:r>
      <w:r w:rsidRPr="007E7895">
        <w:t xml:space="preserve">to obtain the views of interested parties on the </w:t>
      </w:r>
      <w:r>
        <w:t>A</w:t>
      </w:r>
      <w:r w:rsidRPr="007E7895">
        <w:t>pplication and the impacts of regulatory options</w:t>
      </w:r>
      <w:r>
        <w:t xml:space="preserve">. </w:t>
      </w:r>
      <w:r w:rsidR="00733D3E" w:rsidRPr="007E7895">
        <w:t xml:space="preserve">All calls for submissions are notified via the </w:t>
      </w:r>
      <w:r w:rsidR="00733D3E">
        <w:t xml:space="preserve">Food Standards </w:t>
      </w:r>
      <w:r w:rsidR="00733D3E" w:rsidRPr="007E7895">
        <w:t xml:space="preserve">Notification Circular, media release, FSANZ’s social media tools and </w:t>
      </w:r>
      <w:r w:rsidR="00733D3E" w:rsidRPr="00BB37A7">
        <w:t>Food Standards News</w:t>
      </w:r>
      <w:r w:rsidR="00733D3E" w:rsidRPr="007E7895">
        <w:t>.</w:t>
      </w:r>
    </w:p>
    <w:p w14:paraId="08E7BAC3" w14:textId="77777777" w:rsidR="001B2C96" w:rsidRDefault="001B2C96" w:rsidP="00B676EA">
      <w:pPr>
        <w:rPr>
          <w:szCs w:val="22"/>
        </w:rPr>
      </w:pPr>
    </w:p>
    <w:p w14:paraId="4C871F08" w14:textId="77777777" w:rsidR="00B676EA" w:rsidRPr="007E7895" w:rsidRDefault="00B676EA" w:rsidP="00B676EA">
      <w:r w:rsidRPr="007E7895">
        <w:t>The draft variation will be considered for approval by the FSANZ Board taking into account public comments received from this call for submissions.</w:t>
      </w:r>
    </w:p>
    <w:p w14:paraId="1745515C" w14:textId="5D6FF50D" w:rsidR="008848A4" w:rsidRDefault="008848A4" w:rsidP="00B676EA"/>
    <w:p w14:paraId="7FC3B002" w14:textId="3A382738" w:rsidR="00B676EA" w:rsidRPr="007E7895" w:rsidRDefault="00B676EA" w:rsidP="00B676EA">
      <w:r w:rsidRPr="007E7895">
        <w:t xml:space="preserve">The Applicant, individuals and organisations that make submissions on this Application will be notified at each stage of the assessment. Subscribers and interested parties are also notified via email about the availability of reports for public comment. </w:t>
      </w:r>
    </w:p>
    <w:p w14:paraId="114449F8" w14:textId="77777777" w:rsidR="00B676EA" w:rsidRPr="007E7895" w:rsidRDefault="00B676EA" w:rsidP="00B676EA"/>
    <w:p w14:paraId="0910E276" w14:textId="3214CB0F" w:rsidR="0027513D" w:rsidRDefault="009F3546" w:rsidP="0027513D">
      <w:pPr>
        <w:rPr>
          <w:szCs w:val="22"/>
        </w:rPr>
      </w:pPr>
      <w:r>
        <w:rPr>
          <w:szCs w:val="22"/>
        </w:rPr>
        <w:t xml:space="preserve">Following consultation, the FSANZ Board will consider the proposed variation taking into account comments received through submissions. </w:t>
      </w:r>
      <w:r w:rsidR="00B676EA" w:rsidRPr="007E7895">
        <w:t xml:space="preserve">If the draft variation to the Code is approved by the FSANZ Board, that decision will be notified to the </w:t>
      </w:r>
      <w:r w:rsidR="00A1522B">
        <w:t xml:space="preserve">Australia and New </w:t>
      </w:r>
      <w:r w:rsidR="005E0A16">
        <w:t>Zealand</w:t>
      </w:r>
      <w:r w:rsidR="00A1522B">
        <w:t xml:space="preserve"> Ministerial </w:t>
      </w:r>
      <w:r w:rsidR="00B676EA" w:rsidRPr="007E7895">
        <w:rPr>
          <w:lang w:val="en-AU"/>
        </w:rPr>
        <w:t>Forum on Food Regulation (the Forum)</w:t>
      </w:r>
      <w:r w:rsidR="00B676EA" w:rsidRPr="007E7895">
        <w:t>. If the decision is not subject to a request for a review, the Applicant and stakeholders</w:t>
      </w:r>
      <w:r>
        <w:t>,</w:t>
      </w:r>
      <w:r w:rsidR="00B676EA" w:rsidRPr="007E7895">
        <w:t xml:space="preserve"> including the public</w:t>
      </w:r>
      <w:r>
        <w:t>,</w:t>
      </w:r>
      <w:r w:rsidR="00B676EA" w:rsidRPr="007E7895">
        <w:t xml:space="preserve"> will be notified of the gazettal of the variation to the Code in the national press and on the FSANZ website. </w:t>
      </w:r>
    </w:p>
    <w:p w14:paraId="0FF83DFC" w14:textId="056E6768" w:rsidR="00E520FE" w:rsidRPr="00022DBC" w:rsidRDefault="00022DBC" w:rsidP="00022DBC">
      <w:pPr>
        <w:pStyle w:val="Heading3"/>
      </w:pPr>
      <w:bookmarkStart w:id="54" w:name="_Toc300761912"/>
      <w:bookmarkStart w:id="55" w:name="_Toc300933439"/>
      <w:bookmarkStart w:id="56" w:name="_Toc430251024"/>
      <w:bookmarkEnd w:id="52"/>
      <w:r w:rsidRPr="00022DBC">
        <w:t>2.</w:t>
      </w:r>
      <w:r w:rsidR="009F3546">
        <w:t>3</w:t>
      </w:r>
      <w:r w:rsidRPr="00022DBC">
        <w:t>.2</w:t>
      </w:r>
      <w:r w:rsidR="00E520FE" w:rsidRPr="00022DBC">
        <w:tab/>
        <w:t>World Trade Organization (WTO)</w:t>
      </w:r>
      <w:bookmarkEnd w:id="54"/>
      <w:bookmarkEnd w:id="55"/>
      <w:bookmarkEnd w:id="56"/>
    </w:p>
    <w:p w14:paraId="416EB441" w14:textId="77777777" w:rsidR="00E520FE" w:rsidRPr="00B676EA" w:rsidRDefault="00E520FE" w:rsidP="00E520FE">
      <w:pPr>
        <w:rPr>
          <w:rFonts w:cs="Arial"/>
        </w:rPr>
      </w:pPr>
      <w:r w:rsidRPr="00B676EA">
        <w:rPr>
          <w:rFonts w:cs="Arial"/>
        </w:rPr>
        <w:t>As members of the World Trade Organization (WTO), Australia and New Zealand are obliged to notify WTO member</w:t>
      </w:r>
      <w:r w:rsidR="00BB5930" w:rsidRPr="00B676EA">
        <w:rPr>
          <w:rFonts w:cs="Arial"/>
        </w:rPr>
        <w:t>s</w:t>
      </w:r>
      <w:r w:rsidRPr="00B676EA">
        <w:rPr>
          <w:rFonts w:cs="Arial"/>
        </w:rPr>
        <w:t xml:space="preserve"> where proposed mandatory regulatory measures are inconsistent with any existing or imminent international standards and the proposed measure may have a significant effect on trade.</w:t>
      </w:r>
    </w:p>
    <w:p w14:paraId="43B94BFE" w14:textId="77777777" w:rsidR="00B676EA" w:rsidRPr="00B676EA" w:rsidRDefault="00B676EA" w:rsidP="00E520FE">
      <w:pPr>
        <w:tabs>
          <w:tab w:val="left" w:pos="1560"/>
        </w:tabs>
        <w:rPr>
          <w:rFonts w:cs="Arial"/>
        </w:rPr>
      </w:pPr>
    </w:p>
    <w:p w14:paraId="32924E11" w14:textId="5507023C" w:rsidR="00E520FE" w:rsidRPr="00B676EA" w:rsidRDefault="00E520FE" w:rsidP="00E520FE">
      <w:pPr>
        <w:tabs>
          <w:tab w:val="left" w:pos="1560"/>
        </w:tabs>
        <w:rPr>
          <w:rFonts w:cs="Arial"/>
          <w:iCs/>
        </w:rPr>
      </w:pPr>
      <w:r w:rsidRPr="00B676EA">
        <w:rPr>
          <w:rFonts w:cs="Arial"/>
        </w:rPr>
        <w:t>There are</w:t>
      </w:r>
      <w:r w:rsidR="00B676EA" w:rsidRPr="00B676EA">
        <w:rPr>
          <w:rFonts w:cs="Arial"/>
        </w:rPr>
        <w:t xml:space="preserve"> no</w:t>
      </w:r>
      <w:r w:rsidRPr="00B676EA">
        <w:rPr>
          <w:rFonts w:cs="Arial"/>
        </w:rPr>
        <w:t xml:space="preserve"> relevant international standards and amending the Code to </w:t>
      </w:r>
      <w:r w:rsidR="00F37BEA">
        <w:rPr>
          <w:rFonts w:cs="Arial"/>
        </w:rPr>
        <w:t xml:space="preserve">allow </w:t>
      </w:r>
      <w:r w:rsidR="00F9473E" w:rsidRPr="009F3546">
        <w:rPr>
          <w:rFonts w:cs="Arial"/>
          <w:i/>
        </w:rPr>
        <w:t>Salmonella</w:t>
      </w:r>
      <w:r w:rsidR="00F9473E">
        <w:rPr>
          <w:rFonts w:cs="Arial"/>
        </w:rPr>
        <w:t xml:space="preserve"> phage</w:t>
      </w:r>
      <w:r w:rsidR="009F3546">
        <w:rPr>
          <w:rFonts w:cs="Arial"/>
        </w:rPr>
        <w:t xml:space="preserve"> </w:t>
      </w:r>
      <w:r w:rsidR="00F37BEA">
        <w:rPr>
          <w:rFonts w:cs="Arial"/>
        </w:rPr>
        <w:t xml:space="preserve">as a processing </w:t>
      </w:r>
      <w:r w:rsidR="00F9473E">
        <w:rPr>
          <w:rFonts w:cs="Arial"/>
        </w:rPr>
        <w:t>aid</w:t>
      </w:r>
      <w:r w:rsidRPr="00B676EA">
        <w:rPr>
          <w:rFonts w:cs="Arial"/>
        </w:rPr>
        <w:t xml:space="preserve"> is unlikely to have a significant effect on international trade</w:t>
      </w:r>
      <w:r w:rsidR="00B676EA" w:rsidRPr="00B676EA">
        <w:rPr>
          <w:rFonts w:cs="Arial"/>
        </w:rPr>
        <w:t>.</w:t>
      </w:r>
      <w:r w:rsidRPr="00B676EA">
        <w:rPr>
          <w:rFonts w:cs="Arial"/>
        </w:rPr>
        <w:t xml:space="preserve"> </w:t>
      </w:r>
      <w:r w:rsidRPr="00B676EA">
        <w:rPr>
          <w:rFonts w:cs="Arial"/>
          <w:iCs/>
        </w:rPr>
        <w:t xml:space="preserve">Therefore, a notification to the WTO under </w:t>
      </w:r>
      <w:r w:rsidRPr="00B676EA">
        <w:rPr>
          <w:rFonts w:cs="Arial"/>
        </w:rPr>
        <w:t>Australia’s and New Zealand’s</w:t>
      </w:r>
      <w:r w:rsidRPr="00B676EA">
        <w:rPr>
          <w:rFonts w:cs="Arial"/>
          <w:iCs/>
        </w:rPr>
        <w:t xml:space="preserve"> obligations under the WTO Technical Barriers to Trade or </w:t>
      </w:r>
      <w:r w:rsidR="00D04529" w:rsidRPr="00B676EA">
        <w:rPr>
          <w:rFonts w:cs="Arial"/>
          <w:iCs/>
        </w:rPr>
        <w:t xml:space="preserve">Application of </w:t>
      </w:r>
      <w:r w:rsidRPr="00B676EA">
        <w:rPr>
          <w:rFonts w:cs="Arial"/>
          <w:iCs/>
        </w:rPr>
        <w:t>Sanitary and Phytosanitary Measures Agreement was not considered necessary.</w:t>
      </w:r>
    </w:p>
    <w:p w14:paraId="7EED8922" w14:textId="34BBE217" w:rsidR="00E520FE" w:rsidRDefault="00022DBC" w:rsidP="00022DBC">
      <w:pPr>
        <w:pStyle w:val="Heading2"/>
      </w:pPr>
      <w:bookmarkStart w:id="57" w:name="_Toc430251025"/>
      <w:r>
        <w:t>2.</w:t>
      </w:r>
      <w:r w:rsidR="009F3546">
        <w:t>4</w:t>
      </w:r>
      <w:r>
        <w:tab/>
        <w:t>FSANZ Act assessment requirements</w:t>
      </w:r>
      <w:bookmarkEnd w:id="57"/>
    </w:p>
    <w:p w14:paraId="79B2D59C" w14:textId="44104BA7" w:rsidR="00726C2F" w:rsidRPr="009C3F97" w:rsidRDefault="00726C2F" w:rsidP="00726C2F">
      <w:r w:rsidRPr="009C3F97">
        <w:t>When assessing this App</w:t>
      </w:r>
      <w:r w:rsidR="009C3F97" w:rsidRPr="009C3F97">
        <w:t>lication</w:t>
      </w:r>
      <w:r w:rsidRPr="009C3F97">
        <w:t xml:space="preserve"> and the subsequent development of a food regulatory measure, FSANZ has had regard to the </w:t>
      </w:r>
      <w:r w:rsidRPr="009C3F97" w:rsidDel="00932F14">
        <w:t xml:space="preserve">following </w:t>
      </w:r>
      <w:r w:rsidRPr="009C3F97">
        <w:t>matters in section 29</w:t>
      </w:r>
      <w:r w:rsidR="009C3F97" w:rsidRPr="009C3F97">
        <w:t xml:space="preserve"> </w:t>
      </w:r>
      <w:r w:rsidRPr="009C3F97">
        <w:t>of the FSANZ Act:</w:t>
      </w:r>
    </w:p>
    <w:p w14:paraId="5CB9B00A" w14:textId="129ABA52" w:rsidR="00726C2F" w:rsidRPr="009C3F97" w:rsidRDefault="00726C2F" w:rsidP="00726C2F">
      <w:pPr>
        <w:pStyle w:val="Heading3"/>
        <w:rPr>
          <w:color w:val="auto"/>
        </w:rPr>
      </w:pPr>
      <w:bookmarkStart w:id="58" w:name="_Toc430251026"/>
      <w:r w:rsidRPr="009C3F97">
        <w:rPr>
          <w:color w:val="auto"/>
        </w:rPr>
        <w:t>2.</w:t>
      </w:r>
      <w:r w:rsidR="009F3546">
        <w:rPr>
          <w:color w:val="auto"/>
        </w:rPr>
        <w:t>4</w:t>
      </w:r>
      <w:r w:rsidRPr="009C3F97">
        <w:rPr>
          <w:color w:val="auto"/>
        </w:rPr>
        <w:t>.1</w:t>
      </w:r>
      <w:r w:rsidRPr="009C3F97">
        <w:rPr>
          <w:color w:val="auto"/>
        </w:rPr>
        <w:tab/>
        <w:t>Section 29</w:t>
      </w:r>
      <w:bookmarkEnd w:id="58"/>
    </w:p>
    <w:p w14:paraId="5AA35EE6" w14:textId="6D81363D" w:rsidR="00726C2F" w:rsidRDefault="00726C2F" w:rsidP="00726C2F">
      <w:pPr>
        <w:pStyle w:val="Heading4"/>
      </w:pPr>
      <w:r>
        <w:t>2.</w:t>
      </w:r>
      <w:r w:rsidR="009F3546">
        <w:t>4</w:t>
      </w:r>
      <w:r>
        <w:t>.1.1</w:t>
      </w:r>
      <w:r>
        <w:tab/>
        <w:t>Cost benefit analysis</w:t>
      </w:r>
    </w:p>
    <w:p w14:paraId="5999A19C" w14:textId="6603C48C" w:rsidR="00B676EA" w:rsidRPr="00BB4E1C" w:rsidRDefault="00B676EA" w:rsidP="00B676EA">
      <w:pPr>
        <w:rPr>
          <w:rFonts w:cs="Arial"/>
        </w:rPr>
      </w:pPr>
      <w:r w:rsidRPr="00BB4E1C">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w:t>
      </w:r>
      <w:r w:rsidR="0021281B">
        <w:rPr>
          <w:rFonts w:cs="Arial"/>
        </w:rPr>
        <w:t xml:space="preserve">revised </w:t>
      </w:r>
      <w:r w:rsidRPr="00BB4E1C">
        <w:rPr>
          <w:rFonts w:cs="Arial"/>
        </w:rPr>
        <w:t xml:space="preserve">Code have been </w:t>
      </w:r>
      <w:r w:rsidR="009F3546">
        <w:rPr>
          <w:rFonts w:cs="Arial"/>
        </w:rPr>
        <w:t>considered</w:t>
      </w:r>
      <w:r w:rsidRPr="00BB4E1C">
        <w:rPr>
          <w:rFonts w:cs="Arial"/>
        </w:rPr>
        <w:t xml:space="preserve"> using regulatory impact principles. </w:t>
      </w:r>
      <w:r w:rsidRPr="00BB4E1C">
        <w:t>The level of analysis is commensurate with the nature of the Application and significance of the impacts.</w:t>
      </w:r>
    </w:p>
    <w:p w14:paraId="75D9C24C" w14:textId="77777777" w:rsidR="00B676EA" w:rsidRPr="00BB4E1C" w:rsidRDefault="00B676EA" w:rsidP="00B676EA">
      <w:pPr>
        <w:rPr>
          <w:rFonts w:cs="Arial"/>
        </w:rPr>
      </w:pPr>
    </w:p>
    <w:p w14:paraId="1C3E6930" w14:textId="77777777" w:rsidR="002E68B2" w:rsidRDefault="00B676EA" w:rsidP="00B676EA">
      <w:pPr>
        <w:rPr>
          <w:bCs/>
        </w:rPr>
      </w:pPr>
      <w:r w:rsidRPr="00BB4E1C">
        <w:rPr>
          <w:bCs/>
        </w:rPr>
        <w:t xml:space="preserve">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w:t>
      </w:r>
      <w:r w:rsidR="002E68B2">
        <w:rPr>
          <w:bCs/>
        </w:rPr>
        <w:br w:type="page"/>
      </w:r>
    </w:p>
    <w:p w14:paraId="180556F9" w14:textId="677C07A6" w:rsidR="00B676EA" w:rsidRPr="00BB4E1C" w:rsidRDefault="00B676EA" w:rsidP="00B676EA">
      <w:pPr>
        <w:rPr>
          <w:bCs/>
        </w:rPr>
      </w:pPr>
      <w:r w:rsidRPr="00BB4E1C">
        <w:rPr>
          <w:bCs/>
        </w:rPr>
        <w:lastRenderedPageBreak/>
        <w:t>However, FSANZ has undertaken a limited impact analysis.</w:t>
      </w:r>
    </w:p>
    <w:p w14:paraId="47B045E8" w14:textId="77777777" w:rsidR="009F3546" w:rsidRDefault="009F3546" w:rsidP="009F3546">
      <w:pPr>
        <w:rPr>
          <w:rFonts w:cs="Arial"/>
        </w:rPr>
      </w:pPr>
    </w:p>
    <w:p w14:paraId="40300124" w14:textId="5076AFA5" w:rsidR="009F3546" w:rsidRPr="00BB4E1C" w:rsidRDefault="009F3546" w:rsidP="009F3546">
      <w:pPr>
        <w:rPr>
          <w:rFonts w:cs="Arial"/>
        </w:rPr>
      </w:pPr>
      <w:r w:rsidRPr="00BB4E1C">
        <w:rPr>
          <w:rFonts w:cs="Arial"/>
        </w:rPr>
        <w:t xml:space="preserve">Two regulatory options were considered: </w:t>
      </w:r>
    </w:p>
    <w:p w14:paraId="0CA88644" w14:textId="77777777" w:rsidR="009F3546" w:rsidRPr="00BB4E1C" w:rsidRDefault="009F3546" w:rsidP="009F3546">
      <w:pPr>
        <w:ind w:left="567" w:hanging="567"/>
        <w:rPr>
          <w:rFonts w:cs="Arial"/>
        </w:rPr>
      </w:pPr>
    </w:p>
    <w:p w14:paraId="38339D6B" w14:textId="7E0AB2E9" w:rsidR="009F3546" w:rsidRPr="00BB4E1C" w:rsidRDefault="009F3546" w:rsidP="009F3546">
      <w:pPr>
        <w:ind w:left="567" w:hanging="567"/>
        <w:rPr>
          <w:rFonts w:cs="Arial"/>
        </w:rPr>
      </w:pPr>
      <w:r w:rsidRPr="00BB4E1C">
        <w:rPr>
          <w:rFonts w:cs="Arial"/>
        </w:rPr>
        <w:t xml:space="preserve">(1) </w:t>
      </w:r>
      <w:r w:rsidRPr="00BB4E1C">
        <w:rPr>
          <w:rFonts w:cs="Arial"/>
        </w:rPr>
        <w:tab/>
        <w:t xml:space="preserve">prepare a draft variation to </w:t>
      </w:r>
      <w:r>
        <w:rPr>
          <w:rFonts w:cs="Arial"/>
        </w:rPr>
        <w:t>the revised Code</w:t>
      </w:r>
      <w:r w:rsidRPr="00BB4E1C">
        <w:rPr>
          <w:rFonts w:cs="Arial"/>
        </w:rPr>
        <w:t xml:space="preserve"> to permit the use of </w:t>
      </w:r>
      <w:r w:rsidRPr="00F9473E">
        <w:rPr>
          <w:rFonts w:cs="Arial"/>
          <w:i/>
        </w:rPr>
        <w:t>Salmonella</w:t>
      </w:r>
      <w:r w:rsidRPr="00BB4E1C">
        <w:rPr>
          <w:rFonts w:cs="Arial"/>
        </w:rPr>
        <w:t xml:space="preserve"> phage</w:t>
      </w:r>
      <w:r w:rsidR="009E1E9F">
        <w:rPr>
          <w:rFonts w:cs="Arial"/>
        </w:rPr>
        <w:t xml:space="preserve"> </w:t>
      </w:r>
      <w:r w:rsidRPr="00BB4E1C">
        <w:rPr>
          <w:rFonts w:cs="Arial"/>
        </w:rPr>
        <w:t xml:space="preserve">as a processing aid </w:t>
      </w:r>
      <w:r>
        <w:rPr>
          <w:rFonts w:cs="Arial"/>
        </w:rPr>
        <w:t>and develop a specification</w:t>
      </w:r>
    </w:p>
    <w:p w14:paraId="2F2AECFC" w14:textId="77777777" w:rsidR="009F3546" w:rsidRPr="00BB4E1C" w:rsidRDefault="009F3546" w:rsidP="009F3546">
      <w:pPr>
        <w:ind w:left="567" w:hanging="567"/>
        <w:rPr>
          <w:rFonts w:cs="Arial"/>
        </w:rPr>
      </w:pPr>
      <w:r w:rsidRPr="00BB4E1C">
        <w:rPr>
          <w:rFonts w:cs="Arial"/>
        </w:rPr>
        <w:t xml:space="preserve">(2) </w:t>
      </w:r>
      <w:r w:rsidRPr="00BB4E1C">
        <w:rPr>
          <w:rFonts w:cs="Arial"/>
        </w:rPr>
        <w:tab/>
        <w:t xml:space="preserve">reject the Application. </w:t>
      </w:r>
    </w:p>
    <w:p w14:paraId="1FE648E7" w14:textId="77777777" w:rsidR="00B676EA" w:rsidRPr="00BB4E1C" w:rsidRDefault="00B676EA" w:rsidP="00B676EA">
      <w:pPr>
        <w:rPr>
          <w:bCs/>
        </w:rPr>
      </w:pPr>
    </w:p>
    <w:p w14:paraId="17E56021" w14:textId="670144FB" w:rsidR="00B676EA" w:rsidRPr="00BB4E1C" w:rsidRDefault="00B676EA" w:rsidP="00B676EA">
      <w:pPr>
        <w:rPr>
          <w:szCs w:val="22"/>
        </w:rPr>
      </w:pPr>
      <w:r w:rsidRPr="00BB4E1C">
        <w:t xml:space="preserve">A consideration of the costs and benefits of the regulatory options </w:t>
      </w:r>
      <w:r w:rsidRPr="00BB4E1C">
        <w:rPr>
          <w:szCs w:val="22"/>
        </w:rPr>
        <w:t xml:space="preserve">is not intended to be an exhaustive, quantitative economic analysis of the options and, in fact, most of the effects that are considered cannot be assigned a dollar value. Rather, the assessment seeks to highlight the qualitative effects </w:t>
      </w:r>
      <w:r w:rsidR="00884DD4">
        <w:rPr>
          <w:szCs w:val="22"/>
        </w:rPr>
        <w:t xml:space="preserve">on </w:t>
      </w:r>
      <w:r w:rsidRPr="00BB4E1C">
        <w:rPr>
          <w:szCs w:val="22"/>
        </w:rPr>
        <w:t>broad areas such as trade, consumer information and compliance.</w:t>
      </w:r>
    </w:p>
    <w:p w14:paraId="55A58922" w14:textId="4B23C718" w:rsidR="00B676EA" w:rsidRPr="00BB4E1C" w:rsidRDefault="00B676EA" w:rsidP="00B676EA">
      <w:pPr>
        <w:pStyle w:val="Heading4"/>
        <w:keepLines/>
      </w:pPr>
      <w:r w:rsidRPr="00BB4E1C">
        <w:t xml:space="preserve">Option 1 – Prepare a draft variation  </w:t>
      </w:r>
    </w:p>
    <w:tbl>
      <w:tblPr>
        <w:tblStyle w:val="TableGrid"/>
        <w:tblW w:w="9072" w:type="dxa"/>
        <w:tblCellMar>
          <w:top w:w="28" w:type="dxa"/>
          <w:bottom w:w="28" w:type="dxa"/>
        </w:tblCellMar>
        <w:tblLook w:val="04A0" w:firstRow="1" w:lastRow="0" w:firstColumn="1" w:lastColumn="0" w:noHBand="0" w:noVBand="1"/>
      </w:tblPr>
      <w:tblGrid>
        <w:gridCol w:w="1417"/>
        <w:gridCol w:w="7655"/>
      </w:tblGrid>
      <w:tr w:rsidR="00B676EA" w:rsidRPr="00BB4E1C" w14:paraId="095E28DD" w14:textId="77777777" w:rsidTr="00071694">
        <w:tc>
          <w:tcPr>
            <w:tcW w:w="0" w:type="auto"/>
            <w:shd w:val="clear" w:color="auto" w:fill="C2D69B" w:themeFill="accent3" w:themeFillTint="99"/>
            <w:vAlign w:val="center"/>
          </w:tcPr>
          <w:p w14:paraId="4A8AD191" w14:textId="77777777" w:rsidR="00B676EA" w:rsidRPr="00BB4E1C" w:rsidRDefault="00B676EA" w:rsidP="00BE6FCB">
            <w:pPr>
              <w:keepNext/>
              <w:keepLines/>
              <w:rPr>
                <w:b/>
                <w:sz w:val="20"/>
                <w:szCs w:val="20"/>
              </w:rPr>
            </w:pPr>
            <w:r w:rsidRPr="00BB4E1C">
              <w:rPr>
                <w:b/>
                <w:sz w:val="20"/>
                <w:szCs w:val="20"/>
              </w:rPr>
              <w:t>Sector</w:t>
            </w:r>
          </w:p>
        </w:tc>
        <w:tc>
          <w:tcPr>
            <w:tcW w:w="0" w:type="auto"/>
            <w:shd w:val="clear" w:color="auto" w:fill="C2D69B" w:themeFill="accent3" w:themeFillTint="99"/>
            <w:vAlign w:val="center"/>
          </w:tcPr>
          <w:p w14:paraId="4A9676F3" w14:textId="77777777" w:rsidR="00B676EA" w:rsidRPr="00BB4E1C" w:rsidRDefault="00B676EA" w:rsidP="00BE6FCB">
            <w:pPr>
              <w:keepNext/>
              <w:keepLines/>
              <w:rPr>
                <w:b/>
                <w:sz w:val="20"/>
                <w:szCs w:val="20"/>
              </w:rPr>
            </w:pPr>
            <w:r w:rsidRPr="00BB4E1C">
              <w:rPr>
                <w:b/>
                <w:sz w:val="20"/>
                <w:szCs w:val="20"/>
              </w:rPr>
              <w:t>Costs or benefits to sector</w:t>
            </w:r>
          </w:p>
        </w:tc>
      </w:tr>
      <w:tr w:rsidR="00B676EA" w:rsidRPr="00BB4E1C" w14:paraId="5B30621E" w14:textId="77777777" w:rsidTr="00071694">
        <w:tc>
          <w:tcPr>
            <w:tcW w:w="0" w:type="auto"/>
            <w:vAlign w:val="center"/>
          </w:tcPr>
          <w:p w14:paraId="7C525EED" w14:textId="77777777" w:rsidR="00B676EA" w:rsidRPr="00BB4E1C" w:rsidRDefault="00B676EA" w:rsidP="00BE6FCB">
            <w:pPr>
              <w:keepNext/>
              <w:keepLines/>
              <w:rPr>
                <w:sz w:val="20"/>
                <w:szCs w:val="20"/>
              </w:rPr>
            </w:pPr>
            <w:r w:rsidRPr="00BB4E1C">
              <w:rPr>
                <w:sz w:val="20"/>
                <w:szCs w:val="20"/>
              </w:rPr>
              <w:t>Consumers</w:t>
            </w:r>
          </w:p>
        </w:tc>
        <w:tc>
          <w:tcPr>
            <w:tcW w:w="0" w:type="auto"/>
            <w:vAlign w:val="center"/>
          </w:tcPr>
          <w:p w14:paraId="1D36D259" w14:textId="558A48C2" w:rsidR="00B676EA" w:rsidRPr="00BB4E1C" w:rsidRDefault="00B676EA" w:rsidP="009E1E9F">
            <w:pPr>
              <w:keepNext/>
              <w:keepLines/>
              <w:rPr>
                <w:sz w:val="20"/>
                <w:szCs w:val="20"/>
              </w:rPr>
            </w:pPr>
            <w:r w:rsidRPr="00BB4E1C">
              <w:rPr>
                <w:sz w:val="20"/>
                <w:szCs w:val="20"/>
              </w:rPr>
              <w:t xml:space="preserve">There should be no measurable impact or costs on consumers, but there may be </w:t>
            </w:r>
            <w:r w:rsidR="00F37BEA" w:rsidRPr="00BB4E1C">
              <w:rPr>
                <w:sz w:val="20"/>
                <w:szCs w:val="20"/>
              </w:rPr>
              <w:t xml:space="preserve">benefits </w:t>
            </w:r>
            <w:r w:rsidR="00BE6FCB">
              <w:rPr>
                <w:sz w:val="20"/>
                <w:szCs w:val="20"/>
              </w:rPr>
              <w:t xml:space="preserve">from </w:t>
            </w:r>
            <w:r w:rsidR="00F37BEA" w:rsidRPr="00BB4E1C">
              <w:rPr>
                <w:sz w:val="20"/>
                <w:szCs w:val="20"/>
              </w:rPr>
              <w:t xml:space="preserve">control of </w:t>
            </w:r>
            <w:r w:rsidR="00F37BEA" w:rsidRPr="00F9473E">
              <w:rPr>
                <w:i/>
                <w:sz w:val="20"/>
                <w:szCs w:val="20"/>
              </w:rPr>
              <w:t>Salmonella</w:t>
            </w:r>
            <w:r w:rsidR="00F37BEA" w:rsidRPr="00BB4E1C">
              <w:rPr>
                <w:sz w:val="20"/>
                <w:szCs w:val="20"/>
              </w:rPr>
              <w:t xml:space="preserve"> during </w:t>
            </w:r>
            <w:r w:rsidR="00F37BEA" w:rsidRPr="00BE6FCB">
              <w:rPr>
                <w:sz w:val="20"/>
                <w:szCs w:val="20"/>
              </w:rPr>
              <w:t>processing</w:t>
            </w:r>
            <w:r w:rsidR="009E1E9F">
              <w:rPr>
                <w:sz w:val="20"/>
                <w:szCs w:val="20"/>
              </w:rPr>
              <w:t xml:space="preserve"> which may reduce a risk factor for</w:t>
            </w:r>
            <w:r w:rsidR="00BE6FCB">
              <w:rPr>
                <w:sz w:val="20"/>
                <w:szCs w:val="20"/>
              </w:rPr>
              <w:t xml:space="preserve"> foodborne illness.</w:t>
            </w:r>
            <w:r w:rsidRPr="00BB4E1C">
              <w:rPr>
                <w:sz w:val="20"/>
                <w:szCs w:val="20"/>
              </w:rPr>
              <w:t xml:space="preserve"> </w:t>
            </w:r>
          </w:p>
        </w:tc>
      </w:tr>
      <w:tr w:rsidR="009E1E9F" w:rsidRPr="00BB4E1C" w14:paraId="6A49D52D" w14:textId="77777777" w:rsidTr="00071694">
        <w:tc>
          <w:tcPr>
            <w:tcW w:w="0" w:type="auto"/>
            <w:vAlign w:val="center"/>
          </w:tcPr>
          <w:p w14:paraId="6120096D" w14:textId="68382F7F" w:rsidR="009E1E9F" w:rsidRPr="00BB4E1C" w:rsidRDefault="009E1E9F" w:rsidP="00BE6FCB">
            <w:pPr>
              <w:keepNext/>
              <w:keepLines/>
              <w:rPr>
                <w:sz w:val="20"/>
                <w:szCs w:val="20"/>
              </w:rPr>
            </w:pPr>
            <w:r w:rsidRPr="00BB4E1C">
              <w:rPr>
                <w:sz w:val="20"/>
                <w:szCs w:val="20"/>
              </w:rPr>
              <w:t>Industry</w:t>
            </w:r>
          </w:p>
        </w:tc>
        <w:tc>
          <w:tcPr>
            <w:tcW w:w="0" w:type="auto"/>
            <w:vAlign w:val="center"/>
          </w:tcPr>
          <w:p w14:paraId="251679C2" w14:textId="7373C6E7" w:rsidR="009E1E9F" w:rsidRDefault="009E1E9F" w:rsidP="00BE6FCB">
            <w:pPr>
              <w:keepNext/>
              <w:keepLines/>
              <w:rPr>
                <w:sz w:val="20"/>
                <w:szCs w:val="20"/>
              </w:rPr>
            </w:pPr>
            <w:r w:rsidRPr="00BB4E1C">
              <w:rPr>
                <w:sz w:val="20"/>
                <w:szCs w:val="20"/>
              </w:rPr>
              <w:t xml:space="preserve">There are benefits to the meat processing industry in helping to control </w:t>
            </w:r>
            <w:r w:rsidRPr="00884DD4">
              <w:rPr>
                <w:i/>
                <w:sz w:val="20"/>
                <w:szCs w:val="20"/>
              </w:rPr>
              <w:t>Salmonella</w:t>
            </w:r>
            <w:r w:rsidRPr="00BB4E1C">
              <w:rPr>
                <w:sz w:val="20"/>
                <w:szCs w:val="20"/>
              </w:rPr>
              <w:t xml:space="preserve"> contamination. Australian and New Zealand meat processors </w:t>
            </w:r>
            <w:r>
              <w:rPr>
                <w:sz w:val="20"/>
                <w:szCs w:val="20"/>
              </w:rPr>
              <w:t>may</w:t>
            </w:r>
            <w:r w:rsidRPr="00BB4E1C">
              <w:rPr>
                <w:sz w:val="20"/>
                <w:szCs w:val="20"/>
              </w:rPr>
              <w:t xml:space="preserve"> benefit from having another option to use in controlling</w:t>
            </w:r>
            <w:r>
              <w:rPr>
                <w:sz w:val="20"/>
                <w:szCs w:val="20"/>
              </w:rPr>
              <w:t xml:space="preserve"> </w:t>
            </w:r>
            <w:r w:rsidRPr="00884DD4">
              <w:rPr>
                <w:i/>
                <w:sz w:val="20"/>
                <w:szCs w:val="20"/>
              </w:rPr>
              <w:t>Salmonella</w:t>
            </w:r>
            <w:r w:rsidRPr="00F9473E">
              <w:rPr>
                <w:sz w:val="20"/>
                <w:szCs w:val="20"/>
              </w:rPr>
              <w:t xml:space="preserve">. </w:t>
            </w:r>
            <w:r w:rsidRPr="00BB4E1C">
              <w:rPr>
                <w:sz w:val="20"/>
                <w:szCs w:val="20"/>
              </w:rPr>
              <w:t xml:space="preserve">The risk assessment conclusions provide evidence that there are no safety risks from the use of this </w:t>
            </w:r>
            <w:r>
              <w:rPr>
                <w:sz w:val="20"/>
                <w:szCs w:val="20"/>
              </w:rPr>
              <w:t>phage preparation</w:t>
            </w:r>
            <w:r w:rsidRPr="00BB4E1C">
              <w:rPr>
                <w:sz w:val="20"/>
                <w:szCs w:val="20"/>
              </w:rPr>
              <w:t xml:space="preserve"> as intended</w:t>
            </w:r>
            <w:r>
              <w:rPr>
                <w:sz w:val="20"/>
                <w:szCs w:val="20"/>
              </w:rPr>
              <w:t xml:space="preserve"> in t</w:t>
            </w:r>
            <w:r w:rsidRPr="00BB4E1C">
              <w:rPr>
                <w:sz w:val="20"/>
                <w:szCs w:val="20"/>
              </w:rPr>
              <w:t xml:space="preserve">heir food safety controls for managing </w:t>
            </w:r>
            <w:r w:rsidRPr="00F9473E">
              <w:rPr>
                <w:i/>
                <w:sz w:val="20"/>
                <w:szCs w:val="20"/>
              </w:rPr>
              <w:t>Salmonella</w:t>
            </w:r>
            <w:r w:rsidRPr="00BB4E1C">
              <w:rPr>
                <w:sz w:val="20"/>
                <w:szCs w:val="20"/>
              </w:rPr>
              <w:t xml:space="preserve">. </w:t>
            </w:r>
          </w:p>
        </w:tc>
      </w:tr>
      <w:tr w:rsidR="009E1E9F" w:rsidRPr="00BB4E1C" w14:paraId="7C02FA75" w14:textId="77777777" w:rsidTr="00071694">
        <w:tc>
          <w:tcPr>
            <w:tcW w:w="0" w:type="auto"/>
            <w:vAlign w:val="center"/>
          </w:tcPr>
          <w:p w14:paraId="18F02EDB" w14:textId="77777777" w:rsidR="009E1E9F" w:rsidRPr="00BB4E1C" w:rsidRDefault="009E1E9F" w:rsidP="00BE6FCB">
            <w:pPr>
              <w:keepNext/>
              <w:keepLines/>
              <w:rPr>
                <w:sz w:val="20"/>
                <w:szCs w:val="20"/>
              </w:rPr>
            </w:pPr>
            <w:r w:rsidRPr="00BB4E1C">
              <w:rPr>
                <w:sz w:val="20"/>
                <w:szCs w:val="20"/>
              </w:rPr>
              <w:t>Governments</w:t>
            </w:r>
          </w:p>
        </w:tc>
        <w:tc>
          <w:tcPr>
            <w:tcW w:w="0" w:type="auto"/>
            <w:vAlign w:val="center"/>
          </w:tcPr>
          <w:p w14:paraId="760D6C5C" w14:textId="3509830B" w:rsidR="009E1E9F" w:rsidRPr="00BB4E1C" w:rsidRDefault="009E1E9F" w:rsidP="00BE6FCB">
            <w:pPr>
              <w:keepNext/>
              <w:keepLines/>
              <w:rPr>
                <w:sz w:val="20"/>
                <w:szCs w:val="20"/>
              </w:rPr>
            </w:pPr>
            <w:r w:rsidRPr="00BB4E1C">
              <w:rPr>
                <w:sz w:val="20"/>
                <w:szCs w:val="20"/>
              </w:rPr>
              <w:t>There are no costs or benefits to governments associated with this option.</w:t>
            </w:r>
          </w:p>
        </w:tc>
      </w:tr>
    </w:tbl>
    <w:p w14:paraId="194F5012" w14:textId="77777777" w:rsidR="00B676EA" w:rsidRPr="00BB4E1C" w:rsidRDefault="00B676EA" w:rsidP="00B676EA">
      <w:pPr>
        <w:pStyle w:val="Heading4"/>
      </w:pPr>
      <w:r w:rsidRPr="00BB4E1C">
        <w:t>Option 2 – Reject the Application</w:t>
      </w:r>
    </w:p>
    <w:tbl>
      <w:tblPr>
        <w:tblStyle w:val="TableGrid"/>
        <w:tblW w:w="9072" w:type="dxa"/>
        <w:tblCellMar>
          <w:top w:w="28" w:type="dxa"/>
          <w:bottom w:w="28" w:type="dxa"/>
        </w:tblCellMar>
        <w:tblLook w:val="04A0" w:firstRow="1" w:lastRow="0" w:firstColumn="1" w:lastColumn="0" w:noHBand="0" w:noVBand="1"/>
      </w:tblPr>
      <w:tblGrid>
        <w:gridCol w:w="1417"/>
        <w:gridCol w:w="7655"/>
      </w:tblGrid>
      <w:tr w:rsidR="00B676EA" w:rsidRPr="00BB4E1C" w14:paraId="2CB8563C" w14:textId="77777777" w:rsidTr="00071694">
        <w:tc>
          <w:tcPr>
            <w:tcW w:w="0" w:type="auto"/>
            <w:shd w:val="clear" w:color="auto" w:fill="C2D69B" w:themeFill="accent3" w:themeFillTint="99"/>
            <w:vAlign w:val="center"/>
          </w:tcPr>
          <w:p w14:paraId="12BF75DE" w14:textId="77777777" w:rsidR="00B676EA" w:rsidRPr="00BB4E1C" w:rsidRDefault="00B676EA" w:rsidP="009E1E9F">
            <w:pPr>
              <w:rPr>
                <w:b/>
                <w:sz w:val="20"/>
                <w:szCs w:val="20"/>
              </w:rPr>
            </w:pPr>
            <w:bookmarkStart w:id="59" w:name="_Toc120358590"/>
            <w:bookmarkStart w:id="60" w:name="_Toc294176162"/>
            <w:r w:rsidRPr="00BB4E1C">
              <w:rPr>
                <w:b/>
                <w:sz w:val="20"/>
                <w:szCs w:val="20"/>
              </w:rPr>
              <w:t>Sector</w:t>
            </w:r>
          </w:p>
        </w:tc>
        <w:tc>
          <w:tcPr>
            <w:tcW w:w="7905" w:type="dxa"/>
            <w:shd w:val="clear" w:color="auto" w:fill="C2D69B" w:themeFill="accent3" w:themeFillTint="99"/>
            <w:vAlign w:val="center"/>
          </w:tcPr>
          <w:p w14:paraId="56198962" w14:textId="77777777" w:rsidR="00B676EA" w:rsidRPr="00BB4E1C" w:rsidRDefault="00B676EA" w:rsidP="009E1E9F">
            <w:pPr>
              <w:rPr>
                <w:b/>
                <w:sz w:val="20"/>
                <w:szCs w:val="20"/>
              </w:rPr>
            </w:pPr>
            <w:r w:rsidRPr="00BB4E1C">
              <w:rPr>
                <w:b/>
                <w:sz w:val="20"/>
                <w:szCs w:val="20"/>
              </w:rPr>
              <w:t>Costs or benefits to sector</w:t>
            </w:r>
          </w:p>
        </w:tc>
      </w:tr>
      <w:tr w:rsidR="00B676EA" w:rsidRPr="00BB4E1C" w14:paraId="1A534E54" w14:textId="77777777" w:rsidTr="00071694">
        <w:tc>
          <w:tcPr>
            <w:tcW w:w="0" w:type="auto"/>
            <w:vAlign w:val="center"/>
          </w:tcPr>
          <w:p w14:paraId="36D10946" w14:textId="77777777" w:rsidR="00B676EA" w:rsidRPr="00BB4E1C" w:rsidRDefault="00B676EA" w:rsidP="009E1E9F">
            <w:pPr>
              <w:rPr>
                <w:sz w:val="20"/>
                <w:szCs w:val="20"/>
              </w:rPr>
            </w:pPr>
            <w:r w:rsidRPr="00BB4E1C">
              <w:rPr>
                <w:sz w:val="20"/>
                <w:szCs w:val="20"/>
              </w:rPr>
              <w:t>Consumers</w:t>
            </w:r>
          </w:p>
        </w:tc>
        <w:tc>
          <w:tcPr>
            <w:tcW w:w="7905" w:type="dxa"/>
            <w:vAlign w:val="center"/>
          </w:tcPr>
          <w:p w14:paraId="0C5D953B" w14:textId="77777777" w:rsidR="00B676EA" w:rsidRPr="00BB4E1C" w:rsidRDefault="00B676EA" w:rsidP="009E1E9F">
            <w:pPr>
              <w:rPr>
                <w:sz w:val="20"/>
                <w:szCs w:val="20"/>
              </w:rPr>
            </w:pPr>
            <w:r w:rsidRPr="00BB4E1C">
              <w:rPr>
                <w:sz w:val="20"/>
                <w:szCs w:val="20"/>
              </w:rPr>
              <w:t>There are no benefits or costs to consumers of this option.</w:t>
            </w:r>
          </w:p>
          <w:p w14:paraId="7D32A0E4" w14:textId="77777777" w:rsidR="00B676EA" w:rsidRPr="00BB4E1C" w:rsidRDefault="00B676EA" w:rsidP="009E1E9F">
            <w:pPr>
              <w:rPr>
                <w:sz w:val="20"/>
                <w:szCs w:val="20"/>
              </w:rPr>
            </w:pPr>
          </w:p>
        </w:tc>
      </w:tr>
      <w:tr w:rsidR="00BB4E1C" w:rsidRPr="00BB4E1C" w14:paraId="23682592" w14:textId="77777777" w:rsidTr="00071694">
        <w:tc>
          <w:tcPr>
            <w:tcW w:w="0" w:type="auto"/>
            <w:vAlign w:val="center"/>
          </w:tcPr>
          <w:p w14:paraId="08F0BDF7" w14:textId="77777777" w:rsidR="00B676EA" w:rsidRPr="00BB4E1C" w:rsidRDefault="00B676EA" w:rsidP="009E1E9F">
            <w:pPr>
              <w:rPr>
                <w:sz w:val="20"/>
                <w:szCs w:val="20"/>
              </w:rPr>
            </w:pPr>
            <w:r w:rsidRPr="00BB4E1C">
              <w:rPr>
                <w:sz w:val="20"/>
                <w:szCs w:val="20"/>
              </w:rPr>
              <w:t>Industry</w:t>
            </w:r>
          </w:p>
        </w:tc>
        <w:tc>
          <w:tcPr>
            <w:tcW w:w="7905" w:type="dxa"/>
            <w:vAlign w:val="center"/>
          </w:tcPr>
          <w:p w14:paraId="16B47138" w14:textId="054AC5E7" w:rsidR="00B676EA" w:rsidRPr="00BB4E1C" w:rsidRDefault="00884DD4" w:rsidP="009E1E9F">
            <w:pPr>
              <w:rPr>
                <w:sz w:val="20"/>
                <w:szCs w:val="20"/>
              </w:rPr>
            </w:pPr>
            <w:r>
              <w:rPr>
                <w:sz w:val="20"/>
                <w:szCs w:val="20"/>
              </w:rPr>
              <w:t>There may</w:t>
            </w:r>
            <w:r w:rsidR="00B676EA" w:rsidRPr="00BB4E1C">
              <w:rPr>
                <w:sz w:val="20"/>
                <w:szCs w:val="20"/>
              </w:rPr>
              <w:t xml:space="preserve"> be costs by not allowing industry the option to use new</w:t>
            </w:r>
            <w:r>
              <w:rPr>
                <w:sz w:val="20"/>
                <w:szCs w:val="20"/>
              </w:rPr>
              <w:t xml:space="preserve"> technology</w:t>
            </w:r>
            <w:r w:rsidR="00B676EA" w:rsidRPr="00BB4E1C">
              <w:rPr>
                <w:sz w:val="20"/>
                <w:szCs w:val="20"/>
              </w:rPr>
              <w:t xml:space="preserve"> to </w:t>
            </w:r>
            <w:r w:rsidR="00F37BEA" w:rsidRPr="00BB4E1C">
              <w:rPr>
                <w:sz w:val="20"/>
                <w:szCs w:val="20"/>
              </w:rPr>
              <w:t xml:space="preserve">help control </w:t>
            </w:r>
            <w:r w:rsidR="00F37BEA" w:rsidRPr="00884DD4">
              <w:rPr>
                <w:i/>
                <w:sz w:val="20"/>
                <w:szCs w:val="20"/>
              </w:rPr>
              <w:t>Salmonella</w:t>
            </w:r>
            <w:r w:rsidR="00F37BEA" w:rsidRPr="00BB4E1C">
              <w:rPr>
                <w:sz w:val="20"/>
                <w:szCs w:val="20"/>
              </w:rPr>
              <w:t xml:space="preserve"> during processing.</w:t>
            </w:r>
          </w:p>
        </w:tc>
      </w:tr>
      <w:tr w:rsidR="00B676EA" w:rsidRPr="00BB4E1C" w14:paraId="64B625B4" w14:textId="77777777" w:rsidTr="00071694">
        <w:tc>
          <w:tcPr>
            <w:tcW w:w="0" w:type="auto"/>
            <w:vAlign w:val="center"/>
          </w:tcPr>
          <w:p w14:paraId="6D761CAA" w14:textId="77777777" w:rsidR="00B676EA" w:rsidRPr="00BB4E1C" w:rsidRDefault="00B676EA" w:rsidP="009E1E9F">
            <w:pPr>
              <w:rPr>
                <w:sz w:val="20"/>
                <w:szCs w:val="20"/>
              </w:rPr>
            </w:pPr>
            <w:r w:rsidRPr="00BB4E1C">
              <w:rPr>
                <w:sz w:val="20"/>
                <w:szCs w:val="20"/>
              </w:rPr>
              <w:t>Governments</w:t>
            </w:r>
          </w:p>
        </w:tc>
        <w:tc>
          <w:tcPr>
            <w:tcW w:w="7905" w:type="dxa"/>
            <w:vAlign w:val="center"/>
          </w:tcPr>
          <w:p w14:paraId="6736A2A9" w14:textId="4BA96228" w:rsidR="00B676EA" w:rsidRPr="00BB4E1C" w:rsidRDefault="00B676EA" w:rsidP="009E1E9F">
            <w:pPr>
              <w:rPr>
                <w:sz w:val="20"/>
                <w:szCs w:val="20"/>
              </w:rPr>
            </w:pPr>
            <w:r w:rsidRPr="00BB4E1C">
              <w:rPr>
                <w:sz w:val="20"/>
                <w:szCs w:val="20"/>
              </w:rPr>
              <w:t>There are no</w:t>
            </w:r>
            <w:r w:rsidR="00884DD4">
              <w:rPr>
                <w:sz w:val="20"/>
                <w:szCs w:val="20"/>
              </w:rPr>
              <w:t xml:space="preserve"> direct impacts on government agencies</w:t>
            </w:r>
            <w:r w:rsidRPr="00BB4E1C">
              <w:rPr>
                <w:sz w:val="20"/>
                <w:szCs w:val="20"/>
              </w:rPr>
              <w:t>.</w:t>
            </w:r>
          </w:p>
          <w:p w14:paraId="360B25CE" w14:textId="77777777" w:rsidR="00B676EA" w:rsidRPr="00BB4E1C" w:rsidRDefault="00B676EA" w:rsidP="009E1E9F">
            <w:pPr>
              <w:rPr>
                <w:sz w:val="20"/>
                <w:szCs w:val="20"/>
              </w:rPr>
            </w:pPr>
          </w:p>
        </w:tc>
      </w:tr>
      <w:bookmarkEnd w:id="59"/>
      <w:bookmarkEnd w:id="60"/>
    </w:tbl>
    <w:p w14:paraId="3AD14A60" w14:textId="77777777" w:rsidR="00B676EA" w:rsidRPr="00BB4E1C" w:rsidRDefault="00B676EA" w:rsidP="00B676EA">
      <w:pPr>
        <w:rPr>
          <w:bCs/>
        </w:rPr>
      </w:pPr>
    </w:p>
    <w:p w14:paraId="7D8D3767" w14:textId="6F94D53B" w:rsidR="00884DD4" w:rsidRDefault="00884DD4" w:rsidP="00884DD4">
      <w:pPr>
        <w:rPr>
          <w:lang w:bidi="ar-SA"/>
        </w:rPr>
      </w:pPr>
      <w:r>
        <w:t>FSANZ considered that Option 1</w:t>
      </w:r>
      <w:r w:rsidR="009E1E9F">
        <w:t>,</w:t>
      </w:r>
      <w:r>
        <w:t xml:space="preserve"> to permit and develop a specification for </w:t>
      </w:r>
      <w:r w:rsidRPr="00884DD4">
        <w:rPr>
          <w:i/>
        </w:rPr>
        <w:t>Salmonella</w:t>
      </w:r>
      <w:r>
        <w:t xml:space="preserve"> phage as a processing aid</w:t>
      </w:r>
      <w:r w:rsidR="009E1E9F">
        <w:t>,</w:t>
      </w:r>
      <w:r>
        <w:t xml:space="preserve"> is the preferred option and has prepared draft variations to the revised Code</w:t>
      </w:r>
      <w:r>
        <w:rPr>
          <w:lang w:bidi="ar-SA"/>
        </w:rPr>
        <w:t xml:space="preserve">. </w:t>
      </w:r>
    </w:p>
    <w:p w14:paraId="2096D8A8" w14:textId="77777777" w:rsidR="00884DD4" w:rsidRDefault="00884DD4" w:rsidP="00B676EA"/>
    <w:p w14:paraId="0A1F1281" w14:textId="3150C8B9" w:rsidR="00B676EA" w:rsidRPr="00BB4E1C" w:rsidRDefault="00B676EA" w:rsidP="00B676EA">
      <w:r w:rsidRPr="00BB4E1C">
        <w:t xml:space="preserve">The direct and indirect benefits that would arise from a food regulatory measure developed or varied as a result of the Application outweigh the costs to the community, Government or industry that would arise from the development or variation of the food regulatory measure. </w:t>
      </w:r>
    </w:p>
    <w:p w14:paraId="7D839503" w14:textId="3FBA336B" w:rsidR="00726C2F" w:rsidRDefault="00726C2F" w:rsidP="00726C2F">
      <w:pPr>
        <w:pStyle w:val="Heading4"/>
      </w:pPr>
      <w:r>
        <w:t>2.</w:t>
      </w:r>
      <w:r w:rsidR="0021281B">
        <w:t>4</w:t>
      </w:r>
      <w:r>
        <w:t>.1.2</w:t>
      </w:r>
      <w:r>
        <w:tab/>
        <w:t>Other measures</w:t>
      </w:r>
    </w:p>
    <w:p w14:paraId="3BF89544" w14:textId="10448AE1"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9C3F97">
        <w:t>Applicatio</w:t>
      </w:r>
      <w:r w:rsidR="009C3F97" w:rsidRPr="009C3F97">
        <w:t>n</w:t>
      </w:r>
      <w:r w:rsidRPr="009C3F97">
        <w:t>.</w:t>
      </w:r>
    </w:p>
    <w:p w14:paraId="4A83313D" w14:textId="4C948A31" w:rsidR="00726C2F" w:rsidRDefault="008B0075" w:rsidP="008B0075">
      <w:pPr>
        <w:pStyle w:val="Heading4"/>
      </w:pPr>
      <w:r>
        <w:t>2.</w:t>
      </w:r>
      <w:r w:rsidR="0021281B">
        <w:t>4</w:t>
      </w:r>
      <w:r>
        <w:t>.1.3</w:t>
      </w:r>
      <w:r>
        <w:tab/>
        <w:t>A</w:t>
      </w:r>
      <w:r w:rsidR="00726C2F" w:rsidRPr="00914030">
        <w:t>ny relevant New Zealand standards</w:t>
      </w:r>
    </w:p>
    <w:p w14:paraId="266E381E" w14:textId="60514D77" w:rsidR="002E68B2" w:rsidRDefault="00E1060A" w:rsidP="00B676EA">
      <w:pPr>
        <w:rPr>
          <w:lang w:bidi="ar-SA"/>
        </w:rPr>
      </w:pPr>
      <w:r>
        <w:rPr>
          <w:lang w:bidi="ar-SA"/>
        </w:rPr>
        <w:t>Schedule</w:t>
      </w:r>
      <w:r w:rsidR="009661B0">
        <w:rPr>
          <w:lang w:bidi="ar-SA"/>
        </w:rPr>
        <w:t>s 3 and</w:t>
      </w:r>
      <w:r>
        <w:rPr>
          <w:lang w:bidi="ar-SA"/>
        </w:rPr>
        <w:t xml:space="preserve"> 18 </w:t>
      </w:r>
      <w:r w:rsidR="00B676EA">
        <w:rPr>
          <w:lang w:bidi="ar-SA"/>
        </w:rPr>
        <w:t>appl</w:t>
      </w:r>
      <w:r>
        <w:rPr>
          <w:lang w:bidi="ar-SA"/>
        </w:rPr>
        <w:t>y</w:t>
      </w:r>
      <w:r w:rsidR="00B676EA">
        <w:rPr>
          <w:lang w:bidi="ar-SA"/>
        </w:rPr>
        <w:t xml:space="preserve"> </w:t>
      </w:r>
      <w:r w:rsidR="009661B0">
        <w:rPr>
          <w:lang w:bidi="ar-SA"/>
        </w:rPr>
        <w:t xml:space="preserve">in </w:t>
      </w:r>
      <w:r w:rsidR="00B676EA">
        <w:rPr>
          <w:lang w:bidi="ar-SA"/>
        </w:rPr>
        <w:t>New Zealand.</w:t>
      </w:r>
      <w:r w:rsidR="002E68B2">
        <w:rPr>
          <w:lang w:bidi="ar-SA"/>
        </w:rPr>
        <w:br w:type="page"/>
      </w:r>
    </w:p>
    <w:p w14:paraId="1E93CBB4" w14:textId="79866984" w:rsidR="00726C2F" w:rsidRPr="00914030" w:rsidRDefault="00BE3818" w:rsidP="00BE3818">
      <w:pPr>
        <w:pStyle w:val="Heading4"/>
      </w:pPr>
      <w:r>
        <w:lastRenderedPageBreak/>
        <w:t>2.</w:t>
      </w:r>
      <w:r w:rsidR="0021281B">
        <w:t>4</w:t>
      </w:r>
      <w:r>
        <w:t>.1.4</w:t>
      </w:r>
      <w:r>
        <w:tab/>
      </w:r>
      <w:r w:rsidR="0027513D">
        <w:t>A</w:t>
      </w:r>
      <w:r>
        <w:t>ny other relevant matters</w:t>
      </w:r>
    </w:p>
    <w:p w14:paraId="26FA7CBA" w14:textId="77777777" w:rsidR="00BE3818" w:rsidRDefault="00BE3818" w:rsidP="00BE3818">
      <w:pPr>
        <w:rPr>
          <w:lang w:bidi="ar-SA"/>
        </w:rPr>
      </w:pPr>
      <w:r>
        <w:rPr>
          <w:lang w:bidi="ar-SA"/>
        </w:rPr>
        <w:t>There are no other relevant matters.</w:t>
      </w:r>
    </w:p>
    <w:p w14:paraId="728FB838" w14:textId="348AE67D" w:rsidR="00022DBC" w:rsidRPr="00914030" w:rsidRDefault="00BE3818" w:rsidP="00022DBC">
      <w:pPr>
        <w:pStyle w:val="Heading3"/>
      </w:pPr>
      <w:bookmarkStart w:id="61" w:name="_Toc430251027"/>
      <w:bookmarkStart w:id="62" w:name="_Toc300761897"/>
      <w:bookmarkStart w:id="63" w:name="_Toc300933440"/>
      <w:r>
        <w:t>2.</w:t>
      </w:r>
      <w:r w:rsidR="0021281B">
        <w:t>4</w:t>
      </w:r>
      <w:r>
        <w:t>.2</w:t>
      </w:r>
      <w:r w:rsidR="00022DBC" w:rsidRPr="00914030">
        <w:t>.</w:t>
      </w:r>
      <w:r w:rsidR="00022DBC" w:rsidRPr="00914030">
        <w:tab/>
      </w:r>
      <w:r>
        <w:t>Subsection 18(1)</w:t>
      </w:r>
      <w:bookmarkEnd w:id="61"/>
      <w:r>
        <w:t xml:space="preserve"> </w:t>
      </w:r>
      <w:bookmarkEnd w:id="62"/>
      <w:bookmarkEnd w:id="63"/>
    </w:p>
    <w:p w14:paraId="0E9B3595"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363448E" w14:textId="4FB914B6" w:rsidR="00022DBC" w:rsidRPr="00914030" w:rsidRDefault="00BE3818" w:rsidP="00022DBC">
      <w:pPr>
        <w:pStyle w:val="Heading4"/>
        <w:rPr>
          <w:lang w:eastAsia="en-AU"/>
        </w:rPr>
      </w:pPr>
      <w:bookmarkStart w:id="64" w:name="_Toc297029117"/>
      <w:bookmarkStart w:id="65" w:name="_Toc300761898"/>
      <w:bookmarkStart w:id="66" w:name="_Toc300933441"/>
      <w:r>
        <w:rPr>
          <w:lang w:eastAsia="en-AU"/>
        </w:rPr>
        <w:t>2.</w:t>
      </w:r>
      <w:r w:rsidR="0021281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4"/>
      <w:bookmarkEnd w:id="65"/>
      <w:bookmarkEnd w:id="66"/>
    </w:p>
    <w:p w14:paraId="6836C652" w14:textId="0E84B487" w:rsidR="003C4BD5" w:rsidRDefault="00A50316" w:rsidP="00071694">
      <w:pPr>
        <w:rPr>
          <w:lang w:eastAsia="en-AU"/>
        </w:rPr>
      </w:pPr>
      <w:bookmarkStart w:id="67" w:name="_Toc300761899"/>
      <w:bookmarkStart w:id="68" w:name="_Toc300933442"/>
      <w:r w:rsidRPr="00F9473E">
        <w:t xml:space="preserve">FSANZ has undertaken a safety assessment (SD1) and concluded that there are no public health and safety concerns related to </w:t>
      </w:r>
      <w:r w:rsidR="00B342DE">
        <w:t>use of</w:t>
      </w:r>
      <w:r w:rsidRPr="00F9473E">
        <w:t xml:space="preserve"> </w:t>
      </w:r>
      <w:r w:rsidR="009A0D54" w:rsidRPr="00F9473E">
        <w:rPr>
          <w:i/>
        </w:rPr>
        <w:t>Salmonella</w:t>
      </w:r>
      <w:r w:rsidR="009A0D54" w:rsidRPr="00F9473E">
        <w:t xml:space="preserve"> phage as a processing aid.</w:t>
      </w:r>
    </w:p>
    <w:p w14:paraId="2B2DA77B" w14:textId="41D6CB01" w:rsidR="00022DBC" w:rsidRPr="00914030" w:rsidRDefault="00BE3818" w:rsidP="00022DBC">
      <w:pPr>
        <w:pStyle w:val="Heading4"/>
        <w:rPr>
          <w:lang w:eastAsia="en-AU"/>
        </w:rPr>
      </w:pPr>
      <w:r>
        <w:rPr>
          <w:lang w:eastAsia="en-AU"/>
        </w:rPr>
        <w:t>2.</w:t>
      </w:r>
      <w:r w:rsidR="0021281B">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7"/>
      <w:bookmarkEnd w:id="68"/>
    </w:p>
    <w:p w14:paraId="579133B5" w14:textId="4E70DCBC" w:rsidR="009A0D54" w:rsidRPr="00915954" w:rsidRDefault="009A0D54" w:rsidP="002E68B2">
      <w:pPr>
        <w:ind w:right="-286"/>
      </w:pPr>
      <w:r w:rsidRPr="00DF3D74">
        <w:t>No issues have been identified</w:t>
      </w:r>
      <w:r>
        <w:t xml:space="preserve"> </w:t>
      </w:r>
      <w:r w:rsidRPr="00572D8E">
        <w:t>for this Application relevant to this objective</w:t>
      </w:r>
      <w:r w:rsidRPr="00DF3D74">
        <w:t>.</w:t>
      </w:r>
      <w:r w:rsidR="00071694">
        <w:t xml:space="preserve"> </w:t>
      </w:r>
      <w:r w:rsidR="00071694" w:rsidRPr="00DF3D74">
        <w:t xml:space="preserve">The labelling requirements for </w:t>
      </w:r>
      <w:r w:rsidR="00071694">
        <w:t xml:space="preserve">this </w:t>
      </w:r>
      <w:r w:rsidR="00071694" w:rsidRPr="00DF3D74">
        <w:t>processing aid are discussed in Section 2.2.2 – Labelling</w:t>
      </w:r>
      <w:r w:rsidR="00071694">
        <w:t xml:space="preserve"> considerations</w:t>
      </w:r>
      <w:r w:rsidR="00071694" w:rsidRPr="00DF3D74">
        <w:t>.</w:t>
      </w:r>
    </w:p>
    <w:p w14:paraId="498B8451" w14:textId="189B3B57" w:rsidR="00022DBC" w:rsidRPr="00914030" w:rsidRDefault="00BE3818" w:rsidP="00022DBC">
      <w:pPr>
        <w:pStyle w:val="Heading4"/>
        <w:rPr>
          <w:lang w:eastAsia="en-AU"/>
        </w:rPr>
      </w:pPr>
      <w:bookmarkStart w:id="69" w:name="_Toc300761900"/>
      <w:bookmarkStart w:id="70" w:name="_Toc300933443"/>
      <w:r>
        <w:rPr>
          <w:lang w:eastAsia="en-AU"/>
        </w:rPr>
        <w:t>2.</w:t>
      </w:r>
      <w:r w:rsidR="0021281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9"/>
      <w:bookmarkEnd w:id="70"/>
    </w:p>
    <w:p w14:paraId="49D15C19" w14:textId="77777777" w:rsidR="00A50316" w:rsidRPr="00572D8E" w:rsidRDefault="00A50316" w:rsidP="00A50316">
      <w:bookmarkStart w:id="71" w:name="_Toc300761901"/>
      <w:bookmarkStart w:id="72" w:name="_Toc300933444"/>
      <w:r w:rsidRPr="00572D8E">
        <w:t>No issues were identified for this Application relevant to this objective.</w:t>
      </w:r>
    </w:p>
    <w:p w14:paraId="61A9870A" w14:textId="16402484" w:rsidR="00022DBC" w:rsidRPr="00914030" w:rsidRDefault="00B51E03" w:rsidP="00B51E03">
      <w:pPr>
        <w:pStyle w:val="Heading3"/>
      </w:pPr>
      <w:bookmarkStart w:id="73" w:name="_Toc430251028"/>
      <w:r>
        <w:t>2.</w:t>
      </w:r>
      <w:r w:rsidR="0021281B">
        <w:t>4</w:t>
      </w:r>
      <w:r>
        <w:t>.3</w:t>
      </w:r>
      <w:r w:rsidR="00022DBC" w:rsidRPr="00914030">
        <w:tab/>
        <w:t xml:space="preserve">Subsection 18(2) </w:t>
      </w:r>
      <w:bookmarkEnd w:id="71"/>
      <w:bookmarkEnd w:id="72"/>
      <w:r w:rsidR="00022DBC" w:rsidRPr="00914030">
        <w:t>considerations</w:t>
      </w:r>
      <w:bookmarkEnd w:id="73"/>
    </w:p>
    <w:p w14:paraId="3FAE7D46" w14:textId="77777777" w:rsidR="00022DBC" w:rsidRPr="00914030" w:rsidRDefault="00022DBC" w:rsidP="00022DBC">
      <w:pPr>
        <w:rPr>
          <w:rFonts w:cs="Arial"/>
        </w:rPr>
      </w:pPr>
      <w:r w:rsidRPr="00914030">
        <w:rPr>
          <w:rFonts w:cs="Arial"/>
        </w:rPr>
        <w:t>FSANZ has also had regard to:</w:t>
      </w:r>
    </w:p>
    <w:p w14:paraId="2408BCD3" w14:textId="77777777" w:rsidR="00022DBC" w:rsidRPr="00914030" w:rsidRDefault="00022DBC" w:rsidP="00022DBC">
      <w:pPr>
        <w:rPr>
          <w:rFonts w:cs="Arial"/>
        </w:rPr>
      </w:pPr>
    </w:p>
    <w:p w14:paraId="7E40AEAF"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27A6D15" w14:textId="77777777" w:rsidR="008828D9" w:rsidRDefault="008828D9" w:rsidP="008828D9">
      <w:pPr>
        <w:rPr>
          <w:lang w:bidi="ar-SA"/>
        </w:rPr>
      </w:pPr>
    </w:p>
    <w:p w14:paraId="5FC6BC20" w14:textId="625C8331" w:rsidR="00A50316" w:rsidRPr="00B342DE" w:rsidRDefault="00A50316" w:rsidP="00A50316">
      <w:r w:rsidRPr="00B342DE">
        <w:t xml:space="preserve">FSANZ has used the best available scientific evidence to conduct the risk analysis which is provided in SD1. The Applicant submitted a dossier of </w:t>
      </w:r>
      <w:r w:rsidR="00B342DE" w:rsidRPr="00B342DE">
        <w:t>evidence</w:t>
      </w:r>
      <w:r w:rsidRPr="00B342DE">
        <w:t xml:space="preserve"> as part of their Application. Other technical information including scientific literature was also used in assessing the Application.</w:t>
      </w:r>
    </w:p>
    <w:p w14:paraId="031136EE" w14:textId="77777777" w:rsidR="008828D9" w:rsidRPr="008828D9" w:rsidRDefault="008828D9" w:rsidP="008828D9">
      <w:pPr>
        <w:rPr>
          <w:lang w:bidi="ar-SA"/>
        </w:rPr>
      </w:pPr>
    </w:p>
    <w:p w14:paraId="46750514" w14:textId="77777777" w:rsidR="00022DBC" w:rsidRPr="008828D9" w:rsidRDefault="00022DBC" w:rsidP="00022DBC">
      <w:pPr>
        <w:pStyle w:val="FSBullet1"/>
        <w:rPr>
          <w:b/>
        </w:rPr>
      </w:pPr>
      <w:r w:rsidRPr="008828D9">
        <w:rPr>
          <w:b/>
        </w:rPr>
        <w:t>the promotion of consistency between domestic and international food standards</w:t>
      </w:r>
    </w:p>
    <w:p w14:paraId="1250A816" w14:textId="77777777" w:rsidR="008828D9" w:rsidRDefault="008828D9" w:rsidP="008828D9">
      <w:pPr>
        <w:rPr>
          <w:lang w:bidi="ar-SA"/>
        </w:rPr>
      </w:pPr>
    </w:p>
    <w:p w14:paraId="79904611" w14:textId="67A66B3D" w:rsidR="00A50316" w:rsidRPr="00B342DE" w:rsidRDefault="00B342DE" w:rsidP="00A50316">
      <w:r w:rsidRPr="00B342DE">
        <w:t xml:space="preserve">Section 1.3.1 describes the current permissions for various bacteriophages in different countries. The attributes of using bacteriophages as a component of food safety management systems to control bacterial contamination on foods has been described. </w:t>
      </w:r>
    </w:p>
    <w:p w14:paraId="17EA5853" w14:textId="77777777" w:rsidR="008828D9" w:rsidRPr="008828D9" w:rsidRDefault="008828D9" w:rsidP="008828D9">
      <w:pPr>
        <w:rPr>
          <w:lang w:bidi="ar-SA"/>
        </w:rPr>
      </w:pPr>
    </w:p>
    <w:p w14:paraId="144B2D17" w14:textId="77777777" w:rsidR="00022DBC" w:rsidRPr="008828D9" w:rsidRDefault="00022DBC" w:rsidP="00022DBC">
      <w:pPr>
        <w:pStyle w:val="FSBullet1"/>
        <w:rPr>
          <w:b/>
        </w:rPr>
      </w:pPr>
      <w:r w:rsidRPr="008828D9">
        <w:rPr>
          <w:b/>
        </w:rPr>
        <w:t>the desirability of an efficient and internationally competitive food industry</w:t>
      </w:r>
    </w:p>
    <w:p w14:paraId="230D8307" w14:textId="77777777" w:rsidR="008828D9" w:rsidRDefault="008828D9" w:rsidP="008828D9">
      <w:pPr>
        <w:rPr>
          <w:lang w:bidi="ar-SA"/>
        </w:rPr>
      </w:pPr>
    </w:p>
    <w:p w14:paraId="3B628CFD" w14:textId="5F381362" w:rsidR="008828D9" w:rsidRDefault="009A0D54" w:rsidP="008828D9">
      <w:r w:rsidRPr="00D511BA">
        <w:t>The food</w:t>
      </w:r>
      <w:r w:rsidRPr="00BD6D40">
        <w:t xml:space="preserve"> industry will make their own economic decisions, taking account of costs and benefits of using </w:t>
      </w:r>
      <w:r>
        <w:t xml:space="preserve">phage as part of their hurdle technology to control </w:t>
      </w:r>
      <w:r w:rsidRPr="00F9473E">
        <w:rPr>
          <w:i/>
        </w:rPr>
        <w:t>Salmonella</w:t>
      </w:r>
      <w:r w:rsidRPr="00BD6D40">
        <w:t xml:space="preserve"> to determine if it benefit</w:t>
      </w:r>
      <w:r w:rsidR="00A1522B">
        <w:t>s</w:t>
      </w:r>
      <w:r w:rsidRPr="00BD6D40">
        <w:t xml:space="preserve"> their business.</w:t>
      </w:r>
      <w:r w:rsidRPr="001F4FE4">
        <w:t xml:space="preserve"> </w:t>
      </w:r>
    </w:p>
    <w:p w14:paraId="4584BC4A" w14:textId="77777777" w:rsidR="00F9473E" w:rsidRPr="008828D9" w:rsidRDefault="00F9473E" w:rsidP="008828D9">
      <w:pPr>
        <w:rPr>
          <w:lang w:bidi="ar-SA"/>
        </w:rPr>
      </w:pPr>
    </w:p>
    <w:p w14:paraId="4EC7A91D" w14:textId="77777777" w:rsidR="00022DBC" w:rsidRPr="008828D9" w:rsidRDefault="00022DBC" w:rsidP="00022DBC">
      <w:pPr>
        <w:pStyle w:val="FSBullet1"/>
        <w:rPr>
          <w:b/>
        </w:rPr>
      </w:pPr>
      <w:r w:rsidRPr="008828D9">
        <w:rPr>
          <w:b/>
        </w:rPr>
        <w:t>the promotion of fair trading in food</w:t>
      </w:r>
    </w:p>
    <w:p w14:paraId="5CAFAA41" w14:textId="77777777" w:rsidR="008828D9" w:rsidRDefault="008828D9" w:rsidP="008828D9">
      <w:pPr>
        <w:rPr>
          <w:lang w:bidi="ar-SA"/>
        </w:rPr>
      </w:pPr>
    </w:p>
    <w:p w14:paraId="7B0FA504" w14:textId="4F8EC2B0" w:rsidR="002E68B2" w:rsidRDefault="009A0D54" w:rsidP="009A0D54">
      <w:r w:rsidRPr="00D511BA">
        <w:t>The</w:t>
      </w:r>
      <w:r w:rsidR="009E1E9F">
        <w:t xml:space="preserve"> </w:t>
      </w:r>
      <w:r w:rsidR="009E1E9F" w:rsidRPr="009E1E9F">
        <w:rPr>
          <w:i/>
        </w:rPr>
        <w:t>Salmonella</w:t>
      </w:r>
      <w:r w:rsidRPr="00D511BA">
        <w:t xml:space="preserve"> </w:t>
      </w:r>
      <w:r>
        <w:t>phage</w:t>
      </w:r>
      <w:r w:rsidRPr="00D511BA">
        <w:t xml:space="preserve"> has been permitted and assessed as safe in other countries. </w:t>
      </w:r>
      <w:r w:rsidR="001C4063">
        <w:t xml:space="preserve">FSANZ’s own risk analysis has confirmed this finding. </w:t>
      </w:r>
      <w:r w:rsidRPr="00D511BA">
        <w:t xml:space="preserve">It is therefore appropriate that the local Australian and New Zealand food industries have access to the same </w:t>
      </w:r>
      <w:r w:rsidR="00B342DE">
        <w:t>technology</w:t>
      </w:r>
      <w:r w:rsidRPr="00D511BA">
        <w:t xml:space="preserve"> which may have benefits to industry and consumers.</w:t>
      </w:r>
      <w:r w:rsidR="002E68B2">
        <w:br w:type="page"/>
      </w:r>
    </w:p>
    <w:p w14:paraId="571D2392" w14:textId="77777777" w:rsidR="00022DBC" w:rsidRPr="005E2F53" w:rsidRDefault="00022DBC" w:rsidP="00022DBC">
      <w:pPr>
        <w:pStyle w:val="FSBullet1"/>
      </w:pPr>
      <w:r w:rsidRPr="008828D9">
        <w:rPr>
          <w:b/>
        </w:rPr>
        <w:lastRenderedPageBreak/>
        <w:t>any written policy guidelines formulated by the Ministerial Council</w:t>
      </w:r>
      <w:r w:rsidRPr="005E2F53">
        <w:rPr>
          <w:rStyle w:val="FootnoteReference"/>
        </w:rPr>
        <w:footnoteReference w:id="2"/>
      </w:r>
    </w:p>
    <w:p w14:paraId="13EA8510" w14:textId="77777777" w:rsidR="00022DBC" w:rsidRDefault="00022DBC" w:rsidP="00022DBC">
      <w:pPr>
        <w:rPr>
          <w:lang w:bidi="ar-SA"/>
        </w:rPr>
      </w:pPr>
    </w:p>
    <w:p w14:paraId="79CF5609" w14:textId="77777777" w:rsidR="00A50316" w:rsidRPr="009A0AED" w:rsidRDefault="00A50316" w:rsidP="00A50316">
      <w:r w:rsidRPr="009A0AED">
        <w:t>The Addition to Food of Substances other than Vitamins and Minerals</w:t>
      </w:r>
      <w:r w:rsidRPr="009A0AED">
        <w:rPr>
          <w:i/>
          <w:vertAlign w:val="superscript"/>
          <w:lang w:bidi="ar-SA"/>
        </w:rPr>
        <w:footnoteReference w:id="3"/>
      </w:r>
      <w:r w:rsidRPr="009A0AED">
        <w:t xml:space="preserve"> includes specific order policy principles for substances added to achieve a solely technological function, such as processing aids. These specific order policy principles state that permission should be granted where:</w:t>
      </w:r>
    </w:p>
    <w:p w14:paraId="22249FDE" w14:textId="77777777" w:rsidR="00A50316" w:rsidRPr="009A0AED" w:rsidRDefault="00A50316" w:rsidP="00A50316"/>
    <w:p w14:paraId="7215C037" w14:textId="77777777" w:rsidR="00A50316" w:rsidRPr="009A0AED" w:rsidRDefault="00A50316" w:rsidP="00071694">
      <w:pPr>
        <w:pStyle w:val="FSBullet1"/>
      </w:pPr>
      <w:r w:rsidRPr="009A0AED">
        <w:t>the purpose for adding the substance can be articulated clearly by the manufacturer as achieving a solely technological function (i.e. the ‘stated purpose’)</w:t>
      </w:r>
    </w:p>
    <w:p w14:paraId="477C0381" w14:textId="77777777" w:rsidR="00A50316" w:rsidRPr="009A0AED" w:rsidRDefault="00A50316" w:rsidP="00071694">
      <w:pPr>
        <w:pStyle w:val="FSBullet1"/>
      </w:pPr>
      <w:r w:rsidRPr="009A0AED">
        <w:t>the addition of the substance to food is safe for human consumption</w:t>
      </w:r>
    </w:p>
    <w:p w14:paraId="7B9F3990" w14:textId="77777777" w:rsidR="00A50316" w:rsidRPr="009A0AED" w:rsidRDefault="00A50316" w:rsidP="00071694">
      <w:pPr>
        <w:pStyle w:val="FSBullet1"/>
      </w:pPr>
      <w:r w:rsidRPr="009A0AED">
        <w:t>the amounts added are consistent with achieving the technological function</w:t>
      </w:r>
    </w:p>
    <w:p w14:paraId="26703104" w14:textId="77777777" w:rsidR="00A50316" w:rsidRPr="009A0AED" w:rsidRDefault="00A50316" w:rsidP="00071694">
      <w:pPr>
        <w:pStyle w:val="FSBullet1"/>
      </w:pPr>
      <w:r w:rsidRPr="009A0AED">
        <w:t>the substance is added in a quantity and a form which is consistent with delivering the stated purpose</w:t>
      </w:r>
    </w:p>
    <w:p w14:paraId="391528EA" w14:textId="77777777" w:rsidR="00A50316" w:rsidRPr="009A0AED" w:rsidRDefault="00A50316" w:rsidP="00071694">
      <w:pPr>
        <w:pStyle w:val="FSBullet1"/>
      </w:pPr>
      <w:r w:rsidRPr="009A0AED">
        <w:t>no nutrition, health or related claims are to be made in regard to the substance.</w:t>
      </w:r>
    </w:p>
    <w:p w14:paraId="7BCF7744" w14:textId="77777777" w:rsidR="00A50316" w:rsidRPr="009A0AED" w:rsidRDefault="00A50316" w:rsidP="00A50316"/>
    <w:p w14:paraId="723B464C" w14:textId="5FF6484B" w:rsidR="00A50316" w:rsidRDefault="00A50316" w:rsidP="00A50316">
      <w:r w:rsidRPr="009A0AED">
        <w:t xml:space="preserve">FSANZ has determined that permitting the use </w:t>
      </w:r>
      <w:r w:rsidR="009A0D54">
        <w:t xml:space="preserve">of </w:t>
      </w:r>
      <w:r w:rsidR="009A0D54" w:rsidRPr="00C26287">
        <w:rPr>
          <w:i/>
        </w:rPr>
        <w:t>Salmonella</w:t>
      </w:r>
      <w:r w:rsidR="009A0D54">
        <w:t xml:space="preserve"> phage as </w:t>
      </w:r>
      <w:r w:rsidRPr="009A0AED">
        <w:t xml:space="preserve">a </w:t>
      </w:r>
      <w:r>
        <w:t>processing aid</w:t>
      </w:r>
      <w:r w:rsidRPr="009A0AED">
        <w:t xml:space="preserve"> is consistent with the specific order policy principles for ‘Technological Function’.</w:t>
      </w:r>
    </w:p>
    <w:p w14:paraId="6D2682A2" w14:textId="77777777" w:rsidR="00A50316" w:rsidRDefault="00A50316" w:rsidP="00A50316"/>
    <w:p w14:paraId="177C70E8" w14:textId="7795DF96" w:rsidR="005F7342" w:rsidRPr="00932F14" w:rsidRDefault="00867B23" w:rsidP="00E203C2">
      <w:pPr>
        <w:pStyle w:val="Heading1"/>
      </w:pPr>
      <w:bookmarkStart w:id="74" w:name="_Toc286391014"/>
      <w:bookmarkStart w:id="75" w:name="_Toc175381455"/>
      <w:bookmarkStart w:id="76" w:name="_Toc300933445"/>
      <w:bookmarkStart w:id="77" w:name="_Toc430251029"/>
      <w:bookmarkEnd w:id="28"/>
      <w:bookmarkEnd w:id="29"/>
      <w:bookmarkEnd w:id="30"/>
      <w:bookmarkEnd w:id="31"/>
      <w:bookmarkEnd w:id="32"/>
      <w:bookmarkEnd w:id="33"/>
      <w:bookmarkEnd w:id="46"/>
      <w:r>
        <w:t>3</w:t>
      </w:r>
      <w:r w:rsidR="00F604DE">
        <w:tab/>
      </w:r>
      <w:bookmarkEnd w:id="74"/>
      <w:bookmarkEnd w:id="75"/>
      <w:bookmarkEnd w:id="76"/>
      <w:r w:rsidR="00D14405">
        <w:t xml:space="preserve">Draft </w:t>
      </w:r>
      <w:r w:rsidR="00D14405" w:rsidRPr="009C3F97">
        <w:t>variation</w:t>
      </w:r>
      <w:bookmarkEnd w:id="77"/>
    </w:p>
    <w:p w14:paraId="24E41EC3" w14:textId="6ACA4039" w:rsidR="005358B0" w:rsidRPr="005358B0" w:rsidRDefault="005358B0" w:rsidP="005358B0">
      <w:r>
        <w:t xml:space="preserve">The draft </w:t>
      </w:r>
      <w:r w:rsidRPr="009C3F97">
        <w:t xml:space="preserve">variation </w:t>
      </w:r>
      <w:r>
        <w:t>to the revised Code and related draft explanator</w:t>
      </w:r>
      <w:r w:rsidRPr="00D26814">
        <w:t>y statement</w:t>
      </w:r>
      <w:r>
        <w:t xml:space="preserve"> are at Attachment </w:t>
      </w:r>
      <w:r w:rsidR="00C26287">
        <w:t>A</w:t>
      </w:r>
      <w:r>
        <w:t>. The variation is intended to take effec</w:t>
      </w:r>
      <w:r w:rsidRPr="005358B0">
        <w:t xml:space="preserve">t on </w:t>
      </w:r>
      <w:r w:rsidR="009A0D54">
        <w:t>gazettal</w:t>
      </w:r>
      <w:r w:rsidRPr="005358B0">
        <w:t>.</w:t>
      </w:r>
    </w:p>
    <w:p w14:paraId="5E7CE02D" w14:textId="77777777" w:rsidR="005358B0" w:rsidRPr="005358B0" w:rsidRDefault="005358B0" w:rsidP="00A12B44"/>
    <w:p w14:paraId="77B1072B" w14:textId="77777777" w:rsidR="00A12B44" w:rsidRPr="00D26814" w:rsidRDefault="00D26814" w:rsidP="00A12B44">
      <w:pPr>
        <w:rPr>
          <w:u w:val="single"/>
        </w:rPr>
      </w:pP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r w:rsidR="00407DF4">
        <w:t xml:space="preserve"> (FRLI)</w:t>
      </w:r>
      <w:r>
        <w:t xml:space="preserve">. </w:t>
      </w:r>
    </w:p>
    <w:p w14:paraId="06404EAD" w14:textId="77777777" w:rsidR="00F9473E" w:rsidRPr="003F7ACD" w:rsidRDefault="00F9473E" w:rsidP="002432EE">
      <w:pPr>
        <w:rPr>
          <w:rFonts w:cs="Arial"/>
        </w:rPr>
      </w:pPr>
      <w:bookmarkStart w:id="78" w:name="_Toc11735643"/>
      <w:bookmarkStart w:id="79" w:name="_Toc29883130"/>
      <w:bookmarkStart w:id="80" w:name="_Toc41906817"/>
      <w:bookmarkStart w:id="81" w:name="_Toc41907564"/>
      <w:bookmarkStart w:id="82" w:name="_Toc43112360"/>
    </w:p>
    <w:p w14:paraId="3C6C2FC1" w14:textId="77777777" w:rsidR="00924C80" w:rsidRPr="004E6A65" w:rsidRDefault="00867B23" w:rsidP="00E75054">
      <w:pPr>
        <w:pStyle w:val="Heading1"/>
      </w:pPr>
      <w:bookmarkStart w:id="83" w:name="_Toc300933452"/>
      <w:bookmarkStart w:id="84" w:name="_Toc430251030"/>
      <w:r w:rsidRPr="004E6A65">
        <w:t>4</w:t>
      </w:r>
      <w:r w:rsidR="00924C80" w:rsidRPr="004E6A65">
        <w:tab/>
        <w:t>R</w:t>
      </w:r>
      <w:bookmarkEnd w:id="83"/>
      <w:r w:rsidR="006C28E2" w:rsidRPr="004E6A65">
        <w:t>eferences</w:t>
      </w:r>
      <w:bookmarkEnd w:id="84"/>
    </w:p>
    <w:p w14:paraId="739BFC59" w14:textId="48733A79" w:rsidR="006926EC" w:rsidRPr="00FD4007" w:rsidRDefault="006926EC" w:rsidP="006926EC">
      <w:pPr>
        <w:rPr>
          <w:iCs/>
          <w:sz w:val="20"/>
          <w:szCs w:val="20"/>
        </w:rPr>
      </w:pPr>
      <w:r w:rsidRPr="00FD4007">
        <w:rPr>
          <w:sz w:val="20"/>
          <w:szCs w:val="20"/>
        </w:rPr>
        <w:t xml:space="preserve">US FDA (2013). </w:t>
      </w:r>
      <w:r w:rsidRPr="00FD4007">
        <w:rPr>
          <w:iCs/>
          <w:sz w:val="20"/>
          <w:szCs w:val="20"/>
        </w:rPr>
        <w:t>GRAS Notice No. GRN 468 [</w:t>
      </w:r>
      <w:r w:rsidRPr="00FD4007">
        <w:rPr>
          <w:sz w:val="20"/>
          <w:szCs w:val="20"/>
        </w:rPr>
        <w:t xml:space="preserve">Preparation containing the bacterial monophages, Fo1a and S16, specific to </w:t>
      </w:r>
      <w:r w:rsidRPr="00FD4007">
        <w:rPr>
          <w:i/>
          <w:iCs/>
          <w:sz w:val="20"/>
          <w:szCs w:val="20"/>
        </w:rPr>
        <w:t>Salmonella</w:t>
      </w:r>
      <w:r w:rsidRPr="00FD4007">
        <w:rPr>
          <w:iCs/>
          <w:sz w:val="20"/>
          <w:szCs w:val="20"/>
        </w:rPr>
        <w:t>].</w:t>
      </w:r>
      <w:r w:rsidRPr="00FD4007">
        <w:rPr>
          <w:i/>
          <w:iCs/>
          <w:sz w:val="20"/>
          <w:szCs w:val="20"/>
        </w:rPr>
        <w:t xml:space="preserve"> </w:t>
      </w:r>
      <w:r w:rsidRPr="00FD4007">
        <w:rPr>
          <w:sz w:val="20"/>
          <w:szCs w:val="20"/>
        </w:rPr>
        <w:t xml:space="preserve">Submitted by Micreos B.V. to U.S. Food and Drug Administration (US FDA), on </w:t>
      </w:r>
      <w:r w:rsidR="00DA5946">
        <w:rPr>
          <w:sz w:val="20"/>
          <w:szCs w:val="20"/>
        </w:rPr>
        <w:t xml:space="preserve">30 </w:t>
      </w:r>
      <w:r w:rsidRPr="00FD4007">
        <w:rPr>
          <w:sz w:val="20"/>
          <w:szCs w:val="20"/>
        </w:rPr>
        <w:t>Apr</w:t>
      </w:r>
      <w:r w:rsidR="00DA5946">
        <w:rPr>
          <w:sz w:val="20"/>
          <w:szCs w:val="20"/>
        </w:rPr>
        <w:t>il</w:t>
      </w:r>
      <w:r w:rsidRPr="00FD4007">
        <w:rPr>
          <w:sz w:val="20"/>
          <w:szCs w:val="20"/>
        </w:rPr>
        <w:t xml:space="preserve"> 2013. Releasable dossier and </w:t>
      </w:r>
      <w:r w:rsidRPr="00FD4007">
        <w:rPr>
          <w:iCs/>
          <w:sz w:val="20"/>
          <w:szCs w:val="20"/>
        </w:rPr>
        <w:t>Agency Response Letter available at this link</w:t>
      </w:r>
      <w:r w:rsidR="008621DC" w:rsidRPr="00FD4007">
        <w:rPr>
          <w:iCs/>
          <w:sz w:val="20"/>
          <w:szCs w:val="20"/>
        </w:rPr>
        <w:t xml:space="preserve"> </w:t>
      </w:r>
      <w:hyperlink r:id="rId22" w:history="1">
        <w:r w:rsidR="008621DC" w:rsidRPr="00FD4007">
          <w:rPr>
            <w:rStyle w:val="Hyperlink"/>
            <w:iCs/>
            <w:sz w:val="20"/>
            <w:szCs w:val="20"/>
          </w:rPr>
          <w:t>http://www.accessdata.fda.gov/scripts/fdcc/?set=GRASNotices&amp;id=468&amp;sort=GRN_No&amp;order=DESC&amp;startrow=1&amp;type=basic&amp;search=468</w:t>
        </w:r>
      </w:hyperlink>
      <w:r w:rsidR="00DA5946">
        <w:rPr>
          <w:iCs/>
          <w:sz w:val="20"/>
          <w:szCs w:val="20"/>
        </w:rPr>
        <w:t xml:space="preserve"> </w:t>
      </w:r>
      <w:r w:rsidRPr="00FD4007">
        <w:rPr>
          <w:rStyle w:val="Hyperlink"/>
          <w:color w:val="auto"/>
          <w:sz w:val="20"/>
          <w:szCs w:val="20"/>
          <w:u w:val="none"/>
        </w:rPr>
        <w:t>Accessed on 7 September 2015</w:t>
      </w:r>
    </w:p>
    <w:p w14:paraId="6F0640DB" w14:textId="77777777" w:rsidR="006926EC" w:rsidRPr="00FD4007" w:rsidRDefault="006926EC" w:rsidP="00924C80">
      <w:pPr>
        <w:rPr>
          <w:color w:val="00B050"/>
          <w:sz w:val="20"/>
          <w:szCs w:val="20"/>
        </w:rPr>
      </w:pPr>
    </w:p>
    <w:p w14:paraId="1A42A19C" w14:textId="0B4DDBEF" w:rsidR="006926EC" w:rsidRPr="00DA5946" w:rsidRDefault="006926EC" w:rsidP="006926EC">
      <w:pPr>
        <w:rPr>
          <w:iCs/>
          <w:sz w:val="20"/>
          <w:szCs w:val="20"/>
        </w:rPr>
      </w:pPr>
      <w:r w:rsidRPr="00FD4007">
        <w:rPr>
          <w:sz w:val="20"/>
          <w:szCs w:val="20"/>
        </w:rPr>
        <w:t xml:space="preserve">US FDA (2013). </w:t>
      </w:r>
      <w:r w:rsidRPr="00FD4007">
        <w:rPr>
          <w:iCs/>
          <w:sz w:val="20"/>
          <w:szCs w:val="20"/>
        </w:rPr>
        <w:t xml:space="preserve">GRAS Notice No. GRN </w:t>
      </w:r>
      <w:r w:rsidR="008621DC" w:rsidRPr="00FD4007">
        <w:rPr>
          <w:iCs/>
          <w:sz w:val="20"/>
          <w:szCs w:val="20"/>
        </w:rPr>
        <w:t>435</w:t>
      </w:r>
      <w:r w:rsidRPr="00FD4007">
        <w:rPr>
          <w:iCs/>
          <w:sz w:val="20"/>
          <w:szCs w:val="20"/>
        </w:rPr>
        <w:t xml:space="preserve"> [</w:t>
      </w:r>
      <w:r w:rsidR="008621DC" w:rsidRPr="00FD4007">
        <w:rPr>
          <w:sz w:val="20"/>
          <w:szCs w:val="20"/>
        </w:rPr>
        <w:t xml:space="preserve">Preparation consisting of six bacterial monophage specific to </w:t>
      </w:r>
      <w:r w:rsidR="008621DC" w:rsidRPr="00FD4007">
        <w:rPr>
          <w:i/>
          <w:iCs/>
          <w:sz w:val="20"/>
          <w:szCs w:val="20"/>
        </w:rPr>
        <w:t>Salmonella enterica</w:t>
      </w:r>
      <w:r w:rsidR="008621DC" w:rsidRPr="00FD4007">
        <w:rPr>
          <w:sz w:val="20"/>
          <w:szCs w:val="20"/>
        </w:rPr>
        <w:t xml:space="preserve"> (monophage cocktail)</w:t>
      </w:r>
      <w:r w:rsidRPr="00FD4007">
        <w:rPr>
          <w:iCs/>
          <w:sz w:val="20"/>
          <w:szCs w:val="20"/>
        </w:rPr>
        <w:t>].</w:t>
      </w:r>
      <w:r w:rsidRPr="00FD4007">
        <w:rPr>
          <w:i/>
          <w:iCs/>
          <w:sz w:val="20"/>
          <w:szCs w:val="20"/>
        </w:rPr>
        <w:t xml:space="preserve"> </w:t>
      </w:r>
      <w:r w:rsidRPr="00FD4007">
        <w:rPr>
          <w:sz w:val="20"/>
          <w:szCs w:val="20"/>
        </w:rPr>
        <w:t xml:space="preserve">Submitted by </w:t>
      </w:r>
      <w:r w:rsidR="008621DC" w:rsidRPr="00FD4007">
        <w:rPr>
          <w:sz w:val="20"/>
          <w:szCs w:val="20"/>
        </w:rPr>
        <w:t>Intralytix, Inc.</w:t>
      </w:r>
      <w:r w:rsidR="00DA5946">
        <w:rPr>
          <w:sz w:val="20"/>
          <w:szCs w:val="20"/>
        </w:rPr>
        <w:t xml:space="preserve"> </w:t>
      </w:r>
      <w:r w:rsidRPr="00FD4007">
        <w:rPr>
          <w:sz w:val="20"/>
          <w:szCs w:val="20"/>
        </w:rPr>
        <w:t xml:space="preserve">to U.S. Food and Drug Administration (US FDA), on </w:t>
      </w:r>
      <w:r w:rsidR="00DA5946">
        <w:rPr>
          <w:sz w:val="20"/>
          <w:szCs w:val="20"/>
        </w:rPr>
        <w:t xml:space="preserve">6 </w:t>
      </w:r>
      <w:r w:rsidR="008621DC" w:rsidRPr="00FD4007">
        <w:rPr>
          <w:sz w:val="20"/>
          <w:szCs w:val="20"/>
        </w:rPr>
        <w:t>Jul</w:t>
      </w:r>
      <w:r w:rsidR="00DA5946">
        <w:rPr>
          <w:sz w:val="20"/>
          <w:szCs w:val="20"/>
        </w:rPr>
        <w:t>y</w:t>
      </w:r>
      <w:r w:rsidR="008621DC" w:rsidRPr="00FD4007">
        <w:rPr>
          <w:sz w:val="20"/>
          <w:szCs w:val="20"/>
        </w:rPr>
        <w:t>, 2012</w:t>
      </w:r>
      <w:r w:rsidRPr="00FD4007">
        <w:rPr>
          <w:sz w:val="20"/>
          <w:szCs w:val="20"/>
        </w:rPr>
        <w:t xml:space="preserve">. Releasable dossier and </w:t>
      </w:r>
      <w:r w:rsidRPr="00FD4007">
        <w:rPr>
          <w:iCs/>
          <w:sz w:val="20"/>
          <w:szCs w:val="20"/>
        </w:rPr>
        <w:t>Agency Response Letter available at this link</w:t>
      </w:r>
      <w:r w:rsidR="008621DC" w:rsidRPr="00FD4007">
        <w:rPr>
          <w:sz w:val="20"/>
          <w:szCs w:val="20"/>
        </w:rPr>
        <w:t xml:space="preserve"> </w:t>
      </w:r>
      <w:hyperlink r:id="rId23" w:history="1">
        <w:r w:rsidR="008621DC" w:rsidRPr="00FD4007">
          <w:rPr>
            <w:rStyle w:val="Hyperlink"/>
            <w:iCs/>
            <w:sz w:val="20"/>
            <w:szCs w:val="20"/>
          </w:rPr>
          <w:t>http://www.accessdata.fda.gov/scripts/fdcc/?set=GRASNotices&amp;id=435&amp;sort=GRN_No&amp;order=DESC&amp;startrow=1&amp;type=basic&amp;search=435</w:t>
        </w:r>
      </w:hyperlink>
      <w:r w:rsidRPr="00FD4007">
        <w:rPr>
          <w:i/>
          <w:iCs/>
          <w:sz w:val="20"/>
          <w:szCs w:val="20"/>
        </w:rPr>
        <w:t xml:space="preserve"> </w:t>
      </w:r>
      <w:r w:rsidRPr="00FD4007">
        <w:rPr>
          <w:rStyle w:val="Hyperlink"/>
          <w:color w:val="auto"/>
          <w:sz w:val="20"/>
          <w:szCs w:val="20"/>
          <w:u w:val="none"/>
        </w:rPr>
        <w:t>Accessed on 7 September 2015</w:t>
      </w:r>
    </w:p>
    <w:p w14:paraId="3EABFA6C" w14:textId="77777777" w:rsidR="006926EC" w:rsidRPr="00FD4007" w:rsidRDefault="006926EC" w:rsidP="00924C80">
      <w:pPr>
        <w:rPr>
          <w:color w:val="00B050"/>
          <w:sz w:val="20"/>
          <w:szCs w:val="20"/>
        </w:rPr>
      </w:pPr>
    </w:p>
    <w:p w14:paraId="2B3F801C" w14:textId="59115CDE" w:rsidR="006926EC" w:rsidRPr="00DA5946" w:rsidRDefault="006926EC" w:rsidP="006926EC">
      <w:pPr>
        <w:rPr>
          <w:iCs/>
          <w:sz w:val="20"/>
          <w:szCs w:val="20"/>
        </w:rPr>
      </w:pPr>
      <w:r w:rsidRPr="00FD4007">
        <w:rPr>
          <w:sz w:val="20"/>
          <w:szCs w:val="20"/>
        </w:rPr>
        <w:t xml:space="preserve">US FDA (2013). </w:t>
      </w:r>
      <w:r w:rsidR="008621DC" w:rsidRPr="00FD4007">
        <w:rPr>
          <w:iCs/>
          <w:sz w:val="20"/>
          <w:szCs w:val="20"/>
        </w:rPr>
        <w:t>GRAS Notice No. GRN 528</w:t>
      </w:r>
      <w:r w:rsidR="00DA5946">
        <w:rPr>
          <w:iCs/>
          <w:sz w:val="20"/>
          <w:szCs w:val="20"/>
        </w:rPr>
        <w:t xml:space="preserve"> </w:t>
      </w:r>
      <w:r w:rsidRPr="00FD4007">
        <w:rPr>
          <w:iCs/>
          <w:sz w:val="20"/>
          <w:szCs w:val="20"/>
        </w:rPr>
        <w:t>[</w:t>
      </w:r>
      <w:r w:rsidR="008621DC" w:rsidRPr="00FD4007">
        <w:rPr>
          <w:sz w:val="20"/>
          <w:szCs w:val="20"/>
        </w:rPr>
        <w:t xml:space="preserve">Preparation containing six bacterial monophages (LIST-36, LMSP-25, LMTA-34, LMTA-57, LMTA-94 and LMTA-148) specific to </w:t>
      </w:r>
      <w:r w:rsidR="008621DC" w:rsidRPr="00FD4007">
        <w:rPr>
          <w:i/>
          <w:iCs/>
          <w:sz w:val="20"/>
          <w:szCs w:val="20"/>
        </w:rPr>
        <w:t>Listeria monocytogenes</w:t>
      </w:r>
      <w:r w:rsidRPr="00FD4007">
        <w:rPr>
          <w:iCs/>
          <w:sz w:val="20"/>
          <w:szCs w:val="20"/>
        </w:rPr>
        <w:t>].</w:t>
      </w:r>
      <w:r w:rsidRPr="00FD4007">
        <w:rPr>
          <w:i/>
          <w:iCs/>
          <w:sz w:val="20"/>
          <w:szCs w:val="20"/>
        </w:rPr>
        <w:t xml:space="preserve"> </w:t>
      </w:r>
      <w:r w:rsidRPr="00FD4007">
        <w:rPr>
          <w:sz w:val="20"/>
          <w:szCs w:val="20"/>
        </w:rPr>
        <w:t>Submitted by</w:t>
      </w:r>
      <w:r w:rsidR="008621DC" w:rsidRPr="00FD4007">
        <w:rPr>
          <w:sz w:val="20"/>
          <w:szCs w:val="20"/>
        </w:rPr>
        <w:t xml:space="preserve"> Intralytix, Inc</w:t>
      </w:r>
      <w:r w:rsidRPr="00FD4007">
        <w:rPr>
          <w:sz w:val="20"/>
          <w:szCs w:val="20"/>
        </w:rPr>
        <w:t xml:space="preserve"> to U.S. Food and Drug Administration (US FDA), on </w:t>
      </w:r>
      <w:r w:rsidR="00DA5946">
        <w:rPr>
          <w:sz w:val="20"/>
          <w:szCs w:val="20"/>
        </w:rPr>
        <w:t xml:space="preserve">31 </w:t>
      </w:r>
      <w:r w:rsidR="008621DC" w:rsidRPr="00FD4007">
        <w:rPr>
          <w:sz w:val="20"/>
          <w:szCs w:val="20"/>
        </w:rPr>
        <w:t>Jul</w:t>
      </w:r>
      <w:r w:rsidR="00DA5946">
        <w:rPr>
          <w:sz w:val="20"/>
          <w:szCs w:val="20"/>
        </w:rPr>
        <w:t>y</w:t>
      </w:r>
      <w:r w:rsidR="008621DC" w:rsidRPr="00FD4007">
        <w:rPr>
          <w:sz w:val="20"/>
          <w:szCs w:val="20"/>
        </w:rPr>
        <w:t xml:space="preserve"> 2014</w:t>
      </w:r>
      <w:r w:rsidRPr="00FD4007">
        <w:rPr>
          <w:sz w:val="20"/>
          <w:szCs w:val="20"/>
        </w:rPr>
        <w:t xml:space="preserve">. Releasable dossier and </w:t>
      </w:r>
      <w:r w:rsidRPr="00FD4007">
        <w:rPr>
          <w:iCs/>
          <w:sz w:val="20"/>
          <w:szCs w:val="20"/>
        </w:rPr>
        <w:t>Agency Response Letter available at this link</w:t>
      </w:r>
      <w:r w:rsidR="008621DC" w:rsidRPr="00FD4007">
        <w:rPr>
          <w:sz w:val="20"/>
          <w:szCs w:val="20"/>
        </w:rPr>
        <w:t xml:space="preserve"> </w:t>
      </w:r>
      <w:hyperlink r:id="rId24" w:history="1">
        <w:r w:rsidR="008621DC" w:rsidRPr="00FD4007">
          <w:rPr>
            <w:rStyle w:val="Hyperlink"/>
            <w:iCs/>
            <w:sz w:val="20"/>
            <w:szCs w:val="20"/>
          </w:rPr>
          <w:t>http://www.accessdata.fda.gov/scripts/fdcc/?set=GRASNotices&amp;id=528&amp;sort=GRN_No&amp;order=DESC&amp;startrow=1&amp;type=basic&amp;search=528</w:t>
        </w:r>
      </w:hyperlink>
      <w:r w:rsidR="00DA5946">
        <w:rPr>
          <w:iCs/>
          <w:sz w:val="20"/>
          <w:szCs w:val="20"/>
        </w:rPr>
        <w:t xml:space="preserve"> </w:t>
      </w:r>
      <w:r w:rsidRPr="00FD4007">
        <w:rPr>
          <w:rStyle w:val="Hyperlink"/>
          <w:color w:val="auto"/>
          <w:sz w:val="20"/>
          <w:szCs w:val="20"/>
          <w:u w:val="none"/>
        </w:rPr>
        <w:t>Accessed on 7 September 2015</w:t>
      </w:r>
    </w:p>
    <w:p w14:paraId="63E7A28F" w14:textId="619B2F4B" w:rsidR="002E68B2" w:rsidRDefault="002E68B2" w:rsidP="00924C80">
      <w:pPr>
        <w:rPr>
          <w:color w:val="00B050"/>
          <w:sz w:val="20"/>
          <w:szCs w:val="20"/>
        </w:rPr>
      </w:pPr>
      <w:r>
        <w:rPr>
          <w:color w:val="00B050"/>
          <w:sz w:val="20"/>
          <w:szCs w:val="20"/>
        </w:rPr>
        <w:br w:type="page"/>
      </w:r>
    </w:p>
    <w:p w14:paraId="47947EF2" w14:textId="3CCF62DD" w:rsidR="006926EC" w:rsidRPr="00DA5946" w:rsidRDefault="006926EC" w:rsidP="008D1D3B">
      <w:pPr>
        <w:keepLines/>
        <w:rPr>
          <w:i/>
          <w:iCs/>
          <w:sz w:val="20"/>
          <w:szCs w:val="20"/>
        </w:rPr>
      </w:pPr>
      <w:r w:rsidRPr="00FD4007">
        <w:rPr>
          <w:sz w:val="20"/>
          <w:szCs w:val="20"/>
        </w:rPr>
        <w:lastRenderedPageBreak/>
        <w:t xml:space="preserve">US FDA (2013). </w:t>
      </w:r>
      <w:r w:rsidRPr="00FD4007">
        <w:rPr>
          <w:iCs/>
          <w:sz w:val="20"/>
          <w:szCs w:val="20"/>
        </w:rPr>
        <w:t xml:space="preserve">GRAS Notice No. GRN </w:t>
      </w:r>
      <w:r w:rsidR="008621DC" w:rsidRPr="00FD4007">
        <w:rPr>
          <w:iCs/>
          <w:sz w:val="20"/>
          <w:szCs w:val="20"/>
        </w:rPr>
        <w:t>198</w:t>
      </w:r>
      <w:r w:rsidRPr="00FD4007">
        <w:rPr>
          <w:iCs/>
          <w:sz w:val="20"/>
          <w:szCs w:val="20"/>
        </w:rPr>
        <w:t xml:space="preserve"> [</w:t>
      </w:r>
      <w:r w:rsidR="008621DC" w:rsidRPr="00FD4007">
        <w:rPr>
          <w:sz w:val="20"/>
          <w:szCs w:val="20"/>
        </w:rPr>
        <w:t xml:space="preserve">Bacteriophage P100 preparation from </w:t>
      </w:r>
      <w:r w:rsidR="008621DC" w:rsidRPr="00FD4007">
        <w:rPr>
          <w:i/>
          <w:iCs/>
          <w:sz w:val="20"/>
          <w:szCs w:val="20"/>
        </w:rPr>
        <w:t>Listeria innocua</w:t>
      </w:r>
      <w:r w:rsidRPr="00FD4007">
        <w:rPr>
          <w:iCs/>
          <w:sz w:val="20"/>
          <w:szCs w:val="20"/>
        </w:rPr>
        <w:t>].</w:t>
      </w:r>
      <w:r w:rsidRPr="00FD4007">
        <w:rPr>
          <w:i/>
          <w:iCs/>
          <w:sz w:val="20"/>
          <w:szCs w:val="20"/>
        </w:rPr>
        <w:t xml:space="preserve"> </w:t>
      </w:r>
      <w:r w:rsidRPr="00FD4007">
        <w:rPr>
          <w:sz w:val="20"/>
          <w:szCs w:val="20"/>
        </w:rPr>
        <w:t xml:space="preserve">Submitted by  </w:t>
      </w:r>
      <w:r w:rsidR="008621DC" w:rsidRPr="00FD4007">
        <w:rPr>
          <w:sz w:val="20"/>
          <w:szCs w:val="20"/>
        </w:rPr>
        <w:t>EBI Food Safety B.V.</w:t>
      </w:r>
      <w:r w:rsidRPr="00FD4007">
        <w:rPr>
          <w:sz w:val="20"/>
          <w:szCs w:val="20"/>
        </w:rPr>
        <w:t xml:space="preserve"> to U.S. Food and Drug Administration (US FDA), on </w:t>
      </w:r>
      <w:r w:rsidR="00DA5946">
        <w:rPr>
          <w:sz w:val="20"/>
          <w:szCs w:val="20"/>
        </w:rPr>
        <w:t>20</w:t>
      </w:r>
      <w:r w:rsidRPr="00FD4007">
        <w:rPr>
          <w:sz w:val="20"/>
          <w:szCs w:val="20"/>
        </w:rPr>
        <w:t xml:space="preserve"> </w:t>
      </w:r>
      <w:r w:rsidR="008621DC" w:rsidRPr="00FD4007">
        <w:rPr>
          <w:sz w:val="20"/>
          <w:szCs w:val="20"/>
        </w:rPr>
        <w:t>Apr</w:t>
      </w:r>
      <w:r w:rsidR="00DA5946">
        <w:rPr>
          <w:sz w:val="20"/>
          <w:szCs w:val="20"/>
        </w:rPr>
        <w:t xml:space="preserve">il </w:t>
      </w:r>
      <w:r w:rsidR="008621DC" w:rsidRPr="00FD4007">
        <w:rPr>
          <w:sz w:val="20"/>
          <w:szCs w:val="20"/>
        </w:rPr>
        <w:t>2006</w:t>
      </w:r>
      <w:r w:rsidRPr="00FD4007">
        <w:rPr>
          <w:sz w:val="20"/>
          <w:szCs w:val="20"/>
        </w:rPr>
        <w:t xml:space="preserve">. Releasable dossier and </w:t>
      </w:r>
      <w:r w:rsidRPr="00FD4007">
        <w:rPr>
          <w:iCs/>
          <w:sz w:val="20"/>
          <w:szCs w:val="20"/>
        </w:rPr>
        <w:t>Agency Response Letter available at this link</w:t>
      </w:r>
      <w:r w:rsidRPr="00FD4007">
        <w:rPr>
          <w:i/>
          <w:iCs/>
          <w:sz w:val="20"/>
          <w:szCs w:val="20"/>
        </w:rPr>
        <w:t xml:space="preserve">   </w:t>
      </w:r>
      <w:hyperlink r:id="rId25" w:history="1">
        <w:r w:rsidR="008621DC" w:rsidRPr="00FD4007">
          <w:rPr>
            <w:rStyle w:val="Hyperlink"/>
            <w:i/>
            <w:iCs/>
            <w:sz w:val="20"/>
            <w:szCs w:val="20"/>
          </w:rPr>
          <w:t>http://www.accessdata.fda.gov/scripts/fdcc/?set=GRASNotices&amp;id=198&amp;sort=GRN_No&amp;order=DESC&amp;startrow=1&amp;type=basic&amp;search=198</w:t>
        </w:r>
      </w:hyperlink>
      <w:r w:rsidR="00DA5946">
        <w:rPr>
          <w:i/>
          <w:iCs/>
          <w:sz w:val="20"/>
          <w:szCs w:val="20"/>
        </w:rPr>
        <w:t xml:space="preserve"> </w:t>
      </w:r>
      <w:r w:rsidRPr="00FD4007">
        <w:rPr>
          <w:rStyle w:val="Hyperlink"/>
          <w:color w:val="auto"/>
          <w:sz w:val="20"/>
          <w:szCs w:val="20"/>
          <w:u w:val="none"/>
        </w:rPr>
        <w:t>Accessed on 7 September 2015</w:t>
      </w:r>
    </w:p>
    <w:p w14:paraId="1DFD4880" w14:textId="77777777" w:rsidR="006926EC" w:rsidRPr="00FD4007" w:rsidRDefault="006926EC" w:rsidP="006926EC">
      <w:pPr>
        <w:rPr>
          <w:sz w:val="20"/>
          <w:szCs w:val="20"/>
        </w:rPr>
      </w:pPr>
    </w:p>
    <w:p w14:paraId="26D6EAE0" w14:textId="422E7DE2" w:rsidR="006926EC" w:rsidRPr="00DA5946" w:rsidRDefault="006926EC" w:rsidP="006926EC">
      <w:pPr>
        <w:rPr>
          <w:iCs/>
          <w:sz w:val="20"/>
          <w:szCs w:val="20"/>
        </w:rPr>
      </w:pPr>
      <w:r w:rsidRPr="00FD4007">
        <w:rPr>
          <w:sz w:val="20"/>
          <w:szCs w:val="20"/>
        </w:rPr>
        <w:t xml:space="preserve">US FDA (2013). </w:t>
      </w:r>
      <w:r w:rsidRPr="00FD4007">
        <w:rPr>
          <w:iCs/>
          <w:sz w:val="20"/>
          <w:szCs w:val="20"/>
        </w:rPr>
        <w:t xml:space="preserve">GRAS Notice No. GRN </w:t>
      </w:r>
      <w:r w:rsidR="008621DC" w:rsidRPr="00FD4007">
        <w:rPr>
          <w:iCs/>
          <w:sz w:val="20"/>
          <w:szCs w:val="20"/>
        </w:rPr>
        <w:t>218</w:t>
      </w:r>
      <w:r w:rsidRPr="00FD4007">
        <w:rPr>
          <w:iCs/>
          <w:sz w:val="20"/>
          <w:szCs w:val="20"/>
        </w:rPr>
        <w:t xml:space="preserve"> [</w:t>
      </w:r>
      <w:r w:rsidR="008621DC" w:rsidRPr="00FD4007">
        <w:rPr>
          <w:sz w:val="20"/>
          <w:szCs w:val="20"/>
        </w:rPr>
        <w:t xml:space="preserve">Bacteriophage P100 preparation from </w:t>
      </w:r>
      <w:r w:rsidR="008621DC" w:rsidRPr="00FD4007">
        <w:rPr>
          <w:i/>
          <w:iCs/>
          <w:sz w:val="20"/>
          <w:szCs w:val="20"/>
        </w:rPr>
        <w:t>Listeria innocua</w:t>
      </w:r>
      <w:r w:rsidRPr="00FD4007">
        <w:rPr>
          <w:iCs/>
          <w:sz w:val="20"/>
          <w:szCs w:val="20"/>
        </w:rPr>
        <w:t>].</w:t>
      </w:r>
      <w:r w:rsidRPr="00FD4007">
        <w:rPr>
          <w:i/>
          <w:iCs/>
          <w:sz w:val="20"/>
          <w:szCs w:val="20"/>
        </w:rPr>
        <w:t xml:space="preserve"> </w:t>
      </w:r>
      <w:r w:rsidRPr="00FD4007">
        <w:rPr>
          <w:sz w:val="20"/>
          <w:szCs w:val="20"/>
        </w:rPr>
        <w:t xml:space="preserve">Submitted by </w:t>
      </w:r>
      <w:r w:rsidR="008621DC" w:rsidRPr="00FD4007">
        <w:rPr>
          <w:sz w:val="20"/>
          <w:szCs w:val="20"/>
        </w:rPr>
        <w:t>EBI Food Safety B.V.</w:t>
      </w:r>
      <w:r w:rsidRPr="00FD4007">
        <w:rPr>
          <w:sz w:val="20"/>
          <w:szCs w:val="20"/>
        </w:rPr>
        <w:t xml:space="preserve"> to U.S. Food and Drug Administration (US FDA), on</w:t>
      </w:r>
      <w:r w:rsidR="00DA5946">
        <w:rPr>
          <w:sz w:val="20"/>
          <w:szCs w:val="20"/>
        </w:rPr>
        <w:t xml:space="preserve"> 17</w:t>
      </w:r>
      <w:r w:rsidRPr="00FD4007">
        <w:rPr>
          <w:sz w:val="20"/>
          <w:szCs w:val="20"/>
        </w:rPr>
        <w:t xml:space="preserve"> </w:t>
      </w:r>
      <w:r w:rsidR="008621DC" w:rsidRPr="00FD4007">
        <w:rPr>
          <w:sz w:val="20"/>
          <w:szCs w:val="20"/>
        </w:rPr>
        <w:t>Dec</w:t>
      </w:r>
      <w:r w:rsidR="00DA5946">
        <w:rPr>
          <w:sz w:val="20"/>
          <w:szCs w:val="20"/>
        </w:rPr>
        <w:t>ember</w:t>
      </w:r>
      <w:r w:rsidR="008621DC" w:rsidRPr="00FD4007">
        <w:rPr>
          <w:sz w:val="20"/>
          <w:szCs w:val="20"/>
        </w:rPr>
        <w:t xml:space="preserve"> 2006</w:t>
      </w:r>
      <w:r w:rsidRPr="00FD4007">
        <w:rPr>
          <w:sz w:val="20"/>
          <w:szCs w:val="20"/>
        </w:rPr>
        <w:t xml:space="preserve">. Releasable dossier and </w:t>
      </w:r>
      <w:r w:rsidRPr="00FD4007">
        <w:rPr>
          <w:iCs/>
          <w:sz w:val="20"/>
          <w:szCs w:val="20"/>
        </w:rPr>
        <w:t>Agency Response Letter available at this link</w:t>
      </w:r>
      <w:r w:rsidR="008621DC" w:rsidRPr="00FD4007">
        <w:rPr>
          <w:iCs/>
          <w:sz w:val="20"/>
          <w:szCs w:val="20"/>
        </w:rPr>
        <w:t xml:space="preserve"> </w:t>
      </w:r>
      <w:hyperlink r:id="rId26" w:history="1">
        <w:r w:rsidR="008621DC" w:rsidRPr="00FD4007">
          <w:rPr>
            <w:rStyle w:val="Hyperlink"/>
            <w:iCs/>
            <w:sz w:val="20"/>
            <w:szCs w:val="20"/>
          </w:rPr>
          <w:t>http://www.accessdata.fda.gov/scripts/fdcc/?set=GRASNotices&amp;id=218&amp;sort=GRN_No&amp;order=DESC&amp;startrow=1&amp;type=basic&amp;search=218</w:t>
        </w:r>
      </w:hyperlink>
      <w:r w:rsidR="00DA5946">
        <w:rPr>
          <w:iCs/>
          <w:sz w:val="20"/>
          <w:szCs w:val="20"/>
        </w:rPr>
        <w:t xml:space="preserve"> </w:t>
      </w:r>
      <w:r w:rsidRPr="00FD4007">
        <w:rPr>
          <w:rStyle w:val="Hyperlink"/>
          <w:color w:val="auto"/>
          <w:sz w:val="20"/>
          <w:szCs w:val="20"/>
          <w:u w:val="none"/>
        </w:rPr>
        <w:t>Accessed on 7 September 2015</w:t>
      </w:r>
    </w:p>
    <w:p w14:paraId="3E228F15" w14:textId="77777777" w:rsidR="006926EC" w:rsidRDefault="006926EC" w:rsidP="00924C80">
      <w:pPr>
        <w:rPr>
          <w:color w:val="00B050"/>
          <w:sz w:val="20"/>
          <w:szCs w:val="20"/>
        </w:rPr>
      </w:pPr>
    </w:p>
    <w:p w14:paraId="7CB54500" w14:textId="08D6AEE1" w:rsidR="008621DC" w:rsidRPr="00DA5946" w:rsidRDefault="008621DC" w:rsidP="00924C80">
      <w:pPr>
        <w:rPr>
          <w:sz w:val="20"/>
          <w:szCs w:val="20"/>
        </w:rPr>
      </w:pPr>
      <w:r w:rsidRPr="00DA5946">
        <w:rPr>
          <w:sz w:val="20"/>
          <w:szCs w:val="20"/>
        </w:rPr>
        <w:t>EFSA</w:t>
      </w:r>
      <w:r w:rsidR="00DA5946">
        <w:rPr>
          <w:sz w:val="20"/>
          <w:szCs w:val="20"/>
        </w:rPr>
        <w:t xml:space="preserve"> (</w:t>
      </w:r>
      <w:r w:rsidRPr="00DA5946">
        <w:rPr>
          <w:sz w:val="20"/>
          <w:szCs w:val="20"/>
        </w:rPr>
        <w:t>2009</w:t>
      </w:r>
      <w:r w:rsidR="00DA5946">
        <w:rPr>
          <w:sz w:val="20"/>
          <w:szCs w:val="20"/>
        </w:rPr>
        <w:t>).</w:t>
      </w:r>
      <w:r w:rsidRPr="00DA5946">
        <w:rPr>
          <w:sz w:val="20"/>
          <w:szCs w:val="20"/>
        </w:rPr>
        <w:t xml:space="preserve"> </w:t>
      </w:r>
      <w:r w:rsidR="00DA5946">
        <w:rPr>
          <w:sz w:val="20"/>
          <w:szCs w:val="20"/>
        </w:rPr>
        <w:t>“</w:t>
      </w:r>
      <w:r w:rsidRPr="00DA5946">
        <w:rPr>
          <w:sz w:val="20"/>
          <w:szCs w:val="20"/>
        </w:rPr>
        <w:t>The use and mode of action of bacteriophages in food production</w:t>
      </w:r>
      <w:r w:rsidR="00DA5946">
        <w:rPr>
          <w:sz w:val="20"/>
          <w:szCs w:val="20"/>
        </w:rPr>
        <w:t>”</w:t>
      </w:r>
      <w:r w:rsidR="00CC70B6" w:rsidRPr="00DA5946">
        <w:rPr>
          <w:sz w:val="20"/>
          <w:szCs w:val="20"/>
        </w:rPr>
        <w:t>, Scientific Opinion of the EFSA Panel on Biological Hazards (BIOHAZ)</w:t>
      </w:r>
      <w:r w:rsidRPr="00DA5946">
        <w:rPr>
          <w:sz w:val="20"/>
          <w:szCs w:val="20"/>
        </w:rPr>
        <w:t xml:space="preserve"> </w:t>
      </w:r>
      <w:r w:rsidR="00CC70B6" w:rsidRPr="00DA5946">
        <w:rPr>
          <w:sz w:val="20"/>
          <w:szCs w:val="20"/>
        </w:rPr>
        <w:t>–</w:t>
      </w:r>
      <w:r w:rsidRPr="00DA5946">
        <w:rPr>
          <w:sz w:val="20"/>
          <w:szCs w:val="20"/>
        </w:rPr>
        <w:t xml:space="preserve"> </w:t>
      </w:r>
      <w:r w:rsidR="00CC70B6" w:rsidRPr="00DA5946">
        <w:rPr>
          <w:sz w:val="20"/>
          <w:szCs w:val="20"/>
        </w:rPr>
        <w:t>EFSA Journal 2009:1076</w:t>
      </w:r>
    </w:p>
    <w:p w14:paraId="0E63AD5B" w14:textId="07478459" w:rsidR="008621DC" w:rsidRPr="00071694" w:rsidRDefault="00FB1358" w:rsidP="00924C80">
      <w:pPr>
        <w:rPr>
          <w:rStyle w:val="Hyperlink"/>
        </w:rPr>
      </w:pPr>
      <w:hyperlink r:id="rId27" w:history="1">
        <w:r w:rsidR="008621DC" w:rsidRPr="009661B0">
          <w:rPr>
            <w:rStyle w:val="Hyperlink"/>
            <w:sz w:val="20"/>
            <w:szCs w:val="20"/>
          </w:rPr>
          <w:t>http://www.efsa.europa.eu/en/efsajournal/pub/1076</w:t>
        </w:r>
      </w:hyperlink>
      <w:r w:rsidR="009661B0" w:rsidRPr="009661B0">
        <w:rPr>
          <w:rStyle w:val="Hyperlink"/>
          <w:sz w:val="20"/>
          <w:szCs w:val="20"/>
        </w:rPr>
        <w:t xml:space="preserve"> </w:t>
      </w:r>
    </w:p>
    <w:bookmarkEnd w:id="78"/>
    <w:bookmarkEnd w:id="79"/>
    <w:bookmarkEnd w:id="80"/>
    <w:bookmarkEnd w:id="81"/>
    <w:bookmarkEnd w:id="82"/>
    <w:p w14:paraId="0AF85492"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3D110A5" w14:textId="77777777" w:rsidR="00A4175D" w:rsidRPr="00E203C2" w:rsidRDefault="00A4175D" w:rsidP="00AF06FC"/>
    <w:p w14:paraId="2FFCDD08" w14:textId="1F9AC78F" w:rsidR="009661B0" w:rsidRPr="00071694" w:rsidRDefault="00C26287" w:rsidP="00AB0275">
      <w:pPr>
        <w:ind w:left="567" w:hanging="567"/>
      </w:pPr>
      <w:r>
        <w:t>A</w:t>
      </w:r>
      <w:r w:rsidR="00AB0275" w:rsidRPr="00456BD5">
        <w:t>.</w:t>
      </w:r>
      <w:r w:rsidR="00AB0275" w:rsidRPr="00456BD5">
        <w:tab/>
      </w:r>
      <w:r w:rsidR="00D2071E">
        <w:t>D</w:t>
      </w:r>
      <w:r w:rsidR="00AB0275" w:rsidRPr="00456BD5">
        <w:t xml:space="preserve">raft variation to the </w:t>
      </w:r>
      <w:r w:rsidR="009661B0">
        <w:t xml:space="preserve">revised </w:t>
      </w:r>
      <w:r w:rsidR="00AB0275" w:rsidRPr="00456BD5">
        <w:rPr>
          <w:i/>
        </w:rPr>
        <w:t>Australia New Zealand Food Standards Code</w:t>
      </w:r>
      <w:r w:rsidR="009661B0">
        <w:rPr>
          <w:i/>
        </w:rPr>
        <w:t xml:space="preserve"> </w:t>
      </w:r>
    </w:p>
    <w:p w14:paraId="47B4D212" w14:textId="2C6461EB" w:rsidR="00AB0275" w:rsidRDefault="009661B0" w:rsidP="00AB0275">
      <w:pPr>
        <w:ind w:left="567" w:hanging="567"/>
      </w:pPr>
      <w:r>
        <w:t>B.</w:t>
      </w:r>
      <w:r>
        <w:tab/>
      </w:r>
      <w:r w:rsidR="002E68B2">
        <w:t xml:space="preserve">Draft </w:t>
      </w:r>
      <w:r w:rsidR="00AB0275">
        <w:t xml:space="preserve">Explanatory Statement </w:t>
      </w:r>
    </w:p>
    <w:p w14:paraId="37B4829C" w14:textId="46AE5736" w:rsidR="00AB0275" w:rsidRPr="00795D86" w:rsidRDefault="00AB0275" w:rsidP="00071694">
      <w:pPr>
        <w:pStyle w:val="FSCh2Part"/>
        <w:ind w:left="0" w:firstLine="0"/>
      </w:pPr>
      <w:bookmarkStart w:id="85" w:name="_Toc300933454"/>
      <w:r w:rsidRPr="00932F14">
        <w:br w:type="page"/>
      </w:r>
      <w:bookmarkStart w:id="86" w:name="_Toc29883131"/>
      <w:bookmarkStart w:id="87" w:name="_Toc41906818"/>
      <w:bookmarkStart w:id="88" w:name="_Toc41907565"/>
      <w:bookmarkStart w:id="89" w:name="_Toc120358596"/>
      <w:bookmarkStart w:id="90" w:name="_Toc175381458"/>
      <w:bookmarkStart w:id="91" w:name="_Toc11735644"/>
      <w:bookmarkStart w:id="92" w:name="_Toc415572037"/>
      <w:bookmarkStart w:id="93" w:name="_Toc430251031"/>
      <w:r w:rsidRPr="00932F14">
        <w:lastRenderedPageBreak/>
        <w:t xml:space="preserve">Attachment </w:t>
      </w:r>
      <w:bookmarkEnd w:id="86"/>
      <w:bookmarkEnd w:id="87"/>
      <w:bookmarkEnd w:id="88"/>
      <w:bookmarkEnd w:id="89"/>
      <w:bookmarkEnd w:id="90"/>
      <w:r>
        <w:t>A</w:t>
      </w:r>
      <w:bookmarkStart w:id="94" w:name="_Toc120358597"/>
      <w:bookmarkStart w:id="95" w:name="_Toc175381459"/>
      <w:bookmarkEnd w:id="91"/>
      <w:r>
        <w:t xml:space="preserve"> –</w:t>
      </w:r>
      <w:r w:rsidR="009661B0">
        <w:t xml:space="preserve"> </w:t>
      </w:r>
      <w:r w:rsidR="007070DD">
        <w:t>D</w:t>
      </w:r>
      <w:r>
        <w:t xml:space="preserve">raft </w:t>
      </w:r>
      <w:r w:rsidRPr="004E6A65">
        <w:t xml:space="preserve">variation </w:t>
      </w:r>
      <w:r w:rsidRPr="00932F14">
        <w:t>to the</w:t>
      </w:r>
      <w:r w:rsidR="00C7018C">
        <w:t xml:space="preserve"> revised</w:t>
      </w:r>
      <w:r w:rsidRPr="00755F02">
        <w:t xml:space="preserve"> </w:t>
      </w:r>
      <w:r w:rsidRPr="00795D86">
        <w:rPr>
          <w:i/>
        </w:rPr>
        <w:t>Australia New Zealand Food Standards Code</w:t>
      </w:r>
      <w:bookmarkEnd w:id="92"/>
      <w:bookmarkEnd w:id="93"/>
      <w:bookmarkEnd w:id="94"/>
      <w:bookmarkEnd w:id="95"/>
    </w:p>
    <w:p w14:paraId="6F0D8569" w14:textId="77777777" w:rsidR="004E6A65" w:rsidRPr="00C0014E" w:rsidRDefault="004E6A65" w:rsidP="004E6A65">
      <w:pPr>
        <w:rPr>
          <w:noProof/>
          <w:sz w:val="20"/>
          <w:lang w:val="en-AU" w:eastAsia="en-AU"/>
        </w:rPr>
      </w:pPr>
      <w:r w:rsidRPr="00C0014E">
        <w:rPr>
          <w:noProof/>
          <w:sz w:val="20"/>
          <w:lang w:eastAsia="en-GB" w:bidi="ar-SA"/>
        </w:rPr>
        <w:drawing>
          <wp:inline distT="0" distB="0" distL="0" distR="0" wp14:anchorId="48674AF9" wp14:editId="3DB40182">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C3F870" w14:textId="77777777" w:rsidR="004E6A65" w:rsidRPr="006153A1" w:rsidRDefault="004E6A65" w:rsidP="004E6A65">
      <w:pPr>
        <w:pBdr>
          <w:bottom w:val="single" w:sz="4" w:space="1" w:color="auto"/>
        </w:pBdr>
        <w:rPr>
          <w:b/>
          <w:bCs/>
        </w:rPr>
      </w:pPr>
    </w:p>
    <w:p w14:paraId="1D1EE517" w14:textId="77777777" w:rsidR="004E6A65" w:rsidRDefault="004E6A65" w:rsidP="004E6A65">
      <w:pPr>
        <w:pBdr>
          <w:bottom w:val="single" w:sz="4" w:space="1" w:color="auto"/>
        </w:pBdr>
        <w:rPr>
          <w:b/>
          <w:sz w:val="20"/>
        </w:rPr>
      </w:pPr>
      <w:r w:rsidRPr="006153A1">
        <w:rPr>
          <w:b/>
          <w:sz w:val="20"/>
        </w:rPr>
        <w:t>Food Standards (</w:t>
      </w:r>
      <w:r w:rsidRPr="00F618DF">
        <w:rPr>
          <w:b/>
          <w:sz w:val="20"/>
        </w:rPr>
        <w:t>A</w:t>
      </w:r>
      <w:r>
        <w:rPr>
          <w:b/>
          <w:sz w:val="20"/>
        </w:rPr>
        <w:t xml:space="preserve">pplication A1111 </w:t>
      </w:r>
      <w:r w:rsidRPr="00A32232">
        <w:rPr>
          <w:b/>
          <w:sz w:val="20"/>
        </w:rPr>
        <w:t xml:space="preserve">– </w:t>
      </w:r>
      <w:r>
        <w:rPr>
          <w:b/>
          <w:sz w:val="20"/>
        </w:rPr>
        <w:t>Bacteriophage S16 &amp; FO</w:t>
      </w:r>
      <w:r w:rsidRPr="00734015">
        <w:rPr>
          <w:b/>
          <w:sz w:val="20"/>
        </w:rPr>
        <w:t>1a as a Processing Aid</w:t>
      </w:r>
      <w:r>
        <w:rPr>
          <w:b/>
          <w:sz w:val="20"/>
        </w:rPr>
        <w:t>)</w:t>
      </w:r>
      <w:r w:rsidRPr="00C0014E">
        <w:rPr>
          <w:b/>
          <w:sz w:val="20"/>
        </w:rPr>
        <w:t xml:space="preserve"> Variation</w:t>
      </w:r>
    </w:p>
    <w:p w14:paraId="45475555" w14:textId="77777777" w:rsidR="004E6A65" w:rsidRPr="00C0014E" w:rsidRDefault="004E6A65" w:rsidP="004E6A65">
      <w:pPr>
        <w:pBdr>
          <w:bottom w:val="single" w:sz="4" w:space="1" w:color="auto"/>
        </w:pBdr>
        <w:rPr>
          <w:b/>
          <w:sz w:val="20"/>
        </w:rPr>
      </w:pPr>
    </w:p>
    <w:p w14:paraId="5CA17DA3" w14:textId="77777777" w:rsidR="004E6A65" w:rsidRPr="008F2616" w:rsidRDefault="004E6A65" w:rsidP="004E6A65">
      <w:pPr>
        <w:rPr>
          <w:sz w:val="20"/>
        </w:rPr>
      </w:pPr>
    </w:p>
    <w:p w14:paraId="3A5DB54D" w14:textId="77777777" w:rsidR="004E6A65" w:rsidRPr="008F2616" w:rsidRDefault="004E6A65" w:rsidP="004E6A6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80111B5" w14:textId="77777777" w:rsidR="004E6A65" w:rsidRPr="008F2616" w:rsidRDefault="004E6A65" w:rsidP="004E6A65">
      <w:pPr>
        <w:rPr>
          <w:sz w:val="20"/>
        </w:rPr>
      </w:pPr>
    </w:p>
    <w:p w14:paraId="1C111237" w14:textId="77777777" w:rsidR="004E6A65" w:rsidRPr="008F2616" w:rsidRDefault="004E6A65" w:rsidP="004E6A65">
      <w:pPr>
        <w:rPr>
          <w:sz w:val="20"/>
        </w:rPr>
      </w:pPr>
      <w:r w:rsidRPr="008F2616">
        <w:rPr>
          <w:sz w:val="20"/>
        </w:rPr>
        <w:t xml:space="preserve">Dated </w:t>
      </w:r>
      <w:r>
        <w:rPr>
          <w:sz w:val="20"/>
        </w:rPr>
        <w:t>[To be completed by Standards Management Officer]</w:t>
      </w:r>
    </w:p>
    <w:p w14:paraId="55F48A11" w14:textId="77777777" w:rsidR="004E6A65" w:rsidRPr="008F2616" w:rsidRDefault="004E6A65" w:rsidP="004E6A65">
      <w:pPr>
        <w:rPr>
          <w:sz w:val="20"/>
        </w:rPr>
      </w:pPr>
    </w:p>
    <w:p w14:paraId="21618FF6" w14:textId="77777777" w:rsidR="004E6A65" w:rsidRDefault="004E6A65" w:rsidP="004E6A65">
      <w:pPr>
        <w:rPr>
          <w:sz w:val="20"/>
        </w:rPr>
      </w:pPr>
    </w:p>
    <w:p w14:paraId="36DC856B" w14:textId="77777777" w:rsidR="004E6A65" w:rsidRDefault="004E6A65" w:rsidP="004E6A65">
      <w:pPr>
        <w:rPr>
          <w:sz w:val="20"/>
        </w:rPr>
      </w:pPr>
    </w:p>
    <w:p w14:paraId="44F7246D" w14:textId="77777777" w:rsidR="004E6A65" w:rsidRPr="008F2616" w:rsidRDefault="004E6A65" w:rsidP="004E6A65">
      <w:pPr>
        <w:rPr>
          <w:sz w:val="20"/>
        </w:rPr>
      </w:pPr>
    </w:p>
    <w:p w14:paraId="583D392C" w14:textId="77777777" w:rsidR="004E6A65" w:rsidRPr="008F2616" w:rsidRDefault="004E6A65" w:rsidP="004E6A65">
      <w:pPr>
        <w:rPr>
          <w:sz w:val="20"/>
        </w:rPr>
      </w:pPr>
    </w:p>
    <w:p w14:paraId="3FC72314" w14:textId="77777777" w:rsidR="004E6A65" w:rsidRPr="008F2616" w:rsidRDefault="004E6A65" w:rsidP="004E6A65">
      <w:pPr>
        <w:rPr>
          <w:sz w:val="20"/>
        </w:rPr>
      </w:pPr>
      <w:r w:rsidRPr="008F2616">
        <w:rPr>
          <w:sz w:val="20"/>
        </w:rPr>
        <w:t>Standards Management Officer</w:t>
      </w:r>
    </w:p>
    <w:p w14:paraId="559984CA" w14:textId="77777777" w:rsidR="004E6A65" w:rsidRPr="008F2616" w:rsidRDefault="004E6A65" w:rsidP="004E6A65">
      <w:pPr>
        <w:rPr>
          <w:sz w:val="20"/>
        </w:rPr>
      </w:pPr>
      <w:r w:rsidRPr="008F2616">
        <w:rPr>
          <w:sz w:val="20"/>
        </w:rPr>
        <w:t>Delegate of the Board of Food Standards Australia New Zealand</w:t>
      </w:r>
    </w:p>
    <w:p w14:paraId="7D882101" w14:textId="77777777" w:rsidR="004E6A65" w:rsidRDefault="004E6A65" w:rsidP="004E6A65">
      <w:pPr>
        <w:rPr>
          <w:sz w:val="20"/>
        </w:rPr>
      </w:pPr>
    </w:p>
    <w:p w14:paraId="6A672B95" w14:textId="77777777" w:rsidR="004E6A65" w:rsidRDefault="004E6A65" w:rsidP="004E6A65">
      <w:pPr>
        <w:rPr>
          <w:sz w:val="20"/>
        </w:rPr>
      </w:pPr>
    </w:p>
    <w:p w14:paraId="12FFD583" w14:textId="77777777" w:rsidR="004E6A65" w:rsidRDefault="004E6A65" w:rsidP="004E6A65">
      <w:pPr>
        <w:rPr>
          <w:sz w:val="20"/>
        </w:rPr>
      </w:pPr>
    </w:p>
    <w:p w14:paraId="7BAEC905" w14:textId="77777777" w:rsidR="004E6A65" w:rsidRDefault="004E6A65" w:rsidP="004E6A65">
      <w:pPr>
        <w:rPr>
          <w:sz w:val="20"/>
        </w:rPr>
      </w:pPr>
    </w:p>
    <w:p w14:paraId="7B62BB20" w14:textId="77777777" w:rsidR="004E6A65" w:rsidRDefault="004E6A65" w:rsidP="004E6A65">
      <w:pPr>
        <w:rPr>
          <w:sz w:val="20"/>
        </w:rPr>
      </w:pPr>
    </w:p>
    <w:p w14:paraId="15B1B3A3" w14:textId="77777777" w:rsidR="004E6A65" w:rsidRPr="00360C8F" w:rsidRDefault="004E6A65" w:rsidP="004E6A6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D45352D" w14:textId="77777777" w:rsidR="004E6A65" w:rsidRPr="00360C8F" w:rsidRDefault="004E6A65" w:rsidP="004E6A65">
      <w:pPr>
        <w:pBdr>
          <w:top w:val="single" w:sz="4" w:space="1" w:color="auto"/>
          <w:left w:val="single" w:sz="4" w:space="4" w:color="auto"/>
          <w:bottom w:val="single" w:sz="4" w:space="1" w:color="auto"/>
          <w:right w:val="single" w:sz="4" w:space="4" w:color="auto"/>
        </w:pBdr>
        <w:rPr>
          <w:sz w:val="20"/>
          <w:lang w:val="en-AU"/>
        </w:rPr>
      </w:pPr>
    </w:p>
    <w:p w14:paraId="4315EBB2" w14:textId="77777777" w:rsidR="004E6A65" w:rsidRPr="00360C8F" w:rsidRDefault="004E6A65" w:rsidP="004E6A6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AFFD82B" w14:textId="77777777" w:rsidR="004E6A65" w:rsidRDefault="004E6A65" w:rsidP="004E6A65">
      <w:pPr>
        <w:rPr>
          <w:sz w:val="20"/>
        </w:rPr>
      </w:pPr>
    </w:p>
    <w:p w14:paraId="0414AE8F" w14:textId="77777777" w:rsidR="004E6A65" w:rsidRDefault="004E6A65" w:rsidP="004E6A65">
      <w:pPr>
        <w:widowControl/>
        <w:rPr>
          <w:sz w:val="20"/>
        </w:rPr>
      </w:pPr>
      <w:r>
        <w:rPr>
          <w:sz w:val="20"/>
        </w:rPr>
        <w:br w:type="page"/>
      </w:r>
    </w:p>
    <w:p w14:paraId="28795B9F" w14:textId="77777777" w:rsidR="004E6A65" w:rsidRPr="00D433B1" w:rsidRDefault="004E6A65" w:rsidP="004E6A65">
      <w:pPr>
        <w:rPr>
          <w:b/>
          <w:sz w:val="20"/>
        </w:rPr>
      </w:pPr>
      <w:r w:rsidRPr="00D433B1">
        <w:rPr>
          <w:b/>
          <w:sz w:val="20"/>
        </w:rPr>
        <w:lastRenderedPageBreak/>
        <w:t>1</w:t>
      </w:r>
      <w:r w:rsidRPr="00D433B1">
        <w:rPr>
          <w:b/>
          <w:sz w:val="20"/>
        </w:rPr>
        <w:tab/>
        <w:t>Name</w:t>
      </w:r>
    </w:p>
    <w:p w14:paraId="52BCBB07" w14:textId="77777777" w:rsidR="004E6A65" w:rsidRPr="00F618DF" w:rsidRDefault="004E6A65" w:rsidP="004E6A65">
      <w:pPr>
        <w:pStyle w:val="FSCtMain"/>
        <w:ind w:left="0" w:firstLine="0"/>
      </w:pPr>
      <w:r w:rsidRPr="00DB170D">
        <w:t xml:space="preserve">This instrument is the </w:t>
      </w:r>
      <w:r>
        <w:rPr>
          <w:i/>
        </w:rPr>
        <w:t xml:space="preserve">Food Standards </w:t>
      </w:r>
      <w:r w:rsidRPr="00F618DF">
        <w:rPr>
          <w:i/>
        </w:rPr>
        <w:t>(</w:t>
      </w:r>
      <w:r w:rsidRPr="009109A1">
        <w:rPr>
          <w:i/>
        </w:rPr>
        <w:t>Applicatio</w:t>
      </w:r>
      <w:r>
        <w:rPr>
          <w:i/>
        </w:rPr>
        <w:t>n A1111 – Bacteriophage S16 &amp; FO</w:t>
      </w:r>
      <w:r w:rsidRPr="009109A1">
        <w:rPr>
          <w:i/>
        </w:rPr>
        <w:t>1a as a Processing Aid</w:t>
      </w:r>
      <w:r>
        <w:rPr>
          <w:i/>
        </w:rPr>
        <w:t>)</w:t>
      </w:r>
      <w:r w:rsidRPr="00F618DF">
        <w:rPr>
          <w:i/>
        </w:rPr>
        <w:t xml:space="preserve"> Variation</w:t>
      </w:r>
      <w:r w:rsidRPr="00F618DF">
        <w:t>.</w:t>
      </w:r>
    </w:p>
    <w:p w14:paraId="2D5FD456" w14:textId="77777777" w:rsidR="004E6A65" w:rsidRPr="00D433B1" w:rsidRDefault="004E6A65" w:rsidP="004E6A65">
      <w:pPr>
        <w:rPr>
          <w:b/>
          <w:sz w:val="20"/>
        </w:rPr>
      </w:pPr>
      <w:r w:rsidRPr="00D433B1">
        <w:rPr>
          <w:b/>
          <w:sz w:val="20"/>
        </w:rPr>
        <w:t>2</w:t>
      </w:r>
      <w:r w:rsidRPr="00D433B1">
        <w:rPr>
          <w:b/>
          <w:sz w:val="20"/>
        </w:rPr>
        <w:tab/>
        <w:t xml:space="preserve">Variation to a Standard in the </w:t>
      </w:r>
      <w:r w:rsidRPr="00D433B1">
        <w:rPr>
          <w:b/>
          <w:i/>
          <w:sz w:val="20"/>
        </w:rPr>
        <w:t>Australia New Zealand Food Standards Code</w:t>
      </w:r>
    </w:p>
    <w:p w14:paraId="5061A415" w14:textId="3F1E2FFF" w:rsidR="004E6A65" w:rsidRDefault="004E6A65" w:rsidP="004E6A65">
      <w:pPr>
        <w:pStyle w:val="FSCtMain"/>
      </w:pPr>
      <w:r>
        <w:t xml:space="preserve">The Schedule varies </w:t>
      </w:r>
      <w:r w:rsidR="002E68B2">
        <w:t>a Standard</w:t>
      </w:r>
      <w:r>
        <w:t xml:space="preserve"> in the </w:t>
      </w:r>
      <w:r w:rsidRPr="00AC577E">
        <w:rPr>
          <w:i/>
        </w:rPr>
        <w:t>Australia New Zealand Food Standards Code</w:t>
      </w:r>
      <w:r>
        <w:t>.</w:t>
      </w:r>
    </w:p>
    <w:p w14:paraId="4CE0A659" w14:textId="77777777" w:rsidR="004E6A65" w:rsidRPr="00D433B1" w:rsidRDefault="004E6A65" w:rsidP="004E6A65">
      <w:pPr>
        <w:rPr>
          <w:b/>
          <w:sz w:val="20"/>
        </w:rPr>
      </w:pPr>
      <w:r w:rsidRPr="00D433B1">
        <w:rPr>
          <w:b/>
          <w:sz w:val="20"/>
        </w:rPr>
        <w:t>3</w:t>
      </w:r>
      <w:r w:rsidRPr="00D433B1">
        <w:rPr>
          <w:b/>
          <w:sz w:val="20"/>
        </w:rPr>
        <w:tab/>
        <w:t>Commencement</w:t>
      </w:r>
    </w:p>
    <w:p w14:paraId="615A93AC" w14:textId="77777777" w:rsidR="004E6A65" w:rsidRDefault="004E6A65" w:rsidP="004E6A65">
      <w:pPr>
        <w:pStyle w:val="FSCtMain"/>
        <w:ind w:left="0" w:firstLine="0"/>
      </w:pPr>
      <w:r w:rsidRPr="00EB7989">
        <w:rPr>
          <w:szCs w:val="20"/>
        </w:rPr>
        <w:t xml:space="preserve">This instrument commences on </w:t>
      </w:r>
      <w:r>
        <w:rPr>
          <w:szCs w:val="20"/>
        </w:rPr>
        <w:t>gazettal</w:t>
      </w:r>
      <w:r>
        <w:t>.</w:t>
      </w:r>
    </w:p>
    <w:p w14:paraId="6AE02A8A" w14:textId="77777777" w:rsidR="004E6A65" w:rsidRPr="00D433B1" w:rsidRDefault="004E6A65" w:rsidP="004E6A65">
      <w:pPr>
        <w:jc w:val="center"/>
        <w:rPr>
          <w:b/>
          <w:sz w:val="20"/>
        </w:rPr>
      </w:pPr>
      <w:r w:rsidRPr="00D433B1">
        <w:rPr>
          <w:b/>
          <w:sz w:val="20"/>
        </w:rPr>
        <w:t>Schedule</w:t>
      </w:r>
    </w:p>
    <w:p w14:paraId="34CCD00B" w14:textId="77777777" w:rsidR="004E6A65" w:rsidRPr="0036244B" w:rsidRDefault="004E6A65" w:rsidP="004E6A65">
      <w:pPr>
        <w:widowControl/>
        <w:rPr>
          <w:sz w:val="20"/>
        </w:rPr>
      </w:pPr>
    </w:p>
    <w:p w14:paraId="3055FCA8" w14:textId="77777777" w:rsidR="004E6A65" w:rsidRDefault="004E6A65" w:rsidP="004E6A65">
      <w:pPr>
        <w:pStyle w:val="FSCtMain"/>
        <w:rPr>
          <w:lang w:bidi="en-US"/>
        </w:rPr>
      </w:pPr>
      <w:r w:rsidRPr="00071694">
        <w:rPr>
          <w:b/>
          <w:lang w:bidi="en-US"/>
        </w:rPr>
        <w:t>[1]</w:t>
      </w:r>
      <w:r w:rsidRPr="00071694">
        <w:rPr>
          <w:b/>
          <w:lang w:bidi="en-US"/>
        </w:rPr>
        <w:tab/>
        <w:t>Schedule 3</w:t>
      </w:r>
      <w:r w:rsidRPr="00D90338">
        <w:rPr>
          <w:lang w:bidi="en-US"/>
        </w:rPr>
        <w:t xml:space="preserve"> is</w:t>
      </w:r>
      <w:r w:rsidRPr="00CC2E5B">
        <w:rPr>
          <w:lang w:bidi="en-US"/>
        </w:rPr>
        <w:t xml:space="preserve"> varied by</w:t>
      </w:r>
      <w:r>
        <w:rPr>
          <w:lang w:bidi="en-US"/>
        </w:rPr>
        <w:t xml:space="preserve"> </w:t>
      </w:r>
    </w:p>
    <w:p w14:paraId="6DCA7785" w14:textId="77777777" w:rsidR="004E6A65" w:rsidRDefault="004E6A65" w:rsidP="004E6A65">
      <w:pPr>
        <w:pStyle w:val="FSCtMain"/>
        <w:ind w:left="1134" w:hanging="1134"/>
        <w:rPr>
          <w:lang w:bidi="en-US"/>
        </w:rPr>
      </w:pPr>
      <w:r>
        <w:rPr>
          <w:lang w:bidi="en-US"/>
        </w:rPr>
        <w:t>[1.1]</w:t>
      </w:r>
      <w:r>
        <w:rPr>
          <w:lang w:bidi="en-US"/>
        </w:rPr>
        <w:tab/>
        <w:t xml:space="preserve">inserting </w:t>
      </w:r>
      <w:r>
        <w:t xml:space="preserve">in </w:t>
      </w:r>
      <w:r>
        <w:rPr>
          <w:lang w:bidi="en-US"/>
        </w:rPr>
        <w:t xml:space="preserve">the table to subsection </w:t>
      </w:r>
      <w:r>
        <w:t>S3—2</w:t>
      </w:r>
      <w:r>
        <w:rPr>
          <w:lang w:bidi="en-US"/>
        </w:rPr>
        <w:t>(2) in alphabetical order</w:t>
      </w:r>
    </w:p>
    <w:p w14:paraId="0B5815E4" w14:textId="77777777" w:rsidR="004E6A65" w:rsidRDefault="004E6A65" w:rsidP="004E6A65">
      <w:pPr>
        <w:pStyle w:val="FSCtMain"/>
        <w:ind w:left="1134" w:hanging="1134"/>
        <w:rPr>
          <w:lang w:bidi="en-US"/>
        </w:rPr>
      </w:pPr>
      <w:r>
        <w:rPr>
          <w:lang w:bidi="en-US"/>
        </w:rPr>
        <w: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4E6A65" w:rsidRPr="00406023" w14:paraId="722147F6" w14:textId="77777777" w:rsidTr="00EA7A2C">
        <w:trPr>
          <w:cantSplit/>
          <w:jc w:val="center"/>
        </w:trPr>
        <w:tc>
          <w:tcPr>
            <w:tcW w:w="4254" w:type="dxa"/>
          </w:tcPr>
          <w:p w14:paraId="4D4C86F2" w14:textId="77777777" w:rsidR="004E6A65" w:rsidRPr="00406023" w:rsidRDefault="004E6A65" w:rsidP="00EA7A2C">
            <w:pPr>
              <w:pStyle w:val="FSCtblMain"/>
              <w:rPr>
                <w:rFonts w:cs="Times New Roman"/>
              </w:rPr>
            </w:pPr>
            <w:r>
              <w:rPr>
                <w:i/>
              </w:rPr>
              <w:t>Salmonella</w:t>
            </w:r>
            <w:r>
              <w:t xml:space="preserve"> phage preparation (S16 and FO1a)</w:t>
            </w:r>
          </w:p>
        </w:tc>
        <w:tc>
          <w:tcPr>
            <w:tcW w:w="2550" w:type="dxa"/>
          </w:tcPr>
          <w:p w14:paraId="0BE1D7D2" w14:textId="77777777" w:rsidR="004E6A65" w:rsidRPr="00406023" w:rsidRDefault="004E6A65" w:rsidP="00EA7A2C">
            <w:pPr>
              <w:pStyle w:val="FSCtblMain"/>
            </w:pPr>
            <w:r>
              <w:t>section S3—33</w:t>
            </w:r>
          </w:p>
        </w:tc>
      </w:tr>
    </w:tbl>
    <w:p w14:paraId="01D29CCF" w14:textId="77777777" w:rsidR="004E6A65" w:rsidRDefault="004E6A65" w:rsidP="004E6A65">
      <w:pPr>
        <w:pStyle w:val="FSCtMain"/>
        <w:jc w:val="right"/>
        <w:rPr>
          <w:lang w:bidi="en-US"/>
        </w:rPr>
      </w:pPr>
      <w:r>
        <w:rPr>
          <w:lang w:bidi="en-US"/>
        </w:rPr>
        <w:t>”</w:t>
      </w:r>
    </w:p>
    <w:p w14:paraId="35857D9D" w14:textId="0D04081B" w:rsidR="004E6A65" w:rsidRDefault="004E6A65" w:rsidP="009661B0">
      <w:pPr>
        <w:pStyle w:val="FSCtMain"/>
        <w:rPr>
          <w:lang w:bidi="en-US"/>
        </w:rPr>
      </w:pPr>
      <w:r>
        <w:rPr>
          <w:lang w:bidi="en-US"/>
        </w:rPr>
        <w:t>[1.2]</w:t>
      </w:r>
      <w:r>
        <w:rPr>
          <w:lang w:bidi="en-US"/>
        </w:rPr>
        <w:tab/>
        <w:t xml:space="preserve">inserting after section </w:t>
      </w:r>
      <w:r w:rsidRPr="001D1563">
        <w:t>S3—3</w:t>
      </w:r>
      <w:r>
        <w:t>2</w:t>
      </w:r>
    </w:p>
    <w:p w14:paraId="5D30B33F" w14:textId="6813C9E7" w:rsidR="004E6A65" w:rsidRPr="00CC32CB" w:rsidRDefault="009661B0" w:rsidP="004E6A65">
      <w:pPr>
        <w:pStyle w:val="FSCh5Section"/>
      </w:pPr>
      <w:r w:rsidRPr="00071694">
        <w:rPr>
          <w:b w:val="0"/>
          <w:sz w:val="20"/>
          <w:lang w:bidi="en-US"/>
        </w:rPr>
        <w:t>“</w:t>
      </w:r>
      <w:r w:rsidR="004E6A65">
        <w:t>S3—33</w:t>
      </w:r>
      <w:r w:rsidR="004E6A65" w:rsidRPr="001D1563">
        <w:tab/>
        <w:t>Specification</w:t>
      </w:r>
      <w:r w:rsidR="004E6A65">
        <w:t>s</w:t>
      </w:r>
      <w:r w:rsidR="004E6A65" w:rsidRPr="001D1563">
        <w:t xml:space="preserve"> for </w:t>
      </w:r>
      <w:r w:rsidR="004E6A65">
        <w:rPr>
          <w:i/>
        </w:rPr>
        <w:t>Salmonella</w:t>
      </w:r>
      <w:r w:rsidR="004E6A65" w:rsidRPr="001D1563">
        <w:rPr>
          <w:i/>
        </w:rPr>
        <w:t xml:space="preserve"> </w:t>
      </w:r>
      <w:r w:rsidR="004E6A65" w:rsidRPr="001D1563">
        <w:t xml:space="preserve">phage </w:t>
      </w:r>
      <w:r w:rsidR="004E6A65">
        <w:t>preparation (S16 and FO1a)</w:t>
      </w:r>
    </w:p>
    <w:p w14:paraId="6D3C82C4" w14:textId="77777777" w:rsidR="004E6A65" w:rsidRPr="001D1563" w:rsidRDefault="004E6A65" w:rsidP="004E6A65">
      <w:pPr>
        <w:pStyle w:val="FSCtMain"/>
      </w:pPr>
      <w:r>
        <w:tab/>
        <w:t>(1)</w:t>
      </w:r>
      <w:r>
        <w:tab/>
      </w:r>
      <w:r w:rsidRPr="001D1563">
        <w:t>In this section:</w:t>
      </w:r>
    </w:p>
    <w:p w14:paraId="4C06DA52" w14:textId="1947EC87" w:rsidR="0095404C" w:rsidRDefault="004E6A65" w:rsidP="00071694">
      <w:pPr>
        <w:pStyle w:val="FSCtDefn"/>
        <w:rPr>
          <w:b/>
          <w:i/>
        </w:rPr>
      </w:pPr>
      <w:r w:rsidRPr="00071694">
        <w:rPr>
          <w:b/>
          <w:i/>
        </w:rPr>
        <w:t>a preparation</w:t>
      </w:r>
      <w:r w:rsidRPr="001D1563">
        <w:t xml:space="preserve"> means </w:t>
      </w:r>
      <w:r>
        <w:rPr>
          <w:szCs w:val="20"/>
        </w:rPr>
        <w:t>a</w:t>
      </w:r>
      <w:r w:rsidRPr="00E7732C">
        <w:rPr>
          <w:szCs w:val="20"/>
        </w:rPr>
        <w:t xml:space="preserve"> </w:t>
      </w:r>
      <w:r w:rsidRPr="00434344">
        <w:rPr>
          <w:i/>
        </w:rPr>
        <w:t>Salmonella</w:t>
      </w:r>
      <w:r w:rsidRPr="00CC32CB">
        <w:t xml:space="preserve"> phage preparation (S16 and FO1a)</w:t>
      </w:r>
      <w:r>
        <w:t>.</w:t>
      </w:r>
    </w:p>
    <w:p w14:paraId="45718FBD" w14:textId="60C07ABF" w:rsidR="004E6A65" w:rsidRPr="00F67924" w:rsidRDefault="004E6A65" w:rsidP="00071694">
      <w:pPr>
        <w:pStyle w:val="FSCtDefn"/>
        <w:rPr>
          <w:rFonts w:eastAsiaTheme="minorHAnsi" w:cstheme="minorBidi"/>
          <w:vertAlign w:val="subscript"/>
        </w:rPr>
      </w:pPr>
      <w:r w:rsidRPr="00071694">
        <w:rPr>
          <w:b/>
        </w:rPr>
        <w:t>Salmonella</w:t>
      </w:r>
      <w:r w:rsidRPr="0095404C">
        <w:rPr>
          <w:b/>
        </w:rPr>
        <w:t xml:space="preserve"> </w:t>
      </w:r>
      <w:r w:rsidRPr="00071694">
        <w:rPr>
          <w:b/>
          <w:i/>
        </w:rPr>
        <w:t>phage preparation (S16 and FO1a)</w:t>
      </w:r>
      <w:r>
        <w:rPr>
          <w:b/>
        </w:rPr>
        <w:t xml:space="preserve"> </w:t>
      </w:r>
      <w:r>
        <w:t xml:space="preserve">means a </w:t>
      </w:r>
      <w:r w:rsidRPr="00F67924">
        <w:t>sol</w:t>
      </w:r>
      <w:r>
        <w:t xml:space="preserve">ution of a 1:1 blend of </w:t>
      </w:r>
      <w:r>
        <w:rPr>
          <w:i/>
        </w:rPr>
        <w:t>Salmonella</w:t>
      </w:r>
      <w:r w:rsidRPr="001D1563">
        <w:rPr>
          <w:i/>
        </w:rPr>
        <w:t xml:space="preserve"> </w:t>
      </w:r>
      <w:r w:rsidRPr="001D1563">
        <w:t xml:space="preserve">phage </w:t>
      </w:r>
      <w:r>
        <w:t xml:space="preserve">S16 and </w:t>
      </w:r>
      <w:r>
        <w:rPr>
          <w:i/>
        </w:rPr>
        <w:t>Salmonella</w:t>
      </w:r>
      <w:r w:rsidRPr="001D1563">
        <w:rPr>
          <w:i/>
        </w:rPr>
        <w:t xml:space="preserve"> </w:t>
      </w:r>
      <w:r w:rsidRPr="001D1563">
        <w:t xml:space="preserve">phage </w:t>
      </w:r>
      <w:r>
        <w:t>FO1a.</w:t>
      </w:r>
    </w:p>
    <w:p w14:paraId="30A42D23" w14:textId="77777777" w:rsidR="004E6A65" w:rsidRDefault="004E6A65" w:rsidP="004E6A65">
      <w:pPr>
        <w:pStyle w:val="FSCtMain"/>
      </w:pPr>
      <w:r>
        <w:tab/>
        <w:t>(2)</w:t>
      </w:r>
      <w:r>
        <w:tab/>
      </w:r>
      <w:r>
        <w:rPr>
          <w:i/>
        </w:rPr>
        <w:t>Salmonella</w:t>
      </w:r>
      <w:r w:rsidRPr="001D1563">
        <w:rPr>
          <w:i/>
        </w:rPr>
        <w:t xml:space="preserve"> </w:t>
      </w:r>
      <w:r w:rsidRPr="001D1563">
        <w:t xml:space="preserve">phage </w:t>
      </w:r>
      <w:r>
        <w:t xml:space="preserve">S16 in a preparation must comply with the specification in subsection (4). </w:t>
      </w:r>
    </w:p>
    <w:p w14:paraId="25646BA3" w14:textId="77777777" w:rsidR="004E6A65" w:rsidRDefault="004E6A65" w:rsidP="004E6A65">
      <w:pPr>
        <w:pStyle w:val="FSCtMain"/>
      </w:pPr>
      <w:r>
        <w:tab/>
        <w:t>(3)</w:t>
      </w:r>
      <w:r>
        <w:tab/>
      </w:r>
      <w:r>
        <w:rPr>
          <w:i/>
        </w:rPr>
        <w:t>Salmonella</w:t>
      </w:r>
      <w:r w:rsidRPr="001D1563">
        <w:rPr>
          <w:i/>
        </w:rPr>
        <w:t xml:space="preserve"> </w:t>
      </w:r>
      <w:r w:rsidRPr="001D1563">
        <w:t xml:space="preserve">phage </w:t>
      </w:r>
      <w:r>
        <w:t xml:space="preserve">FO1a in a preparation must comply with the specification in subsection (5). </w:t>
      </w:r>
    </w:p>
    <w:p w14:paraId="1882107A" w14:textId="77777777" w:rsidR="004E6A65" w:rsidRPr="001D1563" w:rsidRDefault="004E6A65" w:rsidP="004E6A65">
      <w:pPr>
        <w:pStyle w:val="FSCtMain"/>
      </w:pPr>
      <w:r>
        <w:tab/>
        <w:t>(4)</w:t>
      </w:r>
      <w:r>
        <w:tab/>
        <w:t xml:space="preserve">The </w:t>
      </w:r>
      <w:r w:rsidRPr="001D1563">
        <w:t>biological classification</w:t>
      </w:r>
      <w:r>
        <w:t xml:space="preserve"> for </w:t>
      </w:r>
      <w:r>
        <w:rPr>
          <w:i/>
        </w:rPr>
        <w:t>Salmonella</w:t>
      </w:r>
      <w:r w:rsidRPr="001D1563">
        <w:rPr>
          <w:i/>
        </w:rPr>
        <w:t xml:space="preserve"> </w:t>
      </w:r>
      <w:r w:rsidRPr="001D1563">
        <w:t xml:space="preserve">phage </w:t>
      </w:r>
      <w:r>
        <w:t>S16 in a preparation is</w:t>
      </w:r>
      <w:r w:rsidRPr="001D1563">
        <w:t xml:space="preserve"> the following:</w:t>
      </w:r>
    </w:p>
    <w:p w14:paraId="50BEDE01" w14:textId="77777777" w:rsidR="004E6A65" w:rsidRPr="001D1563" w:rsidRDefault="004E6A65" w:rsidP="00071694">
      <w:pPr>
        <w:pStyle w:val="FSCtPara"/>
      </w:pPr>
      <w:r>
        <w:tab/>
        <w:t>(a)</w:t>
      </w:r>
      <w:r>
        <w:tab/>
        <w:t>order—</w:t>
      </w:r>
      <w:r w:rsidRPr="00434344">
        <w:t>Caudavirales</w:t>
      </w:r>
      <w:r w:rsidRPr="001D1563">
        <w:t>;</w:t>
      </w:r>
    </w:p>
    <w:p w14:paraId="4557A35B" w14:textId="77777777" w:rsidR="004E6A65" w:rsidRPr="001D1563" w:rsidRDefault="004E6A65" w:rsidP="00071694">
      <w:pPr>
        <w:pStyle w:val="FSCtPara"/>
      </w:pPr>
      <w:r>
        <w:tab/>
        <w:t>(b)</w:t>
      </w:r>
      <w:r>
        <w:tab/>
        <w:t>family—</w:t>
      </w:r>
      <w:r w:rsidRPr="00434344">
        <w:t>Myoviridae</w:t>
      </w:r>
      <w:r w:rsidRPr="001D1563">
        <w:t>;</w:t>
      </w:r>
    </w:p>
    <w:p w14:paraId="4E22AF7A" w14:textId="77777777" w:rsidR="004E6A65" w:rsidRPr="001D1563" w:rsidRDefault="004E6A65" w:rsidP="00071694">
      <w:pPr>
        <w:pStyle w:val="FSCtPara"/>
      </w:pPr>
      <w:r>
        <w:tab/>
        <w:t>(c)</w:t>
      </w:r>
      <w:r>
        <w:tab/>
        <w:t>genus—T4-like</w:t>
      </w:r>
      <w:r w:rsidRPr="001D1563">
        <w:t>;</w:t>
      </w:r>
    </w:p>
    <w:p w14:paraId="23B2B7DC" w14:textId="77777777" w:rsidR="004E6A65" w:rsidRDefault="004E6A65" w:rsidP="00071694">
      <w:pPr>
        <w:pStyle w:val="FSCtPara"/>
      </w:pPr>
      <w:r>
        <w:tab/>
        <w:t>(d)</w:t>
      </w:r>
      <w:r>
        <w:tab/>
        <w:t>species—Salmonella</w:t>
      </w:r>
      <w:r w:rsidRPr="001D1563">
        <w:t xml:space="preserve"> phage </w:t>
      </w:r>
      <w:r>
        <w:t>S16;</w:t>
      </w:r>
    </w:p>
    <w:p w14:paraId="1A4432EA" w14:textId="77777777" w:rsidR="004E6A65" w:rsidRDefault="004E6A65" w:rsidP="00071694">
      <w:pPr>
        <w:pStyle w:val="FSCtPara"/>
      </w:pPr>
      <w:r>
        <w:tab/>
        <w:t>(e)</w:t>
      </w:r>
      <w:r>
        <w:tab/>
      </w:r>
      <w:r w:rsidRPr="001D1563">
        <w:t>GenBank Accession Number</w:t>
      </w:r>
      <w:r>
        <w:t>—HQ331142</w:t>
      </w:r>
    </w:p>
    <w:p w14:paraId="4561F321" w14:textId="77777777" w:rsidR="004E6A65" w:rsidRPr="001D1563" w:rsidRDefault="004E6A65" w:rsidP="004E6A65">
      <w:pPr>
        <w:pStyle w:val="FSCtMain"/>
      </w:pPr>
      <w:r w:rsidRPr="001D1563">
        <w:tab/>
        <w:t>(</w:t>
      </w:r>
      <w:r>
        <w:t>5</w:t>
      </w:r>
      <w:r w:rsidRPr="001D1563">
        <w:t>)</w:t>
      </w:r>
      <w:r w:rsidRPr="001D1563">
        <w:tab/>
      </w:r>
      <w:r>
        <w:t xml:space="preserve">The </w:t>
      </w:r>
      <w:r w:rsidRPr="001D1563">
        <w:t>biological classification</w:t>
      </w:r>
      <w:r>
        <w:t xml:space="preserve"> for </w:t>
      </w:r>
      <w:r w:rsidRPr="000C3DE9">
        <w:rPr>
          <w:i/>
        </w:rPr>
        <w:t>Salmonella</w:t>
      </w:r>
      <w:r w:rsidRPr="00CC32CB">
        <w:t xml:space="preserve"> phage FO1a</w:t>
      </w:r>
      <w:r>
        <w:t xml:space="preserve"> in a preparation is the following</w:t>
      </w:r>
      <w:r w:rsidRPr="001D1563">
        <w:t>:</w:t>
      </w:r>
    </w:p>
    <w:p w14:paraId="59B914B3" w14:textId="77777777" w:rsidR="004E6A65" w:rsidRPr="001D1563" w:rsidRDefault="004E6A65" w:rsidP="00071694">
      <w:pPr>
        <w:pStyle w:val="FSCtPara"/>
      </w:pPr>
      <w:r>
        <w:tab/>
        <w:t>(a)</w:t>
      </w:r>
      <w:r>
        <w:tab/>
        <w:t>order</w:t>
      </w:r>
      <w:r w:rsidRPr="001D1563">
        <w:t>—</w:t>
      </w:r>
      <w:r w:rsidRPr="00434344">
        <w:t>Caudavirales</w:t>
      </w:r>
      <w:r w:rsidRPr="001D1563">
        <w:t>;</w:t>
      </w:r>
    </w:p>
    <w:p w14:paraId="2C5BFD75" w14:textId="77777777" w:rsidR="004E6A65" w:rsidRPr="001D1563" w:rsidRDefault="004E6A65" w:rsidP="00071694">
      <w:pPr>
        <w:pStyle w:val="FSCtPara"/>
      </w:pPr>
      <w:r>
        <w:tab/>
        <w:t>(b)</w:t>
      </w:r>
      <w:r>
        <w:tab/>
        <w:t>family</w:t>
      </w:r>
      <w:r w:rsidRPr="001D1563">
        <w:t>—</w:t>
      </w:r>
      <w:r w:rsidRPr="00434344">
        <w:t>Myoviridae</w:t>
      </w:r>
      <w:r w:rsidRPr="001D1563">
        <w:t>;</w:t>
      </w:r>
    </w:p>
    <w:p w14:paraId="60173098" w14:textId="77777777" w:rsidR="004E6A65" w:rsidRPr="001D1563" w:rsidRDefault="004E6A65" w:rsidP="00071694">
      <w:pPr>
        <w:pStyle w:val="FSCtPara"/>
      </w:pPr>
      <w:r>
        <w:tab/>
        <w:t>(c)</w:t>
      </w:r>
      <w:r>
        <w:tab/>
        <w:t>genus</w:t>
      </w:r>
      <w:r w:rsidRPr="001D1563">
        <w:t>—</w:t>
      </w:r>
      <w:r>
        <w:t>FelixO1-like</w:t>
      </w:r>
      <w:r w:rsidRPr="001D1563">
        <w:t>;</w:t>
      </w:r>
    </w:p>
    <w:p w14:paraId="74B00ECF" w14:textId="77777777" w:rsidR="004E6A65" w:rsidRDefault="004E6A65" w:rsidP="00071694">
      <w:pPr>
        <w:pStyle w:val="FSCtPara"/>
      </w:pPr>
      <w:r>
        <w:tab/>
        <w:t>(d)</w:t>
      </w:r>
      <w:r>
        <w:tab/>
        <w:t>species</w:t>
      </w:r>
      <w:r w:rsidRPr="001D1563">
        <w:t>—</w:t>
      </w:r>
      <w:r w:rsidRPr="00DC71CB">
        <w:t xml:space="preserve"> </w:t>
      </w:r>
      <w:r>
        <w:t>Salmonella</w:t>
      </w:r>
      <w:r w:rsidRPr="001D1563">
        <w:t xml:space="preserve"> phage </w:t>
      </w:r>
      <w:r>
        <w:t>FO1a;</w:t>
      </w:r>
    </w:p>
    <w:p w14:paraId="099A9BEF" w14:textId="256324F2" w:rsidR="004E6A65" w:rsidRPr="001D1563" w:rsidRDefault="004E6A65" w:rsidP="00071694">
      <w:pPr>
        <w:pStyle w:val="FSCtPara"/>
      </w:pPr>
      <w:r>
        <w:tab/>
        <w:t>(e)</w:t>
      </w:r>
      <w:r>
        <w:tab/>
      </w:r>
      <w:r w:rsidRPr="001D1563">
        <w:t>GenBank Accession Number</w:t>
      </w:r>
      <w:r>
        <w:t>—JF461087.”</w:t>
      </w:r>
    </w:p>
    <w:p w14:paraId="057607E1" w14:textId="77777777" w:rsidR="004E6A65" w:rsidRDefault="004E6A65" w:rsidP="004E6A65">
      <w:pPr>
        <w:pStyle w:val="FSCtMain"/>
        <w:rPr>
          <w:lang w:bidi="en-US"/>
        </w:rPr>
      </w:pPr>
      <w:r w:rsidRPr="00071694">
        <w:rPr>
          <w:b/>
          <w:lang w:bidi="en-US"/>
        </w:rPr>
        <w:t>[2]</w:t>
      </w:r>
      <w:r w:rsidRPr="00071694">
        <w:rPr>
          <w:b/>
          <w:lang w:bidi="en-US"/>
        </w:rPr>
        <w:tab/>
        <w:t>Schedule 18</w:t>
      </w:r>
      <w:r>
        <w:rPr>
          <w:lang w:bidi="en-US"/>
        </w:rPr>
        <w:t xml:space="preserve"> is varied by inserting in the </w:t>
      </w:r>
      <w:r w:rsidRPr="00D90338">
        <w:rPr>
          <w:lang w:bidi="en-US"/>
        </w:rPr>
        <w:t>Table to section S18</w:t>
      </w:r>
      <w:r w:rsidRPr="00D90338">
        <w:rPr>
          <w:szCs w:val="20"/>
        </w:rPr>
        <w:t>—</w:t>
      </w:r>
      <w:r w:rsidRPr="00D90338">
        <w:rPr>
          <w:lang w:bidi="en-US"/>
        </w:rPr>
        <w:t xml:space="preserve">9 </w:t>
      </w:r>
      <w:r>
        <w:rPr>
          <w:lang w:bidi="en-US"/>
        </w:rPr>
        <w:t xml:space="preserve">in alphabetical order </w:t>
      </w:r>
    </w:p>
    <w:p w14:paraId="1C18ECB3" w14:textId="77777777" w:rsidR="004E6A65" w:rsidRDefault="004E6A65" w:rsidP="004E6A65">
      <w:pPr>
        <w:pStyle w:val="FSCtMain"/>
        <w:rPr>
          <w:lang w:bidi="en-US"/>
        </w:rPr>
      </w:pPr>
      <w:r>
        <w:rPr>
          <w:lang w:bidi="en-US"/>
        </w:rPr>
        <w: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4E6A65" w:rsidRPr="00592060" w14:paraId="5C5AB1BD" w14:textId="77777777" w:rsidTr="00EA7A2C">
        <w:trPr>
          <w:jc w:val="center"/>
        </w:trPr>
        <w:tc>
          <w:tcPr>
            <w:tcW w:w="3120" w:type="dxa"/>
          </w:tcPr>
          <w:p w14:paraId="033D5E15" w14:textId="77777777" w:rsidR="004E6A65" w:rsidRPr="00592060" w:rsidRDefault="004E6A65" w:rsidP="00071694">
            <w:pPr>
              <w:pStyle w:val="FSCtblMain"/>
            </w:pPr>
            <w:r>
              <w:rPr>
                <w:i/>
              </w:rPr>
              <w:t>Salmonella</w:t>
            </w:r>
            <w:r>
              <w:t xml:space="preserve"> phage preparation (S16 and FO1a)</w:t>
            </w:r>
          </w:p>
        </w:tc>
        <w:tc>
          <w:tcPr>
            <w:tcW w:w="3603" w:type="dxa"/>
          </w:tcPr>
          <w:p w14:paraId="644EF0F1" w14:textId="77777777" w:rsidR="004E6A65" w:rsidRPr="00592060" w:rsidRDefault="004E6A65" w:rsidP="00071694">
            <w:pPr>
              <w:pStyle w:val="FSCtblMain"/>
            </w:pPr>
            <w:r>
              <w:t xml:space="preserve">Reduce </w:t>
            </w:r>
            <w:r w:rsidRPr="0065789D">
              <w:rPr>
                <w:i/>
              </w:rPr>
              <w:t>Salmonella</w:t>
            </w:r>
            <w:r>
              <w:t xml:space="preserve"> species on or in raw meat during processing.</w:t>
            </w:r>
          </w:p>
        </w:tc>
        <w:tc>
          <w:tcPr>
            <w:tcW w:w="2349" w:type="dxa"/>
          </w:tcPr>
          <w:p w14:paraId="437E38ED" w14:textId="77777777" w:rsidR="004E6A65" w:rsidRPr="00592060" w:rsidRDefault="004E6A65" w:rsidP="00071694">
            <w:pPr>
              <w:pStyle w:val="FSCtblMain"/>
            </w:pPr>
            <w:r>
              <w:t>GMP</w:t>
            </w:r>
          </w:p>
        </w:tc>
      </w:tr>
    </w:tbl>
    <w:p w14:paraId="1E61911B" w14:textId="1C3D19D6" w:rsidR="003C4BD5" w:rsidRDefault="004E6A65" w:rsidP="004E6A65">
      <w:pPr>
        <w:pStyle w:val="FSCtMain"/>
        <w:jc w:val="right"/>
        <w:rPr>
          <w:lang w:bidi="en-US"/>
        </w:rPr>
      </w:pPr>
      <w:r>
        <w:rPr>
          <w:lang w:bidi="en-US"/>
        </w:rPr>
        <w:t>”</w:t>
      </w:r>
      <w:r w:rsidR="003C4BD5">
        <w:rPr>
          <w:lang w:bidi="en-US"/>
        </w:rPr>
        <w:br w:type="page"/>
      </w:r>
    </w:p>
    <w:p w14:paraId="56DE9428" w14:textId="37ECDA82" w:rsidR="00AF06FC" w:rsidRDefault="003C4BD5" w:rsidP="00071694">
      <w:pPr>
        <w:pStyle w:val="FSCh2Part"/>
      </w:pPr>
      <w:bookmarkStart w:id="96" w:name="_Toc430251032"/>
      <w:r>
        <w:lastRenderedPageBreak/>
        <w:t xml:space="preserve">Attachment B – </w:t>
      </w:r>
      <w:r w:rsidR="00AF06FC">
        <w:t>Draft Explanatory Statement</w:t>
      </w:r>
      <w:bookmarkEnd w:id="85"/>
      <w:bookmarkEnd w:id="96"/>
    </w:p>
    <w:p w14:paraId="33E6AC1B"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33655F07" w14:textId="77777777" w:rsidR="00AF06FC" w:rsidRDefault="00AF06FC" w:rsidP="00AF06FC">
      <w:pPr>
        <w:rPr>
          <w:lang w:val="en-AU" w:eastAsia="en-GB" w:bidi="ar-SA"/>
        </w:rPr>
      </w:pPr>
    </w:p>
    <w:p w14:paraId="52FB5381" w14:textId="77777777" w:rsidR="00AF06FC" w:rsidRPr="008B20E5"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 xml:space="preserve">Australia New </w:t>
      </w:r>
      <w:r w:rsidRPr="008B20E5">
        <w:rPr>
          <w:rFonts w:eastAsia="Calibri" w:cs="Arial"/>
          <w:bCs/>
          <w:i/>
          <w:szCs w:val="22"/>
          <w:lang w:val="en-AU" w:bidi="ar-SA"/>
        </w:rPr>
        <w:t>Zealand Food Standards Code</w:t>
      </w:r>
      <w:r w:rsidRPr="008B20E5">
        <w:rPr>
          <w:rFonts w:eastAsia="Calibri" w:cs="Arial"/>
          <w:bCs/>
          <w:szCs w:val="22"/>
          <w:lang w:val="en-AU" w:bidi="ar-SA"/>
        </w:rPr>
        <w:t xml:space="preserve"> (the Code).</w:t>
      </w:r>
    </w:p>
    <w:p w14:paraId="0EBF4C0A" w14:textId="77777777" w:rsidR="00AF06FC" w:rsidRPr="008B20E5" w:rsidRDefault="00AF06FC" w:rsidP="00AF06FC">
      <w:pPr>
        <w:widowControl/>
        <w:autoSpaceDE w:val="0"/>
        <w:autoSpaceDN w:val="0"/>
        <w:adjustRightInd w:val="0"/>
        <w:rPr>
          <w:rFonts w:eastAsia="Calibri" w:cs="Arial"/>
          <w:bCs/>
          <w:szCs w:val="22"/>
          <w:lang w:val="en-AU" w:bidi="ar-SA"/>
        </w:rPr>
      </w:pPr>
    </w:p>
    <w:p w14:paraId="5BD4DCBE" w14:textId="77777777" w:rsidR="00AF06FC" w:rsidRPr="008B20E5" w:rsidRDefault="00AF06FC" w:rsidP="00AF06FC">
      <w:pPr>
        <w:widowControl/>
        <w:autoSpaceDE w:val="0"/>
        <w:autoSpaceDN w:val="0"/>
        <w:adjustRightInd w:val="0"/>
        <w:rPr>
          <w:rFonts w:eastAsia="Calibri" w:cs="Arial"/>
          <w:bCs/>
          <w:szCs w:val="22"/>
          <w:lang w:val="en-AU" w:bidi="ar-SA"/>
        </w:rPr>
      </w:pPr>
      <w:r w:rsidRPr="008B20E5">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8B20E5">
        <w:rPr>
          <w:rFonts w:eastAsia="Calibri" w:cs="Arial"/>
          <w:bCs/>
          <w:szCs w:val="22"/>
          <w:lang w:val="en-AU" w:bidi="ar-SA"/>
        </w:rPr>
        <w:t xml:space="preserve">. </w:t>
      </w:r>
    </w:p>
    <w:p w14:paraId="10255F4F" w14:textId="77777777" w:rsidR="00AF06FC" w:rsidRPr="008B20E5" w:rsidRDefault="00AF06FC" w:rsidP="00AF06FC">
      <w:pPr>
        <w:widowControl/>
        <w:autoSpaceDE w:val="0"/>
        <w:autoSpaceDN w:val="0"/>
        <w:adjustRightInd w:val="0"/>
        <w:rPr>
          <w:rFonts w:eastAsia="Calibri" w:cs="Arial"/>
          <w:bCs/>
          <w:szCs w:val="22"/>
          <w:lang w:val="en-AU" w:bidi="ar-SA"/>
        </w:rPr>
      </w:pPr>
    </w:p>
    <w:p w14:paraId="04C61DF6" w14:textId="0A07C700" w:rsidR="00AF06FC" w:rsidRPr="008B20E5" w:rsidRDefault="00AF06FC" w:rsidP="00AF06FC">
      <w:pPr>
        <w:widowControl/>
        <w:autoSpaceDE w:val="0"/>
        <w:autoSpaceDN w:val="0"/>
        <w:adjustRightInd w:val="0"/>
        <w:rPr>
          <w:rFonts w:eastAsia="Calibri" w:cs="Arial"/>
          <w:bCs/>
          <w:szCs w:val="22"/>
          <w:lang w:val="en-AU" w:bidi="ar-SA"/>
        </w:rPr>
      </w:pPr>
      <w:r w:rsidRPr="008B20E5">
        <w:rPr>
          <w:rFonts w:eastAsia="Calibri" w:cs="Arial"/>
          <w:bCs/>
          <w:szCs w:val="22"/>
          <w:lang w:val="en-AU" w:bidi="ar-SA"/>
        </w:rPr>
        <w:t>FSANZ accepted Application A</w:t>
      </w:r>
      <w:r w:rsidR="008B20E5" w:rsidRPr="008B20E5">
        <w:rPr>
          <w:rFonts w:eastAsia="Calibri" w:cs="Arial"/>
          <w:bCs/>
          <w:szCs w:val="22"/>
          <w:lang w:val="en-AU" w:bidi="ar-SA"/>
        </w:rPr>
        <w:t>1111</w:t>
      </w:r>
      <w:r w:rsidRPr="008B20E5">
        <w:rPr>
          <w:rFonts w:eastAsia="Calibri" w:cs="Arial"/>
          <w:bCs/>
          <w:szCs w:val="22"/>
          <w:lang w:val="en-AU" w:bidi="ar-SA"/>
        </w:rPr>
        <w:t xml:space="preserve"> which seeks </w:t>
      </w:r>
      <w:r w:rsidR="008B20E5" w:rsidRPr="008B20E5">
        <w:rPr>
          <w:rFonts w:eastAsia="Calibri" w:cs="Arial"/>
          <w:bCs/>
          <w:szCs w:val="22"/>
          <w:lang w:val="en-AU" w:bidi="ar-SA"/>
        </w:rPr>
        <w:t>approval for a preparation of two bacteriophages (S16 and FO1a) (</w:t>
      </w:r>
      <w:r w:rsidR="00B17151">
        <w:rPr>
          <w:rFonts w:eastAsia="Calibri" w:cs="Arial"/>
          <w:bCs/>
          <w:szCs w:val="22"/>
          <w:lang w:val="en-AU" w:bidi="ar-SA"/>
        </w:rPr>
        <w:t xml:space="preserve">tradename </w:t>
      </w:r>
      <w:r w:rsidR="008B20E5" w:rsidRPr="008B20E5">
        <w:rPr>
          <w:rFonts w:eastAsia="Calibri" w:cs="Arial"/>
          <w:bCs/>
          <w:szCs w:val="22"/>
          <w:lang w:val="en-AU" w:bidi="ar-SA"/>
        </w:rPr>
        <w:t xml:space="preserve">Salmonelex™) as a processing aid to reduce </w:t>
      </w:r>
      <w:r w:rsidR="008B20E5" w:rsidRPr="008B20E5">
        <w:rPr>
          <w:rFonts w:eastAsia="Calibri" w:cs="Arial"/>
          <w:bCs/>
          <w:i/>
          <w:szCs w:val="22"/>
          <w:lang w:val="en-AU" w:bidi="ar-SA"/>
        </w:rPr>
        <w:t>Salmonella</w:t>
      </w:r>
      <w:r w:rsidR="008B20E5" w:rsidRPr="008B20E5">
        <w:rPr>
          <w:rFonts w:eastAsia="Calibri" w:cs="Arial"/>
          <w:bCs/>
          <w:szCs w:val="22"/>
          <w:lang w:val="en-AU" w:bidi="ar-SA"/>
        </w:rPr>
        <w:t xml:space="preserve"> contamination in specific foods.</w:t>
      </w:r>
      <w:r w:rsidRPr="008B20E5">
        <w:rPr>
          <w:rFonts w:eastAsia="Calibri" w:cs="Arial"/>
          <w:bCs/>
          <w:szCs w:val="22"/>
          <w:lang w:val="en-AU" w:bidi="ar-SA"/>
        </w:rPr>
        <w:t xml:space="preserve"> The Authority considered the Application in accordance with Division 1 of Part 3 and has </w:t>
      </w:r>
      <w:r w:rsidR="008B20E5" w:rsidRPr="008B20E5">
        <w:rPr>
          <w:rFonts w:eastAsia="Calibri" w:cs="Arial"/>
          <w:bCs/>
          <w:szCs w:val="22"/>
          <w:lang w:val="en-AU" w:bidi="ar-SA"/>
        </w:rPr>
        <w:t>proposed</w:t>
      </w:r>
      <w:r w:rsidRPr="008B20E5">
        <w:rPr>
          <w:rFonts w:eastAsia="Calibri" w:cs="Arial"/>
          <w:bCs/>
          <w:szCs w:val="22"/>
          <w:lang w:val="en-AU" w:bidi="ar-SA"/>
        </w:rPr>
        <w:t xml:space="preserve"> a draft </w:t>
      </w:r>
      <w:r w:rsidR="008B20E5" w:rsidRPr="008B20E5">
        <w:rPr>
          <w:rFonts w:eastAsia="Calibri" w:cs="Arial"/>
          <w:bCs/>
          <w:szCs w:val="22"/>
          <w:lang w:val="en-AU" w:bidi="ar-SA"/>
        </w:rPr>
        <w:t>Variation</w:t>
      </w:r>
      <w:r w:rsidRPr="008B20E5">
        <w:rPr>
          <w:rFonts w:eastAsia="Calibri" w:cs="Arial"/>
          <w:bCs/>
          <w:szCs w:val="22"/>
          <w:lang w:val="en-AU" w:bidi="ar-SA"/>
        </w:rPr>
        <w:t xml:space="preserve">. </w:t>
      </w:r>
    </w:p>
    <w:p w14:paraId="768F7877" w14:textId="77777777" w:rsidR="00AF06FC" w:rsidRPr="00D13E34" w:rsidRDefault="00AF06FC" w:rsidP="00AF06FC">
      <w:pPr>
        <w:widowControl/>
        <w:autoSpaceDE w:val="0"/>
        <w:autoSpaceDN w:val="0"/>
        <w:adjustRightInd w:val="0"/>
        <w:rPr>
          <w:rFonts w:eastAsia="Calibri" w:cs="Arial"/>
          <w:bCs/>
          <w:szCs w:val="22"/>
          <w:lang w:val="en-AU" w:bidi="ar-SA"/>
        </w:rPr>
      </w:pPr>
    </w:p>
    <w:p w14:paraId="790D6556"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11F59B0B" w14:textId="77777777" w:rsidR="00CB1375" w:rsidRDefault="00CB1375" w:rsidP="00AF06FC">
      <w:pPr>
        <w:rPr>
          <w:lang w:val="en-AU" w:eastAsia="en-GB" w:bidi="ar-SA"/>
        </w:rPr>
      </w:pPr>
    </w:p>
    <w:p w14:paraId="16499FC8" w14:textId="2C2DB257" w:rsidR="00AF06FC" w:rsidRDefault="00AF06FC" w:rsidP="00AF06FC">
      <w:pPr>
        <w:rPr>
          <w:lang w:val="en-AU" w:eastAsia="en-GB" w:bidi="ar-SA"/>
        </w:rPr>
      </w:pPr>
      <w:r>
        <w:rPr>
          <w:lang w:val="en-AU" w:eastAsia="en-GB" w:bidi="ar-SA"/>
        </w:rPr>
        <w:t xml:space="preserve">The Authority has </w:t>
      </w:r>
      <w:r w:rsidR="008B20E5" w:rsidRPr="008F0A02">
        <w:rPr>
          <w:lang w:val="en-AU" w:eastAsia="en-GB" w:bidi="ar-SA"/>
        </w:rPr>
        <w:t xml:space="preserve">proposed that </w:t>
      </w:r>
      <w:r w:rsidR="008B20E5" w:rsidRPr="008B20E5">
        <w:rPr>
          <w:i/>
          <w:lang w:val="en-AU" w:eastAsia="en-GB" w:bidi="ar-SA"/>
        </w:rPr>
        <w:t>Salmonella</w:t>
      </w:r>
      <w:r w:rsidR="008B20E5">
        <w:rPr>
          <w:lang w:val="en-AU" w:eastAsia="en-GB" w:bidi="ar-SA"/>
        </w:rPr>
        <w:t xml:space="preserve"> phage preparation (S16 and FO1a) be added to the list of approved processing aids with miscellaneous technological functions for use in specific foods. The table to section S18</w:t>
      </w:r>
      <w:r w:rsidR="00B17151">
        <w:rPr>
          <w:rFonts w:cs="Arial"/>
          <w:lang w:val="en-AU" w:eastAsia="en-GB" w:bidi="ar-SA"/>
        </w:rPr>
        <w:t>―</w:t>
      </w:r>
      <w:r w:rsidR="008B20E5">
        <w:rPr>
          <w:lang w:val="en-AU" w:eastAsia="en-GB" w:bidi="ar-SA"/>
        </w:rPr>
        <w:t xml:space="preserve">9 in Schedule 18 lists permissions for these processing aids, as well as the foods and levels which are allowed. An entry for </w:t>
      </w:r>
      <w:r w:rsidR="008B20E5" w:rsidRPr="008B20E5">
        <w:rPr>
          <w:i/>
          <w:lang w:val="en-AU" w:eastAsia="en-GB" w:bidi="ar-SA"/>
        </w:rPr>
        <w:t>Salmonella</w:t>
      </w:r>
      <w:r w:rsidR="008B20E5">
        <w:rPr>
          <w:lang w:val="en-AU" w:eastAsia="en-GB" w:bidi="ar-SA"/>
        </w:rPr>
        <w:t xml:space="preserve"> phage preparation (S16 and FO1a) will be included for use in or on raw meat during processing at levels up to Good Manufacturing Pr</w:t>
      </w:r>
      <w:r w:rsidR="007B6353">
        <w:rPr>
          <w:lang w:val="en-AU" w:eastAsia="en-GB" w:bidi="ar-SA"/>
        </w:rPr>
        <w:t>actice</w:t>
      </w:r>
      <w:r w:rsidR="008B20E5">
        <w:rPr>
          <w:lang w:val="en-AU" w:eastAsia="en-GB" w:bidi="ar-SA"/>
        </w:rPr>
        <w:t xml:space="preserve"> (GMP). A specification stating what the preparation is composed of will also be included into Schedule 3.</w:t>
      </w:r>
    </w:p>
    <w:p w14:paraId="21838AA2" w14:textId="77777777" w:rsidR="00AF06FC" w:rsidRDefault="00AF06FC" w:rsidP="00AF06FC">
      <w:pPr>
        <w:rPr>
          <w:lang w:val="en-AU" w:eastAsia="en-GB" w:bidi="ar-SA"/>
        </w:rPr>
      </w:pPr>
    </w:p>
    <w:p w14:paraId="4E6A2D8F"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A62B671" w14:textId="77777777" w:rsidR="00AF06FC" w:rsidRDefault="00AF06FC" w:rsidP="00AF06FC">
      <w:pPr>
        <w:rPr>
          <w:lang w:val="en-AU" w:eastAsia="en-GB" w:bidi="ar-SA"/>
        </w:rPr>
      </w:pPr>
    </w:p>
    <w:p w14:paraId="17FDF1AF"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42D77E2" w14:textId="77777777" w:rsidR="00AF06FC" w:rsidRDefault="00AF06FC" w:rsidP="00AF06FC">
      <w:pPr>
        <w:rPr>
          <w:lang w:val="en-AU" w:eastAsia="en-GB" w:bidi="ar-SA"/>
        </w:rPr>
      </w:pPr>
    </w:p>
    <w:p w14:paraId="5F5CBA25"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035DFB41" w14:textId="77777777" w:rsidR="00AF06FC" w:rsidRDefault="00AF06FC" w:rsidP="00AF06FC">
      <w:pPr>
        <w:rPr>
          <w:lang w:val="en-AU" w:eastAsia="en-GB" w:bidi="ar-SA"/>
        </w:rPr>
      </w:pPr>
    </w:p>
    <w:p w14:paraId="477CAFF9" w14:textId="56E14A3D" w:rsidR="00F64653" w:rsidRPr="00BD384E" w:rsidRDefault="00CC36E7" w:rsidP="00F64653">
      <w:pPr>
        <w:rPr>
          <w:lang w:val="en-AU"/>
        </w:rPr>
      </w:pPr>
      <w:r w:rsidRPr="00BD384E">
        <w:rPr>
          <w:szCs w:val="22"/>
        </w:rPr>
        <w:t xml:space="preserve">In accordance with the procedure in Division </w:t>
      </w:r>
      <w:r w:rsidR="008B20E5" w:rsidRPr="00BD384E">
        <w:rPr>
          <w:szCs w:val="22"/>
        </w:rPr>
        <w:t>1</w:t>
      </w:r>
      <w:r w:rsidRPr="00BD384E">
        <w:rPr>
          <w:szCs w:val="22"/>
        </w:rPr>
        <w:t xml:space="preserve"> of Part </w:t>
      </w:r>
      <w:r w:rsidR="008B20E5" w:rsidRPr="00BD384E">
        <w:rPr>
          <w:szCs w:val="22"/>
        </w:rPr>
        <w:t>3</w:t>
      </w:r>
      <w:r w:rsidRPr="00BD384E">
        <w:rPr>
          <w:szCs w:val="22"/>
        </w:rPr>
        <w:t xml:space="preserve"> of the FSANZ Act, </w:t>
      </w:r>
      <w:r w:rsidRPr="00BD384E">
        <w:rPr>
          <w:rFonts w:eastAsia="Calibri" w:cs="Arial"/>
          <w:bCs/>
          <w:szCs w:val="22"/>
          <w:lang w:val="en-AU" w:bidi="ar-SA"/>
        </w:rPr>
        <w:t>the Authority</w:t>
      </w:r>
      <w:r w:rsidRPr="00BD384E">
        <w:rPr>
          <w:szCs w:val="22"/>
        </w:rPr>
        <w:t>’s consideration of Application</w:t>
      </w:r>
      <w:r w:rsidR="008B20E5" w:rsidRPr="00BD384E">
        <w:rPr>
          <w:szCs w:val="22"/>
        </w:rPr>
        <w:t xml:space="preserve"> </w:t>
      </w:r>
      <w:r w:rsidRPr="00BD384E">
        <w:rPr>
          <w:szCs w:val="22"/>
        </w:rPr>
        <w:t>A</w:t>
      </w:r>
      <w:r w:rsidR="008B20E5" w:rsidRPr="00BD384E">
        <w:rPr>
          <w:szCs w:val="22"/>
        </w:rPr>
        <w:t>1111</w:t>
      </w:r>
      <w:r w:rsidRPr="00BD384E">
        <w:rPr>
          <w:szCs w:val="22"/>
        </w:rPr>
        <w:t xml:space="preserve"> will include one round of public consultation following an assessment and the preparation of a draft </w:t>
      </w:r>
      <w:r w:rsidR="003C4BD5">
        <w:rPr>
          <w:szCs w:val="22"/>
        </w:rPr>
        <w:t>variation</w:t>
      </w:r>
      <w:r w:rsidR="003C4BD5" w:rsidRPr="00BD384E">
        <w:rPr>
          <w:szCs w:val="22"/>
        </w:rPr>
        <w:t xml:space="preserve"> </w:t>
      </w:r>
      <w:r w:rsidRPr="00BD384E">
        <w:rPr>
          <w:szCs w:val="22"/>
        </w:rPr>
        <w:t xml:space="preserve">and associated report. </w:t>
      </w:r>
    </w:p>
    <w:p w14:paraId="1577C89D" w14:textId="77777777" w:rsidR="00294BAD" w:rsidRPr="00BD384E" w:rsidRDefault="00294BAD" w:rsidP="00F64653"/>
    <w:p w14:paraId="550E9CB4" w14:textId="7911D156" w:rsidR="00AF06FC" w:rsidRPr="00BD384E" w:rsidRDefault="00AF06FC" w:rsidP="00AF06FC">
      <w:pPr>
        <w:widowControl/>
        <w:autoSpaceDE w:val="0"/>
        <w:autoSpaceDN w:val="0"/>
        <w:adjustRightInd w:val="0"/>
        <w:rPr>
          <w:rFonts w:cs="Arial"/>
          <w:szCs w:val="22"/>
        </w:rPr>
      </w:pPr>
      <w:r w:rsidRPr="00BD384E">
        <w:rPr>
          <w:rFonts w:eastAsia="Calibri" w:cs="Arial"/>
          <w:bCs/>
          <w:szCs w:val="22"/>
          <w:lang w:val="en-AU" w:bidi="ar-SA"/>
        </w:rPr>
        <w:t xml:space="preserve">A Regulation Impact Statement was not required because the proposed variations to </w:t>
      </w:r>
      <w:r w:rsidR="00BD384E" w:rsidRPr="00BD384E">
        <w:rPr>
          <w:rFonts w:eastAsia="Calibri" w:cs="Arial"/>
          <w:bCs/>
          <w:szCs w:val="22"/>
          <w:lang w:val="en-AU" w:bidi="ar-SA"/>
        </w:rPr>
        <w:t xml:space="preserve">Schedule 18 and Schedule 3 </w:t>
      </w:r>
      <w:r w:rsidRPr="00BD384E">
        <w:t>are likely to have a minor impact on business and individuals</w:t>
      </w:r>
      <w:r w:rsidR="00436B8D" w:rsidRPr="00BD384E">
        <w:t xml:space="preserve">. </w:t>
      </w:r>
    </w:p>
    <w:p w14:paraId="2C9E7677" w14:textId="77777777" w:rsidR="00553969" w:rsidRPr="00BD384E" w:rsidRDefault="00553969" w:rsidP="00553969">
      <w:pPr>
        <w:widowControl/>
        <w:rPr>
          <w:rFonts w:eastAsiaTheme="minorHAnsi" w:cs="Arial"/>
          <w:b/>
          <w:bCs/>
          <w:szCs w:val="22"/>
          <w:lang w:val="en-AU" w:bidi="ar-SA"/>
        </w:rPr>
      </w:pPr>
    </w:p>
    <w:p w14:paraId="56337B3C" w14:textId="77777777"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00B9BFE" w14:textId="77777777" w:rsidR="00553969" w:rsidRDefault="00553969" w:rsidP="00553969">
      <w:pPr>
        <w:rPr>
          <w:rFonts w:eastAsiaTheme="minorHAnsi"/>
          <w:lang w:val="en-AU" w:bidi="ar-SA"/>
        </w:rPr>
      </w:pPr>
    </w:p>
    <w:p w14:paraId="286C2808"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58487CB1" w14:textId="77777777" w:rsidR="00553969" w:rsidRDefault="00553969" w:rsidP="00553969">
      <w:pPr>
        <w:rPr>
          <w:rFonts w:eastAsiaTheme="minorHAnsi"/>
          <w:lang w:val="en-AU" w:bidi="ar-SA"/>
        </w:rPr>
      </w:pPr>
    </w:p>
    <w:p w14:paraId="6FE47E92" w14:textId="77777777"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14:paraId="2BD892F0" w14:textId="77777777" w:rsidR="00294BAD" w:rsidRPr="00AD344F" w:rsidRDefault="00294BAD" w:rsidP="00AF06FC">
      <w:pPr>
        <w:rPr>
          <w:b/>
        </w:rPr>
      </w:pPr>
    </w:p>
    <w:p w14:paraId="2CCAFAEF" w14:textId="0C3C4145" w:rsidR="00F71768" w:rsidRDefault="00C7018C" w:rsidP="000E37B0">
      <w:r w:rsidRPr="00E756B4">
        <w:t xml:space="preserve">Item </w:t>
      </w:r>
      <w:r w:rsidR="00F71768">
        <w:t>[</w:t>
      </w:r>
      <w:r w:rsidRPr="00E756B4">
        <w:t>1</w:t>
      </w:r>
      <w:r w:rsidR="00F71768">
        <w:t xml:space="preserve">] varies Schedule 3 of the Code. </w:t>
      </w:r>
    </w:p>
    <w:p w14:paraId="3BFE511C" w14:textId="77777777" w:rsidR="00F71768" w:rsidRDefault="00F71768" w:rsidP="008573C5"/>
    <w:p w14:paraId="56B9BE48" w14:textId="79EA8B8F" w:rsidR="002E68B2" w:rsidRDefault="00F71768">
      <w:r>
        <w:t xml:space="preserve">Item [1.1] amends the table to subsection </w:t>
      </w:r>
      <w:r>
        <w:rPr>
          <w:szCs w:val="22"/>
        </w:rPr>
        <w:t xml:space="preserve">S3—2(2) by inserting a reference to </w:t>
      </w:r>
      <w:r w:rsidRPr="00D22291">
        <w:rPr>
          <w:i/>
        </w:rPr>
        <w:t>Salmonella</w:t>
      </w:r>
      <w:r>
        <w:t xml:space="preserve"> phage preparation (S16 and FO1a) and to new subsection </w:t>
      </w:r>
      <w:r w:rsidRPr="00E756B4">
        <w:rPr>
          <w:szCs w:val="22"/>
        </w:rPr>
        <w:t>S3—33</w:t>
      </w:r>
      <w:r>
        <w:rPr>
          <w:szCs w:val="22"/>
        </w:rPr>
        <w:t xml:space="preserve">.  </w:t>
      </w:r>
      <w:r w:rsidR="000E37B0">
        <w:rPr>
          <w:szCs w:val="22"/>
        </w:rPr>
        <w:t xml:space="preserve">This in effect provides that the specification listed in </w:t>
      </w:r>
      <w:r w:rsidR="000E37B0">
        <w:t xml:space="preserve">new subsection </w:t>
      </w:r>
      <w:r w:rsidR="000E37B0" w:rsidRPr="00E756B4">
        <w:rPr>
          <w:szCs w:val="22"/>
        </w:rPr>
        <w:t>S3—33</w:t>
      </w:r>
      <w:r w:rsidR="000E37B0">
        <w:rPr>
          <w:szCs w:val="22"/>
        </w:rPr>
        <w:t xml:space="preserve"> is the specification for </w:t>
      </w:r>
      <w:r w:rsidR="000E37B0" w:rsidRPr="00D22291">
        <w:rPr>
          <w:i/>
        </w:rPr>
        <w:t>Salmonella</w:t>
      </w:r>
      <w:r w:rsidR="000E37B0">
        <w:t xml:space="preserve"> phage preparation (S16 and FO1a).</w:t>
      </w:r>
      <w:r w:rsidR="002E68B2">
        <w:br w:type="page"/>
      </w:r>
    </w:p>
    <w:p w14:paraId="5B7A0AC0" w14:textId="3E3D91B0" w:rsidR="00C7018C" w:rsidRPr="00071694" w:rsidRDefault="00F71768">
      <w:r>
        <w:lastRenderedPageBreak/>
        <w:t xml:space="preserve">Item [1.2] new subsection </w:t>
      </w:r>
      <w:r w:rsidRPr="00E756B4">
        <w:rPr>
          <w:szCs w:val="22"/>
        </w:rPr>
        <w:t>S3—33</w:t>
      </w:r>
      <w:r>
        <w:rPr>
          <w:szCs w:val="22"/>
        </w:rPr>
        <w:t xml:space="preserve"> into Schedule 3. The new subsection provides </w:t>
      </w:r>
      <w:r w:rsidR="00E64BC6">
        <w:t>a</w:t>
      </w:r>
      <w:r w:rsidR="00C7018C">
        <w:t xml:space="preserve"> </w:t>
      </w:r>
      <w:r w:rsidR="000E37B0">
        <w:t xml:space="preserve">compositional </w:t>
      </w:r>
      <w:r w:rsidR="00C7018C">
        <w:t xml:space="preserve">specification for </w:t>
      </w:r>
      <w:r w:rsidR="00C7018C" w:rsidRPr="00D22291">
        <w:rPr>
          <w:i/>
        </w:rPr>
        <w:t>Salmonella</w:t>
      </w:r>
      <w:r w:rsidR="00C7018C">
        <w:t xml:space="preserve"> phage preparation (S16 and FO1a) </w:t>
      </w:r>
      <w:r w:rsidR="003C4BD5">
        <w:t>(</w:t>
      </w:r>
      <w:r w:rsidR="003C4BD5" w:rsidRPr="00E756B4">
        <w:rPr>
          <w:szCs w:val="22"/>
        </w:rPr>
        <w:t>S3—33</w:t>
      </w:r>
      <w:r w:rsidR="003C4BD5">
        <w:rPr>
          <w:szCs w:val="22"/>
        </w:rPr>
        <w:t>)</w:t>
      </w:r>
      <w:r w:rsidR="000E37B0">
        <w:rPr>
          <w:szCs w:val="22"/>
        </w:rPr>
        <w:t xml:space="preserve"> by reference to the </w:t>
      </w:r>
      <w:r w:rsidR="00E756B4">
        <w:t xml:space="preserve">biological classification of </w:t>
      </w:r>
      <w:r w:rsidR="000E37B0">
        <w:t xml:space="preserve">its </w:t>
      </w:r>
      <w:r w:rsidR="00E756B4">
        <w:t>component</w:t>
      </w:r>
      <w:r w:rsidR="000E37B0">
        <w:t xml:space="preserve"> phages</w:t>
      </w:r>
    </w:p>
    <w:p w14:paraId="33934724" w14:textId="77777777" w:rsidR="00B17151" w:rsidRPr="00E756B4" w:rsidRDefault="00B17151" w:rsidP="00C7018C"/>
    <w:p w14:paraId="4B8F362E" w14:textId="6ED40CBF" w:rsidR="005216F4" w:rsidRDefault="00C7018C" w:rsidP="00E64BC6">
      <w:r w:rsidRPr="00E756B4">
        <w:t xml:space="preserve">Item 2 </w:t>
      </w:r>
      <w:r w:rsidR="00F71768">
        <w:rPr>
          <w:szCs w:val="22"/>
        </w:rPr>
        <w:t>varies</w:t>
      </w:r>
      <w:r w:rsidRPr="00E756B4">
        <w:rPr>
          <w:szCs w:val="22"/>
        </w:rPr>
        <w:t xml:space="preserve"> </w:t>
      </w:r>
      <w:r w:rsidR="00F71768">
        <w:rPr>
          <w:szCs w:val="22"/>
        </w:rPr>
        <w:t xml:space="preserve">Schedule 18 of the Code. </w:t>
      </w:r>
      <w:r w:rsidR="005216F4">
        <w:rPr>
          <w:szCs w:val="22"/>
        </w:rPr>
        <w:t>The Item</w:t>
      </w:r>
      <w:r w:rsidR="00F71768">
        <w:rPr>
          <w:szCs w:val="22"/>
        </w:rPr>
        <w:t xml:space="preserve"> amends the </w:t>
      </w:r>
      <w:r w:rsidRPr="00E756B4">
        <w:rPr>
          <w:szCs w:val="22"/>
        </w:rPr>
        <w:t>table to</w:t>
      </w:r>
      <w:r w:rsidR="00E64BC6">
        <w:rPr>
          <w:szCs w:val="22"/>
        </w:rPr>
        <w:t xml:space="preserve"> section</w:t>
      </w:r>
      <w:r w:rsidRPr="00E756B4">
        <w:rPr>
          <w:szCs w:val="22"/>
        </w:rPr>
        <w:t xml:space="preserve"> S18</w:t>
      </w:r>
      <w:r w:rsidR="00E756B4">
        <w:rPr>
          <w:rFonts w:cs="Arial"/>
          <w:szCs w:val="22"/>
        </w:rPr>
        <w:t>―</w:t>
      </w:r>
      <w:r w:rsidRPr="00E756B4">
        <w:rPr>
          <w:szCs w:val="22"/>
        </w:rPr>
        <w:t>9</w:t>
      </w:r>
      <w:r w:rsidR="00E756B4">
        <w:rPr>
          <w:szCs w:val="22"/>
        </w:rPr>
        <w:t xml:space="preserve"> to include </w:t>
      </w:r>
      <w:r w:rsidR="000E37B0">
        <w:rPr>
          <w:szCs w:val="22"/>
        </w:rPr>
        <w:t xml:space="preserve">an entry for </w:t>
      </w:r>
      <w:r w:rsidR="00E756B4" w:rsidRPr="00E756B4">
        <w:rPr>
          <w:i/>
          <w:szCs w:val="22"/>
        </w:rPr>
        <w:t>Salmonella</w:t>
      </w:r>
      <w:r w:rsidR="00E756B4">
        <w:rPr>
          <w:szCs w:val="22"/>
        </w:rPr>
        <w:t xml:space="preserve"> phage</w:t>
      </w:r>
      <w:r w:rsidRPr="00E756B4">
        <w:rPr>
          <w:szCs w:val="22"/>
        </w:rPr>
        <w:t xml:space="preserve"> preparation (S16 and FO1a) in </w:t>
      </w:r>
      <w:r>
        <w:rPr>
          <w:szCs w:val="22"/>
        </w:rPr>
        <w:t xml:space="preserve">the list of approved processing aids with miscellaneous technological functions. The </w:t>
      </w:r>
      <w:r w:rsidR="000E37B0">
        <w:rPr>
          <w:szCs w:val="22"/>
        </w:rPr>
        <w:t xml:space="preserve">new entry states that the </w:t>
      </w:r>
      <w:r>
        <w:rPr>
          <w:szCs w:val="22"/>
        </w:rPr>
        <w:t>phage preparation can be used</w:t>
      </w:r>
      <w:r w:rsidR="005216F4">
        <w:rPr>
          <w:szCs w:val="22"/>
        </w:rPr>
        <w:t xml:space="preserve"> for the technological purpose of reducing</w:t>
      </w:r>
      <w:r w:rsidR="00E756B4">
        <w:rPr>
          <w:szCs w:val="22"/>
        </w:rPr>
        <w:t xml:space="preserve"> </w:t>
      </w:r>
      <w:r w:rsidR="005216F4" w:rsidRPr="00D22291">
        <w:rPr>
          <w:i/>
          <w:szCs w:val="22"/>
        </w:rPr>
        <w:t>Salmonella</w:t>
      </w:r>
      <w:r w:rsidR="005216F4">
        <w:rPr>
          <w:szCs w:val="22"/>
        </w:rPr>
        <w:t xml:space="preserve"> species </w:t>
      </w:r>
      <w:r>
        <w:rPr>
          <w:szCs w:val="22"/>
        </w:rPr>
        <w:t>or in raw meat during</w:t>
      </w:r>
      <w:r w:rsidR="005216F4">
        <w:rPr>
          <w:szCs w:val="22"/>
        </w:rPr>
        <w:t xml:space="preserve"> processing</w:t>
      </w:r>
      <w:r>
        <w:rPr>
          <w:szCs w:val="22"/>
        </w:rPr>
        <w:t>.</w:t>
      </w:r>
      <w:r>
        <w:t xml:space="preserve"> </w:t>
      </w:r>
      <w:r w:rsidR="005216F4">
        <w:t>The entry also states that the maximum permitted level is that which is consistent with Good Manufacturing Practice.</w:t>
      </w:r>
    </w:p>
    <w:p w14:paraId="55A65DA1" w14:textId="4CBDA5C9" w:rsidR="00AB0275" w:rsidRDefault="00AB0275" w:rsidP="00071694"/>
    <w:sectPr w:rsidR="00AB0275" w:rsidSect="002E68B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9AE51" w14:textId="77777777" w:rsidR="00FB1358" w:rsidRDefault="00FB1358">
      <w:r>
        <w:separator/>
      </w:r>
    </w:p>
  </w:endnote>
  <w:endnote w:type="continuationSeparator" w:id="0">
    <w:p w14:paraId="2BAB123A" w14:textId="77777777" w:rsidR="00FB1358" w:rsidRDefault="00FB1358">
      <w:r>
        <w:continuationSeparator/>
      </w:r>
    </w:p>
  </w:endnote>
  <w:endnote w:type="continuationNotice" w:id="1">
    <w:p w14:paraId="26B8703A" w14:textId="77777777" w:rsidR="00FB1358" w:rsidRDefault="00FB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07F4E" w14:textId="77777777" w:rsidR="00313534" w:rsidRDefault="003135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09100" w14:textId="77777777" w:rsidR="00313534" w:rsidRDefault="00313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3752" w14:textId="77777777" w:rsidR="00313534" w:rsidRDefault="003135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D9C">
      <w:rPr>
        <w:rStyle w:val="PageNumber"/>
        <w:noProof/>
      </w:rPr>
      <w:t>i</w:t>
    </w:r>
    <w:r>
      <w:rPr>
        <w:rStyle w:val="PageNumber"/>
      </w:rPr>
      <w:fldChar w:fldCharType="end"/>
    </w:r>
  </w:p>
  <w:p w14:paraId="541CF93D" w14:textId="77777777" w:rsidR="00313534" w:rsidRDefault="003135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8778E" w14:textId="77777777" w:rsidR="00006D9C" w:rsidRDefault="00006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E8952" w14:textId="77777777" w:rsidR="00FB1358" w:rsidRDefault="00FB1358">
      <w:r>
        <w:separator/>
      </w:r>
    </w:p>
  </w:footnote>
  <w:footnote w:type="continuationSeparator" w:id="0">
    <w:p w14:paraId="056AA6F8" w14:textId="77777777" w:rsidR="00FB1358" w:rsidRDefault="00FB1358">
      <w:r>
        <w:continuationSeparator/>
      </w:r>
    </w:p>
  </w:footnote>
  <w:footnote w:type="continuationNotice" w:id="1">
    <w:p w14:paraId="382D8AAC" w14:textId="77777777" w:rsidR="00FB1358" w:rsidRDefault="00FB1358"/>
  </w:footnote>
  <w:footnote w:id="2">
    <w:p w14:paraId="31EC019D" w14:textId="77777777" w:rsidR="00313534" w:rsidRPr="008828D9" w:rsidRDefault="00313534"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0AA155E1" w14:textId="77777777" w:rsidR="00313534" w:rsidRPr="006115C5" w:rsidRDefault="00313534" w:rsidP="00A50316">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D2369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5D3C" w14:textId="77777777" w:rsidR="00006D9C" w:rsidRDefault="00006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B2CE" w14:textId="77777777" w:rsidR="00006D9C" w:rsidRDefault="00006D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0ED7" w14:textId="77777777" w:rsidR="00313534" w:rsidRDefault="0031353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127A4D3C"/>
    <w:lvl w:ilvl="0" w:tplc="6A3E2C22">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F74A9C"/>
    <w:multiLevelType w:val="hybridMultilevel"/>
    <w:tmpl w:val="E926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9"/>
  </w:num>
  <w:num w:numId="9">
    <w:abstractNumId w:val="8"/>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10F"/>
    <w:rsid w:val="00004274"/>
    <w:rsid w:val="0000469B"/>
    <w:rsid w:val="00006D9C"/>
    <w:rsid w:val="00016CB6"/>
    <w:rsid w:val="00022DBC"/>
    <w:rsid w:val="00034F87"/>
    <w:rsid w:val="00035FF3"/>
    <w:rsid w:val="000368B7"/>
    <w:rsid w:val="00041672"/>
    <w:rsid w:val="000427B2"/>
    <w:rsid w:val="00051021"/>
    <w:rsid w:val="00051ED9"/>
    <w:rsid w:val="00057181"/>
    <w:rsid w:val="00062441"/>
    <w:rsid w:val="00064B2D"/>
    <w:rsid w:val="00065F1F"/>
    <w:rsid w:val="00071694"/>
    <w:rsid w:val="0007466A"/>
    <w:rsid w:val="00076D33"/>
    <w:rsid w:val="000778D6"/>
    <w:rsid w:val="00091CC2"/>
    <w:rsid w:val="000A27E9"/>
    <w:rsid w:val="000A3D8B"/>
    <w:rsid w:val="000A5DF8"/>
    <w:rsid w:val="000B12DC"/>
    <w:rsid w:val="000B6AF2"/>
    <w:rsid w:val="000D295F"/>
    <w:rsid w:val="000D6FD4"/>
    <w:rsid w:val="000E0AE4"/>
    <w:rsid w:val="000E37B0"/>
    <w:rsid w:val="000E3DBC"/>
    <w:rsid w:val="00113CE3"/>
    <w:rsid w:val="00117522"/>
    <w:rsid w:val="00121525"/>
    <w:rsid w:val="001271FC"/>
    <w:rsid w:val="001337B6"/>
    <w:rsid w:val="001542D8"/>
    <w:rsid w:val="00180C41"/>
    <w:rsid w:val="00182C4C"/>
    <w:rsid w:val="00197D8D"/>
    <w:rsid w:val="001A1A75"/>
    <w:rsid w:val="001A7E9A"/>
    <w:rsid w:val="001B2C96"/>
    <w:rsid w:val="001C27A3"/>
    <w:rsid w:val="001C282C"/>
    <w:rsid w:val="001C3D2F"/>
    <w:rsid w:val="001C4063"/>
    <w:rsid w:val="001C5295"/>
    <w:rsid w:val="001E09FA"/>
    <w:rsid w:val="001F508D"/>
    <w:rsid w:val="001F5B9C"/>
    <w:rsid w:val="001F74B2"/>
    <w:rsid w:val="00203540"/>
    <w:rsid w:val="0021281B"/>
    <w:rsid w:val="00221D07"/>
    <w:rsid w:val="00227E4A"/>
    <w:rsid w:val="00237406"/>
    <w:rsid w:val="002432EE"/>
    <w:rsid w:val="0024582E"/>
    <w:rsid w:val="0025466F"/>
    <w:rsid w:val="002547EF"/>
    <w:rsid w:val="00256D65"/>
    <w:rsid w:val="00271F00"/>
    <w:rsid w:val="00273A80"/>
    <w:rsid w:val="002742B7"/>
    <w:rsid w:val="0027513D"/>
    <w:rsid w:val="00276026"/>
    <w:rsid w:val="002851C8"/>
    <w:rsid w:val="0029204E"/>
    <w:rsid w:val="00294BAD"/>
    <w:rsid w:val="0029631C"/>
    <w:rsid w:val="002A0194"/>
    <w:rsid w:val="002A5F8B"/>
    <w:rsid w:val="002A7F6C"/>
    <w:rsid w:val="002B0D8E"/>
    <w:rsid w:val="002B25D9"/>
    <w:rsid w:val="002D6809"/>
    <w:rsid w:val="002E086A"/>
    <w:rsid w:val="002E68B2"/>
    <w:rsid w:val="002F6488"/>
    <w:rsid w:val="00310E84"/>
    <w:rsid w:val="00313534"/>
    <w:rsid w:val="00315A71"/>
    <w:rsid w:val="003213F9"/>
    <w:rsid w:val="00323DBF"/>
    <w:rsid w:val="003309A8"/>
    <w:rsid w:val="00332B12"/>
    <w:rsid w:val="00336711"/>
    <w:rsid w:val="003468C9"/>
    <w:rsid w:val="00347935"/>
    <w:rsid w:val="00350DBD"/>
    <w:rsid w:val="00351927"/>
    <w:rsid w:val="00351B07"/>
    <w:rsid w:val="00355D3A"/>
    <w:rsid w:val="0036268A"/>
    <w:rsid w:val="00364841"/>
    <w:rsid w:val="00364BA8"/>
    <w:rsid w:val="00366527"/>
    <w:rsid w:val="00371B29"/>
    <w:rsid w:val="00372182"/>
    <w:rsid w:val="0037520F"/>
    <w:rsid w:val="00391769"/>
    <w:rsid w:val="003953E1"/>
    <w:rsid w:val="003956B3"/>
    <w:rsid w:val="003A3536"/>
    <w:rsid w:val="003A68BE"/>
    <w:rsid w:val="003A7725"/>
    <w:rsid w:val="003B3C9D"/>
    <w:rsid w:val="003B78E0"/>
    <w:rsid w:val="003C4969"/>
    <w:rsid w:val="003C4BD5"/>
    <w:rsid w:val="003D44C9"/>
    <w:rsid w:val="003E33B0"/>
    <w:rsid w:val="003E41D5"/>
    <w:rsid w:val="003E46BA"/>
    <w:rsid w:val="003E5CDB"/>
    <w:rsid w:val="003E7D22"/>
    <w:rsid w:val="003F74C1"/>
    <w:rsid w:val="003F7ACD"/>
    <w:rsid w:val="00405B1A"/>
    <w:rsid w:val="00407241"/>
    <w:rsid w:val="0040761E"/>
    <w:rsid w:val="00407DF4"/>
    <w:rsid w:val="00410C76"/>
    <w:rsid w:val="00411907"/>
    <w:rsid w:val="00412833"/>
    <w:rsid w:val="00413CA8"/>
    <w:rsid w:val="00417EE3"/>
    <w:rsid w:val="004207EB"/>
    <w:rsid w:val="00435FA5"/>
    <w:rsid w:val="00436B8D"/>
    <w:rsid w:val="00437276"/>
    <w:rsid w:val="00447E67"/>
    <w:rsid w:val="0045556F"/>
    <w:rsid w:val="00456B54"/>
    <w:rsid w:val="004623AB"/>
    <w:rsid w:val="00464643"/>
    <w:rsid w:val="004646F8"/>
    <w:rsid w:val="00486793"/>
    <w:rsid w:val="00486F59"/>
    <w:rsid w:val="004A0A59"/>
    <w:rsid w:val="004A2037"/>
    <w:rsid w:val="004A3685"/>
    <w:rsid w:val="004B22B4"/>
    <w:rsid w:val="004C2CE7"/>
    <w:rsid w:val="004D30A6"/>
    <w:rsid w:val="004D4A6E"/>
    <w:rsid w:val="004D639D"/>
    <w:rsid w:val="004D729A"/>
    <w:rsid w:val="004E6A65"/>
    <w:rsid w:val="004F4F98"/>
    <w:rsid w:val="004F69F6"/>
    <w:rsid w:val="004F79AC"/>
    <w:rsid w:val="005017CF"/>
    <w:rsid w:val="00512290"/>
    <w:rsid w:val="005207D8"/>
    <w:rsid w:val="005216F4"/>
    <w:rsid w:val="00521F70"/>
    <w:rsid w:val="0053464E"/>
    <w:rsid w:val="005358B0"/>
    <w:rsid w:val="00553969"/>
    <w:rsid w:val="005579D2"/>
    <w:rsid w:val="00562917"/>
    <w:rsid w:val="00586228"/>
    <w:rsid w:val="00591F1B"/>
    <w:rsid w:val="0059227F"/>
    <w:rsid w:val="0059498B"/>
    <w:rsid w:val="005A1BDE"/>
    <w:rsid w:val="005A3A03"/>
    <w:rsid w:val="005B01E7"/>
    <w:rsid w:val="005B615C"/>
    <w:rsid w:val="005B6AF4"/>
    <w:rsid w:val="005C04CB"/>
    <w:rsid w:val="005C0AF1"/>
    <w:rsid w:val="005C71BA"/>
    <w:rsid w:val="005D16AD"/>
    <w:rsid w:val="005D72E1"/>
    <w:rsid w:val="005E0A16"/>
    <w:rsid w:val="005E2157"/>
    <w:rsid w:val="005E2F53"/>
    <w:rsid w:val="005E6E16"/>
    <w:rsid w:val="005F400E"/>
    <w:rsid w:val="005F7342"/>
    <w:rsid w:val="00603A08"/>
    <w:rsid w:val="006066BC"/>
    <w:rsid w:val="00606C88"/>
    <w:rsid w:val="00610A3C"/>
    <w:rsid w:val="006162B6"/>
    <w:rsid w:val="00621603"/>
    <w:rsid w:val="00627F48"/>
    <w:rsid w:val="00633ACA"/>
    <w:rsid w:val="006342E0"/>
    <w:rsid w:val="00642A47"/>
    <w:rsid w:val="006465B1"/>
    <w:rsid w:val="00646FDD"/>
    <w:rsid w:val="00663FCF"/>
    <w:rsid w:val="006652A2"/>
    <w:rsid w:val="00667D0A"/>
    <w:rsid w:val="00681754"/>
    <w:rsid w:val="00681D53"/>
    <w:rsid w:val="00683E69"/>
    <w:rsid w:val="006926EC"/>
    <w:rsid w:val="006937FF"/>
    <w:rsid w:val="006945FC"/>
    <w:rsid w:val="006965BF"/>
    <w:rsid w:val="006A48A7"/>
    <w:rsid w:val="006B4BA1"/>
    <w:rsid w:val="006C28E2"/>
    <w:rsid w:val="006C3031"/>
    <w:rsid w:val="006C5CF5"/>
    <w:rsid w:val="006D23A5"/>
    <w:rsid w:val="006E146C"/>
    <w:rsid w:val="006F4A82"/>
    <w:rsid w:val="00700239"/>
    <w:rsid w:val="0070373B"/>
    <w:rsid w:val="007070DD"/>
    <w:rsid w:val="00707E72"/>
    <w:rsid w:val="007113EB"/>
    <w:rsid w:val="0071141B"/>
    <w:rsid w:val="00714529"/>
    <w:rsid w:val="0072150F"/>
    <w:rsid w:val="00724FA4"/>
    <w:rsid w:val="00726C2F"/>
    <w:rsid w:val="00730800"/>
    <w:rsid w:val="00733D3E"/>
    <w:rsid w:val="0073564A"/>
    <w:rsid w:val="007356BA"/>
    <w:rsid w:val="007368AB"/>
    <w:rsid w:val="00737902"/>
    <w:rsid w:val="00741EFE"/>
    <w:rsid w:val="00747A01"/>
    <w:rsid w:val="0075017A"/>
    <w:rsid w:val="007602AA"/>
    <w:rsid w:val="007652EF"/>
    <w:rsid w:val="00772A05"/>
    <w:rsid w:val="00772BDC"/>
    <w:rsid w:val="00773033"/>
    <w:rsid w:val="00780792"/>
    <w:rsid w:val="007A44B4"/>
    <w:rsid w:val="007A7D3D"/>
    <w:rsid w:val="007B225D"/>
    <w:rsid w:val="007B6353"/>
    <w:rsid w:val="007C174F"/>
    <w:rsid w:val="007C1C64"/>
    <w:rsid w:val="007D40A1"/>
    <w:rsid w:val="007E0D5A"/>
    <w:rsid w:val="007E48BC"/>
    <w:rsid w:val="007E79F7"/>
    <w:rsid w:val="007F33D1"/>
    <w:rsid w:val="007F3630"/>
    <w:rsid w:val="00807559"/>
    <w:rsid w:val="00821F00"/>
    <w:rsid w:val="0083006E"/>
    <w:rsid w:val="008450BC"/>
    <w:rsid w:val="00851A60"/>
    <w:rsid w:val="0085334B"/>
    <w:rsid w:val="008573C5"/>
    <w:rsid w:val="008621DC"/>
    <w:rsid w:val="00867B23"/>
    <w:rsid w:val="00870214"/>
    <w:rsid w:val="00876515"/>
    <w:rsid w:val="008828D9"/>
    <w:rsid w:val="008848A4"/>
    <w:rsid w:val="00884DD4"/>
    <w:rsid w:val="00885C51"/>
    <w:rsid w:val="00885EB0"/>
    <w:rsid w:val="0089264A"/>
    <w:rsid w:val="00896B85"/>
    <w:rsid w:val="008A22BE"/>
    <w:rsid w:val="008A3221"/>
    <w:rsid w:val="008A35FB"/>
    <w:rsid w:val="008A54CC"/>
    <w:rsid w:val="008B0075"/>
    <w:rsid w:val="008B20E5"/>
    <w:rsid w:val="008C0E7A"/>
    <w:rsid w:val="008C1B36"/>
    <w:rsid w:val="008D06C6"/>
    <w:rsid w:val="008D1C2B"/>
    <w:rsid w:val="008D1D3B"/>
    <w:rsid w:val="008E6250"/>
    <w:rsid w:val="008E677C"/>
    <w:rsid w:val="008F6C2C"/>
    <w:rsid w:val="00902AF6"/>
    <w:rsid w:val="00912269"/>
    <w:rsid w:val="00914030"/>
    <w:rsid w:val="00920249"/>
    <w:rsid w:val="00924C80"/>
    <w:rsid w:val="00932F14"/>
    <w:rsid w:val="0094247F"/>
    <w:rsid w:val="00942D60"/>
    <w:rsid w:val="00944BA4"/>
    <w:rsid w:val="0095404C"/>
    <w:rsid w:val="0096523B"/>
    <w:rsid w:val="009661B0"/>
    <w:rsid w:val="00966EE3"/>
    <w:rsid w:val="00972D06"/>
    <w:rsid w:val="00984763"/>
    <w:rsid w:val="009933D9"/>
    <w:rsid w:val="009A0D54"/>
    <w:rsid w:val="009A391C"/>
    <w:rsid w:val="009A50F2"/>
    <w:rsid w:val="009C3F97"/>
    <w:rsid w:val="009C41C8"/>
    <w:rsid w:val="009C4322"/>
    <w:rsid w:val="009C6995"/>
    <w:rsid w:val="009D790B"/>
    <w:rsid w:val="009E0A61"/>
    <w:rsid w:val="009E1E9F"/>
    <w:rsid w:val="009E3010"/>
    <w:rsid w:val="009F007E"/>
    <w:rsid w:val="009F3546"/>
    <w:rsid w:val="009F6665"/>
    <w:rsid w:val="009F7065"/>
    <w:rsid w:val="00A12B44"/>
    <w:rsid w:val="00A134F1"/>
    <w:rsid w:val="00A1522B"/>
    <w:rsid w:val="00A16700"/>
    <w:rsid w:val="00A40193"/>
    <w:rsid w:val="00A4175D"/>
    <w:rsid w:val="00A477D7"/>
    <w:rsid w:val="00A50316"/>
    <w:rsid w:val="00A54934"/>
    <w:rsid w:val="00A56DC7"/>
    <w:rsid w:val="00A56E34"/>
    <w:rsid w:val="00A72FB5"/>
    <w:rsid w:val="00A74FD1"/>
    <w:rsid w:val="00A82E2B"/>
    <w:rsid w:val="00A84A58"/>
    <w:rsid w:val="00A91DF1"/>
    <w:rsid w:val="00AA0BFA"/>
    <w:rsid w:val="00AB0275"/>
    <w:rsid w:val="00AB4A83"/>
    <w:rsid w:val="00AC74CB"/>
    <w:rsid w:val="00AC782A"/>
    <w:rsid w:val="00AD22F9"/>
    <w:rsid w:val="00AD409E"/>
    <w:rsid w:val="00AD7A3D"/>
    <w:rsid w:val="00AE2606"/>
    <w:rsid w:val="00AE434E"/>
    <w:rsid w:val="00AE4E6E"/>
    <w:rsid w:val="00AE766D"/>
    <w:rsid w:val="00AF06FC"/>
    <w:rsid w:val="00AF1E08"/>
    <w:rsid w:val="00AF3391"/>
    <w:rsid w:val="00AF387F"/>
    <w:rsid w:val="00AF602C"/>
    <w:rsid w:val="00B00E7F"/>
    <w:rsid w:val="00B17151"/>
    <w:rsid w:val="00B173DA"/>
    <w:rsid w:val="00B21DCC"/>
    <w:rsid w:val="00B25F37"/>
    <w:rsid w:val="00B31C50"/>
    <w:rsid w:val="00B342DE"/>
    <w:rsid w:val="00B40DDA"/>
    <w:rsid w:val="00B44422"/>
    <w:rsid w:val="00B46EA0"/>
    <w:rsid w:val="00B501EE"/>
    <w:rsid w:val="00B51E03"/>
    <w:rsid w:val="00B54720"/>
    <w:rsid w:val="00B62DCF"/>
    <w:rsid w:val="00B676EA"/>
    <w:rsid w:val="00B67B29"/>
    <w:rsid w:val="00B71F51"/>
    <w:rsid w:val="00B731D3"/>
    <w:rsid w:val="00B77657"/>
    <w:rsid w:val="00B839A3"/>
    <w:rsid w:val="00B853D2"/>
    <w:rsid w:val="00B902BD"/>
    <w:rsid w:val="00B9694C"/>
    <w:rsid w:val="00BA24E2"/>
    <w:rsid w:val="00BB4E1C"/>
    <w:rsid w:val="00BB548B"/>
    <w:rsid w:val="00BB5930"/>
    <w:rsid w:val="00BD2A39"/>
    <w:rsid w:val="00BD2E80"/>
    <w:rsid w:val="00BD384E"/>
    <w:rsid w:val="00BE11B8"/>
    <w:rsid w:val="00BE1D23"/>
    <w:rsid w:val="00BE3818"/>
    <w:rsid w:val="00BE6FCB"/>
    <w:rsid w:val="00BF4A07"/>
    <w:rsid w:val="00BF7FF0"/>
    <w:rsid w:val="00C12502"/>
    <w:rsid w:val="00C1266C"/>
    <w:rsid w:val="00C14FD2"/>
    <w:rsid w:val="00C2232E"/>
    <w:rsid w:val="00C25F34"/>
    <w:rsid w:val="00C26287"/>
    <w:rsid w:val="00C36578"/>
    <w:rsid w:val="00C40AA5"/>
    <w:rsid w:val="00C46F70"/>
    <w:rsid w:val="00C476D0"/>
    <w:rsid w:val="00C56F71"/>
    <w:rsid w:val="00C63580"/>
    <w:rsid w:val="00C7018C"/>
    <w:rsid w:val="00C836E3"/>
    <w:rsid w:val="00C86577"/>
    <w:rsid w:val="00C92E07"/>
    <w:rsid w:val="00C94942"/>
    <w:rsid w:val="00C95A55"/>
    <w:rsid w:val="00C96868"/>
    <w:rsid w:val="00C96A50"/>
    <w:rsid w:val="00CA0416"/>
    <w:rsid w:val="00CA7F35"/>
    <w:rsid w:val="00CB1375"/>
    <w:rsid w:val="00CC36E7"/>
    <w:rsid w:val="00CC560B"/>
    <w:rsid w:val="00CC70B6"/>
    <w:rsid w:val="00CC75E2"/>
    <w:rsid w:val="00CD46EB"/>
    <w:rsid w:val="00CD7EBF"/>
    <w:rsid w:val="00CE0AEB"/>
    <w:rsid w:val="00CE25C8"/>
    <w:rsid w:val="00CE582F"/>
    <w:rsid w:val="00CF5B37"/>
    <w:rsid w:val="00D0084A"/>
    <w:rsid w:val="00D04529"/>
    <w:rsid w:val="00D056F1"/>
    <w:rsid w:val="00D062E4"/>
    <w:rsid w:val="00D11171"/>
    <w:rsid w:val="00D14405"/>
    <w:rsid w:val="00D2071E"/>
    <w:rsid w:val="00D22291"/>
    <w:rsid w:val="00D22F3C"/>
    <w:rsid w:val="00D23DB6"/>
    <w:rsid w:val="00D26814"/>
    <w:rsid w:val="00D30D03"/>
    <w:rsid w:val="00D3171B"/>
    <w:rsid w:val="00D33F56"/>
    <w:rsid w:val="00D43FE6"/>
    <w:rsid w:val="00D45250"/>
    <w:rsid w:val="00D51A95"/>
    <w:rsid w:val="00D56073"/>
    <w:rsid w:val="00D60568"/>
    <w:rsid w:val="00D70C7A"/>
    <w:rsid w:val="00D73931"/>
    <w:rsid w:val="00D754A9"/>
    <w:rsid w:val="00D81D38"/>
    <w:rsid w:val="00D8470F"/>
    <w:rsid w:val="00D8471A"/>
    <w:rsid w:val="00D857BD"/>
    <w:rsid w:val="00D96582"/>
    <w:rsid w:val="00DA10A8"/>
    <w:rsid w:val="00DA5946"/>
    <w:rsid w:val="00DB1E08"/>
    <w:rsid w:val="00DB1EEE"/>
    <w:rsid w:val="00DB2973"/>
    <w:rsid w:val="00DB324A"/>
    <w:rsid w:val="00DB7A08"/>
    <w:rsid w:val="00DC1B56"/>
    <w:rsid w:val="00DC2129"/>
    <w:rsid w:val="00DC3C72"/>
    <w:rsid w:val="00DC6570"/>
    <w:rsid w:val="00DD3C5E"/>
    <w:rsid w:val="00DE79D9"/>
    <w:rsid w:val="00DF25C3"/>
    <w:rsid w:val="00DF2A84"/>
    <w:rsid w:val="00E04062"/>
    <w:rsid w:val="00E063C6"/>
    <w:rsid w:val="00E1060A"/>
    <w:rsid w:val="00E2003B"/>
    <w:rsid w:val="00E203C2"/>
    <w:rsid w:val="00E23703"/>
    <w:rsid w:val="00E24DE8"/>
    <w:rsid w:val="00E2797B"/>
    <w:rsid w:val="00E279D8"/>
    <w:rsid w:val="00E319B1"/>
    <w:rsid w:val="00E31DF0"/>
    <w:rsid w:val="00E40ED4"/>
    <w:rsid w:val="00E44E0D"/>
    <w:rsid w:val="00E520FE"/>
    <w:rsid w:val="00E5492F"/>
    <w:rsid w:val="00E62DEF"/>
    <w:rsid w:val="00E64BC6"/>
    <w:rsid w:val="00E70A86"/>
    <w:rsid w:val="00E70C58"/>
    <w:rsid w:val="00E75054"/>
    <w:rsid w:val="00E751D6"/>
    <w:rsid w:val="00E756B4"/>
    <w:rsid w:val="00E777EC"/>
    <w:rsid w:val="00E80FCD"/>
    <w:rsid w:val="00E81F6E"/>
    <w:rsid w:val="00E90A2C"/>
    <w:rsid w:val="00EA7A2C"/>
    <w:rsid w:val="00EA7F2F"/>
    <w:rsid w:val="00EC00DE"/>
    <w:rsid w:val="00EC30E1"/>
    <w:rsid w:val="00EC5B87"/>
    <w:rsid w:val="00ED172A"/>
    <w:rsid w:val="00EE0A23"/>
    <w:rsid w:val="00F0750B"/>
    <w:rsid w:val="00F14BEC"/>
    <w:rsid w:val="00F225C5"/>
    <w:rsid w:val="00F2587A"/>
    <w:rsid w:val="00F33BB8"/>
    <w:rsid w:val="00F367E7"/>
    <w:rsid w:val="00F3715D"/>
    <w:rsid w:val="00F37BEA"/>
    <w:rsid w:val="00F420C8"/>
    <w:rsid w:val="00F42937"/>
    <w:rsid w:val="00F42A4C"/>
    <w:rsid w:val="00F53B04"/>
    <w:rsid w:val="00F604DE"/>
    <w:rsid w:val="00F64653"/>
    <w:rsid w:val="00F71768"/>
    <w:rsid w:val="00F9473E"/>
    <w:rsid w:val="00FB1358"/>
    <w:rsid w:val="00FB1533"/>
    <w:rsid w:val="00FB67A3"/>
    <w:rsid w:val="00FB7512"/>
    <w:rsid w:val="00FD2FBE"/>
    <w:rsid w:val="00FD4007"/>
    <w:rsid w:val="00FD7547"/>
    <w:rsid w:val="00FF5F5C"/>
    <w:rsid w:val="00FF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8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3C4BD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3C4BD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C4BD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3C4BD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3C4BD5"/>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3C4BD5"/>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C4BD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C4BD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C4BD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3C4BD5"/>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3C4BD5"/>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071694"/>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A50316"/>
    <w:pPr>
      <w:ind w:left="720"/>
      <w:contextualSpacing/>
    </w:pPr>
  </w:style>
  <w:style w:type="paragraph" w:customStyle="1" w:styleId="FSCh5Section">
    <w:name w:val="FSC_h5_Section"/>
    <w:basedOn w:val="FSCbaseheading"/>
    <w:next w:val="FSCtMain"/>
    <w:qFormat/>
    <w:rsid w:val="0095404C"/>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5404C"/>
    <w:pPr>
      <w:keepLines w:val="0"/>
      <w:widowControl w:val="0"/>
      <w:tabs>
        <w:tab w:val="left" w:pos="1134"/>
      </w:tabs>
      <w:spacing w:after="120"/>
    </w:pPr>
  </w:style>
  <w:style w:type="paragraph" w:customStyle="1" w:styleId="FSCtPara">
    <w:name w:val="FSC_t_Para"/>
    <w:basedOn w:val="FSCtMain"/>
    <w:qFormat/>
    <w:rsid w:val="0095404C"/>
    <w:pPr>
      <w:tabs>
        <w:tab w:val="clear" w:pos="1134"/>
        <w:tab w:val="left" w:pos="1701"/>
      </w:tabs>
      <w:spacing w:before="60" w:after="60"/>
      <w:ind w:left="2268" w:hanging="2268"/>
    </w:pPr>
  </w:style>
  <w:style w:type="paragraph" w:customStyle="1" w:styleId="FSCtSubpara">
    <w:name w:val="FSC_t_Subpara"/>
    <w:basedOn w:val="FSCtMain"/>
    <w:qFormat/>
    <w:rsid w:val="0095404C"/>
    <w:pPr>
      <w:tabs>
        <w:tab w:val="clear" w:pos="1134"/>
        <w:tab w:val="left" w:pos="2268"/>
      </w:tabs>
      <w:spacing w:before="60" w:after="60"/>
      <w:ind w:left="2835" w:hanging="2835"/>
    </w:pPr>
  </w:style>
  <w:style w:type="paragraph" w:customStyle="1" w:styleId="FSCtDefn">
    <w:name w:val="FSC_t_Defn"/>
    <w:basedOn w:val="FSCtMain"/>
    <w:rsid w:val="0095404C"/>
    <w:pPr>
      <w:ind w:firstLine="0"/>
    </w:pPr>
  </w:style>
  <w:style w:type="paragraph" w:customStyle="1" w:styleId="FSCtblBh2">
    <w:name w:val="FSC_tbl_B_h2"/>
    <w:aliases w:val="tbB_h2"/>
    <w:basedOn w:val="Normal"/>
    <w:qFormat/>
    <w:rsid w:val="003468C9"/>
    <w:pPr>
      <w:keepNext/>
      <w:keepLines/>
      <w:widowControl/>
      <w:spacing w:before="240" w:after="120"/>
      <w:jc w:val="center"/>
    </w:pPr>
    <w:rPr>
      <w:rFonts w:cs="Arial"/>
      <w:b/>
      <w:color w:val="000000"/>
      <w:sz w:val="18"/>
      <w:szCs w:val="22"/>
      <w:lang w:eastAsia="en-AU" w:bidi="ar-SA"/>
    </w:rPr>
  </w:style>
  <w:style w:type="paragraph" w:customStyle="1" w:styleId="FSCtblAh3">
    <w:name w:val="FSC_tbl_A_h3"/>
    <w:aliases w:val="tbA_h3"/>
    <w:basedOn w:val="Normal"/>
    <w:next w:val="Normal"/>
    <w:rsid w:val="003468C9"/>
    <w:pPr>
      <w:keepNext/>
      <w:keepLines/>
      <w:widowControl/>
      <w:spacing w:before="60" w:after="60"/>
    </w:pPr>
    <w:rPr>
      <w:rFonts w:cs="Arial"/>
      <w:b/>
      <w:i/>
      <w:sz w:val="18"/>
      <w:szCs w:val="22"/>
      <w:lang w:eastAsia="en-AU" w:bidi="ar-SA"/>
    </w:rPr>
  </w:style>
  <w:style w:type="paragraph" w:customStyle="1" w:styleId="FSCtblAMain">
    <w:name w:val="FSC_tbl_A_Main"/>
    <w:aliases w:val="tbA_t1_Item"/>
    <w:basedOn w:val="Normal"/>
    <w:qFormat/>
    <w:rsid w:val="003468C9"/>
    <w:pPr>
      <w:keepLines/>
      <w:widowControl/>
      <w:spacing w:before="60" w:after="60"/>
    </w:pPr>
    <w:rPr>
      <w:rFonts w:cs="Arial"/>
      <w:sz w:val="18"/>
      <w:szCs w:val="22"/>
      <w:lang w:val="en-AU" w:eastAsia="en-AU" w:bidi="ar-SA"/>
    </w:rPr>
  </w:style>
  <w:style w:type="paragraph" w:customStyle="1" w:styleId="FSCtblMain">
    <w:name w:val="FSC_tbl_Main"/>
    <w:basedOn w:val="Normal"/>
    <w:rsid w:val="0095404C"/>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rsid w:val="004E6A6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5404C"/>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95404C"/>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95404C"/>
    <w:pPr>
      <w:spacing w:before="60" w:after="60"/>
      <w:ind w:left="0" w:firstLine="0"/>
    </w:pPr>
    <w:rPr>
      <w:sz w:val="18"/>
    </w:rPr>
  </w:style>
  <w:style w:type="paragraph" w:customStyle="1" w:styleId="FSCbaseTOC">
    <w:name w:val="FSC_base_TOC"/>
    <w:rsid w:val="0095404C"/>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95404C"/>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5404C"/>
    <w:pPr>
      <w:spacing w:before="120" w:after="120"/>
      <w:ind w:left="851" w:hanging="851"/>
    </w:pPr>
    <w:rPr>
      <w:b/>
      <w:sz w:val="20"/>
      <w:szCs w:val="20"/>
      <w:lang w:bidi="ar-SA"/>
    </w:rPr>
  </w:style>
  <w:style w:type="paragraph" w:customStyle="1" w:styleId="FSCfooter">
    <w:name w:val="FSC_footer"/>
    <w:basedOn w:val="Normal"/>
    <w:rsid w:val="0095404C"/>
    <w:pPr>
      <w:widowControl/>
      <w:tabs>
        <w:tab w:val="center" w:pos="4536"/>
        <w:tab w:val="right" w:pos="9072"/>
      </w:tabs>
    </w:pPr>
    <w:rPr>
      <w:sz w:val="18"/>
      <w:szCs w:val="20"/>
      <w:lang w:bidi="ar-SA"/>
    </w:rPr>
  </w:style>
  <w:style w:type="paragraph" w:customStyle="1" w:styleId="FSCh1Chap">
    <w:name w:val="FSC_h1_Chap"/>
    <w:basedOn w:val="FSCbaseheading"/>
    <w:next w:val="Normal"/>
    <w:rsid w:val="003C4BD5"/>
    <w:pPr>
      <w:spacing w:before="0" w:after="240"/>
      <w:ind w:left="851" w:hanging="851"/>
      <w:outlineLvl w:val="0"/>
    </w:pPr>
    <w:rPr>
      <w:bCs w:val="0"/>
      <w:sz w:val="36"/>
    </w:rPr>
  </w:style>
  <w:style w:type="paragraph" w:customStyle="1" w:styleId="FSCh2Part">
    <w:name w:val="FSC_h2_Part"/>
    <w:basedOn w:val="FSCbaseheading"/>
    <w:next w:val="Normal"/>
    <w:rsid w:val="003C4BD5"/>
    <w:pPr>
      <w:spacing w:before="240" w:after="240"/>
      <w:ind w:left="851" w:hanging="851"/>
      <w:outlineLvl w:val="1"/>
    </w:pPr>
    <w:rPr>
      <w:bCs w:val="0"/>
      <w:sz w:val="28"/>
      <w:szCs w:val="22"/>
    </w:rPr>
  </w:style>
  <w:style w:type="paragraph" w:customStyle="1" w:styleId="FSCh3Standard">
    <w:name w:val="FSC_h3_Standard"/>
    <w:basedOn w:val="FSCbaseheading"/>
    <w:next w:val="FSCh5Section"/>
    <w:rsid w:val="0095404C"/>
    <w:pPr>
      <w:spacing w:before="0" w:after="240"/>
      <w:outlineLvl w:val="2"/>
    </w:pPr>
    <w:rPr>
      <w:sz w:val="32"/>
    </w:rPr>
  </w:style>
  <w:style w:type="paragraph" w:customStyle="1" w:styleId="FSCh3Contents">
    <w:name w:val="FSC_h3_Contents"/>
    <w:basedOn w:val="FSCh3Standard"/>
    <w:rsid w:val="0095404C"/>
    <w:pPr>
      <w:ind w:left="0" w:firstLine="0"/>
      <w:jc w:val="center"/>
    </w:pPr>
  </w:style>
  <w:style w:type="paragraph" w:customStyle="1" w:styleId="FSCh4Div">
    <w:name w:val="FSC_h4_Div"/>
    <w:basedOn w:val="FSCbaseheading"/>
    <w:next w:val="FSCh5Section"/>
    <w:rsid w:val="0095404C"/>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5404C"/>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95404C"/>
    <w:pPr>
      <w:keepLines w:val="0"/>
      <w:widowControl w:val="0"/>
      <w:spacing w:before="120" w:after="60"/>
      <w:ind w:left="1701" w:firstLine="0"/>
    </w:pPr>
    <w:rPr>
      <w:b w:val="0"/>
      <w:i/>
      <w:sz w:val="20"/>
    </w:rPr>
  </w:style>
  <w:style w:type="paragraph" w:customStyle="1" w:styleId="FSCnatHeading">
    <w:name w:val="FSC_n_at_Heading"/>
    <w:basedOn w:val="FSCtMain"/>
    <w:qFormat/>
    <w:rsid w:val="0095404C"/>
    <w:pPr>
      <w:ind w:left="851" w:hanging="851"/>
    </w:pPr>
    <w:rPr>
      <w:sz w:val="16"/>
    </w:rPr>
  </w:style>
  <w:style w:type="paragraph" w:customStyle="1" w:styleId="FSCnMain">
    <w:name w:val="FSC_n_Main"/>
    <w:basedOn w:val="FSCtPara"/>
    <w:qFormat/>
    <w:rsid w:val="0095404C"/>
    <w:rPr>
      <w:iCs w:val="0"/>
      <w:sz w:val="16"/>
      <w:szCs w:val="18"/>
    </w:rPr>
  </w:style>
  <w:style w:type="paragraph" w:customStyle="1" w:styleId="FSCnPara">
    <w:name w:val="FSC_n_Para"/>
    <w:basedOn w:val="FSCtSubpara"/>
    <w:qFormat/>
    <w:rsid w:val="0095404C"/>
    <w:rPr>
      <w:sz w:val="16"/>
    </w:rPr>
  </w:style>
  <w:style w:type="paragraph" w:customStyle="1" w:styleId="FSCtSubsub">
    <w:name w:val="FSC_t_Subsub"/>
    <w:basedOn w:val="FSCtPara"/>
    <w:qFormat/>
    <w:rsid w:val="0095404C"/>
    <w:pPr>
      <w:tabs>
        <w:tab w:val="clear" w:pos="1701"/>
        <w:tab w:val="left" w:pos="2835"/>
      </w:tabs>
      <w:ind w:left="3402" w:hanging="3402"/>
    </w:pPr>
  </w:style>
  <w:style w:type="paragraph" w:customStyle="1" w:styleId="FSCnSubpara">
    <w:name w:val="FSC_n_Subpara"/>
    <w:basedOn w:val="FSCtSubsub"/>
    <w:qFormat/>
    <w:rsid w:val="0095404C"/>
    <w:rPr>
      <w:sz w:val="16"/>
    </w:rPr>
  </w:style>
  <w:style w:type="paragraph" w:customStyle="1" w:styleId="FSCnSubsub">
    <w:name w:val="FSC_n_Subsub"/>
    <w:basedOn w:val="FSCnSubpara"/>
    <w:qFormat/>
    <w:rsid w:val="0095404C"/>
    <w:pPr>
      <w:tabs>
        <w:tab w:val="clear" w:pos="2835"/>
        <w:tab w:val="left" w:pos="3402"/>
      </w:tabs>
      <w:ind w:left="3969" w:hanging="3969"/>
    </w:pPr>
  </w:style>
  <w:style w:type="paragraph" w:customStyle="1" w:styleId="FSCoContents">
    <w:name w:val="FSC_o_Contents"/>
    <w:basedOn w:val="FSCh2Part"/>
    <w:rsid w:val="0095404C"/>
    <w:pPr>
      <w:ind w:left="0" w:firstLine="0"/>
      <w:jc w:val="center"/>
    </w:pPr>
  </w:style>
  <w:style w:type="paragraph" w:customStyle="1" w:styleId="FSCoDraftstrip">
    <w:name w:val="FSC_o_Draft_strip"/>
    <w:basedOn w:val="Normal"/>
    <w:rsid w:val="0095404C"/>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95404C"/>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95404C"/>
    <w:pPr>
      <w:widowControl/>
      <w:spacing w:before="80"/>
    </w:pPr>
    <w:rPr>
      <w:color w:val="7030A0"/>
      <w:lang w:eastAsia="en-AU" w:bidi="ar-SA"/>
    </w:rPr>
  </w:style>
  <w:style w:type="paragraph" w:customStyle="1" w:styleId="FSCoFooter">
    <w:name w:val="FSC_o_Footer"/>
    <w:basedOn w:val="Normal"/>
    <w:rsid w:val="0095404C"/>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5404C"/>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5404C"/>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5404C"/>
    <w:rPr>
      <w:rFonts w:ascii="Arial" w:hAnsi="Arial"/>
      <w:b/>
      <w:noProof/>
      <w:szCs w:val="24"/>
      <w:lang w:eastAsia="en-AU"/>
    </w:rPr>
  </w:style>
  <w:style w:type="paragraph" w:customStyle="1" w:styleId="FSCoParaMark">
    <w:name w:val="FSC_o_Para_Mark"/>
    <w:basedOn w:val="Normal"/>
    <w:next w:val="Normal"/>
    <w:qFormat/>
    <w:rsid w:val="0095404C"/>
    <w:pPr>
      <w:widowControl/>
    </w:pPr>
    <w:rPr>
      <w:sz w:val="16"/>
      <w:lang w:eastAsia="en-AU" w:bidi="ar-SA"/>
    </w:rPr>
  </w:style>
  <w:style w:type="paragraph" w:customStyle="1" w:styleId="FSCoStandardEnd">
    <w:name w:val="FSC_o_Standard_End"/>
    <w:basedOn w:val="FSCtMain"/>
    <w:qFormat/>
    <w:rsid w:val="0095404C"/>
    <w:pPr>
      <w:spacing w:before="240" w:after="0"/>
      <w:jc w:val="center"/>
    </w:pPr>
    <w:rPr>
      <w:iCs w:val="0"/>
    </w:rPr>
  </w:style>
  <w:style w:type="paragraph" w:customStyle="1" w:styleId="FSCoTitleofInstrument">
    <w:name w:val="FSC_o_Title_of_Instrument"/>
    <w:basedOn w:val="Normal"/>
    <w:rsid w:val="0095404C"/>
    <w:pPr>
      <w:widowControl/>
      <w:spacing w:before="200"/>
    </w:pPr>
    <w:rPr>
      <w:b/>
      <w:sz w:val="32"/>
      <w:lang w:eastAsia="en-AU" w:bidi="ar-SA"/>
    </w:rPr>
  </w:style>
  <w:style w:type="paragraph" w:customStyle="1" w:styleId="FSCoutChap">
    <w:name w:val="FSC_out_Chap"/>
    <w:basedOn w:val="FSCh4Div"/>
    <w:qFormat/>
    <w:rsid w:val="0095404C"/>
    <w:pPr>
      <w:tabs>
        <w:tab w:val="left" w:pos="1701"/>
      </w:tabs>
      <w:spacing w:after="120"/>
      <w:ind w:left="3402" w:hanging="3402"/>
    </w:pPr>
  </w:style>
  <w:style w:type="paragraph" w:customStyle="1" w:styleId="FSCoutPart">
    <w:name w:val="FSC_out_Part"/>
    <w:basedOn w:val="FSCh5Section"/>
    <w:qFormat/>
    <w:rsid w:val="0095404C"/>
    <w:pPr>
      <w:keepNext w:val="0"/>
      <w:tabs>
        <w:tab w:val="left" w:pos="1701"/>
      </w:tabs>
      <w:ind w:left="3402" w:hanging="3402"/>
    </w:pPr>
  </w:style>
  <w:style w:type="paragraph" w:customStyle="1" w:styleId="FSCoutStand">
    <w:name w:val="FSC_out_Stand"/>
    <w:basedOn w:val="FSCtMain"/>
    <w:qFormat/>
    <w:rsid w:val="0095404C"/>
    <w:pPr>
      <w:tabs>
        <w:tab w:val="clear" w:pos="1134"/>
        <w:tab w:val="left" w:pos="1701"/>
      </w:tabs>
      <w:ind w:left="3402" w:hanging="3402"/>
    </w:pPr>
  </w:style>
  <w:style w:type="paragraph" w:customStyle="1" w:styleId="FSCtblAddh1">
    <w:name w:val="FSC_tbl_Add_h1"/>
    <w:basedOn w:val="FSCh4Div"/>
    <w:rsid w:val="0095404C"/>
    <w:pPr>
      <w:spacing w:before="120" w:after="120"/>
    </w:pPr>
    <w:rPr>
      <w:rFonts w:eastAsiaTheme="minorHAnsi"/>
      <w:sz w:val="20"/>
      <w:lang w:eastAsia="en-US"/>
    </w:rPr>
  </w:style>
  <w:style w:type="paragraph" w:customStyle="1" w:styleId="FSCtblAddh2">
    <w:name w:val="FSC_tbl_Add_h2"/>
    <w:basedOn w:val="FSCtblAddh1"/>
    <w:rsid w:val="0095404C"/>
    <w:pPr>
      <w:spacing w:before="60" w:after="60"/>
    </w:pPr>
    <w:rPr>
      <w:i/>
    </w:rPr>
  </w:style>
  <w:style w:type="paragraph" w:customStyle="1" w:styleId="FSCtblAddh3">
    <w:name w:val="FSC_tbl_Add_h3"/>
    <w:basedOn w:val="Normal"/>
    <w:rsid w:val="0095404C"/>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5404C"/>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5404C"/>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5404C"/>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5404C"/>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5404C"/>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5404C"/>
    <w:pPr>
      <w:widowControl/>
      <w:ind w:left="113" w:hanging="113"/>
    </w:pPr>
    <w:rPr>
      <w:bCs/>
      <w:sz w:val="16"/>
      <w:szCs w:val="20"/>
      <w:lang w:bidi="ar-SA"/>
    </w:rPr>
  </w:style>
  <w:style w:type="paragraph" w:customStyle="1" w:styleId="FSCtblh2">
    <w:name w:val="FSC_tbl_h2"/>
    <w:basedOn w:val="Normal"/>
    <w:qFormat/>
    <w:rsid w:val="0095404C"/>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5404C"/>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5404C"/>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95404C"/>
    <w:pPr>
      <w:jc w:val="center"/>
    </w:pPr>
    <w:rPr>
      <w:rFonts w:eastAsiaTheme="minorHAnsi"/>
      <w:lang w:eastAsia="en-US"/>
    </w:rPr>
  </w:style>
  <w:style w:type="paragraph" w:customStyle="1" w:styleId="FSCtblMainRH">
    <w:name w:val="FSC_tbl_Main_RH"/>
    <w:basedOn w:val="FSCtblMain"/>
    <w:qFormat/>
    <w:rsid w:val="0095404C"/>
    <w:pPr>
      <w:jc w:val="right"/>
    </w:pPr>
    <w:rPr>
      <w:rFonts w:eastAsiaTheme="minorHAnsi"/>
      <w:lang w:eastAsia="en-US"/>
    </w:rPr>
  </w:style>
  <w:style w:type="paragraph" w:customStyle="1" w:styleId="FSCtblMRL1">
    <w:name w:val="FSC_tbl_MRL1"/>
    <w:basedOn w:val="Normal"/>
    <w:rsid w:val="0095404C"/>
    <w:pPr>
      <w:keepLines/>
      <w:widowControl/>
      <w:spacing w:before="20" w:after="20"/>
    </w:pPr>
    <w:rPr>
      <w:rFonts w:cs="Arial"/>
      <w:sz w:val="18"/>
      <w:szCs w:val="20"/>
      <w:lang w:eastAsia="en-AU" w:bidi="ar-SA"/>
    </w:rPr>
  </w:style>
  <w:style w:type="paragraph" w:customStyle="1" w:styleId="FSCtblMRL2">
    <w:name w:val="FSC_tbl_MRL2"/>
    <w:basedOn w:val="FSCtblMRL1"/>
    <w:qFormat/>
    <w:rsid w:val="0095404C"/>
    <w:pPr>
      <w:jc w:val="right"/>
    </w:pPr>
    <w:rPr>
      <w:rFonts w:eastAsiaTheme="minorHAnsi"/>
      <w:lang w:eastAsia="en-US"/>
    </w:rPr>
  </w:style>
  <w:style w:type="paragraph" w:customStyle="1" w:styleId="FSCtblPara">
    <w:name w:val="FSC_tbl_Para"/>
    <w:basedOn w:val="Normal"/>
    <w:rsid w:val="0095404C"/>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5404C"/>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3C4BD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3C4BD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C4BD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3C4BD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3C4BD5"/>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3C4BD5"/>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C4BD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C4BD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C4BD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3C4BD5"/>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3C4BD5"/>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071694"/>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rsid w:val="00A50316"/>
    <w:pPr>
      <w:ind w:left="720"/>
      <w:contextualSpacing/>
    </w:pPr>
  </w:style>
  <w:style w:type="paragraph" w:customStyle="1" w:styleId="FSCh5Section">
    <w:name w:val="FSC_h5_Section"/>
    <w:basedOn w:val="FSCbaseheading"/>
    <w:next w:val="FSCtMain"/>
    <w:qFormat/>
    <w:rsid w:val="0095404C"/>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5404C"/>
    <w:pPr>
      <w:keepLines w:val="0"/>
      <w:widowControl w:val="0"/>
      <w:tabs>
        <w:tab w:val="left" w:pos="1134"/>
      </w:tabs>
      <w:spacing w:after="120"/>
    </w:pPr>
  </w:style>
  <w:style w:type="paragraph" w:customStyle="1" w:styleId="FSCtPara">
    <w:name w:val="FSC_t_Para"/>
    <w:basedOn w:val="FSCtMain"/>
    <w:qFormat/>
    <w:rsid w:val="0095404C"/>
    <w:pPr>
      <w:tabs>
        <w:tab w:val="clear" w:pos="1134"/>
        <w:tab w:val="left" w:pos="1701"/>
      </w:tabs>
      <w:spacing w:before="60" w:after="60"/>
      <w:ind w:left="2268" w:hanging="2268"/>
    </w:pPr>
  </w:style>
  <w:style w:type="paragraph" w:customStyle="1" w:styleId="FSCtSubpara">
    <w:name w:val="FSC_t_Subpara"/>
    <w:basedOn w:val="FSCtMain"/>
    <w:qFormat/>
    <w:rsid w:val="0095404C"/>
    <w:pPr>
      <w:tabs>
        <w:tab w:val="clear" w:pos="1134"/>
        <w:tab w:val="left" w:pos="2268"/>
      </w:tabs>
      <w:spacing w:before="60" w:after="60"/>
      <w:ind w:left="2835" w:hanging="2835"/>
    </w:pPr>
  </w:style>
  <w:style w:type="paragraph" w:customStyle="1" w:styleId="FSCtDefn">
    <w:name w:val="FSC_t_Defn"/>
    <w:basedOn w:val="FSCtMain"/>
    <w:rsid w:val="0095404C"/>
    <w:pPr>
      <w:ind w:firstLine="0"/>
    </w:pPr>
  </w:style>
  <w:style w:type="paragraph" w:customStyle="1" w:styleId="FSCtblBh2">
    <w:name w:val="FSC_tbl_B_h2"/>
    <w:aliases w:val="tbB_h2"/>
    <w:basedOn w:val="Normal"/>
    <w:qFormat/>
    <w:rsid w:val="003468C9"/>
    <w:pPr>
      <w:keepNext/>
      <w:keepLines/>
      <w:widowControl/>
      <w:spacing w:before="240" w:after="120"/>
      <w:jc w:val="center"/>
    </w:pPr>
    <w:rPr>
      <w:rFonts w:cs="Arial"/>
      <w:b/>
      <w:color w:val="000000"/>
      <w:sz w:val="18"/>
      <w:szCs w:val="22"/>
      <w:lang w:eastAsia="en-AU" w:bidi="ar-SA"/>
    </w:rPr>
  </w:style>
  <w:style w:type="paragraph" w:customStyle="1" w:styleId="FSCtblAh3">
    <w:name w:val="FSC_tbl_A_h3"/>
    <w:aliases w:val="tbA_h3"/>
    <w:basedOn w:val="Normal"/>
    <w:next w:val="Normal"/>
    <w:rsid w:val="003468C9"/>
    <w:pPr>
      <w:keepNext/>
      <w:keepLines/>
      <w:widowControl/>
      <w:spacing w:before="60" w:after="60"/>
    </w:pPr>
    <w:rPr>
      <w:rFonts w:cs="Arial"/>
      <w:b/>
      <w:i/>
      <w:sz w:val="18"/>
      <w:szCs w:val="22"/>
      <w:lang w:eastAsia="en-AU" w:bidi="ar-SA"/>
    </w:rPr>
  </w:style>
  <w:style w:type="paragraph" w:customStyle="1" w:styleId="FSCtblAMain">
    <w:name w:val="FSC_tbl_A_Main"/>
    <w:aliases w:val="tbA_t1_Item"/>
    <w:basedOn w:val="Normal"/>
    <w:qFormat/>
    <w:rsid w:val="003468C9"/>
    <w:pPr>
      <w:keepLines/>
      <w:widowControl/>
      <w:spacing w:before="60" w:after="60"/>
    </w:pPr>
    <w:rPr>
      <w:rFonts w:cs="Arial"/>
      <w:sz w:val="18"/>
      <w:szCs w:val="22"/>
      <w:lang w:val="en-AU" w:eastAsia="en-AU" w:bidi="ar-SA"/>
    </w:rPr>
  </w:style>
  <w:style w:type="paragraph" w:customStyle="1" w:styleId="FSCtblMain">
    <w:name w:val="FSC_tbl_Main"/>
    <w:basedOn w:val="Normal"/>
    <w:rsid w:val="0095404C"/>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rsid w:val="004E6A65"/>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5404C"/>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95404C"/>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95404C"/>
    <w:pPr>
      <w:spacing w:before="60" w:after="60"/>
      <w:ind w:left="0" w:firstLine="0"/>
    </w:pPr>
    <w:rPr>
      <w:sz w:val="18"/>
    </w:rPr>
  </w:style>
  <w:style w:type="paragraph" w:customStyle="1" w:styleId="FSCbaseTOC">
    <w:name w:val="FSC_base_TOC"/>
    <w:rsid w:val="0095404C"/>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95404C"/>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5404C"/>
    <w:pPr>
      <w:spacing w:before="120" w:after="120"/>
      <w:ind w:left="851" w:hanging="851"/>
    </w:pPr>
    <w:rPr>
      <w:b/>
      <w:sz w:val="20"/>
      <w:szCs w:val="20"/>
      <w:lang w:bidi="ar-SA"/>
    </w:rPr>
  </w:style>
  <w:style w:type="paragraph" w:customStyle="1" w:styleId="FSCfooter">
    <w:name w:val="FSC_footer"/>
    <w:basedOn w:val="Normal"/>
    <w:rsid w:val="0095404C"/>
    <w:pPr>
      <w:widowControl/>
      <w:tabs>
        <w:tab w:val="center" w:pos="4536"/>
        <w:tab w:val="right" w:pos="9072"/>
      </w:tabs>
    </w:pPr>
    <w:rPr>
      <w:sz w:val="18"/>
      <w:szCs w:val="20"/>
      <w:lang w:bidi="ar-SA"/>
    </w:rPr>
  </w:style>
  <w:style w:type="paragraph" w:customStyle="1" w:styleId="FSCh1Chap">
    <w:name w:val="FSC_h1_Chap"/>
    <w:basedOn w:val="FSCbaseheading"/>
    <w:next w:val="Normal"/>
    <w:rsid w:val="003C4BD5"/>
    <w:pPr>
      <w:spacing w:before="0" w:after="240"/>
      <w:ind w:left="851" w:hanging="851"/>
      <w:outlineLvl w:val="0"/>
    </w:pPr>
    <w:rPr>
      <w:bCs w:val="0"/>
      <w:sz w:val="36"/>
    </w:rPr>
  </w:style>
  <w:style w:type="paragraph" w:customStyle="1" w:styleId="FSCh2Part">
    <w:name w:val="FSC_h2_Part"/>
    <w:basedOn w:val="FSCbaseheading"/>
    <w:next w:val="Normal"/>
    <w:rsid w:val="003C4BD5"/>
    <w:pPr>
      <w:spacing w:before="240" w:after="240"/>
      <w:ind w:left="851" w:hanging="851"/>
      <w:outlineLvl w:val="1"/>
    </w:pPr>
    <w:rPr>
      <w:bCs w:val="0"/>
      <w:sz w:val="28"/>
      <w:szCs w:val="22"/>
    </w:rPr>
  </w:style>
  <w:style w:type="paragraph" w:customStyle="1" w:styleId="FSCh3Standard">
    <w:name w:val="FSC_h3_Standard"/>
    <w:basedOn w:val="FSCbaseheading"/>
    <w:next w:val="FSCh5Section"/>
    <w:rsid w:val="0095404C"/>
    <w:pPr>
      <w:spacing w:before="0" w:after="240"/>
      <w:outlineLvl w:val="2"/>
    </w:pPr>
    <w:rPr>
      <w:sz w:val="32"/>
    </w:rPr>
  </w:style>
  <w:style w:type="paragraph" w:customStyle="1" w:styleId="FSCh3Contents">
    <w:name w:val="FSC_h3_Contents"/>
    <w:basedOn w:val="FSCh3Standard"/>
    <w:rsid w:val="0095404C"/>
    <w:pPr>
      <w:ind w:left="0" w:firstLine="0"/>
      <w:jc w:val="center"/>
    </w:pPr>
  </w:style>
  <w:style w:type="paragraph" w:customStyle="1" w:styleId="FSCh4Div">
    <w:name w:val="FSC_h4_Div"/>
    <w:basedOn w:val="FSCbaseheading"/>
    <w:next w:val="FSCh5Section"/>
    <w:rsid w:val="0095404C"/>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5404C"/>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95404C"/>
    <w:pPr>
      <w:keepLines w:val="0"/>
      <w:widowControl w:val="0"/>
      <w:spacing w:before="120" w:after="60"/>
      <w:ind w:left="1701" w:firstLine="0"/>
    </w:pPr>
    <w:rPr>
      <w:b w:val="0"/>
      <w:i/>
      <w:sz w:val="20"/>
    </w:rPr>
  </w:style>
  <w:style w:type="paragraph" w:customStyle="1" w:styleId="FSCnatHeading">
    <w:name w:val="FSC_n_at_Heading"/>
    <w:basedOn w:val="FSCtMain"/>
    <w:qFormat/>
    <w:rsid w:val="0095404C"/>
    <w:pPr>
      <w:ind w:left="851" w:hanging="851"/>
    </w:pPr>
    <w:rPr>
      <w:sz w:val="16"/>
    </w:rPr>
  </w:style>
  <w:style w:type="paragraph" w:customStyle="1" w:styleId="FSCnMain">
    <w:name w:val="FSC_n_Main"/>
    <w:basedOn w:val="FSCtPara"/>
    <w:qFormat/>
    <w:rsid w:val="0095404C"/>
    <w:rPr>
      <w:iCs w:val="0"/>
      <w:sz w:val="16"/>
      <w:szCs w:val="18"/>
    </w:rPr>
  </w:style>
  <w:style w:type="paragraph" w:customStyle="1" w:styleId="FSCnPara">
    <w:name w:val="FSC_n_Para"/>
    <w:basedOn w:val="FSCtSubpara"/>
    <w:qFormat/>
    <w:rsid w:val="0095404C"/>
    <w:rPr>
      <w:sz w:val="16"/>
    </w:rPr>
  </w:style>
  <w:style w:type="paragraph" w:customStyle="1" w:styleId="FSCtSubsub">
    <w:name w:val="FSC_t_Subsub"/>
    <w:basedOn w:val="FSCtPara"/>
    <w:qFormat/>
    <w:rsid w:val="0095404C"/>
    <w:pPr>
      <w:tabs>
        <w:tab w:val="clear" w:pos="1701"/>
        <w:tab w:val="left" w:pos="2835"/>
      </w:tabs>
      <w:ind w:left="3402" w:hanging="3402"/>
    </w:pPr>
  </w:style>
  <w:style w:type="paragraph" w:customStyle="1" w:styleId="FSCnSubpara">
    <w:name w:val="FSC_n_Subpara"/>
    <w:basedOn w:val="FSCtSubsub"/>
    <w:qFormat/>
    <w:rsid w:val="0095404C"/>
    <w:rPr>
      <w:sz w:val="16"/>
    </w:rPr>
  </w:style>
  <w:style w:type="paragraph" w:customStyle="1" w:styleId="FSCnSubsub">
    <w:name w:val="FSC_n_Subsub"/>
    <w:basedOn w:val="FSCnSubpara"/>
    <w:qFormat/>
    <w:rsid w:val="0095404C"/>
    <w:pPr>
      <w:tabs>
        <w:tab w:val="clear" w:pos="2835"/>
        <w:tab w:val="left" w:pos="3402"/>
      </w:tabs>
      <w:ind w:left="3969" w:hanging="3969"/>
    </w:pPr>
  </w:style>
  <w:style w:type="paragraph" w:customStyle="1" w:styleId="FSCoContents">
    <w:name w:val="FSC_o_Contents"/>
    <w:basedOn w:val="FSCh2Part"/>
    <w:rsid w:val="0095404C"/>
    <w:pPr>
      <w:ind w:left="0" w:firstLine="0"/>
      <w:jc w:val="center"/>
    </w:pPr>
  </w:style>
  <w:style w:type="paragraph" w:customStyle="1" w:styleId="FSCoDraftstrip">
    <w:name w:val="FSC_o_Draft_strip"/>
    <w:basedOn w:val="Normal"/>
    <w:rsid w:val="0095404C"/>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95404C"/>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95404C"/>
    <w:pPr>
      <w:widowControl/>
      <w:spacing w:before="80"/>
    </w:pPr>
    <w:rPr>
      <w:color w:val="7030A0"/>
      <w:lang w:eastAsia="en-AU" w:bidi="ar-SA"/>
    </w:rPr>
  </w:style>
  <w:style w:type="paragraph" w:customStyle="1" w:styleId="FSCoFooter">
    <w:name w:val="FSC_o_Footer"/>
    <w:basedOn w:val="Normal"/>
    <w:rsid w:val="0095404C"/>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5404C"/>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5404C"/>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5404C"/>
    <w:rPr>
      <w:rFonts w:ascii="Arial" w:hAnsi="Arial"/>
      <w:b/>
      <w:noProof/>
      <w:szCs w:val="24"/>
      <w:lang w:eastAsia="en-AU"/>
    </w:rPr>
  </w:style>
  <w:style w:type="paragraph" w:customStyle="1" w:styleId="FSCoParaMark">
    <w:name w:val="FSC_o_Para_Mark"/>
    <w:basedOn w:val="Normal"/>
    <w:next w:val="Normal"/>
    <w:qFormat/>
    <w:rsid w:val="0095404C"/>
    <w:pPr>
      <w:widowControl/>
    </w:pPr>
    <w:rPr>
      <w:sz w:val="16"/>
      <w:lang w:eastAsia="en-AU" w:bidi="ar-SA"/>
    </w:rPr>
  </w:style>
  <w:style w:type="paragraph" w:customStyle="1" w:styleId="FSCoStandardEnd">
    <w:name w:val="FSC_o_Standard_End"/>
    <w:basedOn w:val="FSCtMain"/>
    <w:qFormat/>
    <w:rsid w:val="0095404C"/>
    <w:pPr>
      <w:spacing w:before="240" w:after="0"/>
      <w:jc w:val="center"/>
    </w:pPr>
    <w:rPr>
      <w:iCs w:val="0"/>
    </w:rPr>
  </w:style>
  <w:style w:type="paragraph" w:customStyle="1" w:styleId="FSCoTitleofInstrument">
    <w:name w:val="FSC_o_Title_of_Instrument"/>
    <w:basedOn w:val="Normal"/>
    <w:rsid w:val="0095404C"/>
    <w:pPr>
      <w:widowControl/>
      <w:spacing w:before="200"/>
    </w:pPr>
    <w:rPr>
      <w:b/>
      <w:sz w:val="32"/>
      <w:lang w:eastAsia="en-AU" w:bidi="ar-SA"/>
    </w:rPr>
  </w:style>
  <w:style w:type="paragraph" w:customStyle="1" w:styleId="FSCoutChap">
    <w:name w:val="FSC_out_Chap"/>
    <w:basedOn w:val="FSCh4Div"/>
    <w:qFormat/>
    <w:rsid w:val="0095404C"/>
    <w:pPr>
      <w:tabs>
        <w:tab w:val="left" w:pos="1701"/>
      </w:tabs>
      <w:spacing w:after="120"/>
      <w:ind w:left="3402" w:hanging="3402"/>
    </w:pPr>
  </w:style>
  <w:style w:type="paragraph" w:customStyle="1" w:styleId="FSCoutPart">
    <w:name w:val="FSC_out_Part"/>
    <w:basedOn w:val="FSCh5Section"/>
    <w:qFormat/>
    <w:rsid w:val="0095404C"/>
    <w:pPr>
      <w:keepNext w:val="0"/>
      <w:tabs>
        <w:tab w:val="left" w:pos="1701"/>
      </w:tabs>
      <w:ind w:left="3402" w:hanging="3402"/>
    </w:pPr>
  </w:style>
  <w:style w:type="paragraph" w:customStyle="1" w:styleId="FSCoutStand">
    <w:name w:val="FSC_out_Stand"/>
    <w:basedOn w:val="FSCtMain"/>
    <w:qFormat/>
    <w:rsid w:val="0095404C"/>
    <w:pPr>
      <w:tabs>
        <w:tab w:val="clear" w:pos="1134"/>
        <w:tab w:val="left" w:pos="1701"/>
      </w:tabs>
      <w:ind w:left="3402" w:hanging="3402"/>
    </w:pPr>
  </w:style>
  <w:style w:type="paragraph" w:customStyle="1" w:styleId="FSCtblAddh1">
    <w:name w:val="FSC_tbl_Add_h1"/>
    <w:basedOn w:val="FSCh4Div"/>
    <w:rsid w:val="0095404C"/>
    <w:pPr>
      <w:spacing w:before="120" w:after="120"/>
    </w:pPr>
    <w:rPr>
      <w:rFonts w:eastAsiaTheme="minorHAnsi"/>
      <w:sz w:val="20"/>
      <w:lang w:eastAsia="en-US"/>
    </w:rPr>
  </w:style>
  <w:style w:type="paragraph" w:customStyle="1" w:styleId="FSCtblAddh2">
    <w:name w:val="FSC_tbl_Add_h2"/>
    <w:basedOn w:val="FSCtblAddh1"/>
    <w:rsid w:val="0095404C"/>
    <w:pPr>
      <w:spacing w:before="60" w:after="60"/>
    </w:pPr>
    <w:rPr>
      <w:i/>
    </w:rPr>
  </w:style>
  <w:style w:type="paragraph" w:customStyle="1" w:styleId="FSCtblAddh3">
    <w:name w:val="FSC_tbl_Add_h3"/>
    <w:basedOn w:val="Normal"/>
    <w:rsid w:val="0095404C"/>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5404C"/>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5404C"/>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5404C"/>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5404C"/>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5404C"/>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5404C"/>
    <w:pPr>
      <w:widowControl/>
      <w:ind w:left="113" w:hanging="113"/>
    </w:pPr>
    <w:rPr>
      <w:bCs/>
      <w:sz w:val="16"/>
      <w:szCs w:val="20"/>
      <w:lang w:bidi="ar-SA"/>
    </w:rPr>
  </w:style>
  <w:style w:type="paragraph" w:customStyle="1" w:styleId="FSCtblh2">
    <w:name w:val="FSC_tbl_h2"/>
    <w:basedOn w:val="Normal"/>
    <w:qFormat/>
    <w:rsid w:val="0095404C"/>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5404C"/>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5404C"/>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95404C"/>
    <w:pPr>
      <w:jc w:val="center"/>
    </w:pPr>
    <w:rPr>
      <w:rFonts w:eastAsiaTheme="minorHAnsi"/>
      <w:lang w:eastAsia="en-US"/>
    </w:rPr>
  </w:style>
  <w:style w:type="paragraph" w:customStyle="1" w:styleId="FSCtblMainRH">
    <w:name w:val="FSC_tbl_Main_RH"/>
    <w:basedOn w:val="FSCtblMain"/>
    <w:qFormat/>
    <w:rsid w:val="0095404C"/>
    <w:pPr>
      <w:jc w:val="right"/>
    </w:pPr>
    <w:rPr>
      <w:rFonts w:eastAsiaTheme="minorHAnsi"/>
      <w:lang w:eastAsia="en-US"/>
    </w:rPr>
  </w:style>
  <w:style w:type="paragraph" w:customStyle="1" w:styleId="FSCtblMRL1">
    <w:name w:val="FSC_tbl_MRL1"/>
    <w:basedOn w:val="Normal"/>
    <w:rsid w:val="0095404C"/>
    <w:pPr>
      <w:keepLines/>
      <w:widowControl/>
      <w:spacing w:before="20" w:after="20"/>
    </w:pPr>
    <w:rPr>
      <w:rFonts w:cs="Arial"/>
      <w:sz w:val="18"/>
      <w:szCs w:val="20"/>
      <w:lang w:eastAsia="en-AU" w:bidi="ar-SA"/>
    </w:rPr>
  </w:style>
  <w:style w:type="paragraph" w:customStyle="1" w:styleId="FSCtblMRL2">
    <w:name w:val="FSC_tbl_MRL2"/>
    <w:basedOn w:val="FSCtblMRL1"/>
    <w:qFormat/>
    <w:rsid w:val="0095404C"/>
    <w:pPr>
      <w:jc w:val="right"/>
    </w:pPr>
    <w:rPr>
      <w:rFonts w:eastAsiaTheme="minorHAnsi"/>
      <w:lang w:eastAsia="en-US"/>
    </w:rPr>
  </w:style>
  <w:style w:type="paragraph" w:customStyle="1" w:styleId="FSCtblPara">
    <w:name w:val="FSC_tbl_Para"/>
    <w:basedOn w:val="Normal"/>
    <w:rsid w:val="0095404C"/>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5404C"/>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5690">
      <w:bodyDiv w:val="1"/>
      <w:marLeft w:val="0"/>
      <w:marRight w:val="0"/>
      <w:marTop w:val="0"/>
      <w:marBottom w:val="0"/>
      <w:divBdr>
        <w:top w:val="none" w:sz="0" w:space="0" w:color="auto"/>
        <w:left w:val="none" w:sz="0" w:space="0" w:color="auto"/>
        <w:bottom w:val="none" w:sz="0" w:space="0" w:color="auto"/>
        <w:right w:val="none" w:sz="0" w:space="0" w:color="auto"/>
      </w:divBdr>
      <w:divsChild>
        <w:div w:id="2116320509">
          <w:marLeft w:val="0"/>
          <w:marRight w:val="0"/>
          <w:marTop w:val="0"/>
          <w:marBottom w:val="0"/>
          <w:divBdr>
            <w:top w:val="none" w:sz="0" w:space="0" w:color="auto"/>
            <w:left w:val="none" w:sz="0" w:space="0" w:color="auto"/>
            <w:bottom w:val="none" w:sz="0" w:space="0" w:color="auto"/>
            <w:right w:val="none" w:sz="0" w:space="0" w:color="auto"/>
          </w:divBdr>
          <w:divsChild>
            <w:div w:id="1658069665">
              <w:marLeft w:val="0"/>
              <w:marRight w:val="0"/>
              <w:marTop w:val="0"/>
              <w:marBottom w:val="0"/>
              <w:divBdr>
                <w:top w:val="none" w:sz="0" w:space="0" w:color="auto"/>
                <w:left w:val="none" w:sz="0" w:space="0" w:color="auto"/>
                <w:bottom w:val="none" w:sz="0" w:space="0" w:color="auto"/>
                <w:right w:val="none" w:sz="0" w:space="0" w:color="auto"/>
              </w:divBdr>
              <w:divsChild>
                <w:div w:id="1478453007">
                  <w:marLeft w:val="0"/>
                  <w:marRight w:val="0"/>
                  <w:marTop w:val="0"/>
                  <w:marBottom w:val="0"/>
                  <w:divBdr>
                    <w:top w:val="none" w:sz="0" w:space="0" w:color="auto"/>
                    <w:left w:val="none" w:sz="0" w:space="0" w:color="auto"/>
                    <w:bottom w:val="none" w:sz="0" w:space="0" w:color="auto"/>
                    <w:right w:val="none" w:sz="0" w:space="0" w:color="auto"/>
                  </w:divBdr>
                  <w:divsChild>
                    <w:div w:id="1218014224">
                      <w:marLeft w:val="0"/>
                      <w:marRight w:val="0"/>
                      <w:marTop w:val="0"/>
                      <w:marBottom w:val="0"/>
                      <w:divBdr>
                        <w:top w:val="none" w:sz="0" w:space="0" w:color="auto"/>
                        <w:left w:val="none" w:sz="0" w:space="0" w:color="auto"/>
                        <w:bottom w:val="none" w:sz="0" w:space="0" w:color="auto"/>
                        <w:right w:val="none" w:sz="0" w:space="0" w:color="auto"/>
                      </w:divBdr>
                      <w:divsChild>
                        <w:div w:id="1534153922">
                          <w:marLeft w:val="0"/>
                          <w:marRight w:val="0"/>
                          <w:marTop w:val="0"/>
                          <w:marBottom w:val="0"/>
                          <w:divBdr>
                            <w:top w:val="none" w:sz="0" w:space="0" w:color="auto"/>
                            <w:left w:val="none" w:sz="0" w:space="0" w:color="auto"/>
                            <w:bottom w:val="none" w:sz="0" w:space="0" w:color="auto"/>
                            <w:right w:val="none" w:sz="0" w:space="0" w:color="auto"/>
                          </w:divBdr>
                          <w:divsChild>
                            <w:div w:id="664011758">
                              <w:marLeft w:val="0"/>
                              <w:marRight w:val="0"/>
                              <w:marTop w:val="0"/>
                              <w:marBottom w:val="0"/>
                              <w:divBdr>
                                <w:top w:val="single" w:sz="6" w:space="0" w:color="828282"/>
                                <w:left w:val="single" w:sz="6" w:space="0" w:color="828282"/>
                                <w:bottom w:val="single" w:sz="6" w:space="0" w:color="828282"/>
                                <w:right w:val="single" w:sz="6" w:space="0" w:color="828282"/>
                              </w:divBdr>
                              <w:divsChild>
                                <w:div w:id="1980911369">
                                  <w:marLeft w:val="0"/>
                                  <w:marRight w:val="0"/>
                                  <w:marTop w:val="0"/>
                                  <w:marBottom w:val="0"/>
                                  <w:divBdr>
                                    <w:top w:val="none" w:sz="0" w:space="0" w:color="auto"/>
                                    <w:left w:val="none" w:sz="0" w:space="0" w:color="auto"/>
                                    <w:bottom w:val="none" w:sz="0" w:space="0" w:color="auto"/>
                                    <w:right w:val="none" w:sz="0" w:space="0" w:color="auto"/>
                                  </w:divBdr>
                                  <w:divsChild>
                                    <w:div w:id="661741391">
                                      <w:marLeft w:val="0"/>
                                      <w:marRight w:val="0"/>
                                      <w:marTop w:val="0"/>
                                      <w:marBottom w:val="0"/>
                                      <w:divBdr>
                                        <w:top w:val="none" w:sz="0" w:space="0" w:color="auto"/>
                                        <w:left w:val="none" w:sz="0" w:space="0" w:color="auto"/>
                                        <w:bottom w:val="none" w:sz="0" w:space="0" w:color="auto"/>
                                        <w:right w:val="none" w:sz="0" w:space="0" w:color="auto"/>
                                      </w:divBdr>
                                      <w:divsChild>
                                        <w:div w:id="1079060240">
                                          <w:marLeft w:val="0"/>
                                          <w:marRight w:val="0"/>
                                          <w:marTop w:val="0"/>
                                          <w:marBottom w:val="0"/>
                                          <w:divBdr>
                                            <w:top w:val="none" w:sz="0" w:space="0" w:color="auto"/>
                                            <w:left w:val="none" w:sz="0" w:space="0" w:color="auto"/>
                                            <w:bottom w:val="none" w:sz="0" w:space="0" w:color="auto"/>
                                            <w:right w:val="none" w:sz="0" w:space="0" w:color="auto"/>
                                          </w:divBdr>
                                          <w:divsChild>
                                            <w:div w:id="2118476071">
                                              <w:marLeft w:val="0"/>
                                              <w:marRight w:val="0"/>
                                              <w:marTop w:val="0"/>
                                              <w:marBottom w:val="0"/>
                                              <w:divBdr>
                                                <w:top w:val="none" w:sz="0" w:space="0" w:color="auto"/>
                                                <w:left w:val="none" w:sz="0" w:space="0" w:color="auto"/>
                                                <w:bottom w:val="none" w:sz="0" w:space="0" w:color="auto"/>
                                                <w:right w:val="none" w:sz="0" w:space="0" w:color="auto"/>
                                              </w:divBdr>
                                              <w:divsChild>
                                                <w:div w:id="563487559">
                                                  <w:marLeft w:val="0"/>
                                                  <w:marRight w:val="0"/>
                                                  <w:marTop w:val="0"/>
                                                  <w:marBottom w:val="0"/>
                                                  <w:divBdr>
                                                    <w:top w:val="none" w:sz="0" w:space="0" w:color="auto"/>
                                                    <w:left w:val="none" w:sz="0" w:space="0" w:color="auto"/>
                                                    <w:bottom w:val="none" w:sz="0" w:space="0" w:color="auto"/>
                                                    <w:right w:val="none" w:sz="0" w:space="0" w:color="auto"/>
                                                  </w:divBdr>
                                                  <w:divsChild>
                                                    <w:div w:id="2048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34103472">
      <w:bodyDiv w:val="1"/>
      <w:marLeft w:val="0"/>
      <w:marRight w:val="0"/>
      <w:marTop w:val="0"/>
      <w:marBottom w:val="0"/>
      <w:divBdr>
        <w:top w:val="none" w:sz="0" w:space="0" w:color="auto"/>
        <w:left w:val="none" w:sz="0" w:space="0" w:color="auto"/>
        <w:bottom w:val="none" w:sz="0" w:space="0" w:color="auto"/>
        <w:right w:val="none" w:sz="0" w:space="0" w:color="auto"/>
      </w:divBdr>
      <w:divsChild>
        <w:div w:id="2131973978">
          <w:marLeft w:val="0"/>
          <w:marRight w:val="0"/>
          <w:marTop w:val="0"/>
          <w:marBottom w:val="0"/>
          <w:divBdr>
            <w:top w:val="none" w:sz="0" w:space="0" w:color="auto"/>
            <w:left w:val="none" w:sz="0" w:space="0" w:color="auto"/>
            <w:bottom w:val="none" w:sz="0" w:space="0" w:color="auto"/>
            <w:right w:val="none" w:sz="0" w:space="0" w:color="auto"/>
          </w:divBdr>
          <w:divsChild>
            <w:div w:id="1260985189">
              <w:marLeft w:val="0"/>
              <w:marRight w:val="0"/>
              <w:marTop w:val="0"/>
              <w:marBottom w:val="0"/>
              <w:divBdr>
                <w:top w:val="none" w:sz="0" w:space="0" w:color="auto"/>
                <w:left w:val="none" w:sz="0" w:space="0" w:color="auto"/>
                <w:bottom w:val="none" w:sz="0" w:space="0" w:color="auto"/>
                <w:right w:val="none" w:sz="0" w:space="0" w:color="auto"/>
              </w:divBdr>
              <w:divsChild>
                <w:div w:id="571233281">
                  <w:marLeft w:val="0"/>
                  <w:marRight w:val="0"/>
                  <w:marTop w:val="0"/>
                  <w:marBottom w:val="0"/>
                  <w:divBdr>
                    <w:top w:val="none" w:sz="0" w:space="0" w:color="auto"/>
                    <w:left w:val="none" w:sz="0" w:space="0" w:color="auto"/>
                    <w:bottom w:val="none" w:sz="0" w:space="0" w:color="auto"/>
                    <w:right w:val="none" w:sz="0" w:space="0" w:color="auto"/>
                  </w:divBdr>
                  <w:divsChild>
                    <w:div w:id="221797600">
                      <w:marLeft w:val="0"/>
                      <w:marRight w:val="0"/>
                      <w:marTop w:val="0"/>
                      <w:marBottom w:val="0"/>
                      <w:divBdr>
                        <w:top w:val="none" w:sz="0" w:space="0" w:color="auto"/>
                        <w:left w:val="none" w:sz="0" w:space="0" w:color="auto"/>
                        <w:bottom w:val="none" w:sz="0" w:space="0" w:color="auto"/>
                        <w:right w:val="none" w:sz="0" w:space="0" w:color="auto"/>
                      </w:divBdr>
                      <w:divsChild>
                        <w:div w:id="366368304">
                          <w:marLeft w:val="0"/>
                          <w:marRight w:val="0"/>
                          <w:marTop w:val="0"/>
                          <w:marBottom w:val="0"/>
                          <w:divBdr>
                            <w:top w:val="none" w:sz="0" w:space="0" w:color="auto"/>
                            <w:left w:val="none" w:sz="0" w:space="0" w:color="auto"/>
                            <w:bottom w:val="none" w:sz="0" w:space="0" w:color="auto"/>
                            <w:right w:val="none" w:sz="0" w:space="0" w:color="auto"/>
                          </w:divBdr>
                          <w:divsChild>
                            <w:div w:id="616645267">
                              <w:marLeft w:val="0"/>
                              <w:marRight w:val="0"/>
                              <w:marTop w:val="0"/>
                              <w:marBottom w:val="0"/>
                              <w:divBdr>
                                <w:top w:val="single" w:sz="6" w:space="0" w:color="828282"/>
                                <w:left w:val="single" w:sz="6" w:space="0" w:color="828282"/>
                                <w:bottom w:val="single" w:sz="6" w:space="0" w:color="828282"/>
                                <w:right w:val="single" w:sz="6" w:space="0" w:color="828282"/>
                              </w:divBdr>
                              <w:divsChild>
                                <w:div w:id="1843354945">
                                  <w:marLeft w:val="0"/>
                                  <w:marRight w:val="0"/>
                                  <w:marTop w:val="0"/>
                                  <w:marBottom w:val="0"/>
                                  <w:divBdr>
                                    <w:top w:val="none" w:sz="0" w:space="0" w:color="auto"/>
                                    <w:left w:val="none" w:sz="0" w:space="0" w:color="auto"/>
                                    <w:bottom w:val="none" w:sz="0" w:space="0" w:color="auto"/>
                                    <w:right w:val="none" w:sz="0" w:space="0" w:color="auto"/>
                                  </w:divBdr>
                                  <w:divsChild>
                                    <w:div w:id="1338000829">
                                      <w:marLeft w:val="0"/>
                                      <w:marRight w:val="0"/>
                                      <w:marTop w:val="0"/>
                                      <w:marBottom w:val="0"/>
                                      <w:divBdr>
                                        <w:top w:val="none" w:sz="0" w:space="0" w:color="auto"/>
                                        <w:left w:val="none" w:sz="0" w:space="0" w:color="auto"/>
                                        <w:bottom w:val="none" w:sz="0" w:space="0" w:color="auto"/>
                                        <w:right w:val="none" w:sz="0" w:space="0" w:color="auto"/>
                                      </w:divBdr>
                                      <w:divsChild>
                                        <w:div w:id="1754929843">
                                          <w:marLeft w:val="0"/>
                                          <w:marRight w:val="0"/>
                                          <w:marTop w:val="0"/>
                                          <w:marBottom w:val="0"/>
                                          <w:divBdr>
                                            <w:top w:val="none" w:sz="0" w:space="0" w:color="auto"/>
                                            <w:left w:val="none" w:sz="0" w:space="0" w:color="auto"/>
                                            <w:bottom w:val="none" w:sz="0" w:space="0" w:color="auto"/>
                                            <w:right w:val="none" w:sz="0" w:space="0" w:color="auto"/>
                                          </w:divBdr>
                                          <w:divsChild>
                                            <w:div w:id="496305832">
                                              <w:marLeft w:val="0"/>
                                              <w:marRight w:val="0"/>
                                              <w:marTop w:val="0"/>
                                              <w:marBottom w:val="0"/>
                                              <w:divBdr>
                                                <w:top w:val="none" w:sz="0" w:space="0" w:color="auto"/>
                                                <w:left w:val="none" w:sz="0" w:space="0" w:color="auto"/>
                                                <w:bottom w:val="none" w:sz="0" w:space="0" w:color="auto"/>
                                                <w:right w:val="none" w:sz="0" w:space="0" w:color="auto"/>
                                              </w:divBdr>
                                              <w:divsChild>
                                                <w:div w:id="1912503359">
                                                  <w:marLeft w:val="0"/>
                                                  <w:marRight w:val="0"/>
                                                  <w:marTop w:val="0"/>
                                                  <w:marBottom w:val="0"/>
                                                  <w:divBdr>
                                                    <w:top w:val="none" w:sz="0" w:space="0" w:color="auto"/>
                                                    <w:left w:val="none" w:sz="0" w:space="0" w:color="auto"/>
                                                    <w:bottom w:val="none" w:sz="0" w:space="0" w:color="auto"/>
                                                    <w:right w:val="none" w:sz="0" w:space="0" w:color="auto"/>
                                                  </w:divBdr>
                                                  <w:divsChild>
                                                    <w:div w:id="119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5718477">
      <w:bodyDiv w:val="1"/>
      <w:marLeft w:val="0"/>
      <w:marRight w:val="0"/>
      <w:marTop w:val="0"/>
      <w:marBottom w:val="0"/>
      <w:divBdr>
        <w:top w:val="none" w:sz="0" w:space="0" w:color="auto"/>
        <w:left w:val="none" w:sz="0" w:space="0" w:color="auto"/>
        <w:bottom w:val="none" w:sz="0" w:space="0" w:color="auto"/>
        <w:right w:val="none" w:sz="0" w:space="0" w:color="auto"/>
      </w:divBdr>
      <w:divsChild>
        <w:div w:id="1090389866">
          <w:marLeft w:val="0"/>
          <w:marRight w:val="0"/>
          <w:marTop w:val="0"/>
          <w:marBottom w:val="0"/>
          <w:divBdr>
            <w:top w:val="none" w:sz="0" w:space="0" w:color="auto"/>
            <w:left w:val="none" w:sz="0" w:space="0" w:color="auto"/>
            <w:bottom w:val="none" w:sz="0" w:space="0" w:color="auto"/>
            <w:right w:val="none" w:sz="0" w:space="0" w:color="auto"/>
          </w:divBdr>
          <w:divsChild>
            <w:div w:id="2037265750">
              <w:marLeft w:val="0"/>
              <w:marRight w:val="0"/>
              <w:marTop w:val="0"/>
              <w:marBottom w:val="0"/>
              <w:divBdr>
                <w:top w:val="none" w:sz="0" w:space="0" w:color="auto"/>
                <w:left w:val="none" w:sz="0" w:space="0" w:color="auto"/>
                <w:bottom w:val="none" w:sz="0" w:space="0" w:color="auto"/>
                <w:right w:val="none" w:sz="0" w:space="0" w:color="auto"/>
              </w:divBdr>
              <w:divsChild>
                <w:div w:id="813527027">
                  <w:marLeft w:val="0"/>
                  <w:marRight w:val="0"/>
                  <w:marTop w:val="0"/>
                  <w:marBottom w:val="0"/>
                  <w:divBdr>
                    <w:top w:val="none" w:sz="0" w:space="0" w:color="auto"/>
                    <w:left w:val="none" w:sz="0" w:space="0" w:color="auto"/>
                    <w:bottom w:val="none" w:sz="0" w:space="0" w:color="auto"/>
                    <w:right w:val="none" w:sz="0" w:space="0" w:color="auto"/>
                  </w:divBdr>
                  <w:divsChild>
                    <w:div w:id="1425954313">
                      <w:marLeft w:val="0"/>
                      <w:marRight w:val="0"/>
                      <w:marTop w:val="0"/>
                      <w:marBottom w:val="0"/>
                      <w:divBdr>
                        <w:top w:val="none" w:sz="0" w:space="0" w:color="auto"/>
                        <w:left w:val="none" w:sz="0" w:space="0" w:color="auto"/>
                        <w:bottom w:val="none" w:sz="0" w:space="0" w:color="auto"/>
                        <w:right w:val="none" w:sz="0" w:space="0" w:color="auto"/>
                      </w:divBdr>
                      <w:divsChild>
                        <w:div w:id="48917724">
                          <w:marLeft w:val="0"/>
                          <w:marRight w:val="0"/>
                          <w:marTop w:val="0"/>
                          <w:marBottom w:val="0"/>
                          <w:divBdr>
                            <w:top w:val="none" w:sz="0" w:space="0" w:color="auto"/>
                            <w:left w:val="none" w:sz="0" w:space="0" w:color="auto"/>
                            <w:bottom w:val="none" w:sz="0" w:space="0" w:color="auto"/>
                            <w:right w:val="none" w:sz="0" w:space="0" w:color="auto"/>
                          </w:divBdr>
                          <w:divsChild>
                            <w:div w:id="1837912190">
                              <w:marLeft w:val="0"/>
                              <w:marRight w:val="0"/>
                              <w:marTop w:val="0"/>
                              <w:marBottom w:val="0"/>
                              <w:divBdr>
                                <w:top w:val="single" w:sz="6" w:space="0" w:color="828282"/>
                                <w:left w:val="single" w:sz="6" w:space="0" w:color="828282"/>
                                <w:bottom w:val="single" w:sz="6" w:space="0" w:color="828282"/>
                                <w:right w:val="single" w:sz="6" w:space="0" w:color="828282"/>
                              </w:divBdr>
                              <w:divsChild>
                                <w:div w:id="2132048007">
                                  <w:marLeft w:val="0"/>
                                  <w:marRight w:val="0"/>
                                  <w:marTop w:val="0"/>
                                  <w:marBottom w:val="0"/>
                                  <w:divBdr>
                                    <w:top w:val="none" w:sz="0" w:space="0" w:color="auto"/>
                                    <w:left w:val="none" w:sz="0" w:space="0" w:color="auto"/>
                                    <w:bottom w:val="none" w:sz="0" w:space="0" w:color="auto"/>
                                    <w:right w:val="none" w:sz="0" w:space="0" w:color="auto"/>
                                  </w:divBdr>
                                  <w:divsChild>
                                    <w:div w:id="1221866940">
                                      <w:marLeft w:val="0"/>
                                      <w:marRight w:val="0"/>
                                      <w:marTop w:val="0"/>
                                      <w:marBottom w:val="0"/>
                                      <w:divBdr>
                                        <w:top w:val="none" w:sz="0" w:space="0" w:color="auto"/>
                                        <w:left w:val="none" w:sz="0" w:space="0" w:color="auto"/>
                                        <w:bottom w:val="none" w:sz="0" w:space="0" w:color="auto"/>
                                        <w:right w:val="none" w:sz="0" w:space="0" w:color="auto"/>
                                      </w:divBdr>
                                      <w:divsChild>
                                        <w:div w:id="601035185">
                                          <w:marLeft w:val="0"/>
                                          <w:marRight w:val="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sChild>
                                                <w:div w:id="459569917">
                                                  <w:marLeft w:val="0"/>
                                                  <w:marRight w:val="0"/>
                                                  <w:marTop w:val="0"/>
                                                  <w:marBottom w:val="0"/>
                                                  <w:divBdr>
                                                    <w:top w:val="none" w:sz="0" w:space="0" w:color="auto"/>
                                                    <w:left w:val="none" w:sz="0" w:space="0" w:color="auto"/>
                                                    <w:bottom w:val="none" w:sz="0" w:space="0" w:color="auto"/>
                                                    <w:right w:val="none" w:sz="0" w:space="0" w:color="auto"/>
                                                  </w:divBdr>
                                                  <w:divsChild>
                                                    <w:div w:id="1079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649462">
      <w:bodyDiv w:val="1"/>
      <w:marLeft w:val="0"/>
      <w:marRight w:val="0"/>
      <w:marTop w:val="0"/>
      <w:marBottom w:val="0"/>
      <w:divBdr>
        <w:top w:val="none" w:sz="0" w:space="0" w:color="auto"/>
        <w:left w:val="none" w:sz="0" w:space="0" w:color="auto"/>
        <w:bottom w:val="none" w:sz="0" w:space="0" w:color="auto"/>
        <w:right w:val="none" w:sz="0" w:space="0" w:color="auto"/>
      </w:divBdr>
      <w:divsChild>
        <w:div w:id="2045983024">
          <w:marLeft w:val="0"/>
          <w:marRight w:val="0"/>
          <w:marTop w:val="0"/>
          <w:marBottom w:val="0"/>
          <w:divBdr>
            <w:top w:val="none" w:sz="0" w:space="0" w:color="auto"/>
            <w:left w:val="none" w:sz="0" w:space="0" w:color="auto"/>
            <w:bottom w:val="none" w:sz="0" w:space="0" w:color="auto"/>
            <w:right w:val="none" w:sz="0" w:space="0" w:color="auto"/>
          </w:divBdr>
          <w:divsChild>
            <w:div w:id="1372875870">
              <w:marLeft w:val="0"/>
              <w:marRight w:val="0"/>
              <w:marTop w:val="0"/>
              <w:marBottom w:val="0"/>
              <w:divBdr>
                <w:top w:val="none" w:sz="0" w:space="0" w:color="auto"/>
                <w:left w:val="none" w:sz="0" w:space="0" w:color="auto"/>
                <w:bottom w:val="none" w:sz="0" w:space="0" w:color="auto"/>
                <w:right w:val="none" w:sz="0" w:space="0" w:color="auto"/>
              </w:divBdr>
              <w:divsChild>
                <w:div w:id="1505584384">
                  <w:marLeft w:val="0"/>
                  <w:marRight w:val="0"/>
                  <w:marTop w:val="0"/>
                  <w:marBottom w:val="0"/>
                  <w:divBdr>
                    <w:top w:val="none" w:sz="0" w:space="0" w:color="auto"/>
                    <w:left w:val="none" w:sz="0" w:space="0" w:color="auto"/>
                    <w:bottom w:val="none" w:sz="0" w:space="0" w:color="auto"/>
                    <w:right w:val="none" w:sz="0" w:space="0" w:color="auto"/>
                  </w:divBdr>
                  <w:divsChild>
                    <w:div w:id="1502357853">
                      <w:marLeft w:val="0"/>
                      <w:marRight w:val="0"/>
                      <w:marTop w:val="0"/>
                      <w:marBottom w:val="0"/>
                      <w:divBdr>
                        <w:top w:val="none" w:sz="0" w:space="0" w:color="auto"/>
                        <w:left w:val="none" w:sz="0" w:space="0" w:color="auto"/>
                        <w:bottom w:val="none" w:sz="0" w:space="0" w:color="auto"/>
                        <w:right w:val="none" w:sz="0" w:space="0" w:color="auto"/>
                      </w:divBdr>
                      <w:divsChild>
                        <w:div w:id="988946964">
                          <w:marLeft w:val="0"/>
                          <w:marRight w:val="0"/>
                          <w:marTop w:val="0"/>
                          <w:marBottom w:val="0"/>
                          <w:divBdr>
                            <w:top w:val="none" w:sz="0" w:space="0" w:color="auto"/>
                            <w:left w:val="none" w:sz="0" w:space="0" w:color="auto"/>
                            <w:bottom w:val="none" w:sz="0" w:space="0" w:color="auto"/>
                            <w:right w:val="none" w:sz="0" w:space="0" w:color="auto"/>
                          </w:divBdr>
                          <w:divsChild>
                            <w:div w:id="1723943042">
                              <w:marLeft w:val="0"/>
                              <w:marRight w:val="0"/>
                              <w:marTop w:val="0"/>
                              <w:marBottom w:val="0"/>
                              <w:divBdr>
                                <w:top w:val="single" w:sz="6" w:space="0" w:color="828282"/>
                                <w:left w:val="single" w:sz="6" w:space="0" w:color="828282"/>
                                <w:bottom w:val="single" w:sz="6" w:space="0" w:color="828282"/>
                                <w:right w:val="single" w:sz="6" w:space="0" w:color="828282"/>
                              </w:divBdr>
                              <w:divsChild>
                                <w:div w:id="666325534">
                                  <w:marLeft w:val="0"/>
                                  <w:marRight w:val="0"/>
                                  <w:marTop w:val="0"/>
                                  <w:marBottom w:val="0"/>
                                  <w:divBdr>
                                    <w:top w:val="none" w:sz="0" w:space="0" w:color="auto"/>
                                    <w:left w:val="none" w:sz="0" w:space="0" w:color="auto"/>
                                    <w:bottom w:val="none" w:sz="0" w:space="0" w:color="auto"/>
                                    <w:right w:val="none" w:sz="0" w:space="0" w:color="auto"/>
                                  </w:divBdr>
                                  <w:divsChild>
                                    <w:div w:id="203834600">
                                      <w:marLeft w:val="0"/>
                                      <w:marRight w:val="0"/>
                                      <w:marTop w:val="0"/>
                                      <w:marBottom w:val="0"/>
                                      <w:divBdr>
                                        <w:top w:val="none" w:sz="0" w:space="0" w:color="auto"/>
                                        <w:left w:val="none" w:sz="0" w:space="0" w:color="auto"/>
                                        <w:bottom w:val="none" w:sz="0" w:space="0" w:color="auto"/>
                                        <w:right w:val="none" w:sz="0" w:space="0" w:color="auto"/>
                                      </w:divBdr>
                                      <w:divsChild>
                                        <w:div w:id="1219246683">
                                          <w:marLeft w:val="0"/>
                                          <w:marRight w:val="0"/>
                                          <w:marTop w:val="0"/>
                                          <w:marBottom w:val="0"/>
                                          <w:divBdr>
                                            <w:top w:val="none" w:sz="0" w:space="0" w:color="auto"/>
                                            <w:left w:val="none" w:sz="0" w:space="0" w:color="auto"/>
                                            <w:bottom w:val="none" w:sz="0" w:space="0" w:color="auto"/>
                                            <w:right w:val="none" w:sz="0" w:space="0" w:color="auto"/>
                                          </w:divBdr>
                                          <w:divsChild>
                                            <w:div w:id="291712869">
                                              <w:marLeft w:val="0"/>
                                              <w:marRight w:val="0"/>
                                              <w:marTop w:val="0"/>
                                              <w:marBottom w:val="0"/>
                                              <w:divBdr>
                                                <w:top w:val="none" w:sz="0" w:space="0" w:color="auto"/>
                                                <w:left w:val="none" w:sz="0" w:space="0" w:color="auto"/>
                                                <w:bottom w:val="none" w:sz="0" w:space="0" w:color="auto"/>
                                                <w:right w:val="none" w:sz="0" w:space="0" w:color="auto"/>
                                              </w:divBdr>
                                              <w:divsChild>
                                                <w:div w:id="1416054569">
                                                  <w:marLeft w:val="0"/>
                                                  <w:marRight w:val="0"/>
                                                  <w:marTop w:val="0"/>
                                                  <w:marBottom w:val="0"/>
                                                  <w:divBdr>
                                                    <w:top w:val="none" w:sz="0" w:space="0" w:color="auto"/>
                                                    <w:left w:val="none" w:sz="0" w:space="0" w:color="auto"/>
                                                    <w:bottom w:val="none" w:sz="0" w:space="0" w:color="auto"/>
                                                    <w:right w:val="none" w:sz="0" w:space="0" w:color="auto"/>
                                                  </w:divBdr>
                                                  <w:divsChild>
                                                    <w:div w:id="1331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accessdata.fda.gov/scripts/fdcc/?set=GRASNotices&amp;id=218&amp;sort=GRN_No&amp;order=DESC&amp;startrow=1&amp;type=basic&amp;search=218" TargetMode="External"/><Relationship Id="rId3" Type="http://schemas.openxmlformats.org/officeDocument/2006/relationships/styles" Target="styles.xml"/><Relationship Id="rId21" Type="http://schemas.openxmlformats.org/officeDocument/2006/relationships/hyperlink" Target="http://www.foodstandards.gov.au/code/applications/Pages/A1111BacteriophageS16-F01asPA.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accessdata.fda.gov/scripts/fdcc/?set=GRASNotices&amp;id=198&amp;sort=GRN_No&amp;order=DESC&amp;startrow=1&amp;type=basic&amp;search=198"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accessdata.fda.gov/scripts/fdcc/?set=GRASNotices&amp;id=528&amp;sort=GRN_No&amp;order=DESC&amp;startrow=1&amp;type=basic&amp;search=528"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accessdata.fda.gov/scripts/fdcc/?set=GRASNotices&amp;id=435&amp;sort=GRN_No&amp;order=DESC&amp;startrow=1&amp;type=basic&amp;search=435" TargetMode="External"/><Relationship Id="rId28" Type="http://schemas.openxmlformats.org/officeDocument/2006/relationships/image" Target="media/image2.png"/><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accessdata.fda.gov/scripts/fdcc/?set=GRASNotices&amp;id=468&amp;sort=GRN_No&amp;order=DESC&amp;startrow=1&amp;type=basic&amp;search=468" TargetMode="External"/><Relationship Id="rId27" Type="http://schemas.openxmlformats.org/officeDocument/2006/relationships/hyperlink" Target="http://www.efsa.europa.eu/en/efsajournal/pub/1076"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71C1B-72F5-4773-84D7-BB93637D1A8F}"/>
</file>

<file path=customXml/itemProps2.xml><?xml version="1.0" encoding="utf-8"?>
<ds:datastoreItem xmlns:ds="http://schemas.openxmlformats.org/officeDocument/2006/customXml" ds:itemID="{1F51805B-DC46-4DB2-9742-48FABD5ED822}"/>
</file>

<file path=customXml/itemProps3.xml><?xml version="1.0" encoding="utf-8"?>
<ds:datastoreItem xmlns:ds="http://schemas.openxmlformats.org/officeDocument/2006/customXml" ds:itemID="{990F439D-BBBB-42CB-B9DB-4913308F899D}"/>
</file>

<file path=customXml/itemProps4.xml><?xml version="1.0" encoding="utf-8"?>
<ds:datastoreItem xmlns:ds="http://schemas.openxmlformats.org/officeDocument/2006/customXml" ds:itemID="{CBC2C9F4-B02A-4239-9296-84D90E9B5FBE}"/>
</file>

<file path=docProps/app.xml><?xml version="1.0" encoding="utf-8"?>
<Properties xmlns="http://schemas.openxmlformats.org/officeDocument/2006/extended-properties" xmlns:vt="http://schemas.openxmlformats.org/officeDocument/2006/docPropsVTypes">
  <Template>Normal</Template>
  <TotalTime>0</TotalTime>
  <Pages>16</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A1111-CFS</dc:title>
  <dc:subject/>
  <dc:creator/>
  <cp:keywords/>
  <dc:description/>
  <cp:lastModifiedBy/>
  <cp:revision>1</cp:revision>
  <dcterms:created xsi:type="dcterms:W3CDTF">2015-09-23T03:32:00Z</dcterms:created>
  <dcterms:modified xsi:type="dcterms:W3CDTF">2015-09-23T03:32:00Z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