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420CA" w14:textId="668C2B8D" w:rsidR="00E203C2" w:rsidRDefault="00E203C2" w:rsidP="00E203C2">
      <w:r>
        <w:rPr>
          <w:noProof/>
          <w:lang w:eastAsia="en-GB" w:bidi="ar-SA"/>
        </w:rPr>
        <w:drawing>
          <wp:inline distT="0" distB="0" distL="0" distR="0" wp14:anchorId="35B120EF" wp14:editId="2A6FA81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CCAE06B" w14:textId="77777777" w:rsidR="00E203C2" w:rsidRDefault="00E203C2" w:rsidP="00E203C2"/>
    <w:p w14:paraId="6EFEA2F4" w14:textId="77777777" w:rsidR="003C5407" w:rsidRPr="003C5407" w:rsidRDefault="003C5407" w:rsidP="003C5407">
      <w:pPr>
        <w:widowControl/>
        <w:rPr>
          <w:b/>
          <w:sz w:val="28"/>
          <w:szCs w:val="28"/>
          <w:lang w:bidi="ar-SA"/>
        </w:rPr>
      </w:pPr>
      <w:r w:rsidRPr="003C5407">
        <w:rPr>
          <w:b/>
          <w:sz w:val="28"/>
          <w:szCs w:val="28"/>
          <w:lang w:bidi="ar-SA"/>
        </w:rPr>
        <w:t>16 February 2016</w:t>
      </w:r>
    </w:p>
    <w:p w14:paraId="39BE61DA" w14:textId="77777777" w:rsidR="003C5407" w:rsidRPr="003C5407" w:rsidRDefault="003C5407" w:rsidP="003C5407">
      <w:pPr>
        <w:widowControl/>
        <w:rPr>
          <w:b/>
          <w:sz w:val="28"/>
          <w:szCs w:val="28"/>
          <w:lang w:bidi="ar-SA"/>
        </w:rPr>
      </w:pPr>
      <w:r w:rsidRPr="003C5407">
        <w:rPr>
          <w:b/>
          <w:sz w:val="28"/>
          <w:szCs w:val="28"/>
          <w:lang w:bidi="ar-SA"/>
        </w:rPr>
        <w:t>[04–16]</w:t>
      </w:r>
      <w:bookmarkStart w:id="0" w:name="_GoBack"/>
      <w:bookmarkEnd w:id="0"/>
    </w:p>
    <w:p w14:paraId="4891498A" w14:textId="77777777" w:rsidR="00BA24E2" w:rsidRDefault="00BA24E2" w:rsidP="00E203C2"/>
    <w:p w14:paraId="2430A054" w14:textId="41655381" w:rsidR="00E203C2" w:rsidRPr="003C5407" w:rsidRDefault="000427B2" w:rsidP="00F9520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F9520E">
        <w:rPr>
          <w:b/>
        </w:rPr>
        <w:t>A</w:t>
      </w:r>
      <w:r w:rsidR="00A91DF1" w:rsidRPr="00F9520E">
        <w:rPr>
          <w:b/>
        </w:rPr>
        <w:t>pplication</w:t>
      </w:r>
      <w:r w:rsidR="00F9520E" w:rsidRPr="00F9520E">
        <w:rPr>
          <w:b/>
        </w:rPr>
        <w:t xml:space="preserve"> A11</w:t>
      </w:r>
      <w:r w:rsidR="002C5196">
        <w:rPr>
          <w:b/>
        </w:rPr>
        <w:t>20</w:t>
      </w:r>
    </w:p>
    <w:p w14:paraId="750D08F0" w14:textId="77777777" w:rsidR="00F9520E" w:rsidRPr="00F9520E" w:rsidRDefault="00F9520E" w:rsidP="003C5407"/>
    <w:p w14:paraId="7883893C" w14:textId="491F66BE" w:rsidR="00D056F1" w:rsidRPr="00F9520E" w:rsidRDefault="002C5196" w:rsidP="002432EE">
      <w:pPr>
        <w:pStyle w:val="FSTitle"/>
      </w:pPr>
      <w:r>
        <w:t xml:space="preserve">Agarose Ion Exchange Resin as a </w:t>
      </w:r>
      <w:r w:rsidR="00F9520E" w:rsidRPr="00F9520E">
        <w:t>Processing Aid</w:t>
      </w:r>
      <w:r>
        <w:t xml:space="preserve"> for </w:t>
      </w:r>
      <w:proofErr w:type="spellStart"/>
      <w:r>
        <w:t>Lactoferrin</w:t>
      </w:r>
      <w:proofErr w:type="spellEnd"/>
      <w:r>
        <w:t xml:space="preserve"> Production</w:t>
      </w:r>
    </w:p>
    <w:p w14:paraId="6934B104" w14:textId="77777777" w:rsidR="00E203C2" w:rsidRPr="00E81F6E" w:rsidRDefault="00E203C2" w:rsidP="00E203C2">
      <w:pPr>
        <w:pBdr>
          <w:bottom w:val="single" w:sz="12" w:space="1" w:color="auto"/>
        </w:pBdr>
        <w:spacing w:line="280" w:lineRule="exact"/>
        <w:rPr>
          <w:rFonts w:cs="Arial"/>
          <w:bCs/>
        </w:rPr>
      </w:pPr>
    </w:p>
    <w:p w14:paraId="2577C7C9" w14:textId="77777777" w:rsidR="00E203C2" w:rsidRPr="00E81F6E" w:rsidRDefault="00E203C2" w:rsidP="00E203C2"/>
    <w:p w14:paraId="7F3841FB" w14:textId="6FDBE44C" w:rsidR="00E063C6" w:rsidRPr="00BB73D7" w:rsidRDefault="00E063C6" w:rsidP="00E203C2">
      <w:pPr>
        <w:rPr>
          <w:sz w:val="20"/>
          <w:szCs w:val="20"/>
        </w:rPr>
      </w:pPr>
      <w:r w:rsidRPr="00BB73D7">
        <w:rPr>
          <w:sz w:val="20"/>
          <w:szCs w:val="20"/>
        </w:rPr>
        <w:t xml:space="preserve">FSANZ </w:t>
      </w:r>
      <w:r w:rsidR="00D81D38" w:rsidRPr="00BB73D7">
        <w:rPr>
          <w:sz w:val="20"/>
          <w:szCs w:val="20"/>
        </w:rPr>
        <w:t>has assessed an A</w:t>
      </w:r>
      <w:r w:rsidR="00BB73D7" w:rsidRPr="00BB73D7">
        <w:rPr>
          <w:sz w:val="20"/>
          <w:szCs w:val="20"/>
        </w:rPr>
        <w:t xml:space="preserve">pplication made by </w:t>
      </w:r>
      <w:r w:rsidR="002C5196">
        <w:rPr>
          <w:sz w:val="20"/>
          <w:szCs w:val="20"/>
        </w:rPr>
        <w:t xml:space="preserve">Fonterra Co-operative Group Limited </w:t>
      </w:r>
      <w:r w:rsidR="007C174F" w:rsidRPr="00BB73D7">
        <w:rPr>
          <w:sz w:val="20"/>
          <w:szCs w:val="20"/>
        </w:rPr>
        <w:t>to</w:t>
      </w:r>
      <w:r w:rsidR="00351B07" w:rsidRPr="00BB73D7">
        <w:rPr>
          <w:sz w:val="20"/>
          <w:szCs w:val="20"/>
        </w:rPr>
        <w:t xml:space="preserve"> </w:t>
      </w:r>
      <w:r w:rsidR="00BB73D7" w:rsidRPr="00BB73D7">
        <w:rPr>
          <w:sz w:val="20"/>
          <w:szCs w:val="20"/>
        </w:rPr>
        <w:t xml:space="preserve">permit </w:t>
      </w:r>
      <w:r w:rsidR="002C5196">
        <w:rPr>
          <w:sz w:val="20"/>
          <w:szCs w:val="20"/>
        </w:rPr>
        <w:t>the use of</w:t>
      </w:r>
      <w:r w:rsidR="007F42B8">
        <w:rPr>
          <w:sz w:val="20"/>
          <w:szCs w:val="20"/>
        </w:rPr>
        <w:t xml:space="preserve"> an</w:t>
      </w:r>
      <w:r w:rsidR="002C5196">
        <w:rPr>
          <w:sz w:val="20"/>
          <w:szCs w:val="20"/>
        </w:rPr>
        <w:t xml:space="preserve"> agarose ion exchange resin as a processing aid in the production of high purity </w:t>
      </w:r>
      <w:proofErr w:type="spellStart"/>
      <w:r w:rsidR="002C5196">
        <w:rPr>
          <w:sz w:val="20"/>
          <w:szCs w:val="20"/>
        </w:rPr>
        <w:t>lactoferrin</w:t>
      </w:r>
      <w:proofErr w:type="spellEnd"/>
      <w:r w:rsidR="002C5196">
        <w:rPr>
          <w:sz w:val="20"/>
          <w:szCs w:val="20"/>
        </w:rPr>
        <w:t xml:space="preserve"> from bovine milk and </w:t>
      </w:r>
      <w:r w:rsidR="000D046D">
        <w:rPr>
          <w:sz w:val="20"/>
          <w:szCs w:val="20"/>
        </w:rPr>
        <w:t>milk-related</w:t>
      </w:r>
      <w:r w:rsidR="002C5196">
        <w:rPr>
          <w:sz w:val="20"/>
          <w:szCs w:val="20"/>
        </w:rPr>
        <w:t xml:space="preserve"> products</w:t>
      </w:r>
      <w:r w:rsidR="003E5100">
        <w:rPr>
          <w:sz w:val="20"/>
          <w:szCs w:val="20"/>
        </w:rPr>
        <w:t>,</w:t>
      </w:r>
      <w:r w:rsidR="00413CA8" w:rsidRPr="00BB73D7">
        <w:rPr>
          <w:sz w:val="20"/>
          <w:szCs w:val="20"/>
        </w:rPr>
        <w:t xml:space="preserve"> and has prepared a draft </w:t>
      </w:r>
      <w:r w:rsidR="00D8470F" w:rsidRPr="00BB73D7">
        <w:rPr>
          <w:sz w:val="20"/>
          <w:szCs w:val="20"/>
        </w:rPr>
        <w:t>food regulatory measure</w:t>
      </w:r>
      <w:r w:rsidR="00351B07" w:rsidRPr="00BB73D7">
        <w:rPr>
          <w:sz w:val="20"/>
          <w:szCs w:val="20"/>
        </w:rPr>
        <w:t xml:space="preserve">. </w:t>
      </w:r>
      <w:r w:rsidR="00D22F3C" w:rsidRPr="00BB73D7">
        <w:rPr>
          <w:sz w:val="20"/>
          <w:szCs w:val="20"/>
        </w:rPr>
        <w:t xml:space="preserve">Pursuant to section 31 of the </w:t>
      </w:r>
      <w:r w:rsidR="00D22F3C" w:rsidRPr="00BB73D7">
        <w:rPr>
          <w:i/>
          <w:sz w:val="20"/>
          <w:szCs w:val="20"/>
        </w:rPr>
        <w:t>Food Standard</w:t>
      </w:r>
      <w:r w:rsidR="00E203C2" w:rsidRPr="00BB73D7">
        <w:rPr>
          <w:i/>
          <w:sz w:val="20"/>
          <w:szCs w:val="20"/>
        </w:rPr>
        <w:t>s Australia New Zealand Act 1991</w:t>
      </w:r>
      <w:r w:rsidR="00D22F3C" w:rsidRPr="00BB73D7">
        <w:rPr>
          <w:i/>
          <w:sz w:val="20"/>
          <w:szCs w:val="20"/>
        </w:rPr>
        <w:t xml:space="preserve"> </w:t>
      </w:r>
      <w:r w:rsidR="00E203C2" w:rsidRPr="00BB73D7">
        <w:rPr>
          <w:sz w:val="20"/>
          <w:szCs w:val="20"/>
        </w:rPr>
        <w:t>(</w:t>
      </w:r>
      <w:r w:rsidR="00D22F3C" w:rsidRPr="00BB73D7">
        <w:rPr>
          <w:sz w:val="20"/>
          <w:szCs w:val="20"/>
        </w:rPr>
        <w:t>FSANZ Act), FSANZ now c</w:t>
      </w:r>
      <w:r w:rsidR="00E203C2" w:rsidRPr="00BB73D7">
        <w:rPr>
          <w:sz w:val="20"/>
          <w:szCs w:val="20"/>
        </w:rPr>
        <w:t xml:space="preserve">alls for submissions to assist consideration of the </w:t>
      </w:r>
      <w:r w:rsidR="00413CA8" w:rsidRPr="00BB73D7">
        <w:rPr>
          <w:sz w:val="20"/>
          <w:szCs w:val="20"/>
        </w:rPr>
        <w:t xml:space="preserve">draft </w:t>
      </w:r>
      <w:r w:rsidR="00D8470F" w:rsidRPr="00BB73D7">
        <w:rPr>
          <w:sz w:val="20"/>
          <w:szCs w:val="20"/>
        </w:rPr>
        <w:t>food regulatory measure</w:t>
      </w:r>
      <w:r w:rsidR="00D22F3C" w:rsidRPr="00BB73D7">
        <w:rPr>
          <w:sz w:val="20"/>
          <w:szCs w:val="20"/>
        </w:rPr>
        <w:t>.</w:t>
      </w:r>
    </w:p>
    <w:p w14:paraId="445D0248" w14:textId="77777777" w:rsidR="00413CA8" w:rsidRPr="007C174F" w:rsidRDefault="00413CA8" w:rsidP="00E203C2">
      <w:pPr>
        <w:rPr>
          <w:sz w:val="20"/>
          <w:szCs w:val="20"/>
        </w:rPr>
      </w:pPr>
    </w:p>
    <w:p w14:paraId="3F2D60FE"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4AEECC23" w14:textId="77777777" w:rsidR="00D81D38" w:rsidRPr="00276026" w:rsidRDefault="00D81D38" w:rsidP="00276026">
      <w:pPr>
        <w:rPr>
          <w:sz w:val="20"/>
          <w:szCs w:val="20"/>
        </w:rPr>
      </w:pPr>
    </w:p>
    <w:p w14:paraId="461A28B7"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498D1B0" w14:textId="77777777" w:rsidR="00876515" w:rsidRPr="00276026" w:rsidRDefault="00876515" w:rsidP="00276026">
      <w:pPr>
        <w:rPr>
          <w:color w:val="000000"/>
          <w:sz w:val="20"/>
          <w:szCs w:val="20"/>
          <w:lang w:val="en-AU"/>
        </w:rPr>
      </w:pPr>
    </w:p>
    <w:p w14:paraId="25B14BA5"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1DAFB26A" w14:textId="77777777" w:rsidR="00E203C2" w:rsidRPr="007C174F" w:rsidRDefault="00E203C2" w:rsidP="00E203C2">
      <w:pPr>
        <w:rPr>
          <w:color w:val="000000"/>
          <w:sz w:val="20"/>
          <w:szCs w:val="20"/>
          <w:lang w:val="en-AU"/>
        </w:rPr>
      </w:pPr>
    </w:p>
    <w:p w14:paraId="785C4C32"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7E40324" w14:textId="77777777" w:rsidR="00E203C2" w:rsidRPr="007C174F" w:rsidRDefault="00E203C2" w:rsidP="00E203C2">
      <w:pPr>
        <w:rPr>
          <w:color w:val="000000"/>
          <w:sz w:val="20"/>
          <w:szCs w:val="20"/>
          <w:lang w:val="en-AU"/>
        </w:rPr>
      </w:pPr>
    </w:p>
    <w:p w14:paraId="515941FC"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 xml:space="preserve">the </w:t>
      </w:r>
      <w:proofErr w:type="gramStart"/>
      <w:r w:rsidRPr="007C174F">
        <w:rPr>
          <w:color w:val="000000"/>
          <w:sz w:val="20"/>
          <w:szCs w:val="20"/>
          <w:lang w:val="en-AU"/>
        </w:rPr>
        <w:t>FSANZ website</w:t>
      </w:r>
      <w:r w:rsidR="003309A8">
        <w:rPr>
          <w:color w:val="000000"/>
          <w:sz w:val="20"/>
          <w:szCs w:val="20"/>
          <w:lang w:val="en-AU"/>
        </w:rPr>
        <w:t>.</w:t>
      </w:r>
      <w:proofErr w:type="gramEnd"/>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8454C71" w14:textId="77777777" w:rsidR="00E203C2" w:rsidRPr="00E063C6" w:rsidRDefault="00E203C2" w:rsidP="00E203C2">
      <w:pPr>
        <w:rPr>
          <w:color w:val="000000"/>
          <w:lang w:val="en-AU"/>
        </w:rPr>
      </w:pPr>
    </w:p>
    <w:p w14:paraId="45927A78" w14:textId="528C0FCC" w:rsidR="00E063C6" w:rsidRPr="003C5407"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w:t>
      </w:r>
      <w:r w:rsidRPr="003C5407">
        <w:rPr>
          <w:rFonts w:cs="Arial"/>
          <w:b/>
          <w:bCs/>
          <w:sz w:val="24"/>
        </w:rPr>
        <w:t xml:space="preserve">e) </w:t>
      </w:r>
      <w:r w:rsidR="003C5407" w:rsidRPr="003C5407">
        <w:rPr>
          <w:rFonts w:cs="Arial"/>
          <w:b/>
          <w:bCs/>
          <w:sz w:val="24"/>
        </w:rPr>
        <w:t>29 March 2016</w:t>
      </w:r>
    </w:p>
    <w:p w14:paraId="1F712B42" w14:textId="77777777" w:rsidR="00E203C2" w:rsidRPr="007C174F" w:rsidRDefault="00E203C2" w:rsidP="00E203C2">
      <w:pPr>
        <w:rPr>
          <w:sz w:val="20"/>
          <w:szCs w:val="20"/>
          <w:lang w:val="en-AU"/>
        </w:rPr>
      </w:pPr>
    </w:p>
    <w:p w14:paraId="53953866" w14:textId="77777777" w:rsidR="00E063C6" w:rsidRPr="00BB73D7" w:rsidRDefault="00E063C6" w:rsidP="00E203C2">
      <w:pPr>
        <w:rPr>
          <w:sz w:val="18"/>
          <w:szCs w:val="18"/>
          <w:lang w:val="en-AU"/>
        </w:rPr>
      </w:pPr>
      <w:r w:rsidRPr="00BB73D7">
        <w:rPr>
          <w:sz w:val="18"/>
          <w:szCs w:val="18"/>
          <w:lang w:val="en-AU"/>
        </w:rPr>
        <w:t xml:space="preserve">Submissions received after this date will </w:t>
      </w:r>
      <w:r w:rsidR="00351B07" w:rsidRPr="00BB73D7">
        <w:rPr>
          <w:sz w:val="18"/>
          <w:szCs w:val="18"/>
          <w:lang w:val="en-AU"/>
        </w:rPr>
        <w:t>not</w:t>
      </w:r>
      <w:r w:rsidRPr="00BB73D7">
        <w:rPr>
          <w:sz w:val="18"/>
          <w:szCs w:val="18"/>
          <w:lang w:val="en-AU"/>
        </w:rPr>
        <w:t xml:space="preserve"> be considered </w:t>
      </w:r>
      <w:r w:rsidR="00351B07" w:rsidRPr="00BB73D7">
        <w:rPr>
          <w:sz w:val="18"/>
          <w:szCs w:val="18"/>
          <w:lang w:val="en-AU"/>
        </w:rPr>
        <w:t>unless</w:t>
      </w:r>
      <w:r w:rsidRPr="00BB73D7">
        <w:rPr>
          <w:sz w:val="18"/>
          <w:szCs w:val="18"/>
          <w:lang w:val="en-AU"/>
        </w:rPr>
        <w:t xml:space="preserve"> an extension ha</w:t>
      </w:r>
      <w:r w:rsidR="00D22F3C" w:rsidRPr="00BB73D7">
        <w:rPr>
          <w:sz w:val="18"/>
          <w:szCs w:val="18"/>
          <w:lang w:val="en-AU"/>
        </w:rPr>
        <w:t>d</w:t>
      </w:r>
      <w:r w:rsidRPr="00BB73D7">
        <w:rPr>
          <w:sz w:val="18"/>
          <w:szCs w:val="18"/>
          <w:lang w:val="en-AU"/>
        </w:rPr>
        <w:t xml:space="preserve"> been given </w:t>
      </w:r>
      <w:r w:rsidR="0037520F" w:rsidRPr="00BB73D7">
        <w:rPr>
          <w:sz w:val="18"/>
          <w:szCs w:val="18"/>
          <w:lang w:val="en-AU"/>
        </w:rPr>
        <w:t xml:space="preserve">before </w:t>
      </w:r>
      <w:r w:rsidRPr="00BB73D7">
        <w:rPr>
          <w:sz w:val="18"/>
          <w:szCs w:val="18"/>
          <w:lang w:val="en-AU"/>
        </w:rPr>
        <w:t>th</w:t>
      </w:r>
      <w:r w:rsidR="00351B07" w:rsidRPr="00BB73D7">
        <w:rPr>
          <w:sz w:val="18"/>
          <w:szCs w:val="18"/>
          <w:lang w:val="en-AU"/>
        </w:rPr>
        <w:t>e</w:t>
      </w:r>
      <w:r w:rsidRPr="00BB73D7">
        <w:rPr>
          <w:sz w:val="18"/>
          <w:szCs w:val="18"/>
          <w:lang w:val="en-AU"/>
        </w:rPr>
        <w:t xml:space="preserve"> closing date</w:t>
      </w:r>
      <w:r w:rsidR="003309A8" w:rsidRPr="00BB73D7">
        <w:rPr>
          <w:sz w:val="18"/>
          <w:szCs w:val="18"/>
          <w:lang w:val="en-AU"/>
        </w:rPr>
        <w:t xml:space="preserve">. </w:t>
      </w:r>
      <w:r w:rsidR="0037520F" w:rsidRPr="00BB73D7">
        <w:rPr>
          <w:sz w:val="18"/>
          <w:szCs w:val="18"/>
          <w:lang w:val="en-AU"/>
        </w:rPr>
        <w:t xml:space="preserve">Extensions will only be granted due to </w:t>
      </w:r>
      <w:r w:rsidRPr="00BB73D7">
        <w:rPr>
          <w:sz w:val="18"/>
          <w:szCs w:val="18"/>
          <w:lang w:val="en-AU"/>
        </w:rPr>
        <w:t xml:space="preserve">extraordinary circumstances </w:t>
      </w:r>
      <w:r w:rsidR="0037520F" w:rsidRPr="00BB73D7">
        <w:rPr>
          <w:sz w:val="18"/>
          <w:szCs w:val="18"/>
          <w:lang w:val="en-AU"/>
        </w:rPr>
        <w:t xml:space="preserve">during the </w:t>
      </w:r>
      <w:r w:rsidRPr="00BB73D7">
        <w:rPr>
          <w:sz w:val="18"/>
          <w:szCs w:val="18"/>
          <w:lang w:val="en-AU"/>
        </w:rPr>
        <w:t>submission period</w:t>
      </w:r>
      <w:r w:rsidR="003309A8" w:rsidRPr="00BB73D7">
        <w:rPr>
          <w:sz w:val="18"/>
          <w:szCs w:val="18"/>
          <w:lang w:val="en-AU"/>
        </w:rPr>
        <w:t xml:space="preserve">. </w:t>
      </w:r>
      <w:r w:rsidRPr="00BB73D7">
        <w:rPr>
          <w:sz w:val="18"/>
          <w:szCs w:val="18"/>
          <w:lang w:val="en-AU"/>
        </w:rPr>
        <w:t>Any agreed extension will be notified on the FSANZ website and will apply to all submitters.</w:t>
      </w:r>
    </w:p>
    <w:p w14:paraId="1EA18E74" w14:textId="77777777" w:rsidR="00E203C2" w:rsidRPr="00BB73D7" w:rsidRDefault="00E203C2" w:rsidP="00E203C2">
      <w:pPr>
        <w:rPr>
          <w:sz w:val="18"/>
          <w:szCs w:val="18"/>
          <w:lang w:val="en-AU"/>
        </w:rPr>
      </w:pPr>
    </w:p>
    <w:p w14:paraId="36E2B31C" w14:textId="77777777" w:rsidR="00E063C6" w:rsidRPr="00BB73D7" w:rsidRDefault="0037520F" w:rsidP="00E203C2">
      <w:pPr>
        <w:rPr>
          <w:bCs/>
          <w:sz w:val="18"/>
          <w:szCs w:val="18"/>
          <w:lang w:val="en-AU"/>
        </w:rPr>
      </w:pPr>
      <w:r w:rsidRPr="00BB73D7">
        <w:rPr>
          <w:sz w:val="18"/>
          <w:szCs w:val="18"/>
          <w:lang w:val="en-AU"/>
        </w:rPr>
        <w:t>Questions about</w:t>
      </w:r>
      <w:r w:rsidR="00E063C6" w:rsidRPr="00BB73D7">
        <w:rPr>
          <w:sz w:val="18"/>
          <w:szCs w:val="18"/>
          <w:lang w:val="en-AU"/>
        </w:rPr>
        <w:t xml:space="preserve"> making submissions or the application process can be </w:t>
      </w:r>
      <w:r w:rsidRPr="00BB73D7">
        <w:rPr>
          <w:sz w:val="18"/>
          <w:szCs w:val="18"/>
          <w:lang w:val="en-AU"/>
        </w:rPr>
        <w:t>sent to</w:t>
      </w:r>
      <w:r w:rsidR="00E063C6" w:rsidRPr="00BB73D7">
        <w:rPr>
          <w:sz w:val="18"/>
          <w:szCs w:val="18"/>
          <w:lang w:val="en-AU"/>
        </w:rPr>
        <w:t xml:space="preserve"> </w:t>
      </w:r>
      <w:hyperlink r:id="rId14" w:history="1">
        <w:r w:rsidR="00E063C6" w:rsidRPr="00BB73D7">
          <w:rPr>
            <w:rStyle w:val="Hyperlink"/>
            <w:rFonts w:cs="Arial"/>
            <w:sz w:val="18"/>
            <w:szCs w:val="18"/>
            <w:lang w:val="en-AU"/>
          </w:rPr>
          <w:t>standards.management@foodstandards.gov.au</w:t>
        </w:r>
      </w:hyperlink>
      <w:r w:rsidR="00E063C6" w:rsidRPr="00BB73D7">
        <w:rPr>
          <w:sz w:val="18"/>
          <w:szCs w:val="18"/>
          <w:lang w:val="en-AU"/>
        </w:rPr>
        <w:t xml:space="preserve">. </w:t>
      </w:r>
    </w:p>
    <w:p w14:paraId="31FE1124" w14:textId="77777777" w:rsidR="00E203C2" w:rsidRPr="00BB73D7" w:rsidRDefault="00E203C2" w:rsidP="003A7725">
      <w:pPr>
        <w:rPr>
          <w:sz w:val="18"/>
          <w:szCs w:val="18"/>
          <w:lang w:val="en-AU"/>
        </w:rPr>
      </w:pPr>
    </w:p>
    <w:p w14:paraId="7AE44EFE" w14:textId="77777777" w:rsidR="00E063C6" w:rsidRPr="00BB73D7" w:rsidRDefault="00351B07" w:rsidP="00E203C2">
      <w:pPr>
        <w:rPr>
          <w:sz w:val="18"/>
          <w:szCs w:val="18"/>
          <w:lang w:val="en-AU"/>
        </w:rPr>
      </w:pPr>
      <w:r w:rsidRPr="00BB73D7">
        <w:rPr>
          <w:sz w:val="18"/>
          <w:szCs w:val="18"/>
          <w:lang w:val="en-AU"/>
        </w:rPr>
        <w:t>Hard</w:t>
      </w:r>
      <w:r w:rsidR="00E063C6" w:rsidRPr="00BB73D7">
        <w:rPr>
          <w:sz w:val="18"/>
          <w:szCs w:val="18"/>
          <w:lang w:val="en-AU"/>
        </w:rPr>
        <w:t xml:space="preserve"> copy submissions may be sent to one of the following addresses:</w:t>
      </w:r>
    </w:p>
    <w:p w14:paraId="23B759F7" w14:textId="77777777" w:rsidR="00E203C2" w:rsidRPr="00BB73D7" w:rsidRDefault="00E203C2" w:rsidP="00E203C2">
      <w:pPr>
        <w:rPr>
          <w:sz w:val="18"/>
          <w:szCs w:val="18"/>
          <w:lang w:val="en-AU"/>
        </w:rPr>
      </w:pPr>
    </w:p>
    <w:p w14:paraId="4C031D97" w14:textId="77777777" w:rsidR="00E203C2" w:rsidRPr="00BB73D7" w:rsidRDefault="00E063C6" w:rsidP="00E203C2">
      <w:pPr>
        <w:tabs>
          <w:tab w:val="left" w:pos="4536"/>
        </w:tabs>
        <w:rPr>
          <w:sz w:val="18"/>
          <w:szCs w:val="18"/>
        </w:rPr>
      </w:pPr>
      <w:r w:rsidRPr="00BB73D7">
        <w:rPr>
          <w:sz w:val="18"/>
          <w:szCs w:val="18"/>
        </w:rPr>
        <w:t>Food Standards Australia New Zealand</w:t>
      </w:r>
      <w:r w:rsidRPr="00BB73D7">
        <w:rPr>
          <w:sz w:val="18"/>
          <w:szCs w:val="18"/>
        </w:rPr>
        <w:tab/>
      </w:r>
      <w:r w:rsidRPr="00BB73D7">
        <w:rPr>
          <w:sz w:val="18"/>
          <w:szCs w:val="18"/>
        </w:rPr>
        <w:tab/>
        <w:t>Food Standards Australia New Zealand</w:t>
      </w:r>
    </w:p>
    <w:p w14:paraId="2E9300EC" w14:textId="27096BCE" w:rsidR="00E203C2" w:rsidRPr="00BB73D7" w:rsidRDefault="00E063C6" w:rsidP="00E203C2">
      <w:pPr>
        <w:tabs>
          <w:tab w:val="left" w:pos="4536"/>
        </w:tabs>
        <w:rPr>
          <w:sz w:val="18"/>
          <w:szCs w:val="18"/>
        </w:rPr>
      </w:pPr>
      <w:r w:rsidRPr="00BB73D7">
        <w:rPr>
          <w:sz w:val="18"/>
          <w:szCs w:val="18"/>
        </w:rPr>
        <w:t xml:space="preserve">PO Box </w:t>
      </w:r>
      <w:r w:rsidR="00F739B3">
        <w:rPr>
          <w:sz w:val="18"/>
          <w:szCs w:val="18"/>
        </w:rPr>
        <w:t>5423</w:t>
      </w:r>
      <w:r w:rsidRPr="00BB73D7">
        <w:rPr>
          <w:sz w:val="18"/>
          <w:szCs w:val="18"/>
        </w:rPr>
        <w:tab/>
        <w:t>PO Box 10559</w:t>
      </w:r>
    </w:p>
    <w:p w14:paraId="58973A1F" w14:textId="091DD8FC" w:rsidR="00E203C2" w:rsidRPr="00BB73D7" w:rsidRDefault="00F739B3" w:rsidP="00E203C2">
      <w:pPr>
        <w:tabs>
          <w:tab w:val="left" w:pos="4536"/>
        </w:tabs>
        <w:rPr>
          <w:sz w:val="18"/>
          <w:szCs w:val="18"/>
        </w:rPr>
      </w:pPr>
      <w:proofErr w:type="gramStart"/>
      <w:r>
        <w:rPr>
          <w:sz w:val="18"/>
          <w:szCs w:val="18"/>
        </w:rPr>
        <w:t>KINGSTON</w:t>
      </w:r>
      <w:r w:rsidR="00E063C6" w:rsidRPr="00BB73D7">
        <w:rPr>
          <w:sz w:val="18"/>
          <w:szCs w:val="18"/>
        </w:rPr>
        <w:t xml:space="preserve"> </w:t>
      </w:r>
      <w:r w:rsidR="0037520F" w:rsidRPr="00BB73D7">
        <w:rPr>
          <w:sz w:val="18"/>
          <w:szCs w:val="18"/>
        </w:rPr>
        <w:t xml:space="preserve"> </w:t>
      </w:r>
      <w:r w:rsidR="00E063C6" w:rsidRPr="00BB73D7">
        <w:rPr>
          <w:sz w:val="18"/>
          <w:szCs w:val="18"/>
        </w:rPr>
        <w:t>ACT</w:t>
      </w:r>
      <w:proofErr w:type="gramEnd"/>
      <w:r w:rsidR="0037520F" w:rsidRPr="00BB73D7">
        <w:rPr>
          <w:sz w:val="18"/>
          <w:szCs w:val="18"/>
        </w:rPr>
        <w:t xml:space="preserve"> </w:t>
      </w:r>
      <w:r w:rsidR="00E063C6" w:rsidRPr="00BB73D7">
        <w:rPr>
          <w:sz w:val="18"/>
          <w:szCs w:val="18"/>
        </w:rPr>
        <w:t xml:space="preserve"> 26</w:t>
      </w:r>
      <w:r>
        <w:rPr>
          <w:sz w:val="18"/>
          <w:szCs w:val="18"/>
        </w:rPr>
        <w:t>04</w:t>
      </w:r>
      <w:r w:rsidR="00E063C6" w:rsidRPr="00BB73D7">
        <w:rPr>
          <w:sz w:val="18"/>
          <w:szCs w:val="18"/>
        </w:rPr>
        <w:tab/>
      </w:r>
      <w:r w:rsidR="00E063C6" w:rsidRPr="00BB73D7">
        <w:rPr>
          <w:sz w:val="18"/>
          <w:szCs w:val="18"/>
        </w:rPr>
        <w:tab/>
        <w:t>The Terrace WELLINGTON 6143</w:t>
      </w:r>
    </w:p>
    <w:p w14:paraId="3C9D8FAD" w14:textId="77777777" w:rsidR="00E063C6" w:rsidRPr="00BB73D7" w:rsidRDefault="00E063C6" w:rsidP="00E203C2">
      <w:pPr>
        <w:tabs>
          <w:tab w:val="left" w:pos="4536"/>
        </w:tabs>
        <w:rPr>
          <w:sz w:val="18"/>
          <w:szCs w:val="18"/>
        </w:rPr>
      </w:pPr>
      <w:r w:rsidRPr="00BB73D7">
        <w:rPr>
          <w:sz w:val="18"/>
          <w:szCs w:val="18"/>
        </w:rPr>
        <w:t>AUSTRALIA</w:t>
      </w:r>
      <w:r w:rsidRPr="00BB73D7">
        <w:rPr>
          <w:sz w:val="18"/>
          <w:szCs w:val="18"/>
        </w:rPr>
        <w:tab/>
      </w:r>
      <w:r w:rsidRPr="00BB73D7">
        <w:rPr>
          <w:sz w:val="18"/>
          <w:szCs w:val="18"/>
        </w:rPr>
        <w:tab/>
        <w:t>NEW ZEALAND</w:t>
      </w:r>
    </w:p>
    <w:p w14:paraId="56D7D05D" w14:textId="5E7F9BC5" w:rsidR="00D22F3C" w:rsidRPr="00BB73D7" w:rsidRDefault="00E063C6" w:rsidP="00203540">
      <w:pPr>
        <w:tabs>
          <w:tab w:val="left" w:pos="4536"/>
        </w:tabs>
        <w:rPr>
          <w:rFonts w:cs="Arial"/>
          <w:bCs/>
          <w:color w:val="FF0000"/>
          <w:sz w:val="18"/>
          <w:szCs w:val="18"/>
        </w:rPr>
      </w:pPr>
      <w:r w:rsidRPr="00BB73D7">
        <w:rPr>
          <w:sz w:val="18"/>
          <w:szCs w:val="18"/>
        </w:rPr>
        <w:t xml:space="preserve">Tel </w:t>
      </w:r>
      <w:r w:rsidR="00DD3C5E" w:rsidRPr="00BB73D7">
        <w:rPr>
          <w:sz w:val="18"/>
          <w:szCs w:val="18"/>
        </w:rPr>
        <w:t>+61 2</w:t>
      </w:r>
      <w:r w:rsidRPr="00BB73D7">
        <w:rPr>
          <w:sz w:val="18"/>
          <w:szCs w:val="18"/>
        </w:rPr>
        <w:t xml:space="preserve"> 6271 2222  </w:t>
      </w:r>
      <w:r w:rsidRPr="00BB73D7">
        <w:rPr>
          <w:sz w:val="18"/>
          <w:szCs w:val="18"/>
        </w:rPr>
        <w:tab/>
      </w:r>
      <w:r w:rsidRPr="00BB73D7">
        <w:rPr>
          <w:sz w:val="18"/>
          <w:szCs w:val="18"/>
        </w:rPr>
        <w:tab/>
        <w:t xml:space="preserve">Tel </w:t>
      </w:r>
      <w:r w:rsidR="00DD3C5E" w:rsidRPr="00BB73D7">
        <w:rPr>
          <w:sz w:val="18"/>
          <w:szCs w:val="18"/>
        </w:rPr>
        <w:t>+64 4</w:t>
      </w:r>
      <w:r w:rsidR="0037520F" w:rsidRPr="00BB73D7">
        <w:rPr>
          <w:sz w:val="18"/>
          <w:szCs w:val="18"/>
        </w:rPr>
        <w:t xml:space="preserve"> 978 5630</w:t>
      </w:r>
    </w:p>
    <w:p w14:paraId="30616D42" w14:textId="77777777" w:rsidR="00413CA8" w:rsidRDefault="00413CA8" w:rsidP="00E203C2">
      <w:pPr>
        <w:spacing w:line="280" w:lineRule="exact"/>
        <w:jc w:val="center"/>
        <w:rPr>
          <w:rFonts w:cs="Arial"/>
          <w:bCs/>
          <w:sz w:val="28"/>
          <w:szCs w:val="28"/>
        </w:rPr>
        <w:sectPr w:rsidR="00413CA8" w:rsidSect="00B969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14:paraId="24A93EEA"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0BDF6ADB" w14:textId="77777777" w:rsidR="00562917" w:rsidRPr="00AE766D" w:rsidRDefault="00562917" w:rsidP="00051ED9">
      <w:pPr>
        <w:rPr>
          <w:rFonts w:cs="Arial"/>
        </w:rPr>
      </w:pPr>
    </w:p>
    <w:p w14:paraId="696CC601" w14:textId="77777777" w:rsidR="00353442" w:rsidRPr="003C5407"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3C5407">
        <w:rPr>
          <w:rFonts w:ascii="Arial" w:hAnsi="Arial" w:cs="Arial"/>
        </w:rPr>
        <w:fldChar w:fldCharType="begin"/>
      </w:r>
      <w:r w:rsidRPr="003C5407">
        <w:rPr>
          <w:rFonts w:ascii="Arial" w:hAnsi="Arial" w:cs="Arial"/>
        </w:rPr>
        <w:instrText xml:space="preserve"> TOC \o "1-3" \h \z \u </w:instrText>
      </w:r>
      <w:r w:rsidRPr="003C5407">
        <w:rPr>
          <w:rFonts w:ascii="Arial" w:hAnsi="Arial" w:cs="Arial"/>
        </w:rPr>
        <w:fldChar w:fldCharType="separate"/>
      </w:r>
      <w:hyperlink w:anchor="_Toc442949545" w:history="1">
        <w:r w:rsidR="00353442" w:rsidRPr="003C5407">
          <w:rPr>
            <w:rStyle w:val="Hyperlink"/>
            <w:rFonts w:cs="Arial"/>
            <w:noProof/>
          </w:rPr>
          <w:t>Executive summary</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_Toc442949545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2</w:t>
        </w:r>
        <w:r w:rsidR="00353442" w:rsidRPr="003C5407">
          <w:rPr>
            <w:rFonts w:ascii="Arial" w:hAnsi="Arial" w:cs="Arial"/>
            <w:noProof/>
            <w:webHidden/>
          </w:rPr>
          <w:fldChar w:fldCharType="end"/>
        </w:r>
      </w:hyperlink>
    </w:p>
    <w:p w14:paraId="0CF4F7A6" w14:textId="77777777" w:rsidR="00353442" w:rsidRPr="003C5407" w:rsidRDefault="009A630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2949546" w:history="1">
        <w:r w:rsidR="00353442" w:rsidRPr="003C5407">
          <w:rPr>
            <w:rStyle w:val="Hyperlink"/>
            <w:rFonts w:cs="Arial"/>
            <w:noProof/>
          </w:rPr>
          <w:t>1</w:t>
        </w:r>
        <w:r w:rsidR="00353442" w:rsidRPr="003C5407">
          <w:rPr>
            <w:rFonts w:ascii="Arial" w:eastAsiaTheme="minorEastAsia" w:hAnsi="Arial" w:cs="Arial"/>
            <w:b w:val="0"/>
            <w:bCs w:val="0"/>
            <w:caps w:val="0"/>
            <w:noProof/>
            <w:sz w:val="22"/>
            <w:szCs w:val="22"/>
            <w:lang w:eastAsia="en-GB" w:bidi="ar-SA"/>
          </w:rPr>
          <w:tab/>
        </w:r>
        <w:r w:rsidR="00353442" w:rsidRPr="003C5407">
          <w:rPr>
            <w:rStyle w:val="Hyperlink"/>
            <w:rFonts w:cs="Arial"/>
            <w:noProof/>
          </w:rPr>
          <w:t>Introduction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_Toc442949546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3</w:t>
        </w:r>
        <w:r w:rsidR="00353442" w:rsidRPr="003C5407">
          <w:rPr>
            <w:rFonts w:ascii="Arial" w:hAnsi="Arial" w:cs="Arial"/>
            <w:noProof/>
            <w:webHidden/>
          </w:rPr>
          <w:fldChar w:fldCharType="end"/>
        </w:r>
      </w:hyperlink>
    </w:p>
    <w:p w14:paraId="2CCD4245"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47" w:history="1">
        <w:r w:rsidR="00353442" w:rsidRPr="003C5407">
          <w:rPr>
            <w:rStyle w:val="Hyperlink"/>
            <w:rFonts w:cs="Arial"/>
            <w:noProof/>
          </w:rPr>
          <w:t>1.1</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rPr>
          <w:t>The Applicant</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_Toc442949547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3</w:t>
        </w:r>
        <w:r w:rsidR="00353442" w:rsidRPr="003C5407">
          <w:rPr>
            <w:rFonts w:ascii="Arial" w:hAnsi="Arial" w:cs="Arial"/>
            <w:noProof/>
            <w:webHidden/>
          </w:rPr>
          <w:fldChar w:fldCharType="end"/>
        </w:r>
      </w:hyperlink>
    </w:p>
    <w:p w14:paraId="597415ED"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48" w:history="1">
        <w:r w:rsidR="00353442" w:rsidRPr="003C5407">
          <w:rPr>
            <w:rStyle w:val="Hyperlink"/>
            <w:rFonts w:cs="Arial"/>
            <w:noProof/>
          </w:rPr>
          <w:t>1.2</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rPr>
          <w:t>The Application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_Toc442949548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3</w:t>
        </w:r>
        <w:r w:rsidR="00353442" w:rsidRPr="003C5407">
          <w:rPr>
            <w:rFonts w:ascii="Arial" w:hAnsi="Arial" w:cs="Arial"/>
            <w:noProof/>
            <w:webHidden/>
          </w:rPr>
          <w:fldChar w:fldCharType="end"/>
        </w:r>
      </w:hyperlink>
    </w:p>
    <w:p w14:paraId="5579FC2A"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49" w:history="1">
        <w:r w:rsidR="00353442" w:rsidRPr="003C5407">
          <w:rPr>
            <w:rStyle w:val="Hyperlink"/>
            <w:rFonts w:cs="Arial"/>
            <w:noProof/>
          </w:rPr>
          <w:t>1.3</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rPr>
          <w:t>The current Standard</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_Toc442949549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3</w:t>
        </w:r>
        <w:r w:rsidR="00353442" w:rsidRPr="003C5407">
          <w:rPr>
            <w:rFonts w:ascii="Arial" w:hAnsi="Arial" w:cs="Arial"/>
            <w:noProof/>
            <w:webHidden/>
          </w:rPr>
          <w:fldChar w:fldCharType="end"/>
        </w:r>
      </w:hyperlink>
    </w:p>
    <w:p w14:paraId="43CBB3A5"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50" w:history="1">
        <w:r w:rsidR="00353442" w:rsidRPr="003C5407">
          <w:rPr>
            <w:rStyle w:val="Hyperlink"/>
            <w:rFonts w:cs="Arial"/>
            <w:noProof/>
          </w:rPr>
          <w:t>1.3.1</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International Standards</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_Toc442949550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3</w:t>
        </w:r>
        <w:r w:rsidR="00353442" w:rsidRPr="003C5407">
          <w:rPr>
            <w:rFonts w:ascii="Arial" w:hAnsi="Arial" w:cs="Arial"/>
            <w:noProof/>
            <w:webHidden/>
          </w:rPr>
          <w:fldChar w:fldCharType="end"/>
        </w:r>
      </w:hyperlink>
    </w:p>
    <w:p w14:paraId="78B7995B"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51" w:history="1">
        <w:r w:rsidR="00353442" w:rsidRPr="003C5407">
          <w:rPr>
            <w:rStyle w:val="Hyperlink"/>
            <w:rFonts w:cs="Arial"/>
            <w:noProof/>
            <w:u w:color="FFFF00"/>
          </w:rPr>
          <w:t>1.4</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u w:color="FFFF00"/>
          </w:rPr>
          <w:t>Reasons for accepting Application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_Toc442949551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4</w:t>
        </w:r>
        <w:r w:rsidR="00353442" w:rsidRPr="003C5407">
          <w:rPr>
            <w:rFonts w:ascii="Arial" w:hAnsi="Arial" w:cs="Arial"/>
            <w:noProof/>
            <w:webHidden/>
          </w:rPr>
          <w:fldChar w:fldCharType="end"/>
        </w:r>
      </w:hyperlink>
    </w:p>
    <w:p w14:paraId="36831EC9"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52" w:history="1">
        <w:r w:rsidR="00353442" w:rsidRPr="003C5407">
          <w:rPr>
            <w:rStyle w:val="Hyperlink"/>
            <w:rFonts w:cs="Arial"/>
            <w:noProof/>
          </w:rPr>
          <w:t>1.5</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rPr>
          <w:t>Procedure for assessment</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_Toc442949552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4</w:t>
        </w:r>
        <w:r w:rsidR="00353442" w:rsidRPr="003C5407">
          <w:rPr>
            <w:rFonts w:ascii="Arial" w:hAnsi="Arial" w:cs="Arial"/>
            <w:noProof/>
            <w:webHidden/>
          </w:rPr>
          <w:fldChar w:fldCharType="end"/>
        </w:r>
      </w:hyperlink>
    </w:p>
    <w:p w14:paraId="5F40E00E" w14:textId="77777777" w:rsidR="00353442" w:rsidRPr="003C5407" w:rsidRDefault="009A630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2949553" w:history="1">
        <w:r w:rsidR="00353442" w:rsidRPr="003C5407">
          <w:rPr>
            <w:rStyle w:val="Hyperlink"/>
            <w:rFonts w:cs="Arial"/>
            <w:noProof/>
          </w:rPr>
          <w:t>2</w:t>
        </w:r>
        <w:r w:rsidR="00353442" w:rsidRPr="003C5407">
          <w:rPr>
            <w:rFonts w:ascii="Arial" w:eastAsiaTheme="minorEastAsia" w:hAnsi="Arial" w:cs="Arial"/>
            <w:b w:val="0"/>
            <w:bCs w:val="0"/>
            <w:caps w:val="0"/>
            <w:noProof/>
            <w:sz w:val="22"/>
            <w:szCs w:val="22"/>
            <w:lang w:eastAsia="en-GB" w:bidi="ar-SA"/>
          </w:rPr>
          <w:tab/>
        </w:r>
        <w:r w:rsidR="00353442" w:rsidRPr="003C5407">
          <w:rPr>
            <w:rStyle w:val="Hyperlink"/>
            <w:rFonts w:cs="Arial"/>
            <w:noProof/>
          </w:rPr>
          <w:t>Summary of the assessment</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_Toc442949553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4</w:t>
        </w:r>
        <w:r w:rsidR="00353442" w:rsidRPr="003C5407">
          <w:rPr>
            <w:rFonts w:ascii="Arial" w:hAnsi="Arial" w:cs="Arial"/>
            <w:noProof/>
            <w:webHidden/>
          </w:rPr>
          <w:fldChar w:fldCharType="end"/>
        </w:r>
      </w:hyperlink>
    </w:p>
    <w:p w14:paraId="56E06D86"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54" w:history="1">
        <w:r w:rsidR="00353442" w:rsidRPr="003C5407">
          <w:rPr>
            <w:rStyle w:val="Hyperlink"/>
            <w:rFonts w:cs="Arial"/>
            <w:noProof/>
          </w:rPr>
          <w:t>2.1</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rPr>
          <w:t>Risk assessment</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_Toc442949554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4</w:t>
        </w:r>
        <w:r w:rsidR="00353442" w:rsidRPr="003C5407">
          <w:rPr>
            <w:rFonts w:ascii="Arial" w:hAnsi="Arial" w:cs="Arial"/>
            <w:noProof/>
            <w:webHidden/>
          </w:rPr>
          <w:fldChar w:fldCharType="end"/>
        </w:r>
      </w:hyperlink>
    </w:p>
    <w:p w14:paraId="7AD691DB"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55" w:history="1">
        <w:r w:rsidR="00353442" w:rsidRPr="003C5407">
          <w:rPr>
            <w:rStyle w:val="Hyperlink"/>
            <w:rFonts w:cs="Arial"/>
            <w:noProof/>
          </w:rPr>
          <w:t>2.2</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rPr>
          <w:t>Risk management</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_Toc442949555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5</w:t>
        </w:r>
        <w:r w:rsidR="00353442" w:rsidRPr="003C5407">
          <w:rPr>
            <w:rFonts w:ascii="Arial" w:hAnsi="Arial" w:cs="Arial"/>
            <w:noProof/>
            <w:webHidden/>
          </w:rPr>
          <w:fldChar w:fldCharType="end"/>
        </w:r>
      </w:hyperlink>
    </w:p>
    <w:p w14:paraId="14A67925"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56" w:history="1">
        <w:r w:rsidR="00353442" w:rsidRPr="003C5407">
          <w:rPr>
            <w:rStyle w:val="Hyperlink"/>
            <w:rFonts w:cs="Arial"/>
            <w:noProof/>
          </w:rPr>
          <w:t>2.2.1</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Permissions for agarose ion exchange resin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_Toc442949556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5</w:t>
        </w:r>
        <w:r w:rsidR="00353442" w:rsidRPr="003C5407">
          <w:rPr>
            <w:rFonts w:ascii="Arial" w:hAnsi="Arial" w:cs="Arial"/>
            <w:noProof/>
            <w:webHidden/>
          </w:rPr>
          <w:fldChar w:fldCharType="end"/>
        </w:r>
      </w:hyperlink>
    </w:p>
    <w:p w14:paraId="51823A36"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57" w:history="1">
        <w:r w:rsidR="00353442" w:rsidRPr="003C5407">
          <w:rPr>
            <w:rStyle w:val="Hyperlink"/>
            <w:rFonts w:cs="Arial"/>
            <w:noProof/>
          </w:rPr>
          <w:t>2.2.2</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Specification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_Toc442949557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5</w:t>
        </w:r>
        <w:r w:rsidR="00353442" w:rsidRPr="003C5407">
          <w:rPr>
            <w:rFonts w:ascii="Arial" w:hAnsi="Arial" w:cs="Arial"/>
            <w:noProof/>
            <w:webHidden/>
          </w:rPr>
          <w:fldChar w:fldCharType="end"/>
        </w:r>
      </w:hyperlink>
    </w:p>
    <w:p w14:paraId="0C00052F"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58" w:history="1">
        <w:r w:rsidR="00353442" w:rsidRPr="003C5407">
          <w:rPr>
            <w:rStyle w:val="Hyperlink"/>
            <w:rFonts w:cs="Arial"/>
            <w:noProof/>
          </w:rPr>
          <w:t>2.2.3</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Labelling considerations</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_Toc442949558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5</w:t>
        </w:r>
        <w:r w:rsidR="00353442" w:rsidRPr="003C5407">
          <w:rPr>
            <w:rFonts w:ascii="Arial" w:hAnsi="Arial" w:cs="Arial"/>
            <w:noProof/>
            <w:webHidden/>
          </w:rPr>
          <w:fldChar w:fldCharType="end"/>
        </w:r>
      </w:hyperlink>
    </w:p>
    <w:p w14:paraId="77D38E33"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59" w:history="1">
        <w:r w:rsidR="00353442" w:rsidRPr="003C5407">
          <w:rPr>
            <w:rStyle w:val="Hyperlink"/>
            <w:rFonts w:cs="Arial"/>
            <w:noProof/>
          </w:rPr>
          <w:t>2.2.4</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Conclusion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_Toc442949559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5</w:t>
        </w:r>
        <w:r w:rsidR="00353442" w:rsidRPr="003C5407">
          <w:rPr>
            <w:rFonts w:ascii="Arial" w:hAnsi="Arial" w:cs="Arial"/>
            <w:noProof/>
            <w:webHidden/>
          </w:rPr>
          <w:fldChar w:fldCharType="end"/>
        </w:r>
      </w:hyperlink>
    </w:p>
    <w:p w14:paraId="0A03283A"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60" w:history="1">
        <w:r w:rsidR="00353442" w:rsidRPr="003C5407">
          <w:rPr>
            <w:rStyle w:val="Hyperlink"/>
            <w:rFonts w:cs="Arial"/>
            <w:noProof/>
          </w:rPr>
          <w:t>2.3</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rPr>
          <w:t>Risk communication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_Toc442949560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6</w:t>
        </w:r>
        <w:r w:rsidR="00353442" w:rsidRPr="003C5407">
          <w:rPr>
            <w:rFonts w:ascii="Arial" w:hAnsi="Arial" w:cs="Arial"/>
            <w:noProof/>
            <w:webHidden/>
          </w:rPr>
          <w:fldChar w:fldCharType="end"/>
        </w:r>
      </w:hyperlink>
    </w:p>
    <w:p w14:paraId="362AE98D"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61" w:history="1">
        <w:r w:rsidR="00353442" w:rsidRPr="003C5407">
          <w:rPr>
            <w:rStyle w:val="Hyperlink"/>
            <w:rFonts w:cs="Arial"/>
            <w:noProof/>
          </w:rPr>
          <w:t>2.3.1</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Consultation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_Toc442949561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6</w:t>
        </w:r>
        <w:r w:rsidR="00353442" w:rsidRPr="003C5407">
          <w:rPr>
            <w:rFonts w:ascii="Arial" w:hAnsi="Arial" w:cs="Arial"/>
            <w:noProof/>
            <w:webHidden/>
          </w:rPr>
          <w:fldChar w:fldCharType="end"/>
        </w:r>
      </w:hyperlink>
    </w:p>
    <w:p w14:paraId="274E8DB5"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62" w:history="1">
        <w:r w:rsidR="00353442" w:rsidRPr="003C5407">
          <w:rPr>
            <w:rStyle w:val="Hyperlink"/>
            <w:rFonts w:cs="Arial"/>
            <w:noProof/>
          </w:rPr>
          <w:t>2.3.2</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World Trade Organization (WTO)</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_Toc442949562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6</w:t>
        </w:r>
        <w:r w:rsidR="00353442" w:rsidRPr="003C5407">
          <w:rPr>
            <w:rFonts w:ascii="Arial" w:hAnsi="Arial" w:cs="Arial"/>
            <w:noProof/>
            <w:webHidden/>
          </w:rPr>
          <w:fldChar w:fldCharType="end"/>
        </w:r>
      </w:hyperlink>
    </w:p>
    <w:p w14:paraId="0B9F172C" w14:textId="77777777" w:rsidR="00353442" w:rsidRPr="003C5407" w:rsidRDefault="009A630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949563" w:history="1">
        <w:r w:rsidR="00353442" w:rsidRPr="003C5407">
          <w:rPr>
            <w:rStyle w:val="Hyperlink"/>
            <w:rFonts w:cs="Arial"/>
            <w:noProof/>
          </w:rPr>
          <w:t>2.4</w:t>
        </w:r>
        <w:r w:rsidR="00353442" w:rsidRPr="003C5407">
          <w:rPr>
            <w:rFonts w:ascii="Arial" w:eastAsiaTheme="minorEastAsia" w:hAnsi="Arial" w:cs="Arial"/>
            <w:smallCaps w:val="0"/>
            <w:noProof/>
            <w:sz w:val="22"/>
            <w:szCs w:val="22"/>
            <w:lang w:eastAsia="en-GB" w:bidi="ar-SA"/>
          </w:rPr>
          <w:tab/>
        </w:r>
        <w:r w:rsidR="00353442" w:rsidRPr="003C5407">
          <w:rPr>
            <w:rStyle w:val="Hyperlink"/>
            <w:rFonts w:cs="Arial"/>
            <w:noProof/>
          </w:rPr>
          <w:t>FSANZ Act assessment requirements</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_Toc442949563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6</w:t>
        </w:r>
        <w:r w:rsidR="00353442" w:rsidRPr="003C5407">
          <w:rPr>
            <w:rFonts w:ascii="Arial" w:hAnsi="Arial" w:cs="Arial"/>
            <w:noProof/>
            <w:webHidden/>
          </w:rPr>
          <w:fldChar w:fldCharType="end"/>
        </w:r>
      </w:hyperlink>
    </w:p>
    <w:p w14:paraId="7148B239"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64" w:history="1">
        <w:r w:rsidR="00353442" w:rsidRPr="003C5407">
          <w:rPr>
            <w:rStyle w:val="Hyperlink"/>
            <w:rFonts w:cs="Arial"/>
            <w:noProof/>
          </w:rPr>
          <w:t>2.4.1</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Section 29</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_Toc442949564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6</w:t>
        </w:r>
        <w:r w:rsidR="00353442" w:rsidRPr="003C5407">
          <w:rPr>
            <w:rFonts w:ascii="Arial" w:hAnsi="Arial" w:cs="Arial"/>
            <w:noProof/>
            <w:webHidden/>
          </w:rPr>
          <w:fldChar w:fldCharType="end"/>
        </w:r>
      </w:hyperlink>
    </w:p>
    <w:p w14:paraId="0CEA1A3D"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65" w:history="1">
        <w:r w:rsidR="00353442" w:rsidRPr="003C5407">
          <w:rPr>
            <w:rStyle w:val="Hyperlink"/>
            <w:rFonts w:cs="Arial"/>
            <w:noProof/>
          </w:rPr>
          <w:t>2.4.2</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Subsection 18(1)</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_Toc442949565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8</w:t>
        </w:r>
        <w:r w:rsidR="00353442" w:rsidRPr="003C5407">
          <w:rPr>
            <w:rFonts w:ascii="Arial" w:hAnsi="Arial" w:cs="Arial"/>
            <w:noProof/>
            <w:webHidden/>
          </w:rPr>
          <w:fldChar w:fldCharType="end"/>
        </w:r>
      </w:hyperlink>
    </w:p>
    <w:p w14:paraId="0BFD4E6F" w14:textId="77777777" w:rsidR="00353442" w:rsidRPr="003C5407" w:rsidRDefault="009A630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949566" w:history="1">
        <w:r w:rsidR="00353442" w:rsidRPr="003C5407">
          <w:rPr>
            <w:rStyle w:val="Hyperlink"/>
            <w:rFonts w:cs="Arial"/>
            <w:noProof/>
          </w:rPr>
          <w:t>2.4.3</w:t>
        </w:r>
        <w:r w:rsidR="00353442" w:rsidRPr="003C5407">
          <w:rPr>
            <w:rFonts w:ascii="Arial" w:eastAsiaTheme="minorEastAsia" w:hAnsi="Arial" w:cs="Arial"/>
            <w:i w:val="0"/>
            <w:iCs w:val="0"/>
            <w:noProof/>
            <w:sz w:val="22"/>
            <w:szCs w:val="22"/>
            <w:lang w:eastAsia="en-GB" w:bidi="ar-SA"/>
          </w:rPr>
          <w:tab/>
        </w:r>
        <w:r w:rsidR="00353442" w:rsidRPr="003C5407">
          <w:rPr>
            <w:rStyle w:val="Hyperlink"/>
            <w:rFonts w:cs="Arial"/>
            <w:noProof/>
          </w:rPr>
          <w:t>Subsection 18(2) considerations</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_Toc442949566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9</w:t>
        </w:r>
        <w:r w:rsidR="00353442" w:rsidRPr="003C5407">
          <w:rPr>
            <w:rFonts w:ascii="Arial" w:hAnsi="Arial" w:cs="Arial"/>
            <w:noProof/>
            <w:webHidden/>
          </w:rPr>
          <w:fldChar w:fldCharType="end"/>
        </w:r>
      </w:hyperlink>
    </w:p>
    <w:p w14:paraId="0FB6BB9D" w14:textId="77777777" w:rsidR="00353442" w:rsidRPr="003C5407" w:rsidRDefault="009A630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2949567" w:history="1">
        <w:r w:rsidR="00353442" w:rsidRPr="003C5407">
          <w:rPr>
            <w:rStyle w:val="Hyperlink"/>
            <w:rFonts w:cs="Arial"/>
            <w:noProof/>
          </w:rPr>
          <w:t>3</w:t>
        </w:r>
        <w:r w:rsidR="00353442" w:rsidRPr="003C5407">
          <w:rPr>
            <w:rFonts w:ascii="Arial" w:eastAsiaTheme="minorEastAsia" w:hAnsi="Arial" w:cs="Arial"/>
            <w:b w:val="0"/>
            <w:bCs w:val="0"/>
            <w:caps w:val="0"/>
            <w:noProof/>
            <w:sz w:val="22"/>
            <w:szCs w:val="22"/>
            <w:lang w:eastAsia="en-GB" w:bidi="ar-SA"/>
          </w:rPr>
          <w:tab/>
        </w:r>
        <w:r w:rsidR="00353442" w:rsidRPr="003C5407">
          <w:rPr>
            <w:rStyle w:val="Hyperlink"/>
            <w:rFonts w:cs="Arial"/>
            <w:noProof/>
          </w:rPr>
          <w:t>Draft variation</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_Toc442949567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10</w:t>
        </w:r>
        <w:r w:rsidR="00353442" w:rsidRPr="003C5407">
          <w:rPr>
            <w:rFonts w:ascii="Arial" w:hAnsi="Arial" w:cs="Arial"/>
            <w:noProof/>
            <w:webHidden/>
          </w:rPr>
          <w:fldChar w:fldCharType="end"/>
        </w:r>
      </w:hyperlink>
    </w:p>
    <w:p w14:paraId="70482DDB" w14:textId="77777777" w:rsidR="00353442" w:rsidRPr="003C5407" w:rsidRDefault="009A630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2949568" w:history="1">
        <w:r w:rsidR="00353442" w:rsidRPr="003C5407">
          <w:rPr>
            <w:rStyle w:val="Hyperlink"/>
            <w:rFonts w:cs="Arial"/>
            <w:noProof/>
          </w:rPr>
          <w:t>4</w:t>
        </w:r>
        <w:r w:rsidR="00353442" w:rsidRPr="003C5407">
          <w:rPr>
            <w:rFonts w:ascii="Arial" w:eastAsiaTheme="minorEastAsia" w:hAnsi="Arial" w:cs="Arial"/>
            <w:b w:val="0"/>
            <w:bCs w:val="0"/>
            <w:caps w:val="0"/>
            <w:noProof/>
            <w:sz w:val="22"/>
            <w:szCs w:val="22"/>
            <w:lang w:eastAsia="en-GB" w:bidi="ar-SA"/>
          </w:rPr>
          <w:tab/>
        </w:r>
        <w:r w:rsidR="00353442" w:rsidRPr="003C5407">
          <w:rPr>
            <w:rStyle w:val="Hyperlink"/>
            <w:rFonts w:cs="Arial"/>
            <w:noProof/>
          </w:rPr>
          <w:t>References</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_Toc442949568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10</w:t>
        </w:r>
        <w:r w:rsidR="00353442" w:rsidRPr="003C5407">
          <w:rPr>
            <w:rFonts w:ascii="Arial" w:hAnsi="Arial" w:cs="Arial"/>
            <w:noProof/>
            <w:webHidden/>
          </w:rPr>
          <w:fldChar w:fldCharType="end"/>
        </w:r>
      </w:hyperlink>
    </w:p>
    <w:p w14:paraId="1C1410C3" w14:textId="77777777" w:rsidR="00353442" w:rsidRPr="003C5407" w:rsidRDefault="009A6308">
      <w:pPr>
        <w:pStyle w:val="TOC2"/>
        <w:tabs>
          <w:tab w:val="right" w:leader="dot" w:pos="9060"/>
        </w:tabs>
        <w:rPr>
          <w:rFonts w:ascii="Arial" w:eastAsiaTheme="minorEastAsia" w:hAnsi="Arial" w:cs="Arial"/>
          <w:smallCaps w:val="0"/>
          <w:noProof/>
          <w:sz w:val="22"/>
          <w:szCs w:val="22"/>
          <w:lang w:eastAsia="en-GB" w:bidi="ar-SA"/>
        </w:rPr>
      </w:pPr>
      <w:hyperlink w:anchor="_Toc442949569" w:history="1">
        <w:r w:rsidR="00353442" w:rsidRPr="003C5407">
          <w:rPr>
            <w:rStyle w:val="Hyperlink"/>
            <w:rFonts w:cs="Arial"/>
            <w:noProof/>
          </w:rPr>
          <w:t xml:space="preserve">Attachment A – Draft variation to the revised </w:t>
        </w:r>
        <w:r w:rsidR="00353442" w:rsidRPr="003C5407">
          <w:rPr>
            <w:rStyle w:val="Hyperlink"/>
            <w:rFonts w:cs="Arial"/>
            <w:i/>
            <w:noProof/>
          </w:rPr>
          <w:t xml:space="preserve">Australia New Zealand Food Standards Code </w:t>
        </w:r>
        <w:r w:rsidR="00353442" w:rsidRPr="003C5407">
          <w:rPr>
            <w:rStyle w:val="Hyperlink"/>
            <w:rFonts w:cs="Arial"/>
            <w:noProof/>
          </w:rPr>
          <w:t>(commencing 1 March 2016)</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_Toc442949569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12</w:t>
        </w:r>
        <w:r w:rsidR="00353442" w:rsidRPr="003C5407">
          <w:rPr>
            <w:rFonts w:ascii="Arial" w:hAnsi="Arial" w:cs="Arial"/>
            <w:noProof/>
            <w:webHidden/>
          </w:rPr>
          <w:fldChar w:fldCharType="end"/>
        </w:r>
      </w:hyperlink>
    </w:p>
    <w:p w14:paraId="48D3D963" w14:textId="77777777" w:rsidR="00353442" w:rsidRPr="003C5407" w:rsidRDefault="009A6308">
      <w:pPr>
        <w:pStyle w:val="TOC2"/>
        <w:tabs>
          <w:tab w:val="right" w:leader="dot" w:pos="9060"/>
        </w:tabs>
        <w:rPr>
          <w:rFonts w:ascii="Arial" w:eastAsiaTheme="minorEastAsia" w:hAnsi="Arial" w:cs="Arial"/>
          <w:smallCaps w:val="0"/>
          <w:noProof/>
          <w:sz w:val="22"/>
          <w:szCs w:val="22"/>
          <w:lang w:eastAsia="en-GB" w:bidi="ar-SA"/>
        </w:rPr>
      </w:pPr>
      <w:hyperlink w:anchor="_Toc442949570" w:history="1">
        <w:r w:rsidR="00353442" w:rsidRPr="003C5407">
          <w:rPr>
            <w:rStyle w:val="Hyperlink"/>
            <w:rFonts w:cs="Arial"/>
            <w:noProof/>
          </w:rPr>
          <w:t>Attachment B – Draft Explanatory Statement</w:t>
        </w:r>
        <w:r w:rsidR="00353442" w:rsidRPr="003C5407">
          <w:rPr>
            <w:rFonts w:ascii="Arial" w:hAnsi="Arial" w:cs="Arial"/>
            <w:noProof/>
            <w:webHidden/>
          </w:rPr>
          <w:tab/>
        </w:r>
        <w:r w:rsidR="00353442" w:rsidRPr="003C5407">
          <w:rPr>
            <w:rFonts w:ascii="Arial" w:hAnsi="Arial" w:cs="Arial"/>
            <w:noProof/>
            <w:webHidden/>
          </w:rPr>
          <w:fldChar w:fldCharType="begin"/>
        </w:r>
        <w:r w:rsidR="00353442" w:rsidRPr="003C5407">
          <w:rPr>
            <w:rFonts w:ascii="Arial" w:hAnsi="Arial" w:cs="Arial"/>
            <w:noProof/>
            <w:webHidden/>
          </w:rPr>
          <w:instrText xml:space="preserve"> PAGEREF _Toc442949570 \h </w:instrText>
        </w:r>
        <w:r w:rsidR="00353442" w:rsidRPr="003C5407">
          <w:rPr>
            <w:rFonts w:ascii="Arial" w:hAnsi="Arial" w:cs="Arial"/>
            <w:noProof/>
            <w:webHidden/>
          </w:rPr>
        </w:r>
        <w:r w:rsidR="00353442" w:rsidRPr="003C5407">
          <w:rPr>
            <w:rFonts w:ascii="Arial" w:hAnsi="Arial" w:cs="Arial"/>
            <w:noProof/>
            <w:webHidden/>
          </w:rPr>
          <w:fldChar w:fldCharType="separate"/>
        </w:r>
        <w:r w:rsidR="00574E3B">
          <w:rPr>
            <w:rFonts w:ascii="Arial" w:hAnsi="Arial" w:cs="Arial"/>
            <w:noProof/>
            <w:webHidden/>
          </w:rPr>
          <w:t>14</w:t>
        </w:r>
        <w:r w:rsidR="00353442" w:rsidRPr="003C5407">
          <w:rPr>
            <w:rFonts w:ascii="Arial" w:hAnsi="Arial" w:cs="Arial"/>
            <w:noProof/>
            <w:webHidden/>
          </w:rPr>
          <w:fldChar w:fldCharType="end"/>
        </w:r>
      </w:hyperlink>
    </w:p>
    <w:p w14:paraId="1BEEE478" w14:textId="77777777" w:rsidR="00051ED9" w:rsidRPr="0059227F" w:rsidRDefault="00051ED9" w:rsidP="00051ED9">
      <w:pPr>
        <w:rPr>
          <w:rFonts w:cs="Arial"/>
        </w:rPr>
      </w:pPr>
      <w:r w:rsidRPr="003C5407">
        <w:rPr>
          <w:rFonts w:cs="Arial"/>
          <w:sz w:val="20"/>
          <w:szCs w:val="20"/>
        </w:rPr>
        <w:fldChar w:fldCharType="end"/>
      </w:r>
    </w:p>
    <w:p w14:paraId="36BF91D5" w14:textId="77777777" w:rsidR="00D73931" w:rsidRPr="00E203C2" w:rsidRDefault="00D73931" w:rsidP="00051ED9"/>
    <w:p w14:paraId="6E4A61BB" w14:textId="7C72371D" w:rsidR="0037520F" w:rsidRPr="008844E4" w:rsidRDefault="00E26F7B" w:rsidP="0037520F">
      <w:pPr>
        <w:rPr>
          <w:b/>
          <w:szCs w:val="22"/>
        </w:rPr>
      </w:pPr>
      <w:r>
        <w:rPr>
          <w:b/>
          <w:szCs w:val="22"/>
        </w:rPr>
        <w:t>Supporting document</w:t>
      </w:r>
    </w:p>
    <w:p w14:paraId="36943C78" w14:textId="77777777" w:rsidR="0037520F" w:rsidRPr="0089264A" w:rsidRDefault="0037520F" w:rsidP="0037520F">
      <w:pPr>
        <w:rPr>
          <w:szCs w:val="22"/>
        </w:rPr>
      </w:pPr>
    </w:p>
    <w:p w14:paraId="316DF766" w14:textId="0640B80F" w:rsidR="001278A9" w:rsidRDefault="0037520F" w:rsidP="0037520F">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w:t>
      </w:r>
      <w:r w:rsidR="00681754" w:rsidRPr="00BB73D7">
        <w:rPr>
          <w:szCs w:val="22"/>
        </w:rPr>
        <w:t>this Application</w:t>
      </w:r>
      <w:r w:rsidR="00BB73D7" w:rsidRPr="00BB73D7">
        <w:rPr>
          <w:szCs w:val="22"/>
        </w:rPr>
        <w:t xml:space="preserve"> is</w:t>
      </w:r>
      <w:r w:rsidRPr="00BB73D7">
        <w:rPr>
          <w:szCs w:val="22"/>
        </w:rPr>
        <w:t xml:space="preserve"> available </w:t>
      </w:r>
      <w:r w:rsidRPr="0089264A">
        <w:rPr>
          <w:szCs w:val="22"/>
        </w:rPr>
        <w:t>on the FSANZ website at</w:t>
      </w:r>
      <w:r w:rsidR="00C809DC">
        <w:rPr>
          <w:szCs w:val="22"/>
        </w:rPr>
        <w:t xml:space="preserve"> </w:t>
      </w:r>
      <w:hyperlink r:id="rId21" w:history="1">
        <w:r w:rsidR="004A490E">
          <w:rPr>
            <w:rStyle w:val="Hyperlink"/>
            <w:szCs w:val="22"/>
          </w:rPr>
          <w:t>http://www.foodstandards.gov.au/code/applications/Pages/A1120AgaroseIonExchangeResinPA.aspx</w:t>
        </w:r>
      </w:hyperlink>
    </w:p>
    <w:p w14:paraId="54228C7B" w14:textId="77777777" w:rsidR="001278A9" w:rsidRPr="001278A9" w:rsidRDefault="001278A9" w:rsidP="0037520F">
      <w:pPr>
        <w:rPr>
          <w:szCs w:val="22"/>
        </w:rPr>
      </w:pPr>
    </w:p>
    <w:p w14:paraId="0FD7013E" w14:textId="49B3FAF3" w:rsidR="0089264A" w:rsidRPr="001278A9" w:rsidRDefault="0089264A" w:rsidP="003A7725">
      <w:pPr>
        <w:ind w:left="1134" w:hanging="1134"/>
      </w:pPr>
      <w:r w:rsidRPr="001278A9">
        <w:t>SD1</w:t>
      </w:r>
      <w:r w:rsidRPr="001278A9">
        <w:tab/>
      </w:r>
      <w:r w:rsidR="001278A9">
        <w:t>Risk and Technical Assessment Report</w:t>
      </w:r>
    </w:p>
    <w:p w14:paraId="4657536E" w14:textId="77777777" w:rsidR="00051ED9" w:rsidRDefault="00562917" w:rsidP="00772BDC">
      <w:r w:rsidRPr="00E203C2">
        <w:br w:type="page"/>
      </w:r>
    </w:p>
    <w:p w14:paraId="1F288DBC" w14:textId="77777777" w:rsidR="00E063C6" w:rsidRDefault="00F33BB8" w:rsidP="000A5DF8">
      <w:pPr>
        <w:pStyle w:val="Heading1"/>
      </w:pPr>
      <w:bookmarkStart w:id="1" w:name="_Toc286391001"/>
      <w:bookmarkStart w:id="2" w:name="_Toc300933414"/>
      <w:bookmarkStart w:id="3" w:name="_Toc442949545"/>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295FD156" w14:textId="57A004B9" w:rsidR="007F42B8" w:rsidRPr="00894AFE" w:rsidRDefault="004A490E" w:rsidP="000F49A3">
      <w:bookmarkStart w:id="9" w:name="_Toc286391003"/>
      <w:r w:rsidRPr="00894AFE">
        <w:t>Fonterra Co-operative Group Limited</w:t>
      </w:r>
      <w:r w:rsidR="001278A9" w:rsidRPr="00894AFE">
        <w:t xml:space="preserve"> submitted an Application seeking permission </w:t>
      </w:r>
      <w:r w:rsidR="008F21C3" w:rsidRPr="00894AFE">
        <w:t>to</w:t>
      </w:r>
      <w:r w:rsidR="001278A9" w:rsidRPr="00894AFE">
        <w:t xml:space="preserve"> use </w:t>
      </w:r>
      <w:r w:rsidR="000F49A3" w:rsidRPr="00894AFE">
        <w:t xml:space="preserve">an agarose ion exchange resin as a processing aid in the production of high purity </w:t>
      </w:r>
      <w:proofErr w:type="spellStart"/>
      <w:r w:rsidR="000F49A3" w:rsidRPr="00894AFE">
        <w:t>lactoferrin</w:t>
      </w:r>
      <w:proofErr w:type="spellEnd"/>
      <w:r w:rsidR="000F49A3" w:rsidRPr="00894AFE">
        <w:t xml:space="preserve"> from bovine milk and </w:t>
      </w:r>
      <w:r w:rsidR="000D046D" w:rsidRPr="00894AFE">
        <w:t>milk-related</w:t>
      </w:r>
      <w:r w:rsidR="000F49A3" w:rsidRPr="00894AFE">
        <w:t xml:space="preserve"> products. </w:t>
      </w:r>
    </w:p>
    <w:p w14:paraId="23D46630" w14:textId="77777777" w:rsidR="007F42B8" w:rsidRPr="00894AFE" w:rsidRDefault="007F42B8" w:rsidP="000F49A3"/>
    <w:p w14:paraId="2E6E0AFA" w14:textId="59C945C7" w:rsidR="00E06920" w:rsidRPr="00894AFE" w:rsidRDefault="000F49A3" w:rsidP="000F49A3">
      <w:proofErr w:type="spellStart"/>
      <w:r w:rsidRPr="00894AFE">
        <w:t>Lactoferrin</w:t>
      </w:r>
      <w:proofErr w:type="spellEnd"/>
      <w:r w:rsidR="007F42B8" w:rsidRPr="00894AFE">
        <w:t>,</w:t>
      </w:r>
      <w:r w:rsidRPr="00894AFE">
        <w:t xml:space="preserve"> </w:t>
      </w:r>
      <w:r w:rsidR="007F42B8" w:rsidRPr="00894AFE">
        <w:t xml:space="preserve">present in milk at very low levels, </w:t>
      </w:r>
      <w:r w:rsidR="00894AFE" w:rsidRPr="00894AFE">
        <w:t>has</w:t>
      </w:r>
      <w:r w:rsidRPr="00894AFE">
        <w:t xml:space="preserve"> a range of physiological </w:t>
      </w:r>
      <w:r w:rsidR="00894AFE" w:rsidRPr="00894AFE">
        <w:t>functions and the Application</w:t>
      </w:r>
      <w:r w:rsidR="007F42B8" w:rsidRPr="00894AFE">
        <w:t xml:space="preserve"> </w:t>
      </w:r>
      <w:r w:rsidR="00894AFE" w:rsidRPr="00894AFE">
        <w:t xml:space="preserve">indicated that there </w:t>
      </w:r>
      <w:r w:rsidRPr="00894AFE">
        <w:t>is increasing interest in its use as a nutraceutical.</w:t>
      </w:r>
      <w:r w:rsidR="007F42B8" w:rsidRPr="00894AFE">
        <w:t xml:space="preserve"> The </w:t>
      </w:r>
      <w:r w:rsidRPr="00894AFE">
        <w:t xml:space="preserve">resin </w:t>
      </w:r>
      <w:r w:rsidR="00454673" w:rsidRPr="00894AFE">
        <w:t xml:space="preserve">under consideration </w:t>
      </w:r>
      <w:r w:rsidR="00BC2B21" w:rsidRPr="00894AFE">
        <w:t>is</w:t>
      </w:r>
      <w:r w:rsidRPr="00894AFE">
        <w:t xml:space="preserve"> the only </w:t>
      </w:r>
      <w:r w:rsidR="003D0F71" w:rsidRPr="00894AFE">
        <w:t xml:space="preserve">resin with all of the specific characteristics that make it suitable for the </w:t>
      </w:r>
      <w:r w:rsidRPr="00894AFE">
        <w:t>commercial</w:t>
      </w:r>
      <w:r w:rsidR="003D0F71" w:rsidRPr="00894AFE">
        <w:t xml:space="preserve"> extraction of </w:t>
      </w:r>
      <w:proofErr w:type="spellStart"/>
      <w:r w:rsidRPr="00894AFE">
        <w:t>lactoferrin</w:t>
      </w:r>
      <w:proofErr w:type="spellEnd"/>
      <w:r w:rsidRPr="00894AFE">
        <w:t xml:space="preserve"> </w:t>
      </w:r>
      <w:r w:rsidR="00BC2B21" w:rsidRPr="00894AFE">
        <w:t xml:space="preserve">with a </w:t>
      </w:r>
      <w:r w:rsidRPr="00894AFE">
        <w:t>high yield and purity</w:t>
      </w:r>
      <w:r w:rsidR="003D0F71" w:rsidRPr="00894AFE">
        <w:t xml:space="preserve">. </w:t>
      </w:r>
    </w:p>
    <w:p w14:paraId="7B7199E9" w14:textId="77777777" w:rsidR="00E06920" w:rsidRPr="00894AFE" w:rsidRDefault="00E06920" w:rsidP="001278A9"/>
    <w:p w14:paraId="3B291448" w14:textId="137C3E47" w:rsidR="001278A9" w:rsidRPr="00894AFE" w:rsidRDefault="00BC2B21" w:rsidP="001278A9">
      <w:r w:rsidRPr="00894AFE">
        <w:t xml:space="preserve">Processing </w:t>
      </w:r>
      <w:r w:rsidR="001278A9" w:rsidRPr="00894AFE">
        <w:t xml:space="preserve">aids are regulated by </w:t>
      </w:r>
      <w:r w:rsidR="002363E9" w:rsidRPr="00894AFE">
        <w:t xml:space="preserve">Schedule 18 </w:t>
      </w:r>
      <w:r w:rsidR="00B7443F" w:rsidRPr="00894AFE">
        <w:t>of</w:t>
      </w:r>
      <w:r w:rsidR="001278A9" w:rsidRPr="00894AFE">
        <w:t xml:space="preserve"> the </w:t>
      </w:r>
      <w:r w:rsidR="002363E9" w:rsidRPr="00894AFE">
        <w:t xml:space="preserve">revised </w:t>
      </w:r>
      <w:r w:rsidR="001278A9" w:rsidRPr="00894AFE">
        <w:t>Code.</w:t>
      </w:r>
      <w:r w:rsidR="003D0F71" w:rsidRPr="00894AFE">
        <w:t xml:space="preserve"> </w:t>
      </w:r>
      <w:r w:rsidR="00B40176" w:rsidRPr="00894AFE">
        <w:t xml:space="preserve">Permission </w:t>
      </w:r>
      <w:r w:rsidR="00EE0BD8" w:rsidRPr="00894AFE">
        <w:t>is</w:t>
      </w:r>
      <w:r w:rsidR="00B40176" w:rsidRPr="00894AFE">
        <w:t xml:space="preserve"> specifically sought for this processing aid to be</w:t>
      </w:r>
      <w:r w:rsidR="00454673" w:rsidRPr="00894AFE">
        <w:t xml:space="preserve"> included </w:t>
      </w:r>
      <w:r w:rsidR="00482252">
        <w:t>in the</w:t>
      </w:r>
      <w:r w:rsidR="00482252" w:rsidRPr="00894AFE">
        <w:t xml:space="preserve"> </w:t>
      </w:r>
      <w:r w:rsidR="00C809DC">
        <w:t>t</w:t>
      </w:r>
      <w:r w:rsidR="00482252" w:rsidRPr="00894AFE">
        <w:t>able to subsection S18—9(3)</w:t>
      </w:r>
      <w:r w:rsidR="00875651">
        <w:t xml:space="preserve"> </w:t>
      </w:r>
      <w:r w:rsidR="0082591D" w:rsidRPr="00875651">
        <w:rPr>
          <w:i/>
        </w:rPr>
        <w:t>P</w:t>
      </w:r>
      <w:r w:rsidRPr="00875651">
        <w:rPr>
          <w:i/>
        </w:rPr>
        <w:t xml:space="preserve">ermitted </w:t>
      </w:r>
      <w:r w:rsidR="006B3B3D" w:rsidRPr="00875651">
        <w:rPr>
          <w:i/>
        </w:rPr>
        <w:t>processing aid</w:t>
      </w:r>
      <w:r w:rsidR="0082591D" w:rsidRPr="00875651">
        <w:rPr>
          <w:i/>
        </w:rPr>
        <w:t>s</w:t>
      </w:r>
      <w:r w:rsidR="00894AFE" w:rsidRPr="00875651">
        <w:rPr>
          <w:i/>
        </w:rPr>
        <w:t>—</w:t>
      </w:r>
      <w:r w:rsidRPr="00875651">
        <w:rPr>
          <w:i/>
        </w:rPr>
        <w:t>various technological purposes</w:t>
      </w:r>
      <w:r w:rsidR="006B3B3D" w:rsidRPr="00894AFE">
        <w:t>,</w:t>
      </w:r>
      <w:r w:rsidRPr="00894AFE">
        <w:t xml:space="preserve"> </w:t>
      </w:r>
      <w:r w:rsidR="000D046D" w:rsidRPr="00894AFE">
        <w:t>and for a specification for this resin to be added to</w:t>
      </w:r>
      <w:r w:rsidR="003A7B94" w:rsidRPr="00894AFE">
        <w:t xml:space="preserve"> </w:t>
      </w:r>
      <w:r w:rsidR="00D05B4A">
        <w:t xml:space="preserve">Schedule 3 </w:t>
      </w:r>
      <w:r w:rsidR="003C5407">
        <w:t>–</w:t>
      </w:r>
      <w:r w:rsidR="00C809DC">
        <w:t xml:space="preserve"> </w:t>
      </w:r>
      <w:r w:rsidR="00875651">
        <w:t xml:space="preserve">Identity and </w:t>
      </w:r>
      <w:r w:rsidR="00C809DC">
        <w:t>p</w:t>
      </w:r>
      <w:r w:rsidR="00875651">
        <w:t xml:space="preserve">urity </w:t>
      </w:r>
      <w:r w:rsidR="00C809DC">
        <w:t xml:space="preserve">in </w:t>
      </w:r>
      <w:r w:rsidR="00D05B4A">
        <w:t xml:space="preserve">the revised </w:t>
      </w:r>
      <w:r w:rsidR="00482252">
        <w:t>C</w:t>
      </w:r>
      <w:r w:rsidR="00D05B4A">
        <w:t>ode</w:t>
      </w:r>
      <w:r w:rsidR="000D046D" w:rsidRPr="00894AFE">
        <w:t xml:space="preserve">. </w:t>
      </w:r>
    </w:p>
    <w:p w14:paraId="6A7FDDE6" w14:textId="77777777" w:rsidR="00B7443F" w:rsidRPr="00894AFE" w:rsidRDefault="00B7443F" w:rsidP="001278A9"/>
    <w:p w14:paraId="5B7ED58A" w14:textId="6A95DDDA" w:rsidR="00607EDE" w:rsidRPr="00894AFE" w:rsidRDefault="0040794F" w:rsidP="001278A9">
      <w:r w:rsidRPr="00894AFE">
        <w:t xml:space="preserve">The </w:t>
      </w:r>
      <w:r w:rsidR="003D0F71" w:rsidRPr="00894AFE">
        <w:t xml:space="preserve">resin </w:t>
      </w:r>
      <w:r w:rsidR="00607EDE" w:rsidRPr="00894AFE">
        <w:t xml:space="preserve">consists of porous, spherical beads with a diameter of between 100-300 </w:t>
      </w:r>
      <w:r w:rsidR="00607EDE" w:rsidRPr="00894AFE">
        <w:rPr>
          <w:rFonts w:cs="Arial"/>
        </w:rPr>
        <w:t>µ</w:t>
      </w:r>
      <w:r w:rsidR="00607EDE" w:rsidRPr="00894AFE">
        <w:t xml:space="preserve">m. It has strong cation exchange functionality, with the capacity to bind and extract large proteins like </w:t>
      </w:r>
      <w:proofErr w:type="spellStart"/>
      <w:r w:rsidR="00607EDE" w:rsidRPr="00894AFE">
        <w:t>lactoferrin</w:t>
      </w:r>
      <w:proofErr w:type="spellEnd"/>
      <w:r w:rsidR="00607EDE" w:rsidRPr="00894AFE">
        <w:t xml:space="preserve"> from dairy streams such as skim milk and whey, at high flow rates. </w:t>
      </w:r>
      <w:r w:rsidR="00A77209" w:rsidRPr="00894AFE">
        <w:t>Pre-treated skim milk or whey is passed through the resin, which is contained within a fixed-bed ion exchange column</w:t>
      </w:r>
      <w:r w:rsidR="001D31DD" w:rsidRPr="00894AFE">
        <w:t xml:space="preserve">. A brine solution is passed through the resin to wash out the purified </w:t>
      </w:r>
      <w:proofErr w:type="spellStart"/>
      <w:r w:rsidR="000B2964" w:rsidRPr="00894AFE">
        <w:t>l</w:t>
      </w:r>
      <w:r w:rsidR="001D31DD" w:rsidRPr="00894AFE">
        <w:t>actoferrin</w:t>
      </w:r>
      <w:proofErr w:type="spellEnd"/>
      <w:r w:rsidR="001D31DD" w:rsidRPr="00894AFE">
        <w:t>. The column is reused after rinsing and regeneration.</w:t>
      </w:r>
    </w:p>
    <w:p w14:paraId="589623B8" w14:textId="77777777" w:rsidR="00607EDE" w:rsidRPr="00894AFE" w:rsidRDefault="00607EDE" w:rsidP="001278A9"/>
    <w:p w14:paraId="0B2F2225" w14:textId="77777777" w:rsidR="00894AFE" w:rsidRDefault="00894AFE" w:rsidP="00894AFE">
      <w:r>
        <w:t xml:space="preserve">For each </w:t>
      </w:r>
      <w:proofErr w:type="spellStart"/>
      <w:r>
        <w:t>lactoferrin</w:t>
      </w:r>
      <w:proofErr w:type="spellEnd"/>
      <w:r>
        <w:t xml:space="preserve"> isolation cycle, the resin is subjected to cleaning/rinsing procedures that result in negligible impurity levels in the resin. This minimises the potential for resin impurities to be present in the isolated </w:t>
      </w:r>
      <w:proofErr w:type="spellStart"/>
      <w:r>
        <w:t>lactoferrin</w:t>
      </w:r>
      <w:proofErr w:type="spellEnd"/>
      <w:r>
        <w:t xml:space="preserve"> and in the flow-through milk/whey stream.</w:t>
      </w:r>
      <w:r w:rsidRPr="00342445">
        <w:t xml:space="preserve"> Theoretical estimates of dietary exposure to resin impurities, calculated using conservative assumptions</w:t>
      </w:r>
      <w:r>
        <w:t xml:space="preserve">, provide confirmation that potential impurity levels are of no toxicological concern. </w:t>
      </w:r>
    </w:p>
    <w:p w14:paraId="2A3DA8E1" w14:textId="77777777" w:rsidR="00894AFE" w:rsidRDefault="00894AFE" w:rsidP="00894AFE">
      <w:r w:rsidDel="00616AE5">
        <w:t xml:space="preserve"> </w:t>
      </w:r>
    </w:p>
    <w:p w14:paraId="6D44C65E" w14:textId="31C75C18" w:rsidR="00A22061" w:rsidRDefault="00894AFE" w:rsidP="00894AFE">
      <w:pPr>
        <w:rPr>
          <w:rFonts w:cs="Arial"/>
        </w:rPr>
      </w:pPr>
      <w:r>
        <w:rPr>
          <w:rFonts w:cs="Arial"/>
        </w:rPr>
        <w:t xml:space="preserve">It is </w:t>
      </w:r>
      <w:r w:rsidR="001278A9" w:rsidRPr="00894AFE">
        <w:rPr>
          <w:rFonts w:cs="Arial"/>
        </w:rPr>
        <w:t xml:space="preserve">concluded that </w:t>
      </w:r>
      <w:r w:rsidRPr="00894AFE">
        <w:rPr>
          <w:rFonts w:cs="Arial"/>
        </w:rPr>
        <w:t>that the proposed use of the resin as a processing</w:t>
      </w:r>
      <w:r w:rsidR="00707F02">
        <w:rPr>
          <w:rFonts w:cs="Arial"/>
        </w:rPr>
        <w:t xml:space="preserve"> aid for </w:t>
      </w:r>
      <w:proofErr w:type="spellStart"/>
      <w:r w:rsidR="00707F02">
        <w:rPr>
          <w:rFonts w:cs="Arial"/>
        </w:rPr>
        <w:t>lactoferrin</w:t>
      </w:r>
      <w:proofErr w:type="spellEnd"/>
      <w:r w:rsidR="00707F02">
        <w:rPr>
          <w:rFonts w:cs="Arial"/>
        </w:rPr>
        <w:t xml:space="preserve"> production, in its prescribed form and usage, is</w:t>
      </w:r>
      <w:r w:rsidRPr="00894AFE">
        <w:rPr>
          <w:rFonts w:cs="Arial"/>
        </w:rPr>
        <w:t xml:space="preserve"> technologically justified and presents no identifiable public health and safety concerns.</w:t>
      </w:r>
    </w:p>
    <w:p w14:paraId="56839667" w14:textId="77777777" w:rsidR="00894AFE" w:rsidRDefault="00894AFE" w:rsidP="00894AFE">
      <w:pPr>
        <w:rPr>
          <w:rFonts w:cs="Arial"/>
        </w:rPr>
      </w:pPr>
    </w:p>
    <w:p w14:paraId="6CB9AE53" w14:textId="690DD2C4" w:rsidR="0053464E" w:rsidRDefault="001278A9" w:rsidP="00A56E34">
      <w:r w:rsidRPr="00707F02">
        <w:t>FSANZ</w:t>
      </w:r>
      <w:r w:rsidR="00A77209" w:rsidRPr="00707F02">
        <w:t xml:space="preserve"> </w:t>
      </w:r>
      <w:r w:rsidR="00C809DC">
        <w:t xml:space="preserve">has </w:t>
      </w:r>
      <w:r w:rsidRPr="00707F02">
        <w:t xml:space="preserve">therefore </w:t>
      </w:r>
      <w:r w:rsidR="00C809DC" w:rsidRPr="00707F02">
        <w:t>pr</w:t>
      </w:r>
      <w:r w:rsidR="00C809DC">
        <w:t>epared</w:t>
      </w:r>
      <w:r w:rsidR="00C809DC" w:rsidRPr="00707F02">
        <w:t xml:space="preserve"> </w:t>
      </w:r>
      <w:r w:rsidR="00C809DC">
        <w:t xml:space="preserve">a </w:t>
      </w:r>
      <w:r w:rsidRPr="00707F02">
        <w:t xml:space="preserve">draft variation to permit </w:t>
      </w:r>
      <w:r w:rsidR="000845CF" w:rsidRPr="00707F02">
        <w:rPr>
          <w:lang w:val="en-AU"/>
        </w:rPr>
        <w:t>the agarose ion exchange resin</w:t>
      </w:r>
      <w:r w:rsidR="0040794F" w:rsidRPr="00707F02">
        <w:rPr>
          <w:lang w:val="en-AU"/>
        </w:rPr>
        <w:t xml:space="preserve"> </w:t>
      </w:r>
      <w:r w:rsidRPr="00707F02">
        <w:t>as a processing aid</w:t>
      </w:r>
      <w:r w:rsidR="000845CF" w:rsidRPr="00707F02">
        <w:t xml:space="preserve"> in the production of </w:t>
      </w:r>
      <w:proofErr w:type="spellStart"/>
      <w:r w:rsidR="000845CF" w:rsidRPr="00707F02">
        <w:t>lactoferrin</w:t>
      </w:r>
      <w:proofErr w:type="spellEnd"/>
      <w:r w:rsidR="000845CF" w:rsidRPr="00707F02">
        <w:t xml:space="preserve"> from milk</w:t>
      </w:r>
      <w:r w:rsidR="000D046D" w:rsidRPr="00707F02">
        <w:t xml:space="preserve"> and milk-related products</w:t>
      </w:r>
      <w:r w:rsidRPr="00707F02">
        <w:t>.</w:t>
      </w:r>
      <w:r w:rsidR="0053464E">
        <w:br w:type="page"/>
      </w:r>
    </w:p>
    <w:p w14:paraId="2A61858A" w14:textId="77777777" w:rsidR="002A5F8B" w:rsidRPr="000B6AF2" w:rsidRDefault="00F33BB8" w:rsidP="000B6AF2">
      <w:pPr>
        <w:pStyle w:val="Heading1"/>
      </w:pPr>
      <w:bookmarkStart w:id="10" w:name="_Toc300933417"/>
      <w:bookmarkStart w:id="11" w:name="_Toc442949546"/>
      <w:r>
        <w:lastRenderedPageBreak/>
        <w:t>1</w:t>
      </w:r>
      <w:r w:rsidR="001542D8">
        <w:tab/>
      </w:r>
      <w:r w:rsidR="002A5F8B" w:rsidRPr="000B6AF2">
        <w:t>Introduction</w:t>
      </w:r>
      <w:bookmarkEnd w:id="9"/>
      <w:bookmarkEnd w:id="10"/>
      <w:bookmarkEnd w:id="11"/>
    </w:p>
    <w:p w14:paraId="7A4CBB72" w14:textId="4167D91C" w:rsidR="0053464E" w:rsidRPr="0053464E" w:rsidRDefault="00F33BB8" w:rsidP="00A56E34">
      <w:pPr>
        <w:pStyle w:val="Heading2"/>
      </w:pPr>
      <w:bookmarkStart w:id="12" w:name="_Toc300761890"/>
      <w:bookmarkStart w:id="13" w:name="_Toc442949547"/>
      <w:bookmarkStart w:id="14" w:name="_Toc300933419"/>
      <w:r>
        <w:t>1</w:t>
      </w:r>
      <w:r w:rsidR="0053464E" w:rsidRPr="0053464E">
        <w:t>.1</w:t>
      </w:r>
      <w:r w:rsidR="0053464E" w:rsidRPr="0053464E">
        <w:tab/>
        <w:t>The Applicant</w:t>
      </w:r>
      <w:bookmarkEnd w:id="12"/>
      <w:bookmarkEnd w:id="13"/>
      <w:r w:rsidR="0073170F">
        <w:t xml:space="preserve"> </w:t>
      </w:r>
      <w:bookmarkEnd w:id="14"/>
    </w:p>
    <w:p w14:paraId="6CC00D15" w14:textId="5563B492" w:rsidR="0053464E" w:rsidRPr="00827ED6" w:rsidRDefault="0073170F" w:rsidP="0053464E">
      <w:r w:rsidRPr="00827ED6">
        <w:t xml:space="preserve">The Applicant </w:t>
      </w:r>
      <w:r w:rsidR="00B41178">
        <w:t>is</w:t>
      </w:r>
      <w:r w:rsidRPr="00827ED6">
        <w:t xml:space="preserve"> </w:t>
      </w:r>
      <w:r w:rsidR="003E361A">
        <w:t>Fonterra Co-operative Group Limited,</w:t>
      </w:r>
      <w:r w:rsidRPr="00827ED6">
        <w:t xml:space="preserve"> </w:t>
      </w:r>
      <w:r w:rsidR="00827ED6">
        <w:t xml:space="preserve">a </w:t>
      </w:r>
      <w:r w:rsidR="003E361A">
        <w:t xml:space="preserve">New Zealand based global dairy company </w:t>
      </w:r>
      <w:r w:rsidR="008101E0">
        <w:t>that processes and exports a range of dairy products and ingredients internationally.</w:t>
      </w:r>
    </w:p>
    <w:p w14:paraId="1EC2C475" w14:textId="42FBDA9E" w:rsidR="0053464E" w:rsidRPr="00E477A1" w:rsidRDefault="00F33BB8" w:rsidP="00A56E34">
      <w:pPr>
        <w:pStyle w:val="Heading2"/>
      </w:pPr>
      <w:bookmarkStart w:id="15" w:name="_Toc300761891"/>
      <w:bookmarkStart w:id="16" w:name="_Toc300933420"/>
      <w:bookmarkStart w:id="17" w:name="_Toc442949548"/>
      <w:r w:rsidRPr="00E477A1">
        <w:t>1</w:t>
      </w:r>
      <w:r w:rsidR="0053464E" w:rsidRPr="00E477A1">
        <w:t>.2</w:t>
      </w:r>
      <w:r w:rsidR="0053464E" w:rsidRPr="00E477A1">
        <w:tab/>
        <w:t>The Application</w:t>
      </w:r>
      <w:bookmarkEnd w:id="15"/>
      <w:bookmarkEnd w:id="16"/>
      <w:bookmarkEnd w:id="17"/>
    </w:p>
    <w:p w14:paraId="29ECD387" w14:textId="1D83EBA8" w:rsidR="005F3677" w:rsidRDefault="00E477A1" w:rsidP="00E477A1">
      <w:pPr>
        <w:tabs>
          <w:tab w:val="left" w:pos="1530"/>
        </w:tabs>
      </w:pPr>
      <w:r>
        <w:t xml:space="preserve">The purpose of the Application </w:t>
      </w:r>
      <w:r w:rsidR="00B41178">
        <w:t>is</w:t>
      </w:r>
      <w:r>
        <w:t xml:space="preserve"> to seek </w:t>
      </w:r>
      <w:r w:rsidRPr="00E477A1">
        <w:t xml:space="preserve">permission to use </w:t>
      </w:r>
      <w:r w:rsidR="00E32F5C">
        <w:t xml:space="preserve">an </w:t>
      </w:r>
      <w:r w:rsidR="00E32F5C" w:rsidRPr="00E32F5C">
        <w:t xml:space="preserve">agarose ion exchange resin as a processing aid in the production of high purity </w:t>
      </w:r>
      <w:proofErr w:type="spellStart"/>
      <w:r w:rsidR="00E32F5C" w:rsidRPr="00E32F5C">
        <w:t>lactoferrin</w:t>
      </w:r>
      <w:proofErr w:type="spellEnd"/>
      <w:r w:rsidR="00E32F5C" w:rsidRPr="00E32F5C">
        <w:t xml:space="preserve"> from bovine milk and </w:t>
      </w:r>
      <w:r w:rsidR="000D046D">
        <w:t>milk-related</w:t>
      </w:r>
      <w:r w:rsidR="00E32F5C" w:rsidRPr="00E32F5C">
        <w:t xml:space="preserve"> products</w:t>
      </w:r>
      <w:r w:rsidR="005F3677" w:rsidRPr="00E477A1">
        <w:t>.</w:t>
      </w:r>
      <w:r w:rsidR="00E32F5C">
        <w:t xml:space="preserve"> The resin achieves this by binding and extracting </w:t>
      </w:r>
      <w:proofErr w:type="spellStart"/>
      <w:r w:rsidR="00E32F5C">
        <w:t>lactoferrin</w:t>
      </w:r>
      <w:proofErr w:type="spellEnd"/>
      <w:r w:rsidR="00E32F5C">
        <w:t xml:space="preserve"> from dairy streams such as skim milk and whey.</w:t>
      </w:r>
      <w:r w:rsidR="003B7B9B">
        <w:t xml:space="preserve"> </w:t>
      </w:r>
    </w:p>
    <w:p w14:paraId="3B6EF21A" w14:textId="77777777" w:rsidR="003B7B9B" w:rsidRDefault="003B7B9B" w:rsidP="00E477A1">
      <w:pPr>
        <w:tabs>
          <w:tab w:val="left" w:pos="1530"/>
        </w:tabs>
      </w:pPr>
    </w:p>
    <w:p w14:paraId="199A225F" w14:textId="25C6A359" w:rsidR="003B7B9B" w:rsidRDefault="003B7B9B" w:rsidP="00E477A1">
      <w:pPr>
        <w:tabs>
          <w:tab w:val="left" w:pos="1530"/>
        </w:tabs>
      </w:pPr>
      <w:proofErr w:type="spellStart"/>
      <w:r w:rsidRPr="003B7B9B">
        <w:t>Lactoferrin</w:t>
      </w:r>
      <w:proofErr w:type="spellEnd"/>
      <w:r w:rsidRPr="003B7B9B">
        <w:t xml:space="preserve">, present in milk at very low levels, </w:t>
      </w:r>
      <w:r w:rsidR="00FA19DE">
        <w:t>has</w:t>
      </w:r>
      <w:r w:rsidRPr="003B7B9B">
        <w:t xml:space="preserve"> a range of physiological </w:t>
      </w:r>
      <w:r w:rsidR="00130CC6">
        <w:t xml:space="preserve">functions </w:t>
      </w:r>
      <w:r w:rsidR="00FA19DE">
        <w:t xml:space="preserve">and the Application indicated </w:t>
      </w:r>
      <w:r w:rsidRPr="003B7B9B">
        <w:t>that there is increasing interest in its use as a nutraceutical</w:t>
      </w:r>
      <w:r w:rsidR="0019271D">
        <w:t xml:space="preserve">. </w:t>
      </w:r>
    </w:p>
    <w:p w14:paraId="22565AFB" w14:textId="77777777" w:rsidR="005F3677" w:rsidRDefault="005F3677" w:rsidP="00E477A1">
      <w:pPr>
        <w:tabs>
          <w:tab w:val="left" w:pos="1530"/>
        </w:tabs>
      </w:pPr>
    </w:p>
    <w:p w14:paraId="1BE01278" w14:textId="6EAA8DB0" w:rsidR="00A77209" w:rsidRDefault="00E32F5C" w:rsidP="00E477A1">
      <w:pPr>
        <w:tabs>
          <w:tab w:val="left" w:pos="1530"/>
        </w:tabs>
      </w:pPr>
      <w:r w:rsidRPr="00E32F5C">
        <w:t>The agarose ion exchange resin consists of porous, spherical beads with a diameter of between 100</w:t>
      </w:r>
      <w:r w:rsidR="00C809DC">
        <w:t>–</w:t>
      </w:r>
      <w:r w:rsidRPr="00E32F5C">
        <w:t xml:space="preserve">300 µm. It </w:t>
      </w:r>
      <w:r>
        <w:t xml:space="preserve">comprises </w:t>
      </w:r>
      <w:r w:rsidR="00A77209">
        <w:t>an agarose backbone cross-</w:t>
      </w:r>
      <w:r w:rsidR="00875651">
        <w:t xml:space="preserve">linked with </w:t>
      </w:r>
      <w:proofErr w:type="spellStart"/>
      <w:r w:rsidR="00875651">
        <w:t>epichlorohydrin</w:t>
      </w:r>
      <w:proofErr w:type="spellEnd"/>
      <w:r w:rsidR="001A3CE1">
        <w:t xml:space="preserve"> and</w:t>
      </w:r>
      <w:r w:rsidR="00875651">
        <w:t xml:space="preserve"> reacted with allyl </w:t>
      </w:r>
      <w:proofErr w:type="spellStart"/>
      <w:r w:rsidR="00875651">
        <w:t>glycidyl</w:t>
      </w:r>
      <w:proofErr w:type="spellEnd"/>
      <w:r w:rsidR="00875651">
        <w:t xml:space="preserve"> ether</w:t>
      </w:r>
      <w:r w:rsidR="000E7859">
        <w:t xml:space="preserve"> (or alternatively propylene oxide)</w:t>
      </w:r>
      <w:r w:rsidR="00A77209">
        <w:t xml:space="preserve">, </w:t>
      </w:r>
      <w:r w:rsidR="00875651">
        <w:t xml:space="preserve">and </w:t>
      </w:r>
      <w:r w:rsidR="00A77209">
        <w:t xml:space="preserve">then </w:t>
      </w:r>
      <w:proofErr w:type="spellStart"/>
      <w:r w:rsidR="00A77209">
        <w:t>derivatised</w:t>
      </w:r>
      <w:proofErr w:type="spellEnd"/>
      <w:r w:rsidR="00A77209">
        <w:t xml:space="preserve"> with </w:t>
      </w:r>
      <w:proofErr w:type="spellStart"/>
      <w:r w:rsidR="008C558D">
        <w:t>sulphonate</w:t>
      </w:r>
      <w:proofErr w:type="spellEnd"/>
      <w:r w:rsidR="0097131D">
        <w:t xml:space="preserve"> groups</w:t>
      </w:r>
      <w:r w:rsidR="00A77209">
        <w:t xml:space="preserve"> to provide cation exchange functionality</w:t>
      </w:r>
      <w:r w:rsidR="00C66F08">
        <w:t xml:space="preserve">, which </w:t>
      </w:r>
      <w:r w:rsidR="00E16844">
        <w:t xml:space="preserve">allows for </w:t>
      </w:r>
      <w:r w:rsidR="00C66F08">
        <w:t xml:space="preserve">effective binding and extraction of </w:t>
      </w:r>
      <w:proofErr w:type="spellStart"/>
      <w:r w:rsidR="00C66F08">
        <w:t>lactoferrin</w:t>
      </w:r>
      <w:proofErr w:type="spellEnd"/>
      <w:r w:rsidR="00A77209">
        <w:t xml:space="preserve">. </w:t>
      </w:r>
    </w:p>
    <w:p w14:paraId="56FB8D73" w14:textId="77777777" w:rsidR="001D31DD" w:rsidRDefault="001D31DD" w:rsidP="00E477A1">
      <w:pPr>
        <w:tabs>
          <w:tab w:val="left" w:pos="1530"/>
        </w:tabs>
      </w:pPr>
    </w:p>
    <w:p w14:paraId="32721F2C" w14:textId="6B3EDCA7" w:rsidR="00D77690" w:rsidRDefault="00325074" w:rsidP="00E477A1">
      <w:pPr>
        <w:tabs>
          <w:tab w:val="left" w:pos="1530"/>
        </w:tabs>
      </w:pPr>
      <w:r>
        <w:t>T</w:t>
      </w:r>
      <w:r w:rsidR="005F3677" w:rsidRPr="005F3677">
        <w:t xml:space="preserve">he </w:t>
      </w:r>
      <w:r w:rsidR="00D77690">
        <w:t xml:space="preserve">Applicant </w:t>
      </w:r>
      <w:r w:rsidR="00B41178">
        <w:t>reports</w:t>
      </w:r>
      <w:r w:rsidR="00D77690">
        <w:t xml:space="preserve"> that</w:t>
      </w:r>
      <w:r w:rsidR="00492A63">
        <w:t xml:space="preserve"> the resin has been fully evaluated for safety for the intended purpose and is approved by </w:t>
      </w:r>
      <w:r w:rsidR="00492A63" w:rsidRPr="00492A63">
        <w:t xml:space="preserve">the United States Food and Drug Administration (USFDA) </w:t>
      </w:r>
      <w:r w:rsidR="00492A63">
        <w:t>as a food contact substance. A</w:t>
      </w:r>
      <w:r w:rsidR="006E2C01">
        <w:t xml:space="preserve">lthough other techniques have been studied, </w:t>
      </w:r>
      <w:r w:rsidR="00D77690">
        <w:t xml:space="preserve">the </w:t>
      </w:r>
      <w:r w:rsidR="00A77209">
        <w:t>resin is the only viable commerc</w:t>
      </w:r>
      <w:r w:rsidR="00370240">
        <w:t xml:space="preserve">ial method currently available </w:t>
      </w:r>
      <w:r w:rsidR="00B41178">
        <w:t xml:space="preserve">to efficiently produce </w:t>
      </w:r>
      <w:proofErr w:type="spellStart"/>
      <w:r w:rsidR="00B41178">
        <w:t>lactoferrin</w:t>
      </w:r>
      <w:proofErr w:type="spellEnd"/>
      <w:r w:rsidR="00703D0F">
        <w:t>. As such</w:t>
      </w:r>
      <w:r w:rsidR="00370240">
        <w:t>, it has been used</w:t>
      </w:r>
      <w:r w:rsidR="00492A63">
        <w:t xml:space="preserve"> </w:t>
      </w:r>
      <w:r w:rsidR="00A55221">
        <w:t xml:space="preserve">in other countries </w:t>
      </w:r>
      <w:r w:rsidR="00370240">
        <w:t xml:space="preserve">since </w:t>
      </w:r>
      <w:proofErr w:type="spellStart"/>
      <w:r w:rsidR="00370240">
        <w:t>lactoferrin</w:t>
      </w:r>
      <w:proofErr w:type="spellEnd"/>
      <w:r w:rsidR="00370240">
        <w:t xml:space="preserve"> was first produced commercially in 1986.</w:t>
      </w:r>
      <w:r w:rsidR="00D1773D">
        <w:t xml:space="preserve"> </w:t>
      </w:r>
      <w:r w:rsidR="00D77690">
        <w:t xml:space="preserve">Guidelines for </w:t>
      </w:r>
      <w:r w:rsidR="00F547B3">
        <w:t xml:space="preserve">the </w:t>
      </w:r>
      <w:r w:rsidR="0082591D">
        <w:t xml:space="preserve">main process steps </w:t>
      </w:r>
      <w:r w:rsidR="00703D0F">
        <w:t>have been</w:t>
      </w:r>
      <w:r w:rsidR="0082591D">
        <w:t xml:space="preserve"> </w:t>
      </w:r>
      <w:r w:rsidR="00D77690">
        <w:t xml:space="preserve">provided in the Application. </w:t>
      </w:r>
    </w:p>
    <w:p w14:paraId="24750979" w14:textId="77777777" w:rsidR="0053464E" w:rsidRPr="0053464E" w:rsidRDefault="00F33BB8" w:rsidP="00A56E34">
      <w:pPr>
        <w:pStyle w:val="Heading2"/>
      </w:pPr>
      <w:bookmarkStart w:id="18" w:name="_Toc300761892"/>
      <w:bookmarkStart w:id="19" w:name="_Toc300933421"/>
      <w:bookmarkStart w:id="20" w:name="_Toc442949549"/>
      <w:r>
        <w:t>1</w:t>
      </w:r>
      <w:r w:rsidR="00A56E34">
        <w:t>.3</w:t>
      </w:r>
      <w:r w:rsidR="00A56E34">
        <w:tab/>
        <w:t>The c</w:t>
      </w:r>
      <w:r w:rsidR="0053464E" w:rsidRPr="0053464E">
        <w:t>urrent Standard</w:t>
      </w:r>
      <w:bookmarkEnd w:id="18"/>
      <w:bookmarkEnd w:id="19"/>
      <w:bookmarkEnd w:id="20"/>
    </w:p>
    <w:p w14:paraId="38F92047" w14:textId="1EF496B1" w:rsidR="00D209C9" w:rsidRDefault="00D209C9" w:rsidP="0053464E">
      <w:pPr>
        <w:rPr>
          <w:color w:val="000000" w:themeColor="text1"/>
        </w:rPr>
      </w:pPr>
      <w:r>
        <w:rPr>
          <w:color w:val="000000" w:themeColor="text1"/>
        </w:rPr>
        <w:t xml:space="preserve">All references to the </w:t>
      </w:r>
      <w:r w:rsidR="00D1773D">
        <w:rPr>
          <w:i/>
        </w:rPr>
        <w:t xml:space="preserve">Australia New Zealand Food Standards Code </w:t>
      </w:r>
      <w:r w:rsidR="00D1773D">
        <w:t xml:space="preserve">(the Code) </w:t>
      </w:r>
      <w:r>
        <w:rPr>
          <w:color w:val="000000" w:themeColor="text1"/>
        </w:rPr>
        <w:t>in this assessment summary and related SD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w:t>
      </w:r>
      <w:r w:rsidR="0056511E">
        <w:t>will not occur</w:t>
      </w:r>
      <w:r>
        <w:t xml:space="preserve"> </w:t>
      </w:r>
      <w:r w:rsidR="009B305D">
        <w:t xml:space="preserve">until </w:t>
      </w:r>
      <w:r w:rsidRPr="00221EC3">
        <w:t>after this date</w:t>
      </w:r>
      <w:r w:rsidR="00290E58">
        <w:t xml:space="preserve"> </w:t>
      </w:r>
      <w:r>
        <w:t>and therefore it is unnecessary to amend the current Code.</w:t>
      </w:r>
      <w:r w:rsidRPr="001E1FAB">
        <w:rPr>
          <w:color w:val="000000" w:themeColor="text1"/>
        </w:rPr>
        <w:t xml:space="preserve"> </w:t>
      </w:r>
    </w:p>
    <w:p w14:paraId="207F51BC" w14:textId="23C4B6D8" w:rsidR="000A5769" w:rsidRDefault="000A5769" w:rsidP="0053464E">
      <w:pPr>
        <w:rPr>
          <w:color w:val="000000" w:themeColor="text1"/>
        </w:rPr>
      </w:pPr>
    </w:p>
    <w:p w14:paraId="5DF6CB07" w14:textId="6EDA7FC6" w:rsidR="00CD7EBE" w:rsidRDefault="0082591D" w:rsidP="005057A5">
      <w:r>
        <w:rPr>
          <w:color w:val="000000" w:themeColor="text1"/>
        </w:rPr>
        <w:t xml:space="preserve">Ion exchange resins </w:t>
      </w:r>
      <w:r w:rsidR="000A5769">
        <w:rPr>
          <w:color w:val="000000" w:themeColor="text1"/>
        </w:rPr>
        <w:t xml:space="preserve">used in processing and manufacturing food are considered processing aids. Only those processing aids listed in Schedule </w:t>
      </w:r>
      <w:r w:rsidR="000A5769">
        <w:t>18</w:t>
      </w:r>
      <w:r w:rsidR="000574C0">
        <w:t xml:space="preserve"> </w:t>
      </w:r>
      <w:r w:rsidR="000A5769">
        <w:t>are permitted to be used in producing food sold in Australia and New Zealand</w:t>
      </w:r>
      <w:r w:rsidR="00B40176">
        <w:t>.</w:t>
      </w:r>
      <w:r w:rsidRPr="0082591D">
        <w:t xml:space="preserve"> </w:t>
      </w:r>
      <w:r w:rsidR="00B40176" w:rsidRPr="00CE398B">
        <w:t xml:space="preserve">Permission </w:t>
      </w:r>
      <w:r w:rsidR="00703D0F">
        <w:t>is</w:t>
      </w:r>
      <w:r w:rsidR="00B40176" w:rsidRPr="00CE398B">
        <w:t xml:space="preserve"> sought for this</w:t>
      </w:r>
      <w:r w:rsidRPr="00CE398B">
        <w:t xml:space="preserve"> processing aid </w:t>
      </w:r>
      <w:r w:rsidR="00B40176" w:rsidRPr="00CE398B">
        <w:t>to</w:t>
      </w:r>
      <w:r w:rsidRPr="00CE398B">
        <w:t xml:space="preserve"> be included </w:t>
      </w:r>
      <w:r w:rsidR="00707D57">
        <w:t xml:space="preserve">in </w:t>
      </w:r>
      <w:r w:rsidR="00482252">
        <w:t xml:space="preserve">the </w:t>
      </w:r>
      <w:r w:rsidR="00C809DC">
        <w:t>t</w:t>
      </w:r>
      <w:r w:rsidR="00482252" w:rsidRPr="00CE398B">
        <w:t xml:space="preserve">able to </w:t>
      </w:r>
      <w:r w:rsidR="00482252">
        <w:t>subsection</w:t>
      </w:r>
      <w:r w:rsidR="00482252" w:rsidRPr="00CE398B">
        <w:t xml:space="preserve"> S18—9(3</w:t>
      </w:r>
      <w:r w:rsidR="00482252">
        <w:t>)</w:t>
      </w:r>
      <w:r w:rsidR="00703D0F">
        <w:t xml:space="preserve"> </w:t>
      </w:r>
      <w:r w:rsidR="00703D0F" w:rsidRPr="00703D0F">
        <w:rPr>
          <w:i/>
        </w:rPr>
        <w:t>Permitted processing aids—various technological purposes</w:t>
      </w:r>
      <w:r w:rsidR="00482252">
        <w:t>.</w:t>
      </w:r>
    </w:p>
    <w:p w14:paraId="35A8E8E5" w14:textId="77777777" w:rsidR="00F2132A" w:rsidRPr="00CE398B" w:rsidRDefault="00F2132A" w:rsidP="0053464E"/>
    <w:p w14:paraId="3A6DB17F" w14:textId="45AC982F" w:rsidR="005057A5" w:rsidRDefault="00ED6DDD" w:rsidP="00CD7EBE">
      <w:r>
        <w:t xml:space="preserve">All permitted processing aids are also required to have a </w:t>
      </w:r>
      <w:r w:rsidR="00CD7EBE" w:rsidRPr="00CE398B">
        <w:t xml:space="preserve">specification </w:t>
      </w:r>
      <w:r>
        <w:t>for identity and purity</w:t>
      </w:r>
      <w:r w:rsidR="00822D20">
        <w:t xml:space="preserve"> in Schedule 3</w:t>
      </w:r>
      <w:r>
        <w:t xml:space="preserve">. </w:t>
      </w:r>
      <w:r w:rsidR="00CD7EBE" w:rsidRPr="00CE398B">
        <w:t xml:space="preserve">If </w:t>
      </w:r>
      <w:r>
        <w:t>permitted</w:t>
      </w:r>
      <w:r w:rsidR="00CD7EBE" w:rsidRPr="00CE398B">
        <w:t xml:space="preserve">, a new specification </w:t>
      </w:r>
      <w:r w:rsidR="00E15BEF">
        <w:t xml:space="preserve">will </w:t>
      </w:r>
      <w:r w:rsidR="00822D20">
        <w:t xml:space="preserve">therefore </w:t>
      </w:r>
      <w:r w:rsidR="00CD7EBE" w:rsidRPr="00CE398B">
        <w:t xml:space="preserve">be included in </w:t>
      </w:r>
      <w:r w:rsidR="00822D20">
        <w:t xml:space="preserve">this </w:t>
      </w:r>
      <w:r w:rsidR="00CE398B" w:rsidRPr="00CE398B">
        <w:t>Schedule</w:t>
      </w:r>
      <w:r w:rsidR="005057A5">
        <w:t>.</w:t>
      </w:r>
    </w:p>
    <w:p w14:paraId="72E03DF8" w14:textId="77777777" w:rsidR="000A5769" w:rsidRPr="003246F7" w:rsidRDefault="000A5769" w:rsidP="000A5769">
      <w:pPr>
        <w:pStyle w:val="Heading3"/>
      </w:pPr>
      <w:bookmarkStart w:id="21" w:name="_Toc392138895"/>
      <w:bookmarkStart w:id="22" w:name="_Toc402946760"/>
      <w:bookmarkStart w:id="23" w:name="_Toc404936793"/>
      <w:bookmarkStart w:id="24" w:name="_Toc442949550"/>
      <w:r w:rsidRPr="003246F7">
        <w:t>1.3.1</w:t>
      </w:r>
      <w:r w:rsidRPr="003246F7">
        <w:tab/>
        <w:t>International Standards</w:t>
      </w:r>
      <w:bookmarkEnd w:id="21"/>
      <w:bookmarkEnd w:id="22"/>
      <w:bookmarkEnd w:id="23"/>
      <w:bookmarkEnd w:id="24"/>
    </w:p>
    <w:p w14:paraId="6A22F1AB" w14:textId="303EE3B7" w:rsidR="003C5407" w:rsidRDefault="000A5769" w:rsidP="000A5769">
      <w:r w:rsidRPr="003246F7">
        <w:t xml:space="preserve">Codex </w:t>
      </w:r>
      <w:proofErr w:type="spellStart"/>
      <w:r w:rsidRPr="003246F7">
        <w:t>Alimentarius</w:t>
      </w:r>
      <w:proofErr w:type="spellEnd"/>
      <w:r w:rsidRPr="003246F7">
        <w:t xml:space="preserve"> </w:t>
      </w:r>
      <w:r w:rsidR="00B97BA4">
        <w:t xml:space="preserve">(Codex) </w:t>
      </w:r>
      <w:r w:rsidRPr="003246F7">
        <w:t xml:space="preserve">does not </w:t>
      </w:r>
      <w:r>
        <w:t>have</w:t>
      </w:r>
      <w:r w:rsidRPr="003246F7">
        <w:t xml:space="preserve"> </w:t>
      </w:r>
      <w:r w:rsidR="00B40176">
        <w:t>Standards for processing aids</w:t>
      </w:r>
      <w:r w:rsidRPr="003246F7">
        <w:t>.</w:t>
      </w:r>
      <w:r w:rsidR="00447B12">
        <w:t xml:space="preserve"> However, this processing aid does conform to the definition of food processing aids as described in the </w:t>
      </w:r>
      <w:r w:rsidR="00447B12" w:rsidRPr="008E75FC">
        <w:rPr>
          <w:i/>
        </w:rPr>
        <w:t xml:space="preserve">Procedural </w:t>
      </w:r>
      <w:r w:rsidR="008E75FC">
        <w:rPr>
          <w:i/>
        </w:rPr>
        <w:t>M</w:t>
      </w:r>
      <w:r w:rsidR="00447B12" w:rsidRPr="008E75FC">
        <w:rPr>
          <w:i/>
        </w:rPr>
        <w:t xml:space="preserve">anual of the Codex </w:t>
      </w:r>
      <w:proofErr w:type="spellStart"/>
      <w:r w:rsidR="00447B12" w:rsidRPr="008E75FC">
        <w:rPr>
          <w:i/>
        </w:rPr>
        <w:t>Alimentarius</w:t>
      </w:r>
      <w:proofErr w:type="spellEnd"/>
      <w:r w:rsidR="00447B12" w:rsidRPr="008E75FC">
        <w:rPr>
          <w:i/>
        </w:rPr>
        <w:t xml:space="preserve"> </w:t>
      </w:r>
      <w:r w:rsidR="008E75FC" w:rsidRPr="008E75FC">
        <w:rPr>
          <w:i/>
        </w:rPr>
        <w:t>Commission</w:t>
      </w:r>
      <w:r w:rsidR="008E75FC">
        <w:t xml:space="preserve"> </w:t>
      </w:r>
      <w:r w:rsidR="007E2E8B">
        <w:t>(24</w:t>
      </w:r>
      <w:r w:rsidR="007E2E8B" w:rsidRPr="007E2E8B">
        <w:rPr>
          <w:vertAlign w:val="superscript"/>
        </w:rPr>
        <w:t>th</w:t>
      </w:r>
      <w:r w:rsidR="007E2E8B">
        <w:t xml:space="preserve"> edition, 2015) </w:t>
      </w:r>
      <w:r w:rsidR="008E75FC">
        <w:t xml:space="preserve">and the </w:t>
      </w:r>
      <w:r w:rsidR="008E75FC" w:rsidRPr="008E75FC">
        <w:rPr>
          <w:i/>
        </w:rPr>
        <w:t>Guidelines on Substances used as Processin</w:t>
      </w:r>
      <w:r w:rsidR="008E75FC">
        <w:rPr>
          <w:i/>
        </w:rPr>
        <w:t xml:space="preserve">g Aids </w:t>
      </w:r>
      <w:r w:rsidR="008E75FC">
        <w:t>(</w:t>
      </w:r>
      <w:r w:rsidR="008E75FC" w:rsidRPr="004D0E03">
        <w:t>CAC/GL 75-2010</w:t>
      </w:r>
      <w:r w:rsidR="008E75FC">
        <w:t>).</w:t>
      </w:r>
      <w:r w:rsidR="003C5407">
        <w:br w:type="page"/>
      </w:r>
    </w:p>
    <w:p w14:paraId="2587C2DF" w14:textId="412867FA" w:rsidR="00447B12" w:rsidRDefault="008E75FC" w:rsidP="000A5769">
      <w:r>
        <w:lastRenderedPageBreak/>
        <w:t>T</w:t>
      </w:r>
      <w:r w:rsidR="00447B12">
        <w:t xml:space="preserve">here is no process in place whereby this processing aid can be specifically approved in the EU. </w:t>
      </w:r>
      <w:r w:rsidR="00447B12" w:rsidRPr="00447B12">
        <w:t>However, it meets the requirements as given in Regulation (</w:t>
      </w:r>
      <w:r w:rsidR="00447B12" w:rsidRPr="00C6290E">
        <w:t>EC) No. 1935/2004</w:t>
      </w:r>
      <w:r w:rsidR="007E621C">
        <w:t xml:space="preserve"> on materials and articles intended to come into contact with food</w:t>
      </w:r>
      <w:r w:rsidR="00447B12" w:rsidRPr="00447B12">
        <w:t xml:space="preserve">. </w:t>
      </w:r>
    </w:p>
    <w:p w14:paraId="44D4F1AF" w14:textId="77777777" w:rsidR="00447B12" w:rsidRDefault="00447B12" w:rsidP="000A5769"/>
    <w:p w14:paraId="283F8F11" w14:textId="6E09FC87" w:rsidR="00BC4CE3" w:rsidRDefault="00447B12" w:rsidP="000A5769">
      <w:r>
        <w:t xml:space="preserve">The </w:t>
      </w:r>
      <w:r w:rsidR="00B065BA">
        <w:t xml:space="preserve">agarose ion exchange </w:t>
      </w:r>
      <w:r w:rsidRPr="00447B12">
        <w:t xml:space="preserve">resin has been approved as a food contact substance by the </w:t>
      </w:r>
      <w:r w:rsidR="00130CC6">
        <w:t>US</w:t>
      </w:r>
      <w:r w:rsidRPr="00447B12">
        <w:t>FDA (FCN 000443) effective 29 October 2004</w:t>
      </w:r>
      <w:r w:rsidR="00F60A53">
        <w:t xml:space="preserve"> (</w:t>
      </w:r>
      <w:r w:rsidR="00BD48DF">
        <w:t>US FDA 2004</w:t>
      </w:r>
      <w:r w:rsidR="00F60A53">
        <w:t>)</w:t>
      </w:r>
      <w:r w:rsidR="008F65B4">
        <w:t xml:space="preserve">. It is approved for intended use as ‘an ion exchange resin’ and </w:t>
      </w:r>
      <w:r w:rsidR="00BC4CE3">
        <w:t>for ‘</w:t>
      </w:r>
      <w:r w:rsidR="00BC4CE3" w:rsidRPr="00447B12">
        <w:t xml:space="preserve">repeated use in extracting individual proteins or substances present in similar low concentrations from liquid, water-based food materials, such as milk, whey, fruit juice, beer and wine’. </w:t>
      </w:r>
      <w:r w:rsidR="00BC4CE3">
        <w:t>The process conditions include pH 3</w:t>
      </w:r>
      <w:r w:rsidR="00C809DC">
        <w:sym w:font="Symbol" w:char="F02D"/>
      </w:r>
      <w:r w:rsidR="00BC4CE3">
        <w:t>14 and temperatures 5</w:t>
      </w:r>
      <w:r w:rsidR="00C809DC">
        <w:sym w:font="Symbol" w:char="F02D"/>
      </w:r>
      <w:r w:rsidR="00BC4CE3">
        <w:t>60</w:t>
      </w:r>
      <w:r w:rsidR="00BC4CE3">
        <w:rPr>
          <w:rFonts w:cs="Arial"/>
        </w:rPr>
        <w:t>°</w:t>
      </w:r>
      <w:r w:rsidR="00BC4CE3">
        <w:t xml:space="preserve">C. This approval is effective only </w:t>
      </w:r>
      <w:r w:rsidRPr="00447B12">
        <w:t>for the listed manufacturer and its customers</w:t>
      </w:r>
      <w:r w:rsidR="00BC4CE3">
        <w:t xml:space="preserve">. </w:t>
      </w:r>
    </w:p>
    <w:p w14:paraId="6E669597" w14:textId="77777777" w:rsidR="00BC4CE3" w:rsidRDefault="00BC4CE3" w:rsidP="000A5769"/>
    <w:p w14:paraId="2BBA9E80" w14:textId="099A436D" w:rsidR="00447B12" w:rsidRDefault="008F65B4" w:rsidP="000A5769">
      <w:r w:rsidRPr="00447B12">
        <w:t xml:space="preserve">GRAS Notices were published for the manufacturing process for </w:t>
      </w:r>
      <w:proofErr w:type="spellStart"/>
      <w:r w:rsidRPr="00447B12">
        <w:t>lactoferrin</w:t>
      </w:r>
      <w:proofErr w:type="spellEnd"/>
      <w:r w:rsidRPr="00447B12">
        <w:t xml:space="preserve"> using this agarose ion exchange resin in 2014 </w:t>
      </w:r>
      <w:r w:rsidRPr="00BD48DF">
        <w:t>(GRAS GRN Nos. 464, 465)</w:t>
      </w:r>
      <w:r w:rsidR="00BD48DF">
        <w:t xml:space="preserve"> (US FDA,</w:t>
      </w:r>
      <w:r w:rsidR="002B1802">
        <w:t xml:space="preserve"> 2014a; US FDA 2014b)</w:t>
      </w:r>
      <w:r w:rsidRPr="00BD48DF">
        <w:t>.</w:t>
      </w:r>
    </w:p>
    <w:p w14:paraId="359FEB33" w14:textId="77777777" w:rsidR="00447B12" w:rsidRDefault="00447B12" w:rsidP="000A5769"/>
    <w:p w14:paraId="3A58DF32" w14:textId="3F21BBEF" w:rsidR="00832B9C" w:rsidRDefault="00447B12" w:rsidP="000A5769">
      <w:r w:rsidRPr="00447B12">
        <w:t>The Application contain</w:t>
      </w:r>
      <w:r w:rsidR="001D5B4F">
        <w:t>ed</w:t>
      </w:r>
      <w:r w:rsidRPr="00447B12">
        <w:t xml:space="preserve"> copies of the </w:t>
      </w:r>
      <w:r>
        <w:t xml:space="preserve">relevant </w:t>
      </w:r>
      <w:r w:rsidR="008F65B4">
        <w:t>approvals and associated documents.</w:t>
      </w:r>
    </w:p>
    <w:p w14:paraId="0E6EE796" w14:textId="48BEC51C" w:rsidR="00AF387F" w:rsidRPr="000B6AF2" w:rsidRDefault="00F33BB8" w:rsidP="00D062E4">
      <w:pPr>
        <w:pStyle w:val="Heading2"/>
        <w:rPr>
          <w:u w:color="FFFF00"/>
        </w:rPr>
      </w:pPr>
      <w:bookmarkStart w:id="25" w:name="_Toc286391007"/>
      <w:bookmarkStart w:id="26" w:name="_Toc442949551"/>
      <w:bookmarkStart w:id="27" w:name="_Toc300933423"/>
      <w:bookmarkStart w:id="28" w:name="_Toc175381432"/>
      <w:r>
        <w:rPr>
          <w:u w:color="FFFF00"/>
        </w:rPr>
        <w:t>1</w:t>
      </w:r>
      <w:r w:rsidR="00606C88">
        <w:rPr>
          <w:u w:color="FFFF00"/>
        </w:rPr>
        <w:t>.4</w:t>
      </w:r>
      <w:r w:rsidR="001542D8">
        <w:rPr>
          <w:u w:color="FFFF00"/>
        </w:rPr>
        <w:tab/>
      </w:r>
      <w:r w:rsidR="00741EFE" w:rsidRPr="00E818EA">
        <w:rPr>
          <w:u w:color="FFFF00"/>
        </w:rPr>
        <w:t>Reasons for accepting A</w:t>
      </w:r>
      <w:r w:rsidR="00AF387F" w:rsidRPr="00E818EA">
        <w:rPr>
          <w:u w:color="FFFF00"/>
        </w:rPr>
        <w:t>pplication</w:t>
      </w:r>
      <w:bookmarkEnd w:id="25"/>
      <w:bookmarkEnd w:id="26"/>
      <w:r w:rsidR="00180C41" w:rsidRPr="00E818EA">
        <w:rPr>
          <w:u w:color="FFFF00"/>
        </w:rPr>
        <w:t xml:space="preserve"> </w:t>
      </w:r>
      <w:bookmarkEnd w:id="27"/>
    </w:p>
    <w:p w14:paraId="775B858C" w14:textId="77777777" w:rsidR="00DA2766" w:rsidRPr="008738D6" w:rsidRDefault="00DA2766" w:rsidP="00DA2766">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8"/>
      <w:r w:rsidRPr="008738D6">
        <w:t>The Application was accepted for assessment because:</w:t>
      </w:r>
    </w:p>
    <w:p w14:paraId="0D1F43D3" w14:textId="77777777" w:rsidR="00DA2766" w:rsidRPr="00DE79D9" w:rsidRDefault="00DA2766" w:rsidP="00DA2766"/>
    <w:p w14:paraId="0379A1CA" w14:textId="77777777" w:rsidR="00DA2766" w:rsidRPr="003246F7" w:rsidRDefault="00DA2766" w:rsidP="00DA2766">
      <w:pPr>
        <w:pStyle w:val="FSBullet"/>
      </w:pPr>
      <w:r w:rsidRPr="003246F7">
        <w:t>it complied with the procedural requirements under subsection 22(2) of the FSANZ Act</w:t>
      </w:r>
    </w:p>
    <w:p w14:paraId="6C407555" w14:textId="77777777" w:rsidR="00DA2766" w:rsidRPr="003246F7" w:rsidRDefault="00DA2766" w:rsidP="00DA2766">
      <w:pPr>
        <w:pStyle w:val="FSBullet"/>
      </w:pPr>
      <w:proofErr w:type="gramStart"/>
      <w:r w:rsidRPr="003246F7">
        <w:t>it</w:t>
      </w:r>
      <w:proofErr w:type="gramEnd"/>
      <w:r w:rsidRPr="003246F7">
        <w:t xml:space="preserve"> related to a matter that might be developed as a food regulatory measure</w:t>
      </w:r>
      <w:r>
        <w:t>.</w:t>
      </w:r>
    </w:p>
    <w:p w14:paraId="4B4BFEF8" w14:textId="77777777" w:rsidR="00DE79D9" w:rsidRDefault="00D3171B" w:rsidP="00DE79D9">
      <w:pPr>
        <w:pStyle w:val="Heading2"/>
      </w:pPr>
      <w:bookmarkStart w:id="36" w:name="_Toc442949552"/>
      <w:r>
        <w:t>1</w:t>
      </w:r>
      <w:r w:rsidR="00606C88">
        <w:t>.5</w:t>
      </w:r>
      <w:r w:rsidR="00DE79D9">
        <w:tab/>
        <w:t>Procedure for assessment</w:t>
      </w:r>
      <w:bookmarkEnd w:id="36"/>
    </w:p>
    <w:p w14:paraId="3D814CF8" w14:textId="1A4869AF" w:rsidR="00DE79D9" w:rsidRDefault="00DE79D9" w:rsidP="00DE79D9">
      <w:r w:rsidRPr="00932F14">
        <w:t xml:space="preserve">The </w:t>
      </w:r>
      <w:r w:rsidRPr="00DA2766">
        <w:t xml:space="preserve">Application </w:t>
      </w:r>
      <w:r w:rsidR="0056511E">
        <w:t xml:space="preserve">is being </w:t>
      </w:r>
      <w:r w:rsidRPr="00932F14">
        <w:t>assessed under the</w:t>
      </w:r>
      <w:r w:rsidR="00DA2766">
        <w:t xml:space="preserve"> General </w:t>
      </w:r>
      <w:r>
        <w:t>P</w:t>
      </w:r>
      <w:r w:rsidRPr="00932F14">
        <w:t>rocedure.</w:t>
      </w:r>
    </w:p>
    <w:p w14:paraId="2472924C" w14:textId="77777777" w:rsidR="00DE79D9" w:rsidRPr="00D062E4" w:rsidRDefault="00DE79D9" w:rsidP="00180C41"/>
    <w:p w14:paraId="5A633D08" w14:textId="77777777" w:rsidR="00AF387F" w:rsidRPr="00180C41" w:rsidRDefault="00D3171B" w:rsidP="00180C41">
      <w:pPr>
        <w:pStyle w:val="Heading1"/>
      </w:pPr>
      <w:bookmarkStart w:id="37" w:name="_Toc300933424"/>
      <w:bookmarkStart w:id="38" w:name="_Toc442949553"/>
      <w:r>
        <w:t>2</w:t>
      </w:r>
      <w:r w:rsidR="001542D8">
        <w:tab/>
      </w:r>
      <w:r w:rsidR="00350DBD">
        <w:t>S</w:t>
      </w:r>
      <w:r w:rsidR="00FB1533">
        <w:t>ummary of the a</w:t>
      </w:r>
      <w:r w:rsidR="00FD2FBE">
        <w:t>ssessment</w:t>
      </w:r>
      <w:bookmarkEnd w:id="29"/>
      <w:bookmarkEnd w:id="37"/>
      <w:bookmarkEnd w:id="38"/>
    </w:p>
    <w:p w14:paraId="5E610A45" w14:textId="32CAF19E" w:rsidR="004F69F6" w:rsidRPr="00932F14" w:rsidRDefault="00D3171B" w:rsidP="004646F8">
      <w:pPr>
        <w:pStyle w:val="Heading2"/>
      </w:pPr>
      <w:bookmarkStart w:id="39" w:name="_Toc286391009"/>
      <w:bookmarkStart w:id="40" w:name="_Toc300933425"/>
      <w:bookmarkStart w:id="41" w:name="_Toc442949554"/>
      <w:bookmarkStart w:id="42" w:name="_Toc120358583"/>
      <w:bookmarkStart w:id="43" w:name="_Toc175381440"/>
      <w:r>
        <w:t>2</w:t>
      </w:r>
      <w:r w:rsidR="00271F00">
        <w:t>.</w:t>
      </w:r>
      <w:r w:rsidR="00DA2766">
        <w:t>1</w:t>
      </w:r>
      <w:r w:rsidR="00271F00">
        <w:tab/>
      </w:r>
      <w:r w:rsidR="004F69F6" w:rsidRPr="00932F14">
        <w:t xml:space="preserve">Risk </w:t>
      </w:r>
      <w:r w:rsidR="00741EFE">
        <w:t>a</w:t>
      </w:r>
      <w:r w:rsidR="004F69F6" w:rsidRPr="00932F14">
        <w:t>ssessment</w:t>
      </w:r>
      <w:bookmarkEnd w:id="39"/>
      <w:bookmarkEnd w:id="40"/>
      <w:bookmarkEnd w:id="41"/>
      <w:r w:rsidR="004F69F6" w:rsidRPr="00932F14">
        <w:t xml:space="preserve"> </w:t>
      </w:r>
      <w:bookmarkEnd w:id="42"/>
      <w:bookmarkEnd w:id="43"/>
    </w:p>
    <w:p w14:paraId="46871CF0" w14:textId="1C70F55C" w:rsidR="008C558D" w:rsidRDefault="008C558D" w:rsidP="00707F02">
      <w:r>
        <w:t xml:space="preserve">The evidence presented to support the </w:t>
      </w:r>
      <w:r w:rsidRPr="008C558D">
        <w:t xml:space="preserve">proposed use of this agarose ion exchange resin provided adequate assurance that, in its prescribed form and usage, </w:t>
      </w:r>
      <w:r>
        <w:t xml:space="preserve">the resin </w:t>
      </w:r>
      <w:r w:rsidRPr="008C558D">
        <w:t>is technologically justified and effective in achieving its stated purpose</w:t>
      </w:r>
      <w:r>
        <w:t xml:space="preserve">. </w:t>
      </w:r>
    </w:p>
    <w:p w14:paraId="3F48BEF0" w14:textId="77777777" w:rsidR="008C558D" w:rsidRDefault="008C558D" w:rsidP="00707F02"/>
    <w:p w14:paraId="50CB85F3" w14:textId="181335A2" w:rsidR="008C558D" w:rsidRDefault="00707F02" w:rsidP="00707F02">
      <w:r>
        <w:t xml:space="preserve">For each </w:t>
      </w:r>
      <w:proofErr w:type="spellStart"/>
      <w:r>
        <w:t>lactoferrin</w:t>
      </w:r>
      <w:proofErr w:type="spellEnd"/>
      <w:r>
        <w:t xml:space="preserve"> isolation cycle, the resin is subjected to cleaning/rinsing procedures that result in negligible impurity levels in the resin. This minimises the potential for resin impurities to be present in the isolated </w:t>
      </w:r>
      <w:proofErr w:type="spellStart"/>
      <w:r>
        <w:t>lactoferrin</w:t>
      </w:r>
      <w:proofErr w:type="spellEnd"/>
      <w:r>
        <w:t xml:space="preserve"> and in the flow-through milk/whey stream.</w:t>
      </w:r>
      <w:r w:rsidRPr="00342445">
        <w:t xml:space="preserve"> </w:t>
      </w:r>
    </w:p>
    <w:p w14:paraId="3BE28557" w14:textId="77777777" w:rsidR="008C558D" w:rsidRDefault="008C558D" w:rsidP="00707F02"/>
    <w:p w14:paraId="5C261BCD" w14:textId="2ADEAEBE" w:rsidR="00707F02" w:rsidRDefault="00707F02" w:rsidP="00707F02">
      <w:r w:rsidRPr="00342445">
        <w:t>Theoretical estimates of dietary exposure to resin impurities, calculated using conservative assumptions</w:t>
      </w:r>
      <w:r>
        <w:t xml:space="preserve">, provide confirmation that potential impurity levels are of no toxicological concern. </w:t>
      </w:r>
    </w:p>
    <w:p w14:paraId="3D056C1A" w14:textId="77777777" w:rsidR="00707F02" w:rsidRDefault="00707F02" w:rsidP="00707F02">
      <w:r w:rsidDel="00616AE5">
        <w:t xml:space="preserve"> </w:t>
      </w:r>
    </w:p>
    <w:p w14:paraId="1410F91D" w14:textId="66A2E480" w:rsidR="00707F02" w:rsidRDefault="008C558D" w:rsidP="00707F02">
      <w:r>
        <w:t>Therefore, i</w:t>
      </w:r>
      <w:r w:rsidR="00707F02" w:rsidRPr="00972D39">
        <w:t xml:space="preserve">t is concluded that the </w:t>
      </w:r>
      <w:r w:rsidR="00707F02">
        <w:t xml:space="preserve">proposed </w:t>
      </w:r>
      <w:r w:rsidR="00707F02" w:rsidRPr="00972D39">
        <w:t xml:space="preserve">use of </w:t>
      </w:r>
      <w:r w:rsidR="00707F02">
        <w:t xml:space="preserve">the resin as a processing aid for </w:t>
      </w:r>
      <w:proofErr w:type="spellStart"/>
      <w:r w:rsidR="00707F02">
        <w:t>lactoferrin</w:t>
      </w:r>
      <w:proofErr w:type="spellEnd"/>
      <w:r w:rsidR="00707F02">
        <w:t xml:space="preserve"> production </w:t>
      </w:r>
      <w:r w:rsidR="00707F02" w:rsidRPr="00972D39">
        <w:t>presents no identifiable public health and safety</w:t>
      </w:r>
      <w:r w:rsidR="00707F02">
        <w:t xml:space="preserve"> concerns.</w:t>
      </w:r>
    </w:p>
    <w:p w14:paraId="07718726" w14:textId="77777777" w:rsidR="008C558D" w:rsidRDefault="008C558D" w:rsidP="00707F02"/>
    <w:p w14:paraId="7FC66299" w14:textId="77777777" w:rsidR="00DA2766" w:rsidRPr="00A56CFA" w:rsidRDefault="00DA2766" w:rsidP="00DA2766">
      <w:pPr>
        <w:keepNext/>
        <w:widowControl/>
      </w:pPr>
      <w:r>
        <w:t xml:space="preserve">For further details on the risk assessment, refer to the </w:t>
      </w:r>
      <w:r w:rsidRPr="000862C4">
        <w:t xml:space="preserve">Risk and </w:t>
      </w:r>
      <w:r>
        <w:t>T</w:t>
      </w:r>
      <w:r w:rsidRPr="000862C4">
        <w:t xml:space="preserve">echnical </w:t>
      </w:r>
      <w:r>
        <w:t>A</w:t>
      </w:r>
      <w:r w:rsidRPr="000862C4">
        <w:t xml:space="preserve">ssessment </w:t>
      </w:r>
      <w:r>
        <w:t>R</w:t>
      </w:r>
      <w:r w:rsidRPr="000862C4">
        <w:t xml:space="preserve">eport </w:t>
      </w:r>
      <w:r>
        <w:t>(SD1).</w:t>
      </w:r>
    </w:p>
    <w:p w14:paraId="77EBACAB" w14:textId="77777777" w:rsidR="003C5407" w:rsidRDefault="003C5407" w:rsidP="004646F8">
      <w:pPr>
        <w:pStyle w:val="Heading2"/>
      </w:pPr>
      <w:bookmarkStart w:id="44" w:name="_Toc175381442"/>
      <w:bookmarkStart w:id="45" w:name="_Toc286391010"/>
      <w:bookmarkStart w:id="46" w:name="_Toc300933426"/>
      <w:bookmarkStart w:id="47" w:name="_Toc442949555"/>
      <w:r>
        <w:br w:type="page"/>
      </w:r>
    </w:p>
    <w:p w14:paraId="1C9EAE4B" w14:textId="767B6C03" w:rsidR="004F69F6" w:rsidRPr="00932F14" w:rsidRDefault="00D3171B" w:rsidP="004646F8">
      <w:pPr>
        <w:pStyle w:val="Heading2"/>
      </w:pPr>
      <w:r>
        <w:lastRenderedPageBreak/>
        <w:t>2</w:t>
      </w:r>
      <w:r w:rsidR="0045556F">
        <w:t>.</w:t>
      </w:r>
      <w:r w:rsidR="00402D8C">
        <w:t>2</w:t>
      </w:r>
      <w:r w:rsidR="00271F00">
        <w:tab/>
      </w:r>
      <w:bookmarkEnd w:id="44"/>
      <w:bookmarkEnd w:id="45"/>
      <w:bookmarkEnd w:id="46"/>
      <w:r w:rsidR="0045556F">
        <w:t>R</w:t>
      </w:r>
      <w:r w:rsidR="00707E72">
        <w:t>isk m</w:t>
      </w:r>
      <w:r w:rsidR="008A35FB">
        <w:t>anagement</w:t>
      </w:r>
      <w:bookmarkEnd w:id="47"/>
    </w:p>
    <w:p w14:paraId="3E80BF8F" w14:textId="226FD8F3" w:rsidR="00E818EA" w:rsidRDefault="00E818EA" w:rsidP="00E818EA">
      <w:bookmarkStart w:id="48" w:name="_Toc300933435"/>
      <w:bookmarkStart w:id="49" w:name="_Toc300761910"/>
      <w:r w:rsidRPr="0044606A">
        <w:t xml:space="preserve">The risk assessment conclusions provide evidence that there </w:t>
      </w:r>
      <w:r w:rsidR="005057A5">
        <w:t>are</w:t>
      </w:r>
      <w:r w:rsidRPr="0044606A">
        <w:t xml:space="preserve"> </w:t>
      </w:r>
      <w:r w:rsidR="00685413">
        <w:t xml:space="preserve">likely to be </w:t>
      </w:r>
      <w:r w:rsidRPr="0044606A">
        <w:t xml:space="preserve">no safety risks from the use of this </w:t>
      </w:r>
      <w:r w:rsidR="000B2964">
        <w:t xml:space="preserve">agarose ion exchange resin as </w:t>
      </w:r>
      <w:r w:rsidR="00402D8C">
        <w:t>a processing aid</w:t>
      </w:r>
      <w:r w:rsidRPr="0044606A">
        <w:t xml:space="preserve">. As processing aids require permissions in the Code, the </w:t>
      </w:r>
      <w:r w:rsidR="00402D8C">
        <w:t>only</w:t>
      </w:r>
      <w:r w:rsidRPr="0044606A">
        <w:t xml:space="preserve"> risk management option</w:t>
      </w:r>
      <w:r w:rsidR="00402D8C">
        <w:t>s</w:t>
      </w:r>
      <w:r w:rsidR="005057A5">
        <w:t xml:space="preserve"> available to FSANZ are</w:t>
      </w:r>
      <w:r w:rsidR="00402D8C">
        <w:t xml:space="preserve"> to </w:t>
      </w:r>
      <w:r w:rsidRPr="0044606A">
        <w:t>approve or reject the request to amend the Code. The regulatory options analysed in section 2.4.1.1 take account of the safety of the</w:t>
      </w:r>
      <w:r w:rsidR="000B2964">
        <w:t xml:space="preserve"> resin</w:t>
      </w:r>
      <w:r w:rsidRPr="0044606A">
        <w:t>.</w:t>
      </w:r>
    </w:p>
    <w:p w14:paraId="72ADD9EC" w14:textId="4D83BE3F" w:rsidR="00777477" w:rsidRDefault="00777477" w:rsidP="00777477">
      <w:pPr>
        <w:pStyle w:val="Heading3"/>
      </w:pPr>
      <w:bookmarkStart w:id="50" w:name="_Toc442949556"/>
      <w:r>
        <w:t>2.2.1</w:t>
      </w:r>
      <w:r w:rsidR="00DF4C93">
        <w:tab/>
      </w:r>
      <w:r>
        <w:t>Permissions for agarose ion exchange resin</w:t>
      </w:r>
      <w:bookmarkEnd w:id="50"/>
    </w:p>
    <w:p w14:paraId="342C0FD8" w14:textId="4FD51D76" w:rsidR="00463DB7" w:rsidRDefault="00806513" w:rsidP="005057A5">
      <w:proofErr w:type="gramStart"/>
      <w:r>
        <w:t>If permitted,</w:t>
      </w:r>
      <w:r w:rsidR="005057A5">
        <w:t xml:space="preserve"> </w:t>
      </w:r>
      <w:r w:rsidR="00836A3E">
        <w:t xml:space="preserve">the agarose ion exchange </w:t>
      </w:r>
      <w:r w:rsidR="005057A5">
        <w:t xml:space="preserve">resin </w:t>
      </w:r>
      <w:r w:rsidR="00981975">
        <w:t xml:space="preserve">for </w:t>
      </w:r>
      <w:proofErr w:type="spellStart"/>
      <w:r w:rsidR="00981975">
        <w:t>lactoferrin</w:t>
      </w:r>
      <w:proofErr w:type="spellEnd"/>
      <w:r w:rsidR="00981975">
        <w:t xml:space="preserve"> production </w:t>
      </w:r>
      <w:r w:rsidR="005057A5">
        <w:t xml:space="preserve">will be included in </w:t>
      </w:r>
      <w:r w:rsidR="00482252">
        <w:t xml:space="preserve">the </w:t>
      </w:r>
      <w:r w:rsidR="00C809DC">
        <w:t>t</w:t>
      </w:r>
      <w:r w:rsidR="00482252" w:rsidRPr="00CE398B">
        <w:t xml:space="preserve">able to </w:t>
      </w:r>
      <w:r w:rsidR="00482252">
        <w:t>subsection</w:t>
      </w:r>
      <w:r w:rsidR="00482252" w:rsidRPr="00CE398B">
        <w:t xml:space="preserve"> S18—9(3</w:t>
      </w:r>
      <w:r w:rsidR="00482252">
        <w:t>).</w:t>
      </w:r>
      <w:proofErr w:type="gramEnd"/>
    </w:p>
    <w:p w14:paraId="10686D58" w14:textId="77777777" w:rsidR="00463DB7" w:rsidRDefault="00463DB7" w:rsidP="005057A5"/>
    <w:p w14:paraId="0580AB16" w14:textId="1507A89F" w:rsidR="00836A3E" w:rsidRDefault="00836A3E" w:rsidP="003C5407">
      <w:pPr>
        <w:ind w:right="-286"/>
      </w:pPr>
      <w:r>
        <w:t xml:space="preserve">Schedule 18 </w:t>
      </w:r>
      <w:r w:rsidRPr="00836A3E">
        <w:t>already permits the use of an agarose ion exchange resin for the removal of specific proteins and polyphenols from beer. The resin under consideration is similar with respect to the matrix. However, the resin</w:t>
      </w:r>
      <w:r>
        <w:t xml:space="preserve">s differ in that the </w:t>
      </w:r>
      <w:r w:rsidR="00463DB7">
        <w:t xml:space="preserve">new resin is </w:t>
      </w:r>
      <w:proofErr w:type="spellStart"/>
      <w:r w:rsidR="00463DB7">
        <w:t>derivatised</w:t>
      </w:r>
      <w:proofErr w:type="spellEnd"/>
      <w:r w:rsidR="00463DB7">
        <w:t xml:space="preserve"> with </w:t>
      </w:r>
      <w:proofErr w:type="spellStart"/>
      <w:r w:rsidR="008C558D">
        <w:t>sulphonate</w:t>
      </w:r>
      <w:proofErr w:type="spellEnd"/>
      <w:r w:rsidR="00463DB7" w:rsidRPr="00836A3E">
        <w:t xml:space="preserve"> groups</w:t>
      </w:r>
      <w:r w:rsidR="00463DB7">
        <w:t xml:space="preserve">, whilst the </w:t>
      </w:r>
      <w:r>
        <w:t xml:space="preserve">already permitted resin </w:t>
      </w:r>
      <w:r w:rsidRPr="00836A3E">
        <w:t xml:space="preserve">is </w:t>
      </w:r>
      <w:proofErr w:type="spellStart"/>
      <w:r w:rsidRPr="00836A3E">
        <w:t>derivatised</w:t>
      </w:r>
      <w:proofErr w:type="spellEnd"/>
      <w:r w:rsidRPr="00836A3E">
        <w:t xml:space="preserve"> with tertiary amine groups</w:t>
      </w:r>
      <w:r w:rsidR="00463DB7">
        <w:t xml:space="preserve">. </w:t>
      </w:r>
    </w:p>
    <w:p w14:paraId="3FBB71C0" w14:textId="77777777" w:rsidR="00875651" w:rsidRDefault="00875651" w:rsidP="005057A5"/>
    <w:p w14:paraId="13A6B6A1" w14:textId="6D0176DB" w:rsidR="005057A5" w:rsidRDefault="00A3708A" w:rsidP="005057A5">
      <w:r>
        <w:t>T</w:t>
      </w:r>
      <w:r w:rsidR="00277C13">
        <w:t xml:space="preserve">o </w:t>
      </w:r>
      <w:r>
        <w:t xml:space="preserve">clearly </w:t>
      </w:r>
      <w:r w:rsidR="00277C13">
        <w:t>differentiate between the two</w:t>
      </w:r>
      <w:r>
        <w:t xml:space="preserve"> resins</w:t>
      </w:r>
      <w:r w:rsidR="00ED5CEA">
        <w:t xml:space="preserve"> in Schedule 18</w:t>
      </w:r>
      <w:r w:rsidR="00277C13">
        <w:t xml:space="preserve">, </w:t>
      </w:r>
      <w:r>
        <w:t xml:space="preserve">they will be listed according to their composition. That is, </w:t>
      </w:r>
      <w:r w:rsidR="00875651">
        <w:t xml:space="preserve">the already permitted resin will be re-named as an </w:t>
      </w:r>
      <w:r w:rsidR="00875651">
        <w:rPr>
          <w:i/>
        </w:rPr>
        <w:t xml:space="preserve">amine </w:t>
      </w:r>
      <w:r w:rsidR="00875651">
        <w:t>agarose ion exchange resin. The</w:t>
      </w:r>
      <w:r w:rsidR="005057A5">
        <w:t xml:space="preserve"> </w:t>
      </w:r>
      <w:r w:rsidR="00836A3E">
        <w:t xml:space="preserve">new resin will be listed </w:t>
      </w:r>
      <w:r w:rsidR="005057A5">
        <w:t xml:space="preserve">as a </w:t>
      </w:r>
      <w:proofErr w:type="spellStart"/>
      <w:r w:rsidR="008C558D">
        <w:rPr>
          <w:i/>
        </w:rPr>
        <w:t>sulphonate</w:t>
      </w:r>
      <w:proofErr w:type="spellEnd"/>
      <w:r w:rsidR="005057A5">
        <w:t xml:space="preserve"> agarose ion exchange resin</w:t>
      </w:r>
      <w:r w:rsidR="00836A3E">
        <w:t>.</w:t>
      </w:r>
      <w:r w:rsidR="005057A5">
        <w:t xml:space="preserve"> </w:t>
      </w:r>
    </w:p>
    <w:p w14:paraId="7DB8F45C" w14:textId="77777777" w:rsidR="005057A5" w:rsidRDefault="005057A5" w:rsidP="005057A5"/>
    <w:p w14:paraId="063AF0FE" w14:textId="2DAF3557" w:rsidR="00FF3953" w:rsidRDefault="005057A5" w:rsidP="00366E90">
      <w:pPr>
        <w:ind w:right="-286"/>
      </w:pPr>
      <w:r>
        <w:t xml:space="preserve">Schedule 18 also includes a </w:t>
      </w:r>
      <w:r w:rsidRPr="00CE398B">
        <w:t xml:space="preserve">definition for agarose ion exchange resin </w:t>
      </w:r>
      <w:r w:rsidR="002F745A">
        <w:t>(</w:t>
      </w:r>
      <w:r w:rsidR="00C56DBB">
        <w:t>subsection</w:t>
      </w:r>
      <w:r w:rsidRPr="00CE398B">
        <w:t xml:space="preserve"> S18—9(2</w:t>
      </w:r>
      <w:r w:rsidR="002F745A">
        <w:t>)</w:t>
      </w:r>
      <w:r w:rsidRPr="00CE398B">
        <w:t>)</w:t>
      </w:r>
      <w:r>
        <w:t>.</w:t>
      </w:r>
      <w:r w:rsidR="00263F29">
        <w:t xml:space="preserve"> </w:t>
      </w:r>
      <w:r w:rsidR="00981975">
        <w:t>I</w:t>
      </w:r>
      <w:r>
        <w:t xml:space="preserve">f the new resin is permitted, </w:t>
      </w:r>
      <w:r w:rsidR="00FF3953">
        <w:t xml:space="preserve">the existing definition for agarose ion exchange resin will be replaced with two separate definitions: one for the </w:t>
      </w:r>
      <w:proofErr w:type="spellStart"/>
      <w:r w:rsidR="008C558D">
        <w:t>sulphonate</w:t>
      </w:r>
      <w:proofErr w:type="spellEnd"/>
      <w:r w:rsidR="00FF3953">
        <w:t xml:space="preserve"> resin, the other for the amine resin.</w:t>
      </w:r>
    </w:p>
    <w:p w14:paraId="4C35F441" w14:textId="55404681" w:rsidR="00777477" w:rsidRDefault="00777477" w:rsidP="00777477">
      <w:pPr>
        <w:pStyle w:val="Heading3"/>
      </w:pPr>
      <w:bookmarkStart w:id="51" w:name="_Toc442949557"/>
      <w:r>
        <w:t>2.2.2</w:t>
      </w:r>
      <w:r>
        <w:tab/>
        <w:t>Specification</w:t>
      </w:r>
      <w:bookmarkEnd w:id="51"/>
    </w:p>
    <w:p w14:paraId="76980538" w14:textId="3D6B0530" w:rsidR="005057A5" w:rsidRDefault="00B13BDB" w:rsidP="005057A5">
      <w:r>
        <w:t>Permissions for processing aids are linked to their specification for identity and purity</w:t>
      </w:r>
      <w:r w:rsidR="00822D20">
        <w:t>, provided in Schedule 3 of the revised Code</w:t>
      </w:r>
      <w:r>
        <w:t>.</w:t>
      </w:r>
      <w:r w:rsidR="00C36B39">
        <w:t xml:space="preserve"> The resin </w:t>
      </w:r>
      <w:r w:rsidR="007908BA">
        <w:t xml:space="preserve">permitted for the production of beer </w:t>
      </w:r>
      <w:r w:rsidR="00C36B39">
        <w:t xml:space="preserve">has an individual specification referenced in </w:t>
      </w:r>
      <w:r w:rsidR="007908BA">
        <w:t>subsection</w:t>
      </w:r>
      <w:r w:rsidR="007908BA" w:rsidRPr="00CE398B">
        <w:t xml:space="preserve"> S3—6</w:t>
      </w:r>
      <w:r w:rsidR="007908BA">
        <w:t>.</w:t>
      </w:r>
      <w:r w:rsidR="00C36B39">
        <w:t xml:space="preserve"> </w:t>
      </w:r>
      <w:r w:rsidR="007908BA">
        <w:t>If permitted, a</w:t>
      </w:r>
      <w:r w:rsidR="00A84AF8">
        <w:t xml:space="preserve">n individual </w:t>
      </w:r>
      <w:r w:rsidR="00C56DBB" w:rsidRPr="00CE398B">
        <w:t xml:space="preserve">specification </w:t>
      </w:r>
      <w:r w:rsidR="00C56DBB">
        <w:t xml:space="preserve">will </w:t>
      </w:r>
      <w:r w:rsidR="00C56DBB" w:rsidRPr="00CE398B">
        <w:t xml:space="preserve">be </w:t>
      </w:r>
      <w:r w:rsidR="00C809DC">
        <w:t>included in</w:t>
      </w:r>
      <w:r w:rsidR="007908BA">
        <w:t xml:space="preserve"> </w:t>
      </w:r>
      <w:r w:rsidR="00C56DBB" w:rsidRPr="00CE398B">
        <w:t>Schedule 3</w:t>
      </w:r>
      <w:r w:rsidR="00C56DBB">
        <w:t xml:space="preserve"> for </w:t>
      </w:r>
      <w:r w:rsidR="00277C13">
        <w:t>the</w:t>
      </w:r>
      <w:r w:rsidR="00A84AF8">
        <w:t xml:space="preserve"> new resin as a </w:t>
      </w:r>
      <w:proofErr w:type="spellStart"/>
      <w:r w:rsidR="008C558D">
        <w:rPr>
          <w:i/>
        </w:rPr>
        <w:t>sulphonate</w:t>
      </w:r>
      <w:proofErr w:type="spellEnd"/>
      <w:r w:rsidR="00C56DBB">
        <w:t xml:space="preserve"> </w:t>
      </w:r>
      <w:r w:rsidR="00C56DBB" w:rsidRPr="00CE398B">
        <w:t>agarose ion exchange resin</w:t>
      </w:r>
      <w:r w:rsidR="00C56DBB">
        <w:t xml:space="preserve">. The existing </w:t>
      </w:r>
      <w:r w:rsidR="005057A5">
        <w:t xml:space="preserve">specification </w:t>
      </w:r>
      <w:r w:rsidR="00C56DBB">
        <w:t>will be re</w:t>
      </w:r>
      <w:r w:rsidR="00263A00">
        <w:t xml:space="preserve">-named </w:t>
      </w:r>
      <w:r w:rsidR="00463DB7">
        <w:t xml:space="preserve">so as to be applicable to the </w:t>
      </w:r>
      <w:r w:rsidR="00263A00" w:rsidRPr="00263F29">
        <w:rPr>
          <w:i/>
        </w:rPr>
        <w:t>amine</w:t>
      </w:r>
      <w:r w:rsidR="00263A00">
        <w:t xml:space="preserve"> agarose ion exchange resin.</w:t>
      </w:r>
      <w:r>
        <w:t xml:space="preserve"> </w:t>
      </w:r>
    </w:p>
    <w:p w14:paraId="0EBC0B4A" w14:textId="2B284A74" w:rsidR="002F745A" w:rsidRDefault="002F745A" w:rsidP="005057A5"/>
    <w:p w14:paraId="46B95921" w14:textId="1812FC72" w:rsidR="00FC1AED" w:rsidRDefault="00FC1AED" w:rsidP="00E818EA">
      <w:r>
        <w:t xml:space="preserve">The </w:t>
      </w:r>
      <w:r w:rsidR="00041B08">
        <w:t xml:space="preserve">existing specification </w:t>
      </w:r>
      <w:r w:rsidR="00E012BE">
        <w:t xml:space="preserve">for the amine resin </w:t>
      </w:r>
      <w:r w:rsidR="00041B08">
        <w:t xml:space="preserve">includes provisions around the limitations of use and processing conditions (paragraph 2 of the </w:t>
      </w:r>
      <w:r w:rsidR="00E012BE">
        <w:t>s</w:t>
      </w:r>
      <w:r w:rsidR="00041B08">
        <w:t xml:space="preserve">pecification). The </w:t>
      </w:r>
      <w:r>
        <w:t xml:space="preserve">new specification for the </w:t>
      </w:r>
      <w:proofErr w:type="spellStart"/>
      <w:r w:rsidR="008C558D">
        <w:t>sulphonate</w:t>
      </w:r>
      <w:proofErr w:type="spellEnd"/>
      <w:r>
        <w:t xml:space="preserve"> resin will differ, in that it will not include </w:t>
      </w:r>
      <w:r w:rsidR="00041B08">
        <w:t xml:space="preserve">such provisions. </w:t>
      </w:r>
      <w:r>
        <w:t xml:space="preserve">Upon review, these provisions are not relevant for </w:t>
      </w:r>
      <w:r w:rsidR="00263F29">
        <w:t xml:space="preserve">a specification on </w:t>
      </w:r>
      <w:r>
        <w:t>identity and purity</w:t>
      </w:r>
      <w:r w:rsidR="00463DB7">
        <w:t>.</w:t>
      </w:r>
      <w:r w:rsidR="00263F29">
        <w:t xml:space="preserve"> </w:t>
      </w:r>
      <w:r w:rsidR="00E012BE">
        <w:t xml:space="preserve">There are a number of </w:t>
      </w:r>
      <w:r w:rsidR="00A84AF8">
        <w:t xml:space="preserve">other </w:t>
      </w:r>
      <w:r w:rsidR="00263F29">
        <w:t xml:space="preserve">specifications for permitted resins </w:t>
      </w:r>
      <w:r w:rsidR="00E012BE">
        <w:t xml:space="preserve">that currently contain </w:t>
      </w:r>
      <w:r w:rsidR="00A84AF8">
        <w:t xml:space="preserve">such </w:t>
      </w:r>
      <w:r w:rsidR="00E012BE">
        <w:t>provisions</w:t>
      </w:r>
      <w:r w:rsidR="00A84AF8">
        <w:t xml:space="preserve"> around the limitations of use and processing conditions</w:t>
      </w:r>
      <w:r w:rsidR="00E012BE">
        <w:t xml:space="preserve">. These </w:t>
      </w:r>
      <w:r w:rsidR="00263F29">
        <w:t xml:space="preserve">will </w:t>
      </w:r>
      <w:r w:rsidR="00E012BE">
        <w:t xml:space="preserve">all </w:t>
      </w:r>
      <w:r w:rsidR="00263F29">
        <w:t xml:space="preserve">be reviewed via an appropriate mechanism (e.g. </w:t>
      </w:r>
      <w:r w:rsidR="00041B08">
        <w:t xml:space="preserve">through a </w:t>
      </w:r>
      <w:r w:rsidR="00263F29">
        <w:t xml:space="preserve">Code </w:t>
      </w:r>
      <w:r w:rsidR="00C809DC">
        <w:t>m</w:t>
      </w:r>
      <w:r w:rsidR="00F547B3">
        <w:t xml:space="preserve">aintenance </w:t>
      </w:r>
      <w:r w:rsidR="00C809DC">
        <w:t>p</w:t>
      </w:r>
      <w:r w:rsidR="00F547B3">
        <w:t>roposal</w:t>
      </w:r>
      <w:r w:rsidR="00263F29">
        <w:t xml:space="preserve">) to ensure consistency across the specifications for resins in Schedule 3.  </w:t>
      </w:r>
      <w:r>
        <w:t xml:space="preserve"> </w:t>
      </w:r>
    </w:p>
    <w:p w14:paraId="539654B8" w14:textId="14F9A09F" w:rsidR="00376BAD" w:rsidRPr="00C2661F" w:rsidRDefault="00376BAD" w:rsidP="00376BAD">
      <w:pPr>
        <w:pStyle w:val="Heading3"/>
        <w:rPr>
          <w:color w:val="auto"/>
        </w:rPr>
      </w:pPr>
      <w:bookmarkStart w:id="52" w:name="_Toc422314551"/>
      <w:bookmarkStart w:id="53" w:name="_Toc442949558"/>
      <w:r w:rsidRPr="00C2661F">
        <w:rPr>
          <w:color w:val="auto"/>
        </w:rPr>
        <w:t>2.2.</w:t>
      </w:r>
      <w:r w:rsidR="00C2661F">
        <w:rPr>
          <w:color w:val="auto"/>
        </w:rPr>
        <w:t>3</w:t>
      </w:r>
      <w:r w:rsidRPr="00C2661F">
        <w:rPr>
          <w:color w:val="auto"/>
        </w:rPr>
        <w:tab/>
        <w:t>Labelling considerations</w:t>
      </w:r>
      <w:bookmarkEnd w:id="52"/>
      <w:bookmarkEnd w:id="53"/>
    </w:p>
    <w:p w14:paraId="267CB5B3" w14:textId="44937BEA" w:rsidR="00C51F9B" w:rsidRDefault="00C2661F" w:rsidP="00E818EA">
      <w:r w:rsidRPr="00C2661F">
        <w:t>As a general rule, p</w:t>
      </w:r>
      <w:r w:rsidR="00376BAD" w:rsidRPr="00C2661F">
        <w:t>rocessing aids are exempt from the requirement to be declared in the statement of ingredients in accordance with paragraphs 1.2.4—3(2</w:t>
      </w:r>
      <w:proofErr w:type="gramStart"/>
      <w:r w:rsidR="00376BAD" w:rsidRPr="00C2661F">
        <w:t>)(</w:t>
      </w:r>
      <w:proofErr w:type="gramEnd"/>
      <w:r w:rsidR="00376BAD" w:rsidRPr="00C2661F">
        <w:t xml:space="preserve">d) and (e) </w:t>
      </w:r>
      <w:r w:rsidR="00C809DC">
        <w:t>in Standard 1.2.4</w:t>
      </w:r>
      <w:r w:rsidR="00376BAD" w:rsidRPr="00C2661F">
        <w:t xml:space="preserve">. </w:t>
      </w:r>
      <w:r w:rsidRPr="00C2661F">
        <w:t xml:space="preserve">Therefore, the use of the agarose ion exchange resin as a processing aid </w:t>
      </w:r>
      <w:r w:rsidR="002B5AB2">
        <w:rPr>
          <w:rFonts w:cs="Arial"/>
          <w:color w:val="000000" w:themeColor="text1"/>
        </w:rPr>
        <w:t xml:space="preserve">for the production of </w:t>
      </w:r>
      <w:proofErr w:type="spellStart"/>
      <w:r w:rsidR="002B5AB2">
        <w:rPr>
          <w:rFonts w:cs="Arial"/>
          <w:color w:val="000000" w:themeColor="text1"/>
        </w:rPr>
        <w:t>lactoferrin</w:t>
      </w:r>
      <w:proofErr w:type="spellEnd"/>
      <w:r w:rsidR="002B5AB2">
        <w:rPr>
          <w:rFonts w:cs="Arial"/>
          <w:i/>
          <w:color w:val="000000" w:themeColor="text1"/>
        </w:rPr>
        <w:t xml:space="preserve"> </w:t>
      </w:r>
      <w:r w:rsidRPr="00C2661F">
        <w:t>would not be declared on the label of the food.</w:t>
      </w:r>
    </w:p>
    <w:p w14:paraId="4F1BD73B" w14:textId="3B0C2A26" w:rsidR="00C51F9B" w:rsidRPr="00C2661F" w:rsidRDefault="00C51F9B" w:rsidP="00C51F9B">
      <w:pPr>
        <w:pStyle w:val="Heading3"/>
        <w:rPr>
          <w:color w:val="auto"/>
        </w:rPr>
      </w:pPr>
      <w:bookmarkStart w:id="54" w:name="_Toc442949559"/>
      <w:r w:rsidRPr="00C2661F">
        <w:rPr>
          <w:color w:val="auto"/>
        </w:rPr>
        <w:t>2.2.</w:t>
      </w:r>
      <w:r>
        <w:rPr>
          <w:color w:val="auto"/>
        </w:rPr>
        <w:t>4</w:t>
      </w:r>
      <w:r w:rsidRPr="00C2661F">
        <w:rPr>
          <w:color w:val="auto"/>
        </w:rPr>
        <w:tab/>
      </w:r>
      <w:r>
        <w:rPr>
          <w:color w:val="auto"/>
        </w:rPr>
        <w:t>Conclusion</w:t>
      </w:r>
      <w:bookmarkEnd w:id="54"/>
    </w:p>
    <w:p w14:paraId="469CDCE6" w14:textId="77777777" w:rsidR="003C5407" w:rsidRDefault="005319AC" w:rsidP="00E818EA">
      <w:r>
        <w:t xml:space="preserve">The proposed use of the agarose ion exchange resin as a processing aid for </w:t>
      </w:r>
      <w:proofErr w:type="spellStart"/>
      <w:r>
        <w:t>lactoferrin</w:t>
      </w:r>
      <w:proofErr w:type="spellEnd"/>
      <w:r>
        <w:t xml:space="preserve"> production, in its prescribed form and usage, is technologically justified. </w:t>
      </w:r>
      <w:r w:rsidR="003C5407">
        <w:br w:type="page"/>
      </w:r>
    </w:p>
    <w:p w14:paraId="036751D6" w14:textId="3C20850B" w:rsidR="00C51F9B" w:rsidRPr="00C2661F" w:rsidRDefault="005319AC" w:rsidP="00E818EA">
      <w:r>
        <w:lastRenderedPageBreak/>
        <w:t xml:space="preserve">The </w:t>
      </w:r>
      <w:r w:rsidRPr="005319AC">
        <w:t xml:space="preserve">risk assessment conclusions </w:t>
      </w:r>
      <w:r>
        <w:t xml:space="preserve">indicate that there are </w:t>
      </w:r>
      <w:r w:rsidR="00685413">
        <w:t xml:space="preserve">likely to be </w:t>
      </w:r>
      <w:r>
        <w:t xml:space="preserve">no public health and </w:t>
      </w:r>
      <w:r w:rsidRPr="005319AC">
        <w:t xml:space="preserve">safety risks </w:t>
      </w:r>
      <w:r>
        <w:t xml:space="preserve">associated with </w:t>
      </w:r>
      <w:r w:rsidR="00054A17">
        <w:t>its</w:t>
      </w:r>
      <w:r>
        <w:t xml:space="preserve"> </w:t>
      </w:r>
      <w:r w:rsidR="00054A17">
        <w:t xml:space="preserve">use. A limited </w:t>
      </w:r>
      <w:r>
        <w:t xml:space="preserve">analysis of costs and </w:t>
      </w:r>
      <w:r w:rsidR="00054A17">
        <w:t xml:space="preserve">benefits </w:t>
      </w:r>
      <w:r w:rsidR="00487772">
        <w:t xml:space="preserve">(see section 2.4.1.1) </w:t>
      </w:r>
      <w:r w:rsidR="00054A17">
        <w:t xml:space="preserve">indicates that the direct and indirect benefits that would arise from developing or varying a food regulatory measure would outweigh any costs to the community, Government or industry of such a measure. Based on this information, the preferred </w:t>
      </w:r>
      <w:r w:rsidR="00AB2648">
        <w:t xml:space="preserve">risk management </w:t>
      </w:r>
      <w:r w:rsidR="00054A17">
        <w:t>option is to prepare a draft variation to Schedule 18 and Schedule 3 of the revised Code.</w:t>
      </w:r>
    </w:p>
    <w:p w14:paraId="41A83237" w14:textId="77777777" w:rsidR="00376BAD" w:rsidRPr="00932F14" w:rsidRDefault="00376BAD" w:rsidP="00376BAD">
      <w:pPr>
        <w:pStyle w:val="Heading2"/>
      </w:pPr>
      <w:bookmarkStart w:id="55" w:name="_Toc404936801"/>
      <w:bookmarkStart w:id="56" w:name="_Toc442949560"/>
      <w:bookmarkStart w:id="57" w:name="_Toc300933437"/>
      <w:bookmarkStart w:id="58" w:name="_Toc286391012"/>
      <w:bookmarkEnd w:id="48"/>
      <w:r>
        <w:t>2.3</w:t>
      </w:r>
      <w:r>
        <w:tab/>
        <w:t>Risk communication</w:t>
      </w:r>
      <w:bookmarkEnd w:id="55"/>
      <w:bookmarkEnd w:id="56"/>
    </w:p>
    <w:p w14:paraId="7A6CF1EE" w14:textId="36C4019F" w:rsidR="00E520FE" w:rsidRPr="0005191B" w:rsidRDefault="00E520FE" w:rsidP="00022DBC">
      <w:pPr>
        <w:pStyle w:val="Heading3"/>
        <w:rPr>
          <w:color w:val="auto"/>
        </w:rPr>
      </w:pPr>
      <w:bookmarkStart w:id="59" w:name="_Toc442949561"/>
      <w:r w:rsidRPr="0005191B">
        <w:rPr>
          <w:color w:val="auto"/>
        </w:rPr>
        <w:t>2.</w:t>
      </w:r>
      <w:r w:rsidR="0005191B" w:rsidRPr="0005191B">
        <w:rPr>
          <w:color w:val="auto"/>
        </w:rPr>
        <w:t>3</w:t>
      </w:r>
      <w:r w:rsidRPr="0005191B">
        <w:rPr>
          <w:color w:val="auto"/>
        </w:rPr>
        <w:t>.1</w:t>
      </w:r>
      <w:r w:rsidRPr="0005191B">
        <w:rPr>
          <w:color w:val="auto"/>
        </w:rPr>
        <w:tab/>
        <w:t>Consultation</w:t>
      </w:r>
      <w:bookmarkEnd w:id="57"/>
      <w:bookmarkEnd w:id="59"/>
    </w:p>
    <w:p w14:paraId="408A3C16" w14:textId="77777777" w:rsidR="0027513D" w:rsidRDefault="0027513D" w:rsidP="0027513D">
      <w:pPr>
        <w:rPr>
          <w:szCs w:val="22"/>
        </w:rPr>
      </w:pPr>
      <w:r w:rsidRPr="0027513D">
        <w:rPr>
          <w:szCs w:val="22"/>
        </w:rPr>
        <w:t xml:space="preserve">Consultation is a key part of FSANZ’s standards development process. </w:t>
      </w:r>
    </w:p>
    <w:p w14:paraId="122FDECD" w14:textId="77777777" w:rsidR="0027513D" w:rsidRDefault="0027513D" w:rsidP="0027513D">
      <w:pPr>
        <w:rPr>
          <w:color w:val="00B050"/>
        </w:rPr>
      </w:pPr>
    </w:p>
    <w:p w14:paraId="03E4A984" w14:textId="4546EFA9" w:rsidR="00C45737" w:rsidRPr="003D6A25" w:rsidRDefault="00C45737" w:rsidP="00C45737">
      <w:r w:rsidRPr="003D6A25">
        <w:t xml:space="preserve">FSANZ </w:t>
      </w:r>
      <w:r w:rsidR="00C809DC">
        <w:t xml:space="preserve">has </w:t>
      </w:r>
      <w:r w:rsidRPr="003D6A25">
        <w:t xml:space="preserve">developed and applied a basic communication strategy to this Application. All calls for submissions </w:t>
      </w:r>
      <w:r w:rsidR="000E7859">
        <w:t>ar</w:t>
      </w:r>
      <w:r w:rsidR="000E7859" w:rsidRPr="003D6A25">
        <w:t xml:space="preserve">e </w:t>
      </w:r>
      <w:r w:rsidRPr="003D6A25">
        <w:t xml:space="preserve">notified via the Food Standards Notification Circular, media release, FSANZ’s social media tools and </w:t>
      </w:r>
      <w:r w:rsidRPr="009500F5">
        <w:t>Food Standards News</w:t>
      </w:r>
      <w:r>
        <w:t>.</w:t>
      </w:r>
    </w:p>
    <w:p w14:paraId="7647E838" w14:textId="77777777" w:rsidR="00C45737" w:rsidRPr="003D6A25" w:rsidRDefault="00C45737" w:rsidP="00C45737"/>
    <w:p w14:paraId="3FA4A02F" w14:textId="03FA5E60" w:rsidR="00C45737" w:rsidRPr="003D6A25" w:rsidRDefault="00C45737" w:rsidP="00C45737">
      <w:r w:rsidRPr="003D6A25">
        <w:t xml:space="preserve">The process by which FSANZ considers standard development matters is open, accountable, consultative and transparent. Public submissions </w:t>
      </w:r>
      <w:r w:rsidR="000E7859">
        <w:t>a</w:t>
      </w:r>
      <w:r w:rsidR="000E7859" w:rsidRPr="003D6A25">
        <w:t xml:space="preserve">re </w:t>
      </w:r>
      <w:r w:rsidRPr="003D6A25">
        <w:t xml:space="preserve">called to obtain the views of interested parties on issues raised by the Application and the impacts of regulatory options. </w:t>
      </w:r>
    </w:p>
    <w:p w14:paraId="29A1FDDF" w14:textId="77777777" w:rsidR="00C45737" w:rsidRPr="003D6A25" w:rsidRDefault="00C45737" w:rsidP="00C45737"/>
    <w:p w14:paraId="469522D6" w14:textId="77777777" w:rsidR="00C45737" w:rsidRPr="003D6A25" w:rsidRDefault="00C45737" w:rsidP="00C45737">
      <w:r w:rsidRPr="003D6A25">
        <w:t>The draft variation will be considered for approval by the FSANZ Board taking into account public comments received from this call for submissions.</w:t>
      </w:r>
    </w:p>
    <w:p w14:paraId="041E92BD" w14:textId="21120917" w:rsidR="00E520FE" w:rsidRPr="00022DBC" w:rsidRDefault="00022DBC" w:rsidP="00022DBC">
      <w:pPr>
        <w:pStyle w:val="Heading3"/>
      </w:pPr>
      <w:bookmarkStart w:id="60" w:name="_Toc300761912"/>
      <w:bookmarkStart w:id="61" w:name="_Toc300933439"/>
      <w:bookmarkStart w:id="62" w:name="_Toc442949562"/>
      <w:bookmarkEnd w:id="58"/>
      <w:r w:rsidRPr="00022DBC">
        <w:t>2.</w:t>
      </w:r>
      <w:r w:rsidR="00BE008B">
        <w:t>3</w:t>
      </w:r>
      <w:r w:rsidRPr="00022DBC">
        <w:t>.2</w:t>
      </w:r>
      <w:r w:rsidR="00E520FE" w:rsidRPr="00022DBC">
        <w:tab/>
        <w:t>World Trade Organization (WTO)</w:t>
      </w:r>
      <w:bookmarkEnd w:id="60"/>
      <w:bookmarkEnd w:id="61"/>
      <w:bookmarkEnd w:id="62"/>
    </w:p>
    <w:p w14:paraId="23F000ED"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C46905C" w14:textId="77777777" w:rsidR="00EC32B8" w:rsidRDefault="00EC32B8" w:rsidP="00E520FE">
      <w:pPr>
        <w:tabs>
          <w:tab w:val="left" w:pos="1560"/>
        </w:tabs>
        <w:rPr>
          <w:rFonts w:cs="Arial"/>
        </w:rPr>
      </w:pPr>
    </w:p>
    <w:p w14:paraId="57762854" w14:textId="012C66CB" w:rsidR="003B1493" w:rsidRPr="003B1493" w:rsidRDefault="003B1493" w:rsidP="003B1493">
      <w:pPr>
        <w:tabs>
          <w:tab w:val="left" w:pos="1560"/>
        </w:tabs>
        <w:rPr>
          <w:rFonts w:cs="Arial"/>
        </w:rPr>
      </w:pPr>
      <w:r w:rsidRPr="003B1493">
        <w:rPr>
          <w:rFonts w:cs="Arial"/>
        </w:rPr>
        <w:t xml:space="preserve">This Application requested </w:t>
      </w:r>
      <w:proofErr w:type="gramStart"/>
      <w:r w:rsidR="006169E7">
        <w:rPr>
          <w:rFonts w:cs="Arial"/>
        </w:rPr>
        <w:t xml:space="preserve">a </w:t>
      </w:r>
      <w:r w:rsidRPr="003B1493">
        <w:rPr>
          <w:rFonts w:cs="Arial"/>
        </w:rPr>
        <w:t>permission</w:t>
      </w:r>
      <w:proofErr w:type="gramEnd"/>
      <w:r w:rsidRPr="003B1493">
        <w:rPr>
          <w:rFonts w:cs="Arial"/>
        </w:rPr>
        <w:t xml:space="preserve"> in the Code for the use of the agarose ion excha</w:t>
      </w:r>
      <w:r w:rsidR="00B97BA4">
        <w:rPr>
          <w:rFonts w:cs="Arial"/>
        </w:rPr>
        <w:t xml:space="preserve">nge resin as a processing aid in the production of </w:t>
      </w:r>
      <w:proofErr w:type="spellStart"/>
      <w:r w:rsidR="00B97BA4">
        <w:rPr>
          <w:rFonts w:cs="Arial"/>
        </w:rPr>
        <w:t>lactoferrin</w:t>
      </w:r>
      <w:proofErr w:type="spellEnd"/>
      <w:r w:rsidR="00B97BA4">
        <w:rPr>
          <w:rFonts w:cs="Arial"/>
        </w:rPr>
        <w:t>.</w:t>
      </w:r>
      <w:r w:rsidRPr="003B1493">
        <w:rPr>
          <w:rFonts w:cs="Arial"/>
        </w:rPr>
        <w:t xml:space="preserve"> Codex does not regulate processing aids and there are no other relevant international standards. </w:t>
      </w:r>
    </w:p>
    <w:p w14:paraId="6AF5F368" w14:textId="77777777" w:rsidR="003B1493" w:rsidRPr="003B1493" w:rsidRDefault="003B1493" w:rsidP="003B1493">
      <w:pPr>
        <w:tabs>
          <w:tab w:val="left" w:pos="1560"/>
        </w:tabs>
        <w:rPr>
          <w:rFonts w:cs="Arial"/>
        </w:rPr>
      </w:pPr>
    </w:p>
    <w:p w14:paraId="4109B216" w14:textId="3A1CBB79" w:rsidR="006169E7" w:rsidRDefault="003B1493" w:rsidP="003B1493">
      <w:pPr>
        <w:tabs>
          <w:tab w:val="left" w:pos="1560"/>
        </w:tabs>
        <w:rPr>
          <w:rFonts w:cs="Arial"/>
        </w:rPr>
      </w:pPr>
      <w:r w:rsidRPr="003B1493">
        <w:rPr>
          <w:rFonts w:cs="Arial"/>
        </w:rPr>
        <w:t xml:space="preserve">As the resin is a processing aid, there is no requirement to include it on product labels. </w:t>
      </w:r>
      <w:r w:rsidR="006169E7">
        <w:rPr>
          <w:rFonts w:cs="Arial"/>
        </w:rPr>
        <w:t>Amending the Code to approve the resin as a processing aid</w:t>
      </w:r>
      <w:r w:rsidR="006169E7" w:rsidRPr="003B1493">
        <w:rPr>
          <w:rFonts w:cs="Arial"/>
        </w:rPr>
        <w:t xml:space="preserve"> in food product manufacturing is unlikely to have a</w:t>
      </w:r>
      <w:r w:rsidR="006169E7">
        <w:rPr>
          <w:rFonts w:cs="Arial"/>
        </w:rPr>
        <w:t xml:space="preserve"> significant </w:t>
      </w:r>
      <w:r w:rsidR="006169E7" w:rsidRPr="003B1493">
        <w:rPr>
          <w:rFonts w:cs="Arial"/>
        </w:rPr>
        <w:t xml:space="preserve">effect on trade between member nations. </w:t>
      </w:r>
    </w:p>
    <w:p w14:paraId="5E0A5EFA" w14:textId="77777777" w:rsidR="006169E7" w:rsidRDefault="006169E7" w:rsidP="003B1493">
      <w:pPr>
        <w:tabs>
          <w:tab w:val="left" w:pos="1560"/>
        </w:tabs>
        <w:rPr>
          <w:rFonts w:cs="Arial"/>
        </w:rPr>
      </w:pPr>
    </w:p>
    <w:p w14:paraId="1082178E" w14:textId="40A97714" w:rsidR="00E520FE" w:rsidRPr="00EC32B8" w:rsidRDefault="00E520FE" w:rsidP="00E520FE">
      <w:pPr>
        <w:tabs>
          <w:tab w:val="left" w:pos="1560"/>
        </w:tabs>
        <w:rPr>
          <w:rFonts w:cs="Arial"/>
          <w:iCs/>
        </w:rPr>
      </w:pPr>
      <w:r w:rsidRPr="00EC32B8">
        <w:rPr>
          <w:rFonts w:cs="Arial"/>
          <w:iCs/>
        </w:rPr>
        <w:t xml:space="preserve">Therefore, a notification to the WTO under </w:t>
      </w:r>
      <w:r w:rsidRPr="00EC32B8">
        <w:rPr>
          <w:rFonts w:cs="Arial"/>
        </w:rPr>
        <w:t>Australia’s and New Zealand’s</w:t>
      </w:r>
      <w:r w:rsidRPr="00EC32B8">
        <w:rPr>
          <w:rFonts w:cs="Arial"/>
          <w:iCs/>
        </w:rPr>
        <w:t xml:space="preserve"> obligations under the WTO Technical Barriers to Trade or </w:t>
      </w:r>
      <w:r w:rsidR="00D04529" w:rsidRPr="00EC32B8">
        <w:rPr>
          <w:rFonts w:cs="Arial"/>
          <w:iCs/>
        </w:rPr>
        <w:t xml:space="preserve">Application of </w:t>
      </w:r>
      <w:r w:rsidRPr="00EC32B8">
        <w:rPr>
          <w:rFonts w:cs="Arial"/>
          <w:iCs/>
        </w:rPr>
        <w:t xml:space="preserve">Sanitary and Phytosanitary Measures Agreement </w:t>
      </w:r>
      <w:r w:rsidR="00EE0BD8">
        <w:rPr>
          <w:rFonts w:cs="Arial"/>
          <w:iCs/>
        </w:rPr>
        <w:t>is</w:t>
      </w:r>
      <w:r w:rsidRPr="00EC32B8">
        <w:rPr>
          <w:rFonts w:cs="Arial"/>
          <w:iCs/>
        </w:rPr>
        <w:t xml:space="preserve"> not considered necessary.</w:t>
      </w:r>
    </w:p>
    <w:p w14:paraId="08AE2DE4" w14:textId="2969F574" w:rsidR="00E520FE" w:rsidRDefault="00022DBC" w:rsidP="00022DBC">
      <w:pPr>
        <w:pStyle w:val="Heading2"/>
      </w:pPr>
      <w:bookmarkStart w:id="63" w:name="_Toc442949563"/>
      <w:r>
        <w:t>2.</w:t>
      </w:r>
      <w:r w:rsidR="00721729">
        <w:t>4</w:t>
      </w:r>
      <w:r>
        <w:tab/>
        <w:t>FSANZ Act assessment requirements</w:t>
      </w:r>
      <w:bookmarkEnd w:id="63"/>
    </w:p>
    <w:p w14:paraId="1D23397B" w14:textId="71D53191" w:rsidR="00726C2F" w:rsidRPr="00914030" w:rsidRDefault="00726C2F" w:rsidP="00726C2F">
      <w:r w:rsidRPr="00914030">
        <w:t xml:space="preserve">When assessing </w:t>
      </w:r>
      <w:r>
        <w:t xml:space="preserve">this </w:t>
      </w:r>
      <w:r w:rsidRPr="00340D96">
        <w:t>Application</w:t>
      </w:r>
      <w:r w:rsidR="00340D96" w:rsidRPr="00340D96">
        <w:t xml:space="preserve"> </w:t>
      </w:r>
      <w:r w:rsidRPr="00340D96">
        <w:t xml:space="preserve">and the subsequent development of a food regulatory measure, FSANZ had regard to the </w:t>
      </w:r>
      <w:r w:rsidRPr="00340D96" w:rsidDel="00932F14">
        <w:t xml:space="preserve">following </w:t>
      </w:r>
      <w:r w:rsidRPr="00340D96">
        <w:t>matters in section 29 of the FSANZ Act:</w:t>
      </w:r>
    </w:p>
    <w:p w14:paraId="6B60D941" w14:textId="64F2F83E" w:rsidR="00726C2F" w:rsidRPr="00914030" w:rsidRDefault="00726C2F" w:rsidP="00726C2F">
      <w:pPr>
        <w:pStyle w:val="Heading3"/>
      </w:pPr>
      <w:bookmarkStart w:id="64" w:name="_Toc442949564"/>
      <w:r>
        <w:t>2.</w:t>
      </w:r>
      <w:r w:rsidR="00721729">
        <w:t>4</w:t>
      </w:r>
      <w:r>
        <w:t>.1</w:t>
      </w:r>
      <w:r>
        <w:tab/>
        <w:t xml:space="preserve">Section </w:t>
      </w:r>
      <w:r w:rsidRPr="00340D96">
        <w:rPr>
          <w:color w:val="auto"/>
        </w:rPr>
        <w:t>29</w:t>
      </w:r>
      <w:bookmarkEnd w:id="64"/>
    </w:p>
    <w:p w14:paraId="7D7B8DF1" w14:textId="4EEC4AFC" w:rsidR="00726C2F" w:rsidRDefault="00726C2F" w:rsidP="00726C2F">
      <w:pPr>
        <w:pStyle w:val="Heading4"/>
      </w:pPr>
      <w:r>
        <w:t>2.</w:t>
      </w:r>
      <w:r w:rsidR="00721729">
        <w:t>4</w:t>
      </w:r>
      <w:r>
        <w:t>.1.1</w:t>
      </w:r>
      <w:r>
        <w:tab/>
        <w:t>Cost benefit analysis</w:t>
      </w:r>
    </w:p>
    <w:p w14:paraId="35AA870F" w14:textId="77777777" w:rsidR="003C5407" w:rsidRDefault="00721729" w:rsidP="00721729">
      <w:pPr>
        <w:rPr>
          <w:rFonts w:cs="Arial"/>
        </w:rPr>
      </w:pPr>
      <w:r w:rsidRPr="004335DC">
        <w:rPr>
          <w:rFonts w:cs="Arial"/>
        </w:rPr>
        <w:t xml:space="preserve">FSANZ </w:t>
      </w:r>
      <w:r w:rsidR="006169E7">
        <w:rPr>
          <w:rFonts w:cs="Arial"/>
        </w:rPr>
        <w:t>was</w:t>
      </w:r>
      <w:r w:rsidRPr="004335DC">
        <w:rPr>
          <w:rFonts w:cs="Arial"/>
        </w:rPr>
        <w:t xml:space="preserve"> required to consider the impact of various regulatory and non-regulatory options on all sectors of the community, especially relevant stakeholders who may be affected by this Application. </w:t>
      </w:r>
      <w:r w:rsidR="003C5407">
        <w:rPr>
          <w:rFonts w:cs="Arial"/>
        </w:rPr>
        <w:br w:type="page"/>
      </w:r>
    </w:p>
    <w:p w14:paraId="18C8579D" w14:textId="1F4859D2" w:rsidR="00721729" w:rsidRPr="004335DC" w:rsidRDefault="00721729" w:rsidP="00721729">
      <w:pPr>
        <w:rPr>
          <w:rFonts w:cs="Arial"/>
        </w:rPr>
      </w:pPr>
      <w:r w:rsidRPr="004335DC">
        <w:rPr>
          <w:rFonts w:cs="Arial"/>
        </w:rPr>
        <w:lastRenderedPageBreak/>
        <w:t xml:space="preserve">The benefits and costs associated with the proposed amendments to the Code </w:t>
      </w:r>
      <w:r w:rsidR="006169E7">
        <w:rPr>
          <w:rFonts w:cs="Arial"/>
        </w:rPr>
        <w:t>were</w:t>
      </w:r>
      <w:r w:rsidRPr="004335DC">
        <w:rPr>
          <w:rFonts w:cs="Arial"/>
        </w:rPr>
        <w:t xml:space="preserve"> analysed using regulatory impact principles. </w:t>
      </w:r>
      <w:r w:rsidRPr="004335DC">
        <w:t xml:space="preserve">The level of analysis </w:t>
      </w:r>
      <w:r w:rsidR="00206FEE">
        <w:t>was</w:t>
      </w:r>
      <w:r w:rsidRPr="004335DC">
        <w:t xml:space="preserve"> commensurate with the nature of the Application and significance of the impacts.</w:t>
      </w:r>
    </w:p>
    <w:p w14:paraId="58D5EADD" w14:textId="77777777" w:rsidR="00721729" w:rsidRDefault="00721729" w:rsidP="00721729">
      <w:pPr>
        <w:rPr>
          <w:rFonts w:cs="Arial"/>
          <w:color w:val="000000" w:themeColor="text1"/>
        </w:rPr>
      </w:pPr>
    </w:p>
    <w:p w14:paraId="6C1708F2" w14:textId="0A68416A" w:rsidR="00721729" w:rsidRDefault="00721729" w:rsidP="00721729">
      <w:pPr>
        <w:rPr>
          <w:rFonts w:cs="Arial"/>
          <w:color w:val="000000" w:themeColor="text1"/>
        </w:rPr>
      </w:pPr>
      <w:r w:rsidRPr="004335DC">
        <w:rPr>
          <w:rFonts w:cs="Arial"/>
          <w:color w:val="000000" w:themeColor="text1"/>
        </w:rPr>
        <w:t xml:space="preserve">Two regulatory options were considered: </w:t>
      </w:r>
    </w:p>
    <w:p w14:paraId="5CA23C20" w14:textId="77777777" w:rsidR="00721729" w:rsidRDefault="00721729" w:rsidP="00721729">
      <w:pPr>
        <w:rPr>
          <w:rFonts w:cs="Arial"/>
          <w:color w:val="000000" w:themeColor="text1"/>
        </w:rPr>
      </w:pPr>
    </w:p>
    <w:p w14:paraId="4ABF17CF" w14:textId="31FA1121" w:rsidR="00721729" w:rsidRDefault="00721729" w:rsidP="00721729">
      <w:pPr>
        <w:ind w:left="567" w:hanging="567"/>
        <w:rPr>
          <w:rFonts w:cs="Arial"/>
          <w:color w:val="000000" w:themeColor="text1"/>
        </w:rPr>
      </w:pPr>
      <w:r w:rsidRPr="004335DC">
        <w:rPr>
          <w:rFonts w:cs="Arial"/>
          <w:color w:val="000000" w:themeColor="text1"/>
        </w:rPr>
        <w:t xml:space="preserve">(1) </w:t>
      </w:r>
      <w:r w:rsidRPr="004335DC">
        <w:rPr>
          <w:rFonts w:cs="Arial"/>
          <w:color w:val="000000" w:themeColor="text1"/>
        </w:rPr>
        <w:tab/>
      </w:r>
      <w:proofErr w:type="gramStart"/>
      <w:r w:rsidRPr="004335DC">
        <w:rPr>
          <w:rFonts w:cs="Arial"/>
          <w:color w:val="000000" w:themeColor="text1"/>
        </w:rPr>
        <w:t>prepare</w:t>
      </w:r>
      <w:proofErr w:type="gramEnd"/>
      <w:r w:rsidRPr="004335DC">
        <w:rPr>
          <w:rFonts w:cs="Arial"/>
          <w:color w:val="000000" w:themeColor="text1"/>
        </w:rPr>
        <w:t xml:space="preserve"> a draft variation </w:t>
      </w:r>
      <w:r w:rsidR="00AF18CC">
        <w:rPr>
          <w:rFonts w:cs="Arial"/>
          <w:color w:val="000000" w:themeColor="text1"/>
        </w:rPr>
        <w:t>amending</w:t>
      </w:r>
      <w:r w:rsidR="00AF18CC" w:rsidRPr="004335DC">
        <w:rPr>
          <w:rFonts w:cs="Arial"/>
          <w:color w:val="000000" w:themeColor="text1"/>
        </w:rPr>
        <w:t xml:space="preserve"> </w:t>
      </w:r>
      <w:r w:rsidR="00B7443F">
        <w:rPr>
          <w:rFonts w:cs="Arial"/>
          <w:color w:val="000000" w:themeColor="text1"/>
        </w:rPr>
        <w:t xml:space="preserve">Schedule 18 </w:t>
      </w:r>
      <w:r w:rsidRPr="004335DC">
        <w:rPr>
          <w:rFonts w:cs="Arial"/>
          <w:color w:val="000000" w:themeColor="text1"/>
        </w:rPr>
        <w:t xml:space="preserve">to permit the use </w:t>
      </w:r>
      <w:r>
        <w:rPr>
          <w:rFonts w:cs="Arial"/>
          <w:color w:val="000000" w:themeColor="text1"/>
        </w:rPr>
        <w:t xml:space="preserve">of </w:t>
      </w:r>
      <w:r w:rsidR="00B7443F">
        <w:rPr>
          <w:rFonts w:cs="Arial"/>
          <w:color w:val="000000" w:themeColor="text1"/>
        </w:rPr>
        <w:t xml:space="preserve">the </w:t>
      </w:r>
      <w:r w:rsidR="00206FEE">
        <w:rPr>
          <w:rFonts w:cs="Arial"/>
          <w:color w:val="000000" w:themeColor="text1"/>
        </w:rPr>
        <w:t xml:space="preserve">agarose ion exchange resin for the production of </w:t>
      </w:r>
      <w:proofErr w:type="spellStart"/>
      <w:r w:rsidR="00206FEE">
        <w:rPr>
          <w:rFonts w:cs="Arial"/>
          <w:color w:val="000000" w:themeColor="text1"/>
        </w:rPr>
        <w:t>lactoferrin</w:t>
      </w:r>
      <w:proofErr w:type="spellEnd"/>
      <w:r w:rsidR="00B7443F">
        <w:rPr>
          <w:rFonts w:cs="Arial"/>
          <w:i/>
          <w:color w:val="000000" w:themeColor="text1"/>
        </w:rPr>
        <w:t xml:space="preserve"> </w:t>
      </w:r>
      <w:r w:rsidRPr="004335DC">
        <w:rPr>
          <w:rFonts w:cs="Arial"/>
          <w:color w:val="000000" w:themeColor="text1"/>
        </w:rPr>
        <w:t>as a processing aid</w:t>
      </w:r>
      <w:r w:rsidR="00206FEE">
        <w:rPr>
          <w:rFonts w:cs="Arial"/>
          <w:color w:val="000000" w:themeColor="text1"/>
        </w:rPr>
        <w:t xml:space="preserve">, </w:t>
      </w:r>
      <w:r w:rsidR="00EE0BD8">
        <w:rPr>
          <w:rFonts w:cs="Arial"/>
          <w:color w:val="000000" w:themeColor="text1"/>
        </w:rPr>
        <w:t xml:space="preserve">and </w:t>
      </w:r>
      <w:r w:rsidR="00AF18CC">
        <w:rPr>
          <w:rFonts w:cs="Arial"/>
          <w:color w:val="000000" w:themeColor="text1"/>
        </w:rPr>
        <w:t>amending</w:t>
      </w:r>
      <w:r w:rsidR="00206FEE">
        <w:rPr>
          <w:rFonts w:cs="Arial"/>
          <w:color w:val="000000" w:themeColor="text1"/>
        </w:rPr>
        <w:t xml:space="preserve"> Schedule 3</w:t>
      </w:r>
      <w:r w:rsidR="00EE0BD8">
        <w:rPr>
          <w:rFonts w:cs="Arial"/>
          <w:color w:val="000000" w:themeColor="text1"/>
        </w:rPr>
        <w:t xml:space="preserve"> to include a new specification for the resin.</w:t>
      </w:r>
    </w:p>
    <w:p w14:paraId="164E8797" w14:textId="77777777" w:rsidR="00B7443F" w:rsidRPr="004335DC" w:rsidRDefault="00B7443F" w:rsidP="00721729">
      <w:pPr>
        <w:ind w:left="567" w:hanging="567"/>
        <w:rPr>
          <w:rFonts w:cs="Arial"/>
          <w:color w:val="000000" w:themeColor="text1"/>
        </w:rPr>
      </w:pPr>
    </w:p>
    <w:p w14:paraId="20014F9F" w14:textId="77777777" w:rsidR="00721729" w:rsidRPr="004335DC" w:rsidRDefault="00721729" w:rsidP="00721729">
      <w:pPr>
        <w:ind w:left="567" w:hanging="567"/>
        <w:rPr>
          <w:rFonts w:cs="Arial"/>
          <w:color w:val="000000" w:themeColor="text1"/>
        </w:rPr>
      </w:pPr>
      <w:r w:rsidRPr="004335DC">
        <w:rPr>
          <w:rFonts w:cs="Arial"/>
          <w:color w:val="000000" w:themeColor="text1"/>
        </w:rPr>
        <w:t xml:space="preserve">(2) </w:t>
      </w:r>
      <w:r w:rsidRPr="004335DC">
        <w:rPr>
          <w:rFonts w:cs="Arial"/>
          <w:color w:val="000000" w:themeColor="text1"/>
        </w:rPr>
        <w:tab/>
      </w:r>
      <w:proofErr w:type="gramStart"/>
      <w:r w:rsidRPr="004335DC">
        <w:rPr>
          <w:rFonts w:cs="Arial"/>
          <w:color w:val="000000" w:themeColor="text1"/>
        </w:rPr>
        <w:t>reject</w:t>
      </w:r>
      <w:proofErr w:type="gramEnd"/>
      <w:r>
        <w:rPr>
          <w:rFonts w:cs="Arial"/>
          <w:color w:val="000000" w:themeColor="text1"/>
        </w:rPr>
        <w:t xml:space="preserve"> the Application.</w:t>
      </w:r>
    </w:p>
    <w:p w14:paraId="6D583E0E" w14:textId="77777777" w:rsidR="00721729" w:rsidRPr="004335DC" w:rsidRDefault="00721729" w:rsidP="00721729"/>
    <w:p w14:paraId="6D51A13C" w14:textId="193F27F8" w:rsidR="00721729" w:rsidRPr="004335DC" w:rsidRDefault="00721729" w:rsidP="00721729">
      <w:pPr>
        <w:rPr>
          <w:bCs/>
        </w:rPr>
      </w:pPr>
      <w:r w:rsidRPr="004335DC">
        <w:rPr>
          <w:bCs/>
        </w:rPr>
        <w:t xml:space="preserve">The Office of Best Practice Regulation, in a letter dated 24 November 2010 (reference 12065), provided a standing exemption from the need to assess if a Regulation Impact Statement is required for </w:t>
      </w:r>
      <w:r>
        <w:rPr>
          <w:bCs/>
        </w:rPr>
        <w:t>Application</w:t>
      </w:r>
      <w:r w:rsidRPr="004335DC">
        <w:rPr>
          <w:bCs/>
        </w:rPr>
        <w:t>s relating to processing aids</w:t>
      </w:r>
      <w:r>
        <w:rPr>
          <w:bCs/>
        </w:rPr>
        <w:t>,</w:t>
      </w:r>
      <w:r w:rsidRPr="004335DC">
        <w:rPr>
          <w:bCs/>
        </w:rPr>
        <w:t xml:space="preserve"> as they are machinery in nature and their use is voluntary. However, FSANZ </w:t>
      </w:r>
      <w:r w:rsidR="00206FEE">
        <w:rPr>
          <w:bCs/>
        </w:rPr>
        <w:t xml:space="preserve">undertook </w:t>
      </w:r>
      <w:r w:rsidRPr="004335DC">
        <w:rPr>
          <w:bCs/>
        </w:rPr>
        <w:t>a limited impact analysis.</w:t>
      </w:r>
    </w:p>
    <w:p w14:paraId="6FA36844" w14:textId="77777777" w:rsidR="00721729" w:rsidRPr="004335DC" w:rsidRDefault="00721729" w:rsidP="00721729">
      <w:pPr>
        <w:rPr>
          <w:bCs/>
        </w:rPr>
      </w:pPr>
    </w:p>
    <w:p w14:paraId="6AE3E113" w14:textId="1EC645DC" w:rsidR="00721729" w:rsidRPr="004335DC" w:rsidRDefault="00721729" w:rsidP="00721729">
      <w:pPr>
        <w:rPr>
          <w:szCs w:val="22"/>
        </w:rPr>
      </w:pPr>
      <w:r w:rsidRPr="004335DC">
        <w:t xml:space="preserve">A consideration of the costs and benefits of the regulatory options </w:t>
      </w:r>
      <w:r w:rsidR="00206FEE">
        <w:rPr>
          <w:szCs w:val="22"/>
        </w:rPr>
        <w:t>was</w:t>
      </w:r>
      <w:r w:rsidRPr="004335DC">
        <w:rPr>
          <w:szCs w:val="22"/>
        </w:rPr>
        <w:t xml:space="preserve"> not intended to be an exhaustive, quantitative economic analysis of the options and, in fact, most of the effects that </w:t>
      </w:r>
      <w:r w:rsidR="00206FEE">
        <w:rPr>
          <w:szCs w:val="22"/>
        </w:rPr>
        <w:t>were</w:t>
      </w:r>
      <w:r w:rsidRPr="004335DC">
        <w:rPr>
          <w:szCs w:val="22"/>
        </w:rPr>
        <w:t xml:space="preserve"> considered can</w:t>
      </w:r>
      <w:r>
        <w:rPr>
          <w:szCs w:val="22"/>
        </w:rPr>
        <w:t>not be assigned a dollar value.</w:t>
      </w:r>
    </w:p>
    <w:p w14:paraId="433E9727" w14:textId="77777777" w:rsidR="00721729" w:rsidRPr="004335DC" w:rsidRDefault="00721729" w:rsidP="00721729">
      <w:pPr>
        <w:rPr>
          <w:szCs w:val="22"/>
        </w:rPr>
      </w:pPr>
    </w:p>
    <w:p w14:paraId="533999BE" w14:textId="7D3F3AA8" w:rsidR="00721729" w:rsidRDefault="00721729" w:rsidP="00721729">
      <w:pPr>
        <w:rPr>
          <w:szCs w:val="22"/>
        </w:rPr>
      </w:pPr>
      <w:r w:rsidRPr="004335DC">
        <w:rPr>
          <w:szCs w:val="22"/>
        </w:rPr>
        <w:t xml:space="preserve">Rather, the assessment </w:t>
      </w:r>
      <w:r w:rsidR="00206FEE">
        <w:rPr>
          <w:szCs w:val="22"/>
        </w:rPr>
        <w:t>sought</w:t>
      </w:r>
      <w:r w:rsidRPr="004335DC">
        <w:rPr>
          <w:szCs w:val="22"/>
        </w:rPr>
        <w:t xml:space="preserve"> to highlight the qualitative effects of criteria that are relevant to each option. These criteria are deliberately limited to those involving broad areas such as trade, consumer information and compliance.</w:t>
      </w:r>
    </w:p>
    <w:p w14:paraId="63CC0169" w14:textId="41FA3BD3" w:rsidR="00721729" w:rsidRPr="001B32D0" w:rsidRDefault="00721729" w:rsidP="003C5407">
      <w:pPr>
        <w:spacing w:before="240" w:after="240"/>
        <w:ind w:left="1134" w:hanging="1134"/>
        <w:outlineLvl w:val="3"/>
        <w:rPr>
          <w:b/>
          <w:bCs/>
          <w:iCs/>
          <w:szCs w:val="22"/>
          <w:lang w:bidi="ar-SA"/>
        </w:rPr>
      </w:pPr>
      <w:r w:rsidRPr="001B32D0">
        <w:rPr>
          <w:b/>
          <w:bCs/>
          <w:iCs/>
          <w:szCs w:val="22"/>
          <w:lang w:bidi="ar-SA"/>
        </w:rPr>
        <w:t xml:space="preserve">Option 1 – Prepare a draft variation to </w:t>
      </w:r>
      <w:r w:rsidR="00B7443F">
        <w:rPr>
          <w:b/>
          <w:bCs/>
          <w:iCs/>
          <w:szCs w:val="22"/>
          <w:lang w:bidi="ar-SA"/>
        </w:rPr>
        <w:t xml:space="preserve">Schedule 18 </w:t>
      </w:r>
      <w:r w:rsidR="00206FEE">
        <w:rPr>
          <w:b/>
          <w:bCs/>
          <w:iCs/>
          <w:szCs w:val="22"/>
          <w:lang w:bidi="ar-SA"/>
        </w:rPr>
        <w:t xml:space="preserve">and Schedule 3 </w:t>
      </w:r>
      <w:r w:rsidR="00B7443F">
        <w:rPr>
          <w:b/>
          <w:bCs/>
          <w:iCs/>
          <w:szCs w:val="22"/>
          <w:lang w:bidi="ar-SA"/>
        </w:rPr>
        <w:t>of the revised Code</w:t>
      </w:r>
    </w:p>
    <w:tbl>
      <w:tblPr>
        <w:tblStyle w:val="TableGrid1"/>
        <w:tblW w:w="9072" w:type="dxa"/>
        <w:tblLook w:val="04A0" w:firstRow="1" w:lastRow="0" w:firstColumn="1" w:lastColumn="0" w:noHBand="0" w:noVBand="1"/>
      </w:tblPr>
      <w:tblGrid>
        <w:gridCol w:w="1537"/>
        <w:gridCol w:w="7535"/>
      </w:tblGrid>
      <w:tr w:rsidR="00721729" w:rsidRPr="00690683" w14:paraId="721B400F" w14:textId="77777777" w:rsidTr="003C5407">
        <w:trPr>
          <w:tblHeader/>
        </w:trPr>
        <w:tc>
          <w:tcPr>
            <w:tcW w:w="0" w:type="auto"/>
            <w:shd w:val="clear" w:color="auto" w:fill="C2D69B" w:themeFill="accent3" w:themeFillTint="99"/>
          </w:tcPr>
          <w:p w14:paraId="245F0EDC" w14:textId="77777777" w:rsidR="00721729" w:rsidRPr="00690683" w:rsidRDefault="00721729" w:rsidP="00721729">
            <w:pPr>
              <w:keepNext/>
              <w:keepLines/>
              <w:spacing w:before="120" w:after="120"/>
              <w:rPr>
                <w:rFonts w:cs="Arial"/>
                <w:b/>
                <w:szCs w:val="20"/>
              </w:rPr>
            </w:pPr>
            <w:r w:rsidRPr="00690683">
              <w:rPr>
                <w:rFonts w:cs="Arial"/>
                <w:b/>
                <w:szCs w:val="20"/>
              </w:rPr>
              <w:t>Sector</w:t>
            </w:r>
          </w:p>
        </w:tc>
        <w:tc>
          <w:tcPr>
            <w:tcW w:w="0" w:type="auto"/>
            <w:shd w:val="clear" w:color="auto" w:fill="C2D69B" w:themeFill="accent3" w:themeFillTint="99"/>
          </w:tcPr>
          <w:p w14:paraId="6DC9CF1B" w14:textId="77777777" w:rsidR="00721729" w:rsidRPr="00690683" w:rsidRDefault="00721729" w:rsidP="00721729">
            <w:pPr>
              <w:keepNext/>
              <w:keepLines/>
              <w:spacing w:before="120" w:after="120"/>
              <w:rPr>
                <w:rFonts w:cs="Arial"/>
                <w:b/>
                <w:szCs w:val="20"/>
              </w:rPr>
            </w:pPr>
            <w:r w:rsidRPr="00690683">
              <w:rPr>
                <w:rFonts w:cs="Arial"/>
                <w:b/>
                <w:szCs w:val="20"/>
              </w:rPr>
              <w:t>Costs or benefits to sector</w:t>
            </w:r>
          </w:p>
        </w:tc>
      </w:tr>
      <w:tr w:rsidR="00721729" w:rsidRPr="004335DC" w14:paraId="09DE7B43" w14:textId="77777777" w:rsidTr="00366E90">
        <w:tc>
          <w:tcPr>
            <w:tcW w:w="0" w:type="auto"/>
          </w:tcPr>
          <w:p w14:paraId="1A756607" w14:textId="77777777" w:rsidR="00721729" w:rsidRPr="00316B7F" w:rsidRDefault="00721729" w:rsidP="003C5407">
            <w:pPr>
              <w:spacing w:before="120" w:after="120"/>
              <w:rPr>
                <w:rFonts w:cs="Arial"/>
                <w:szCs w:val="20"/>
              </w:rPr>
            </w:pPr>
            <w:r w:rsidRPr="00316B7F">
              <w:rPr>
                <w:rFonts w:cs="Arial"/>
                <w:szCs w:val="20"/>
              </w:rPr>
              <w:t>Consumers</w:t>
            </w:r>
          </w:p>
        </w:tc>
        <w:tc>
          <w:tcPr>
            <w:tcW w:w="0" w:type="auto"/>
          </w:tcPr>
          <w:p w14:paraId="5D9B508D" w14:textId="10C70A75" w:rsidR="00D45D23" w:rsidRDefault="00EE0BD8" w:rsidP="00D45D23">
            <w:pPr>
              <w:keepNext/>
              <w:keepLines/>
              <w:spacing w:before="120" w:after="120"/>
              <w:rPr>
                <w:rFonts w:cs="Arial"/>
                <w:szCs w:val="20"/>
              </w:rPr>
            </w:pPr>
            <w:r>
              <w:rPr>
                <w:rFonts w:cs="Arial"/>
                <w:szCs w:val="20"/>
              </w:rPr>
              <w:t xml:space="preserve">The Applicant claims that this processing aid is the only </w:t>
            </w:r>
            <w:r w:rsidR="005D7383">
              <w:rPr>
                <w:rFonts w:cs="Arial"/>
                <w:szCs w:val="20"/>
              </w:rPr>
              <w:t xml:space="preserve">viable commercial method currently available for </w:t>
            </w:r>
            <w:proofErr w:type="spellStart"/>
            <w:r w:rsidR="005D7383">
              <w:rPr>
                <w:rFonts w:cs="Arial"/>
                <w:szCs w:val="20"/>
              </w:rPr>
              <w:t>lactoferrin</w:t>
            </w:r>
            <w:proofErr w:type="spellEnd"/>
            <w:r w:rsidR="005D7383">
              <w:rPr>
                <w:rFonts w:cs="Arial"/>
                <w:szCs w:val="20"/>
              </w:rPr>
              <w:t xml:space="preserve"> production</w:t>
            </w:r>
            <w:r>
              <w:rPr>
                <w:rFonts w:cs="Arial"/>
                <w:szCs w:val="20"/>
              </w:rPr>
              <w:t xml:space="preserve">. Therefore, </w:t>
            </w:r>
            <w:r w:rsidR="00334A2D">
              <w:rPr>
                <w:rFonts w:cs="Arial"/>
                <w:szCs w:val="20"/>
              </w:rPr>
              <w:t xml:space="preserve">the </w:t>
            </w:r>
            <w:r>
              <w:rPr>
                <w:rFonts w:cs="Arial"/>
                <w:szCs w:val="20"/>
              </w:rPr>
              <w:t>approval of this processing aid</w:t>
            </w:r>
            <w:r w:rsidR="005D7383">
              <w:rPr>
                <w:rFonts w:cs="Arial"/>
                <w:szCs w:val="20"/>
              </w:rPr>
              <w:t xml:space="preserve"> </w:t>
            </w:r>
            <w:r w:rsidR="00A84AF8">
              <w:rPr>
                <w:rFonts w:cs="Arial"/>
                <w:szCs w:val="20"/>
              </w:rPr>
              <w:t>could potentially</w:t>
            </w:r>
            <w:r w:rsidR="005D7383">
              <w:rPr>
                <w:rFonts w:cs="Arial"/>
                <w:szCs w:val="20"/>
              </w:rPr>
              <w:t xml:space="preserve"> benefit </w:t>
            </w:r>
            <w:r w:rsidR="00334A2D">
              <w:rPr>
                <w:rFonts w:cs="Arial"/>
                <w:szCs w:val="20"/>
              </w:rPr>
              <w:t xml:space="preserve">consumers by providing for </w:t>
            </w:r>
            <w:r w:rsidR="005D7383">
              <w:rPr>
                <w:rFonts w:cs="Arial"/>
                <w:szCs w:val="20"/>
              </w:rPr>
              <w:t xml:space="preserve">the greater availability of </w:t>
            </w:r>
            <w:r w:rsidR="0033260C">
              <w:rPr>
                <w:rFonts w:cs="Arial"/>
                <w:szCs w:val="20"/>
              </w:rPr>
              <w:t xml:space="preserve">this high value bioactive ingredient </w:t>
            </w:r>
            <w:r w:rsidR="005D7383">
              <w:rPr>
                <w:rFonts w:cs="Arial"/>
                <w:szCs w:val="20"/>
              </w:rPr>
              <w:t>in food products</w:t>
            </w:r>
            <w:r w:rsidR="00423B46">
              <w:rPr>
                <w:rFonts w:cs="Arial"/>
                <w:szCs w:val="20"/>
              </w:rPr>
              <w:t>, in particular, dairy-based special purpose type foods</w:t>
            </w:r>
            <w:r w:rsidR="005D7383">
              <w:rPr>
                <w:rFonts w:cs="Arial"/>
                <w:szCs w:val="20"/>
              </w:rPr>
              <w:t>.</w:t>
            </w:r>
          </w:p>
          <w:p w14:paraId="24D7E7A5" w14:textId="54EFB606" w:rsidR="00721729" w:rsidRPr="00316B7F" w:rsidRDefault="0033260C" w:rsidP="00454E26">
            <w:pPr>
              <w:keepNext/>
              <w:keepLines/>
              <w:spacing w:before="120" w:after="120"/>
              <w:rPr>
                <w:rFonts w:cs="Arial"/>
                <w:szCs w:val="20"/>
              </w:rPr>
            </w:pPr>
            <w:r>
              <w:rPr>
                <w:rFonts w:cs="Arial"/>
                <w:szCs w:val="20"/>
              </w:rPr>
              <w:t xml:space="preserve">The </w:t>
            </w:r>
            <w:r w:rsidR="005D7383">
              <w:rPr>
                <w:rFonts w:cs="Arial"/>
                <w:szCs w:val="20"/>
              </w:rPr>
              <w:t xml:space="preserve">types of foods that would include </w:t>
            </w:r>
            <w:proofErr w:type="spellStart"/>
            <w:r w:rsidR="005D7383">
              <w:rPr>
                <w:rFonts w:cs="Arial"/>
                <w:szCs w:val="20"/>
              </w:rPr>
              <w:t>lactoferrin</w:t>
            </w:r>
            <w:proofErr w:type="spellEnd"/>
            <w:r w:rsidR="005D7383">
              <w:rPr>
                <w:rFonts w:cs="Arial"/>
                <w:szCs w:val="20"/>
              </w:rPr>
              <w:t xml:space="preserve"> as </w:t>
            </w:r>
            <w:r>
              <w:rPr>
                <w:rFonts w:cs="Arial"/>
                <w:szCs w:val="20"/>
              </w:rPr>
              <w:t xml:space="preserve">a premium </w:t>
            </w:r>
            <w:r w:rsidR="005D7383">
              <w:rPr>
                <w:rFonts w:cs="Arial"/>
                <w:szCs w:val="20"/>
              </w:rPr>
              <w:t xml:space="preserve">ingredient would </w:t>
            </w:r>
            <w:r>
              <w:rPr>
                <w:rFonts w:cs="Arial"/>
                <w:szCs w:val="20"/>
              </w:rPr>
              <w:t xml:space="preserve">not </w:t>
            </w:r>
            <w:r w:rsidR="005D7383">
              <w:rPr>
                <w:rFonts w:cs="Arial"/>
                <w:szCs w:val="20"/>
              </w:rPr>
              <w:t xml:space="preserve">replace </w:t>
            </w:r>
            <w:r>
              <w:rPr>
                <w:rFonts w:cs="Arial"/>
                <w:szCs w:val="20"/>
              </w:rPr>
              <w:t>existing basic food products</w:t>
            </w:r>
            <w:r w:rsidR="00441D3B">
              <w:rPr>
                <w:rFonts w:cs="Arial"/>
                <w:szCs w:val="20"/>
              </w:rPr>
              <w:t xml:space="preserve"> and limit consumer choice</w:t>
            </w:r>
            <w:r w:rsidR="00D45D23">
              <w:rPr>
                <w:rFonts w:cs="Arial"/>
                <w:szCs w:val="20"/>
              </w:rPr>
              <w:t xml:space="preserve">. </w:t>
            </w:r>
            <w:r w:rsidR="00423B46">
              <w:rPr>
                <w:rFonts w:cs="Arial"/>
                <w:szCs w:val="20"/>
              </w:rPr>
              <w:t xml:space="preserve">Rather, consumer choice could be expected to be enhanced through a range of dairy-based special purpose type foods containing this premium ingredient entering the market. </w:t>
            </w:r>
          </w:p>
        </w:tc>
      </w:tr>
      <w:tr w:rsidR="00721729" w:rsidRPr="004335DC" w14:paraId="76726C4B" w14:textId="77777777" w:rsidTr="00366E90">
        <w:trPr>
          <w:trHeight w:val="886"/>
        </w:trPr>
        <w:tc>
          <w:tcPr>
            <w:tcW w:w="0" w:type="auto"/>
          </w:tcPr>
          <w:p w14:paraId="372B7668" w14:textId="53D6A104" w:rsidR="00721729" w:rsidRPr="00316B7F" w:rsidRDefault="00721729" w:rsidP="003C5407">
            <w:pPr>
              <w:spacing w:before="120" w:after="120"/>
              <w:rPr>
                <w:rFonts w:cs="Arial"/>
                <w:szCs w:val="20"/>
              </w:rPr>
            </w:pPr>
            <w:r w:rsidRPr="00316B7F">
              <w:rPr>
                <w:rFonts w:cs="Arial"/>
                <w:szCs w:val="20"/>
              </w:rPr>
              <w:t>Industry</w:t>
            </w:r>
          </w:p>
        </w:tc>
        <w:tc>
          <w:tcPr>
            <w:tcW w:w="0" w:type="auto"/>
          </w:tcPr>
          <w:p w14:paraId="5E6514DF" w14:textId="77777777" w:rsidR="00721729" w:rsidRDefault="00072F23" w:rsidP="00072F23">
            <w:pPr>
              <w:keepNext/>
              <w:keepLines/>
              <w:spacing w:before="120" w:after="120"/>
              <w:rPr>
                <w:rFonts w:cs="Arial"/>
                <w:szCs w:val="20"/>
              </w:rPr>
            </w:pPr>
            <w:r>
              <w:rPr>
                <w:rFonts w:cs="Arial"/>
                <w:szCs w:val="20"/>
              </w:rPr>
              <w:t xml:space="preserve">Approval of this processing aid would provide the dairy industry with the opportunity to recover </w:t>
            </w:r>
            <w:proofErr w:type="spellStart"/>
            <w:r>
              <w:rPr>
                <w:rFonts w:cs="Arial"/>
                <w:szCs w:val="20"/>
              </w:rPr>
              <w:t>lactoferrin</w:t>
            </w:r>
            <w:proofErr w:type="spellEnd"/>
            <w:r>
              <w:rPr>
                <w:rFonts w:cs="Arial"/>
                <w:szCs w:val="20"/>
              </w:rPr>
              <w:t xml:space="preserve"> from low value dairy streams for supply to and use in domestic and international markets. The cost to the industry to use the processing aid (noting that use is entirely voluntary) would be offset by the value of </w:t>
            </w:r>
            <w:proofErr w:type="spellStart"/>
            <w:r>
              <w:rPr>
                <w:rFonts w:cs="Arial"/>
                <w:szCs w:val="20"/>
              </w:rPr>
              <w:t>lactoferrin</w:t>
            </w:r>
            <w:proofErr w:type="spellEnd"/>
            <w:r>
              <w:rPr>
                <w:rFonts w:cs="Arial"/>
                <w:szCs w:val="20"/>
              </w:rPr>
              <w:t xml:space="preserve"> as a premium ingredient</w:t>
            </w:r>
            <w:r w:rsidR="00272D82">
              <w:rPr>
                <w:rFonts w:cs="Arial"/>
                <w:szCs w:val="20"/>
              </w:rPr>
              <w:t>.</w:t>
            </w:r>
          </w:p>
          <w:p w14:paraId="0EA8A298" w14:textId="385C5630" w:rsidR="007E621C" w:rsidRPr="00F629DB" w:rsidRDefault="007E621C" w:rsidP="007E621C">
            <w:pPr>
              <w:keepNext/>
              <w:keepLines/>
              <w:spacing w:before="120" w:after="120"/>
              <w:rPr>
                <w:rFonts w:cs="Arial"/>
                <w:szCs w:val="20"/>
              </w:rPr>
            </w:pPr>
            <w:r>
              <w:rPr>
                <w:rFonts w:cs="Arial"/>
                <w:szCs w:val="20"/>
              </w:rPr>
              <w:t>Approval of this processing aid would also provide the dairy industry in Australia and New Zealand with the opportunity for innovation in the development of value-added new products and ingredients for both the domestic and export markets</w:t>
            </w:r>
            <w:r w:rsidR="00487772">
              <w:rPr>
                <w:rFonts w:cs="Arial"/>
                <w:szCs w:val="20"/>
              </w:rPr>
              <w:t xml:space="preserve"> and permit importers of food products containing </w:t>
            </w:r>
            <w:proofErr w:type="spellStart"/>
            <w:r w:rsidR="00487772">
              <w:rPr>
                <w:rFonts w:cs="Arial"/>
                <w:szCs w:val="20"/>
              </w:rPr>
              <w:t>lactoferrin</w:t>
            </w:r>
            <w:proofErr w:type="spellEnd"/>
            <w:r w:rsidR="00487772">
              <w:rPr>
                <w:rFonts w:cs="Arial"/>
                <w:szCs w:val="20"/>
              </w:rPr>
              <w:t xml:space="preserve"> to import such products</w:t>
            </w:r>
            <w:r w:rsidR="00454E26">
              <w:rPr>
                <w:rFonts w:cs="Arial"/>
                <w:szCs w:val="20"/>
              </w:rPr>
              <w:t xml:space="preserve"> (subject to regulatory requirements)</w:t>
            </w:r>
            <w:r>
              <w:rPr>
                <w:rFonts w:cs="Arial"/>
                <w:szCs w:val="20"/>
              </w:rPr>
              <w:t>.</w:t>
            </w:r>
          </w:p>
        </w:tc>
      </w:tr>
      <w:tr w:rsidR="00721729" w:rsidRPr="004335DC" w14:paraId="2E3382D2" w14:textId="77777777" w:rsidTr="003C5407">
        <w:trPr>
          <w:cantSplit/>
        </w:trPr>
        <w:tc>
          <w:tcPr>
            <w:tcW w:w="0" w:type="auto"/>
          </w:tcPr>
          <w:p w14:paraId="1EB1799A" w14:textId="3C453380" w:rsidR="00721729" w:rsidRPr="00316B7F" w:rsidRDefault="00721729" w:rsidP="003C5407">
            <w:pPr>
              <w:spacing w:before="120" w:after="120"/>
              <w:rPr>
                <w:rFonts w:cs="Arial"/>
                <w:szCs w:val="20"/>
              </w:rPr>
            </w:pPr>
            <w:r w:rsidRPr="00316B7F">
              <w:rPr>
                <w:rFonts w:cs="Arial"/>
                <w:szCs w:val="20"/>
              </w:rPr>
              <w:lastRenderedPageBreak/>
              <w:t>Governments</w:t>
            </w:r>
          </w:p>
        </w:tc>
        <w:tc>
          <w:tcPr>
            <w:tcW w:w="0" w:type="auto"/>
          </w:tcPr>
          <w:p w14:paraId="1992C245" w14:textId="1FBBFD65" w:rsidR="00721729" w:rsidRPr="00316B7F" w:rsidRDefault="0033260C" w:rsidP="00707D57">
            <w:pPr>
              <w:keepNext/>
              <w:keepLines/>
              <w:spacing w:before="120" w:after="120"/>
              <w:rPr>
                <w:rFonts w:cs="Arial"/>
                <w:szCs w:val="20"/>
              </w:rPr>
            </w:pPr>
            <w:r w:rsidRPr="00316B7F">
              <w:rPr>
                <w:rFonts w:cs="Arial"/>
                <w:szCs w:val="20"/>
              </w:rPr>
              <w:t>There are no costs or benefits to governments associated with this option</w:t>
            </w:r>
            <w:r>
              <w:rPr>
                <w:rFonts w:cs="Arial"/>
                <w:szCs w:val="20"/>
              </w:rPr>
              <w:t xml:space="preserve">. </w:t>
            </w:r>
            <w:r w:rsidR="00072F23">
              <w:rPr>
                <w:rFonts w:cs="Arial"/>
                <w:szCs w:val="20"/>
              </w:rPr>
              <w:t xml:space="preserve">Schedule 18 of the revised Code already permits the use of an agarose </w:t>
            </w:r>
            <w:r>
              <w:rPr>
                <w:rFonts w:cs="Arial"/>
                <w:szCs w:val="20"/>
              </w:rPr>
              <w:t>ion exchange resin</w:t>
            </w:r>
            <w:r w:rsidR="00072F23">
              <w:rPr>
                <w:rFonts w:cs="Arial"/>
                <w:szCs w:val="20"/>
              </w:rPr>
              <w:t xml:space="preserve"> as a processing aid for</w:t>
            </w:r>
            <w:r w:rsidR="00F362C6">
              <w:rPr>
                <w:rFonts w:cs="Arial"/>
                <w:szCs w:val="20"/>
              </w:rPr>
              <w:t xml:space="preserve"> the production of</w:t>
            </w:r>
            <w:r w:rsidR="00072F23">
              <w:rPr>
                <w:rFonts w:cs="Arial"/>
                <w:szCs w:val="20"/>
              </w:rPr>
              <w:t xml:space="preserve"> beer</w:t>
            </w:r>
            <w:r w:rsidR="00F629DB" w:rsidRPr="00F629DB">
              <w:rPr>
                <w:rFonts w:cs="Arial"/>
                <w:szCs w:val="20"/>
              </w:rPr>
              <w:t>.</w:t>
            </w:r>
          </w:p>
        </w:tc>
      </w:tr>
    </w:tbl>
    <w:p w14:paraId="0FE5866E" w14:textId="77777777" w:rsidR="00F362C6" w:rsidRDefault="00F362C6" w:rsidP="00072F23">
      <w:pPr>
        <w:widowControl/>
        <w:rPr>
          <w:b/>
          <w:bCs/>
          <w:iCs/>
          <w:szCs w:val="22"/>
          <w:lang w:bidi="ar-SA"/>
        </w:rPr>
      </w:pPr>
    </w:p>
    <w:p w14:paraId="092E7D25" w14:textId="6D7DEA19" w:rsidR="00721729" w:rsidRDefault="00721729" w:rsidP="00487772">
      <w:pPr>
        <w:keepNext/>
        <w:keepLines/>
        <w:widowControl/>
        <w:rPr>
          <w:b/>
          <w:bCs/>
          <w:iCs/>
          <w:szCs w:val="22"/>
          <w:lang w:bidi="ar-SA"/>
        </w:rPr>
      </w:pPr>
      <w:r w:rsidRPr="001B32D0">
        <w:rPr>
          <w:b/>
          <w:bCs/>
          <w:iCs/>
          <w:szCs w:val="22"/>
          <w:lang w:bidi="ar-SA"/>
        </w:rPr>
        <w:t>Option 2 – Reject the Application</w:t>
      </w:r>
    </w:p>
    <w:p w14:paraId="364E1B66" w14:textId="77777777" w:rsidR="00F362C6" w:rsidRPr="001B32D0" w:rsidRDefault="00F362C6" w:rsidP="00487772">
      <w:pPr>
        <w:keepNext/>
        <w:keepLines/>
        <w:widowControl/>
        <w:rPr>
          <w:b/>
          <w:bCs/>
          <w:iCs/>
          <w:szCs w:val="22"/>
          <w:lang w:bidi="ar-SA"/>
        </w:rPr>
      </w:pPr>
    </w:p>
    <w:tbl>
      <w:tblPr>
        <w:tblStyle w:val="TableGrid1"/>
        <w:tblW w:w="9072" w:type="dxa"/>
        <w:tblLook w:val="04A0" w:firstRow="1" w:lastRow="0" w:firstColumn="1" w:lastColumn="0" w:noHBand="0" w:noVBand="1"/>
      </w:tblPr>
      <w:tblGrid>
        <w:gridCol w:w="1537"/>
        <w:gridCol w:w="7535"/>
      </w:tblGrid>
      <w:tr w:rsidR="00721729" w:rsidRPr="00690683" w14:paraId="592417B1" w14:textId="77777777" w:rsidTr="00366E90">
        <w:trPr>
          <w:tblHeader/>
        </w:trPr>
        <w:tc>
          <w:tcPr>
            <w:tcW w:w="0" w:type="auto"/>
            <w:shd w:val="clear" w:color="auto" w:fill="C2D69B" w:themeFill="accent3" w:themeFillTint="99"/>
          </w:tcPr>
          <w:p w14:paraId="5783B986" w14:textId="77777777" w:rsidR="00721729" w:rsidRPr="00690683" w:rsidRDefault="00721729" w:rsidP="00487772">
            <w:pPr>
              <w:keepNext/>
              <w:keepLines/>
              <w:widowControl/>
              <w:spacing w:before="120" w:after="120"/>
              <w:rPr>
                <w:rFonts w:cs="Arial"/>
                <w:b/>
                <w:szCs w:val="20"/>
              </w:rPr>
            </w:pPr>
            <w:bookmarkStart w:id="65" w:name="_Toc120358590"/>
            <w:bookmarkStart w:id="66" w:name="_Toc294176162"/>
            <w:r w:rsidRPr="00690683">
              <w:rPr>
                <w:rFonts w:cs="Arial"/>
                <w:b/>
                <w:szCs w:val="20"/>
              </w:rPr>
              <w:t>Sector</w:t>
            </w:r>
          </w:p>
        </w:tc>
        <w:tc>
          <w:tcPr>
            <w:tcW w:w="7905" w:type="dxa"/>
            <w:shd w:val="clear" w:color="auto" w:fill="C2D69B" w:themeFill="accent3" w:themeFillTint="99"/>
          </w:tcPr>
          <w:p w14:paraId="737135A6" w14:textId="77777777" w:rsidR="00721729" w:rsidRPr="00690683" w:rsidRDefault="00721729" w:rsidP="00487772">
            <w:pPr>
              <w:keepNext/>
              <w:keepLines/>
              <w:widowControl/>
              <w:spacing w:before="120" w:after="120"/>
              <w:rPr>
                <w:rFonts w:cs="Arial"/>
                <w:b/>
                <w:szCs w:val="20"/>
              </w:rPr>
            </w:pPr>
            <w:r w:rsidRPr="00690683">
              <w:rPr>
                <w:rFonts w:cs="Arial"/>
                <w:b/>
                <w:szCs w:val="20"/>
              </w:rPr>
              <w:t>Costs or benefits to sector</w:t>
            </w:r>
          </w:p>
        </w:tc>
      </w:tr>
      <w:tr w:rsidR="00721729" w:rsidRPr="004335DC" w14:paraId="54286893" w14:textId="77777777" w:rsidTr="00366E90">
        <w:trPr>
          <w:cantSplit/>
        </w:trPr>
        <w:tc>
          <w:tcPr>
            <w:tcW w:w="0" w:type="auto"/>
          </w:tcPr>
          <w:p w14:paraId="58ADBAD7" w14:textId="77777777" w:rsidR="00721729" w:rsidRPr="00316B7F" w:rsidRDefault="00721729" w:rsidP="00487772">
            <w:pPr>
              <w:keepNext/>
              <w:keepLines/>
              <w:widowControl/>
              <w:spacing w:before="120" w:after="120"/>
              <w:rPr>
                <w:rFonts w:cs="Arial"/>
                <w:szCs w:val="20"/>
              </w:rPr>
            </w:pPr>
            <w:r w:rsidRPr="00316B7F">
              <w:rPr>
                <w:rFonts w:cs="Arial"/>
                <w:szCs w:val="20"/>
              </w:rPr>
              <w:t>Consumers</w:t>
            </w:r>
          </w:p>
        </w:tc>
        <w:tc>
          <w:tcPr>
            <w:tcW w:w="7905" w:type="dxa"/>
          </w:tcPr>
          <w:p w14:paraId="1BE5A645" w14:textId="4B23A70A" w:rsidR="00721729" w:rsidRPr="00316B7F" w:rsidRDefault="00721729" w:rsidP="00487772">
            <w:pPr>
              <w:keepNext/>
              <w:keepLines/>
              <w:widowControl/>
              <w:spacing w:before="120" w:after="120"/>
              <w:rPr>
                <w:rFonts w:cs="Arial"/>
                <w:szCs w:val="20"/>
              </w:rPr>
            </w:pPr>
            <w:r w:rsidRPr="00316B7F">
              <w:rPr>
                <w:rFonts w:cs="Arial"/>
                <w:szCs w:val="20"/>
              </w:rPr>
              <w:t>There are no benefits to consumers of this option.</w:t>
            </w:r>
            <w:r w:rsidR="00F362C6">
              <w:rPr>
                <w:rFonts w:cs="Arial"/>
                <w:szCs w:val="20"/>
              </w:rPr>
              <w:t xml:space="preserve"> </w:t>
            </w:r>
            <w:r w:rsidR="00423B46">
              <w:rPr>
                <w:rFonts w:cs="Arial"/>
                <w:szCs w:val="20"/>
              </w:rPr>
              <w:t xml:space="preserve">The range of </w:t>
            </w:r>
            <w:r w:rsidR="00531774">
              <w:rPr>
                <w:rFonts w:cs="Arial"/>
                <w:szCs w:val="20"/>
              </w:rPr>
              <w:t xml:space="preserve">food </w:t>
            </w:r>
            <w:r w:rsidR="00423B46">
              <w:rPr>
                <w:rFonts w:cs="Arial"/>
                <w:szCs w:val="20"/>
              </w:rPr>
              <w:t xml:space="preserve">products containing </w:t>
            </w:r>
            <w:proofErr w:type="spellStart"/>
            <w:r w:rsidR="00AB2648">
              <w:rPr>
                <w:rFonts w:cs="Arial"/>
                <w:szCs w:val="20"/>
              </w:rPr>
              <w:t>lactoferrin</w:t>
            </w:r>
            <w:proofErr w:type="spellEnd"/>
            <w:r w:rsidR="00423B46">
              <w:rPr>
                <w:rFonts w:cs="Arial"/>
                <w:szCs w:val="20"/>
              </w:rPr>
              <w:t xml:space="preserve"> as a premium ingredient </w:t>
            </w:r>
            <w:r w:rsidR="00454E26">
              <w:rPr>
                <w:rFonts w:cs="Arial"/>
                <w:szCs w:val="20"/>
              </w:rPr>
              <w:t>would likely remain limited</w:t>
            </w:r>
            <w:r w:rsidR="00423B46">
              <w:rPr>
                <w:rFonts w:cs="Arial"/>
                <w:szCs w:val="20"/>
              </w:rPr>
              <w:t xml:space="preserve">. </w:t>
            </w:r>
          </w:p>
        </w:tc>
      </w:tr>
      <w:tr w:rsidR="00721729" w:rsidRPr="004335DC" w14:paraId="407F99B5" w14:textId="77777777" w:rsidTr="00366E90">
        <w:tc>
          <w:tcPr>
            <w:tcW w:w="0" w:type="auto"/>
          </w:tcPr>
          <w:p w14:paraId="2D40C27E" w14:textId="77777777" w:rsidR="00721729" w:rsidRPr="00316B7F" w:rsidRDefault="00721729" w:rsidP="00721729">
            <w:pPr>
              <w:spacing w:before="120" w:after="120"/>
              <w:rPr>
                <w:rFonts w:cs="Arial"/>
                <w:szCs w:val="20"/>
              </w:rPr>
            </w:pPr>
            <w:r w:rsidRPr="00316B7F">
              <w:rPr>
                <w:rFonts w:cs="Arial"/>
                <w:szCs w:val="20"/>
              </w:rPr>
              <w:t>Industry</w:t>
            </w:r>
          </w:p>
        </w:tc>
        <w:tc>
          <w:tcPr>
            <w:tcW w:w="7905" w:type="dxa"/>
          </w:tcPr>
          <w:p w14:paraId="2FB5CA1F" w14:textId="77777777" w:rsidR="00521A8C" w:rsidRDefault="00721729" w:rsidP="00AC3694">
            <w:pPr>
              <w:spacing w:before="120" w:after="120"/>
              <w:rPr>
                <w:rFonts w:cs="Arial"/>
                <w:szCs w:val="20"/>
              </w:rPr>
            </w:pPr>
            <w:r w:rsidRPr="00316B7F">
              <w:rPr>
                <w:rFonts w:cs="Arial"/>
                <w:szCs w:val="20"/>
              </w:rPr>
              <w:t xml:space="preserve">There are no benefits to industry from this option. </w:t>
            </w:r>
          </w:p>
          <w:p w14:paraId="5865493E" w14:textId="16C2C90F" w:rsidR="008C175C" w:rsidRDefault="00F362C6" w:rsidP="00F362C6">
            <w:pPr>
              <w:spacing w:before="120" w:after="120"/>
              <w:rPr>
                <w:rFonts w:cs="Arial"/>
                <w:szCs w:val="20"/>
              </w:rPr>
            </w:pPr>
            <w:r>
              <w:rPr>
                <w:rFonts w:cs="Arial"/>
                <w:szCs w:val="20"/>
              </w:rPr>
              <w:t>The Applicant claims that t</w:t>
            </w:r>
            <w:r w:rsidR="00521A8C">
              <w:rPr>
                <w:rFonts w:cs="Arial"/>
                <w:szCs w:val="20"/>
              </w:rPr>
              <w:t xml:space="preserve">he resin </w:t>
            </w:r>
            <w:r w:rsidR="007E63E9">
              <w:rPr>
                <w:rFonts w:cs="Arial"/>
                <w:szCs w:val="20"/>
              </w:rPr>
              <w:t xml:space="preserve">is the only viable commercial method currently available for </w:t>
            </w:r>
            <w:proofErr w:type="spellStart"/>
            <w:r w:rsidR="007E63E9">
              <w:rPr>
                <w:rFonts w:cs="Arial"/>
                <w:szCs w:val="20"/>
              </w:rPr>
              <w:t>lactoferrin</w:t>
            </w:r>
            <w:proofErr w:type="spellEnd"/>
            <w:r w:rsidR="007E63E9">
              <w:rPr>
                <w:rFonts w:cs="Arial"/>
                <w:szCs w:val="20"/>
              </w:rPr>
              <w:t xml:space="preserve"> production. It </w:t>
            </w:r>
            <w:r w:rsidR="00521A8C">
              <w:rPr>
                <w:rFonts w:cs="Arial"/>
                <w:szCs w:val="20"/>
              </w:rPr>
              <w:t xml:space="preserve">has already been permitted for use as a food contact substance by the US FDA, and it meets the requirements for food contact as given in Regulation (EC) No. 1935/2004. </w:t>
            </w:r>
          </w:p>
          <w:p w14:paraId="2872359D" w14:textId="77D2190F" w:rsidR="00721729" w:rsidRPr="00316B7F" w:rsidRDefault="007E63E9" w:rsidP="00F362C6">
            <w:pPr>
              <w:spacing w:before="120" w:after="120"/>
              <w:rPr>
                <w:rFonts w:cs="Arial"/>
                <w:szCs w:val="20"/>
              </w:rPr>
            </w:pPr>
            <w:r>
              <w:rPr>
                <w:rFonts w:cs="Arial"/>
                <w:szCs w:val="20"/>
              </w:rPr>
              <w:t xml:space="preserve">If this application was rejected, a potential cost to </w:t>
            </w:r>
            <w:r w:rsidR="00385B9F">
              <w:rPr>
                <w:rFonts w:cs="Arial"/>
                <w:szCs w:val="20"/>
              </w:rPr>
              <w:t xml:space="preserve">the Australian and New Zealand dairy </w:t>
            </w:r>
            <w:r>
              <w:rPr>
                <w:rFonts w:cs="Arial"/>
                <w:szCs w:val="20"/>
              </w:rPr>
              <w:t xml:space="preserve">industry might relate to their inability to </w:t>
            </w:r>
            <w:r w:rsidR="00521A8C">
              <w:rPr>
                <w:rFonts w:cs="Arial"/>
                <w:szCs w:val="20"/>
              </w:rPr>
              <w:t xml:space="preserve">remain competitive in the </w:t>
            </w:r>
            <w:r>
              <w:rPr>
                <w:rFonts w:cs="Arial"/>
                <w:szCs w:val="20"/>
              </w:rPr>
              <w:t xml:space="preserve">growing domestic and international market for </w:t>
            </w:r>
            <w:proofErr w:type="spellStart"/>
            <w:r>
              <w:rPr>
                <w:rFonts w:cs="Arial"/>
                <w:szCs w:val="20"/>
              </w:rPr>
              <w:t>lactoferrin</w:t>
            </w:r>
            <w:proofErr w:type="spellEnd"/>
            <w:r w:rsidR="00385B9F">
              <w:rPr>
                <w:rFonts w:cs="Arial"/>
                <w:szCs w:val="20"/>
              </w:rPr>
              <w:t xml:space="preserve"> and to be innovative in the development of value-adding new products and ingredients</w:t>
            </w:r>
            <w:r>
              <w:rPr>
                <w:rFonts w:cs="Arial"/>
                <w:szCs w:val="20"/>
              </w:rPr>
              <w:t>.</w:t>
            </w:r>
          </w:p>
        </w:tc>
      </w:tr>
      <w:tr w:rsidR="00721729" w:rsidRPr="004335DC" w14:paraId="53443EDF" w14:textId="77777777" w:rsidTr="00366E90">
        <w:tc>
          <w:tcPr>
            <w:tcW w:w="0" w:type="auto"/>
          </w:tcPr>
          <w:p w14:paraId="7A388E24" w14:textId="15BA948D" w:rsidR="00721729" w:rsidRPr="00316B7F" w:rsidRDefault="00721729" w:rsidP="00721729">
            <w:pPr>
              <w:spacing w:before="120" w:after="120"/>
              <w:rPr>
                <w:rFonts w:cs="Arial"/>
                <w:szCs w:val="20"/>
              </w:rPr>
            </w:pPr>
            <w:r w:rsidRPr="00316B7F">
              <w:rPr>
                <w:rFonts w:cs="Arial"/>
                <w:szCs w:val="20"/>
              </w:rPr>
              <w:t>Governments</w:t>
            </w:r>
          </w:p>
        </w:tc>
        <w:tc>
          <w:tcPr>
            <w:tcW w:w="7905" w:type="dxa"/>
          </w:tcPr>
          <w:p w14:paraId="66B1EFAA" w14:textId="77777777" w:rsidR="00721729" w:rsidRPr="00316B7F" w:rsidRDefault="00721729" w:rsidP="00721729">
            <w:pPr>
              <w:spacing w:before="120" w:after="120"/>
              <w:rPr>
                <w:rFonts w:cs="Arial"/>
                <w:szCs w:val="20"/>
              </w:rPr>
            </w:pPr>
            <w:r w:rsidRPr="00316B7F">
              <w:rPr>
                <w:rFonts w:cs="Arial"/>
                <w:szCs w:val="20"/>
              </w:rPr>
              <w:t>There are no benefits or costs to governments for this option.</w:t>
            </w:r>
          </w:p>
        </w:tc>
      </w:tr>
      <w:bookmarkEnd w:id="65"/>
      <w:bookmarkEnd w:id="66"/>
    </w:tbl>
    <w:p w14:paraId="7C2CE359" w14:textId="77777777" w:rsidR="00721729" w:rsidRPr="004335DC" w:rsidRDefault="00721729" w:rsidP="00721729">
      <w:pPr>
        <w:rPr>
          <w:rFonts w:cs="Arial"/>
          <w:color w:val="000000" w:themeColor="text1"/>
        </w:rPr>
      </w:pPr>
    </w:p>
    <w:p w14:paraId="611AD493" w14:textId="18C07E61" w:rsidR="00721729" w:rsidRDefault="00721729" w:rsidP="00721729">
      <w:r w:rsidRPr="004335DC">
        <w:t xml:space="preserve">The direct and indirect benefits that would arise from a food regulatory measure developed or varied as a result of the </w:t>
      </w:r>
      <w:r>
        <w:t>A</w:t>
      </w:r>
      <w:r w:rsidRPr="004335DC">
        <w:t>pplication outweigh</w:t>
      </w:r>
      <w:r w:rsidR="002F4873">
        <w:t>ed</w:t>
      </w:r>
      <w:r w:rsidRPr="004335DC">
        <w:t xml:space="preserve"> the costs to the community, Government or industry that would arise from the development </w:t>
      </w:r>
      <w:r w:rsidRPr="00914030">
        <w:t>or variation</w:t>
      </w:r>
      <w:r>
        <w:t xml:space="preserve"> of the food regulatory measure.</w:t>
      </w:r>
    </w:p>
    <w:p w14:paraId="6458FD3B" w14:textId="5E633764" w:rsidR="00726C2F" w:rsidRDefault="00726C2F" w:rsidP="00726C2F">
      <w:pPr>
        <w:pStyle w:val="Heading4"/>
      </w:pPr>
      <w:r>
        <w:t>2.</w:t>
      </w:r>
      <w:r w:rsidR="00503629">
        <w:t>4</w:t>
      </w:r>
      <w:r>
        <w:t>.1.2</w:t>
      </w:r>
      <w:r>
        <w:tab/>
        <w:t>Other measures</w:t>
      </w:r>
    </w:p>
    <w:p w14:paraId="44F7AFC7" w14:textId="4DEE19CE"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503629" w:rsidRPr="00503629">
        <w:t>A</w:t>
      </w:r>
      <w:r w:rsidRPr="00503629">
        <w:t>pplication</w:t>
      </w:r>
      <w:r>
        <w:rPr>
          <w:color w:val="FF0000"/>
        </w:rPr>
        <w:t>.</w:t>
      </w:r>
    </w:p>
    <w:p w14:paraId="6D1F3BFC" w14:textId="66D99FB9" w:rsidR="00726C2F" w:rsidRDefault="008B0075" w:rsidP="008B0075">
      <w:pPr>
        <w:pStyle w:val="Heading4"/>
      </w:pPr>
      <w:r>
        <w:t>2.</w:t>
      </w:r>
      <w:r w:rsidR="00503629">
        <w:t>4</w:t>
      </w:r>
      <w:r>
        <w:t>.1.3</w:t>
      </w:r>
      <w:r>
        <w:tab/>
        <w:t>A</w:t>
      </w:r>
      <w:r w:rsidR="00726C2F" w:rsidRPr="00914030">
        <w:t>ny relevant New Zealand standards</w:t>
      </w:r>
    </w:p>
    <w:p w14:paraId="624D1274" w14:textId="25F79784" w:rsidR="008B0075" w:rsidRDefault="00503629" w:rsidP="008B0075">
      <w:pPr>
        <w:rPr>
          <w:lang w:bidi="ar-SA"/>
        </w:rPr>
      </w:pPr>
      <w:r>
        <w:rPr>
          <w:lang w:bidi="ar-SA"/>
        </w:rPr>
        <w:t>Schedule</w:t>
      </w:r>
      <w:r w:rsidR="00C809DC">
        <w:rPr>
          <w:lang w:bidi="ar-SA"/>
        </w:rPr>
        <w:t>s</w:t>
      </w:r>
      <w:r>
        <w:rPr>
          <w:lang w:bidi="ar-SA"/>
        </w:rPr>
        <w:t xml:space="preserve"> 18 </w:t>
      </w:r>
      <w:r w:rsidR="00153CA2">
        <w:rPr>
          <w:lang w:bidi="ar-SA"/>
        </w:rPr>
        <w:t xml:space="preserve">and 3 </w:t>
      </w:r>
      <w:r>
        <w:rPr>
          <w:lang w:bidi="ar-SA"/>
        </w:rPr>
        <w:t>appl</w:t>
      </w:r>
      <w:r w:rsidR="00C809DC">
        <w:rPr>
          <w:lang w:bidi="ar-SA"/>
        </w:rPr>
        <w:t>y</w:t>
      </w:r>
      <w:r>
        <w:rPr>
          <w:lang w:bidi="ar-SA"/>
        </w:rPr>
        <w:t xml:space="preserve"> in New Zealand and t</w:t>
      </w:r>
      <w:r w:rsidR="008B0075">
        <w:rPr>
          <w:lang w:bidi="ar-SA"/>
        </w:rPr>
        <w:t xml:space="preserve">here are no relevant New Zealand </w:t>
      </w:r>
      <w:r>
        <w:rPr>
          <w:lang w:bidi="ar-SA"/>
        </w:rPr>
        <w:t xml:space="preserve">only </w:t>
      </w:r>
      <w:r w:rsidR="008B0075">
        <w:rPr>
          <w:lang w:bidi="ar-SA"/>
        </w:rPr>
        <w:t>Standards.</w:t>
      </w:r>
    </w:p>
    <w:p w14:paraId="41C9D929" w14:textId="308D6C34" w:rsidR="00726C2F" w:rsidRPr="00914030" w:rsidRDefault="00503629" w:rsidP="00BE3818">
      <w:pPr>
        <w:pStyle w:val="Heading4"/>
      </w:pPr>
      <w:r>
        <w:t>2.4</w:t>
      </w:r>
      <w:r w:rsidR="00BE3818">
        <w:t>.1.4</w:t>
      </w:r>
      <w:r w:rsidR="00BE3818">
        <w:tab/>
      </w:r>
      <w:r w:rsidR="0027513D">
        <w:t>A</w:t>
      </w:r>
      <w:r w:rsidR="00BE3818">
        <w:t>ny other relevant matters</w:t>
      </w:r>
    </w:p>
    <w:p w14:paraId="779CDEBF" w14:textId="72AB92CA" w:rsidR="00BE3818" w:rsidRDefault="00503629" w:rsidP="00BE3818">
      <w:pPr>
        <w:rPr>
          <w:lang w:bidi="ar-SA"/>
        </w:rPr>
      </w:pPr>
      <w:r>
        <w:rPr>
          <w:lang w:bidi="ar-SA"/>
        </w:rPr>
        <w:t>See below</w:t>
      </w:r>
      <w:r w:rsidR="00BE3818">
        <w:rPr>
          <w:lang w:bidi="ar-SA"/>
        </w:rPr>
        <w:t>.</w:t>
      </w:r>
    </w:p>
    <w:p w14:paraId="581A31F5" w14:textId="6A23C605" w:rsidR="00022DBC" w:rsidRPr="00914030" w:rsidRDefault="00BE3818" w:rsidP="00022DBC">
      <w:pPr>
        <w:pStyle w:val="Heading3"/>
      </w:pPr>
      <w:bookmarkStart w:id="67" w:name="_Toc442949565"/>
      <w:bookmarkStart w:id="68" w:name="_Toc300761897"/>
      <w:bookmarkStart w:id="69" w:name="_Toc300933440"/>
      <w:r>
        <w:t>2.</w:t>
      </w:r>
      <w:r w:rsidR="00503629">
        <w:t>4</w:t>
      </w:r>
      <w:r>
        <w:t>.2</w:t>
      </w:r>
      <w:r w:rsidR="00022DBC" w:rsidRPr="00914030">
        <w:tab/>
      </w:r>
      <w:r>
        <w:t>Subsection 18(1)</w:t>
      </w:r>
      <w:bookmarkEnd w:id="67"/>
      <w:r>
        <w:t xml:space="preserve"> </w:t>
      </w:r>
      <w:bookmarkEnd w:id="68"/>
      <w:bookmarkEnd w:id="69"/>
    </w:p>
    <w:p w14:paraId="7FFB657B"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DFE0FB4" w14:textId="77777777" w:rsidR="003C5407" w:rsidRDefault="003C5407" w:rsidP="00022DBC">
      <w:pPr>
        <w:pStyle w:val="Heading4"/>
        <w:rPr>
          <w:lang w:eastAsia="en-AU"/>
        </w:rPr>
      </w:pPr>
      <w:bookmarkStart w:id="70" w:name="_Toc297029117"/>
      <w:bookmarkStart w:id="71" w:name="_Toc300761898"/>
      <w:bookmarkStart w:id="72" w:name="_Toc300933441"/>
      <w:r>
        <w:rPr>
          <w:lang w:eastAsia="en-AU"/>
        </w:rPr>
        <w:br w:type="page"/>
      </w:r>
    </w:p>
    <w:p w14:paraId="6A712BF2" w14:textId="5214AB57" w:rsidR="00022DBC" w:rsidRPr="00914030" w:rsidRDefault="00BE3818" w:rsidP="00022DBC">
      <w:pPr>
        <w:pStyle w:val="Heading4"/>
        <w:rPr>
          <w:lang w:eastAsia="en-AU"/>
        </w:rPr>
      </w:pPr>
      <w:r>
        <w:rPr>
          <w:lang w:eastAsia="en-AU"/>
        </w:rPr>
        <w:lastRenderedPageBreak/>
        <w:t>2.</w:t>
      </w:r>
      <w:r w:rsidR="00503629">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0"/>
      <w:bookmarkEnd w:id="71"/>
      <w:bookmarkEnd w:id="72"/>
    </w:p>
    <w:p w14:paraId="566838C2" w14:textId="245F0D21" w:rsidR="00503629" w:rsidRPr="00154A4B" w:rsidRDefault="00503629" w:rsidP="00503629">
      <w:bookmarkStart w:id="73" w:name="_Toc300761899"/>
      <w:bookmarkStart w:id="74" w:name="_Toc300933442"/>
      <w:r>
        <w:t xml:space="preserve">FSANZ has undertaken a safety assessment (SD1) and concluded there are no public health and safety concerns relating to permitting the </w:t>
      </w:r>
      <w:r w:rsidR="006E2C01" w:rsidRPr="006E2C01">
        <w:t>agarose ion exchange resin</w:t>
      </w:r>
      <w:r w:rsidR="0040794F">
        <w:rPr>
          <w:i/>
        </w:rPr>
        <w:t xml:space="preserve"> </w:t>
      </w:r>
      <w:r>
        <w:t>as a processing aid</w:t>
      </w:r>
      <w:r w:rsidR="00065CE7">
        <w:t xml:space="preserve"> </w:t>
      </w:r>
      <w:r w:rsidR="00065CE7">
        <w:rPr>
          <w:rFonts w:cs="Arial"/>
          <w:color w:val="000000" w:themeColor="text1"/>
        </w:rPr>
        <w:t xml:space="preserve">for the production of </w:t>
      </w:r>
      <w:proofErr w:type="spellStart"/>
      <w:r w:rsidR="00065CE7">
        <w:rPr>
          <w:rFonts w:cs="Arial"/>
          <w:color w:val="000000" w:themeColor="text1"/>
        </w:rPr>
        <w:t>lactoferrin</w:t>
      </w:r>
      <w:proofErr w:type="spellEnd"/>
      <w:r>
        <w:t xml:space="preserve">.  </w:t>
      </w:r>
    </w:p>
    <w:p w14:paraId="00D6C581" w14:textId="321733C7" w:rsidR="00022DBC" w:rsidRPr="00914030" w:rsidRDefault="00BE3818" w:rsidP="00022DBC">
      <w:pPr>
        <w:pStyle w:val="Heading4"/>
        <w:rPr>
          <w:lang w:eastAsia="en-AU"/>
        </w:rPr>
      </w:pPr>
      <w:r>
        <w:rPr>
          <w:lang w:eastAsia="en-AU"/>
        </w:rPr>
        <w:t>2.</w:t>
      </w:r>
      <w:r w:rsidR="0050362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3"/>
      <w:bookmarkEnd w:id="74"/>
    </w:p>
    <w:p w14:paraId="0EEF16C6" w14:textId="3B15FAA3" w:rsidR="004210E4" w:rsidRDefault="004210E4" w:rsidP="00022DBC">
      <w:pPr>
        <w:rPr>
          <w:color w:val="00B050"/>
        </w:rPr>
      </w:pPr>
      <w:r w:rsidRPr="00DF3D74">
        <w:t>The labelling requirements for processing aids are discussed in Section 2.2.</w:t>
      </w:r>
      <w:r w:rsidR="00153CA2">
        <w:t>3</w:t>
      </w:r>
      <w:r w:rsidRPr="00DF3D74">
        <w:t xml:space="preserve"> – Labelling</w:t>
      </w:r>
      <w:r>
        <w:t xml:space="preserve"> considerations</w:t>
      </w:r>
      <w:r w:rsidRPr="00DF3D74">
        <w:t>.</w:t>
      </w:r>
      <w:r w:rsidR="006E2C01">
        <w:t xml:space="preserve"> No issues have been identified.</w:t>
      </w:r>
    </w:p>
    <w:p w14:paraId="6B8B1E6E" w14:textId="1A5FFBCB" w:rsidR="00022DBC" w:rsidRPr="00914030" w:rsidRDefault="00BE3818" w:rsidP="004210E4">
      <w:pPr>
        <w:pStyle w:val="Heading4"/>
        <w:rPr>
          <w:lang w:eastAsia="en-AU"/>
        </w:rPr>
      </w:pPr>
      <w:bookmarkStart w:id="75" w:name="_Toc300761900"/>
      <w:bookmarkStart w:id="76" w:name="_Toc300933443"/>
      <w:r>
        <w:rPr>
          <w:lang w:eastAsia="en-AU"/>
        </w:rPr>
        <w:t>2.</w:t>
      </w:r>
      <w:r w:rsidR="004210E4">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5"/>
      <w:bookmarkEnd w:id="76"/>
    </w:p>
    <w:p w14:paraId="3432EC11" w14:textId="77777777" w:rsidR="00E16F1D" w:rsidRPr="00915954" w:rsidRDefault="00E16F1D" w:rsidP="00E16F1D">
      <w:bookmarkStart w:id="77" w:name="_Toc300761901"/>
      <w:bookmarkStart w:id="78" w:name="_Toc300933444"/>
      <w:r w:rsidRPr="00DF3D74">
        <w:t>There are no issues identified with this Application relevant to this objective.</w:t>
      </w:r>
    </w:p>
    <w:p w14:paraId="597B3A7E" w14:textId="5BD31468" w:rsidR="00022DBC" w:rsidRPr="00914030" w:rsidRDefault="00B51E03" w:rsidP="00B51E03">
      <w:pPr>
        <w:pStyle w:val="Heading3"/>
      </w:pPr>
      <w:bookmarkStart w:id="79" w:name="_Toc442949566"/>
      <w:r>
        <w:t>2.</w:t>
      </w:r>
      <w:r w:rsidR="00E16F1D">
        <w:t>4</w:t>
      </w:r>
      <w:r>
        <w:t>.3</w:t>
      </w:r>
      <w:r w:rsidR="00022DBC" w:rsidRPr="00914030">
        <w:tab/>
        <w:t xml:space="preserve">Subsection 18(2) </w:t>
      </w:r>
      <w:bookmarkEnd w:id="77"/>
      <w:bookmarkEnd w:id="78"/>
      <w:r w:rsidR="00022DBC" w:rsidRPr="00914030">
        <w:t>considerations</w:t>
      </w:r>
      <w:bookmarkEnd w:id="79"/>
    </w:p>
    <w:p w14:paraId="677FE1EA" w14:textId="77777777" w:rsidR="00022DBC" w:rsidRPr="00914030" w:rsidRDefault="00022DBC" w:rsidP="00022DBC">
      <w:pPr>
        <w:rPr>
          <w:rFonts w:cs="Arial"/>
        </w:rPr>
      </w:pPr>
      <w:r w:rsidRPr="00914030">
        <w:rPr>
          <w:rFonts w:cs="Arial"/>
        </w:rPr>
        <w:t>FSANZ has also had regard to:</w:t>
      </w:r>
    </w:p>
    <w:p w14:paraId="300ACEA9" w14:textId="77777777" w:rsidR="00022DBC" w:rsidRPr="00914030" w:rsidRDefault="00022DBC" w:rsidP="00022DBC">
      <w:pPr>
        <w:rPr>
          <w:rFonts w:cs="Arial"/>
        </w:rPr>
      </w:pPr>
    </w:p>
    <w:p w14:paraId="29A6FE84"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067ECE9F" w14:textId="77777777" w:rsidR="008828D9" w:rsidRDefault="008828D9" w:rsidP="008828D9">
      <w:pPr>
        <w:rPr>
          <w:lang w:bidi="ar-SA"/>
        </w:rPr>
      </w:pPr>
    </w:p>
    <w:p w14:paraId="2A6F086B" w14:textId="0F8DBA8E" w:rsidR="00E16F1D" w:rsidRPr="00871CF9" w:rsidRDefault="00E16F1D" w:rsidP="00E16F1D">
      <w:r w:rsidRPr="00871CF9">
        <w:t>FSANZ has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4BA36EFF" w14:textId="77777777" w:rsidR="008828D9" w:rsidRPr="008828D9" w:rsidRDefault="008828D9" w:rsidP="008828D9">
      <w:pPr>
        <w:rPr>
          <w:lang w:bidi="ar-SA"/>
        </w:rPr>
      </w:pPr>
    </w:p>
    <w:p w14:paraId="57E6166F" w14:textId="77777777" w:rsidR="00022DBC" w:rsidRPr="008828D9" w:rsidRDefault="00022DBC" w:rsidP="00022DBC">
      <w:pPr>
        <w:pStyle w:val="FSBullet1"/>
        <w:rPr>
          <w:b/>
        </w:rPr>
      </w:pPr>
      <w:r w:rsidRPr="008828D9">
        <w:rPr>
          <w:b/>
        </w:rPr>
        <w:t>the promotion of consistency between domestic and international food standards</w:t>
      </w:r>
    </w:p>
    <w:p w14:paraId="30F78C72" w14:textId="77777777" w:rsidR="008828D9" w:rsidRDefault="008828D9" w:rsidP="008828D9">
      <w:pPr>
        <w:rPr>
          <w:lang w:bidi="ar-SA"/>
        </w:rPr>
      </w:pPr>
    </w:p>
    <w:p w14:paraId="0FC7672D" w14:textId="70A30EBA" w:rsidR="008828D9" w:rsidRDefault="00EF3D8A" w:rsidP="006E2C01">
      <w:r>
        <w:t xml:space="preserve">There are no </w:t>
      </w:r>
      <w:r w:rsidRPr="003246F7">
        <w:t xml:space="preserve">Codex </w:t>
      </w:r>
      <w:proofErr w:type="spellStart"/>
      <w:r w:rsidRPr="003246F7">
        <w:t>Alimentarius</w:t>
      </w:r>
      <w:proofErr w:type="spellEnd"/>
      <w:r w:rsidRPr="003246F7">
        <w:t xml:space="preserve"> Standards for processing aids. </w:t>
      </w:r>
      <w:r>
        <w:t>However</w:t>
      </w:r>
      <w:r w:rsidR="006E2C01">
        <w:t xml:space="preserve"> the agarose ion exchange resin meets the requirements as given in Regulation (EC) No. 1935/2004 on materials and articles intended to come into contact with food. In addition, it has been approved as a food contact substance by the USFDA.</w:t>
      </w:r>
    </w:p>
    <w:p w14:paraId="7A5787AA" w14:textId="77777777" w:rsidR="006E2C01" w:rsidRPr="008828D9" w:rsidRDefault="006E2C01" w:rsidP="006E2C01">
      <w:pPr>
        <w:rPr>
          <w:lang w:bidi="ar-SA"/>
        </w:rPr>
      </w:pPr>
    </w:p>
    <w:p w14:paraId="6FCDDFE5" w14:textId="77777777" w:rsidR="00022DBC" w:rsidRPr="008828D9" w:rsidRDefault="00022DBC" w:rsidP="00022DBC">
      <w:pPr>
        <w:pStyle w:val="FSBullet1"/>
        <w:rPr>
          <w:b/>
        </w:rPr>
      </w:pPr>
      <w:r w:rsidRPr="008828D9">
        <w:rPr>
          <w:b/>
        </w:rPr>
        <w:t>the desirability of an efficient and internationally competitive food industry</w:t>
      </w:r>
    </w:p>
    <w:p w14:paraId="48133706" w14:textId="77777777" w:rsidR="008828D9" w:rsidRDefault="008828D9" w:rsidP="008828D9">
      <w:pPr>
        <w:rPr>
          <w:lang w:bidi="ar-SA"/>
        </w:rPr>
      </w:pPr>
    </w:p>
    <w:p w14:paraId="46043D2B" w14:textId="09301E6F" w:rsidR="00EF3D8A" w:rsidRPr="001F4FE4" w:rsidRDefault="003840D6" w:rsidP="00EF3D8A">
      <w:r>
        <w:t xml:space="preserve">As mentioned above, </w:t>
      </w:r>
      <w:r w:rsidR="00370240" w:rsidRPr="00370240">
        <w:t xml:space="preserve">the </w:t>
      </w:r>
      <w:r w:rsidR="00370240">
        <w:t xml:space="preserve">agarose ion exchange </w:t>
      </w:r>
      <w:r w:rsidR="00370240" w:rsidRPr="00370240">
        <w:t xml:space="preserve">resin is the only viable commercial method currently available </w:t>
      </w:r>
      <w:r w:rsidR="00F63B83">
        <w:t xml:space="preserve">for </w:t>
      </w:r>
      <w:proofErr w:type="spellStart"/>
      <w:r w:rsidR="00F63B83">
        <w:t>lactoferrin</w:t>
      </w:r>
      <w:proofErr w:type="spellEnd"/>
      <w:r w:rsidR="00F63B83">
        <w:t xml:space="preserve"> </w:t>
      </w:r>
      <w:r w:rsidR="00153CA2">
        <w:t xml:space="preserve">production </w:t>
      </w:r>
      <w:r w:rsidR="00370240" w:rsidRPr="00370240">
        <w:t xml:space="preserve">and, as such, has been the method used </w:t>
      </w:r>
      <w:r w:rsidR="00A55221">
        <w:t xml:space="preserve">in other countries </w:t>
      </w:r>
      <w:r w:rsidR="00370240" w:rsidRPr="00370240">
        <w:t xml:space="preserve">since </w:t>
      </w:r>
      <w:proofErr w:type="spellStart"/>
      <w:r w:rsidR="00370240" w:rsidRPr="00370240">
        <w:t>lactoferrin</w:t>
      </w:r>
      <w:proofErr w:type="spellEnd"/>
      <w:r w:rsidR="00370240" w:rsidRPr="00370240">
        <w:t xml:space="preserve"> was first produced commercially in 1986. </w:t>
      </w:r>
      <w:r>
        <w:t xml:space="preserve">The Applicant </w:t>
      </w:r>
      <w:r w:rsidR="00F63B83">
        <w:t>anticipates the approval of its use would be supported by the food industry and that it will benefit all dairy food processing companies.</w:t>
      </w:r>
      <w:r>
        <w:t xml:space="preserve"> However, t</w:t>
      </w:r>
      <w:r w:rsidR="00EF3D8A" w:rsidRPr="001F4FE4">
        <w:t xml:space="preserve">he food industry will make their own economic decisions, taking account of costs and benefits of </w:t>
      </w:r>
      <w:r w:rsidR="00EF3D8A">
        <w:t xml:space="preserve">using </w:t>
      </w:r>
      <w:r w:rsidR="00153CA2">
        <w:t xml:space="preserve">the </w:t>
      </w:r>
      <w:r w:rsidR="00EF3D8A">
        <w:t xml:space="preserve">new </w:t>
      </w:r>
      <w:r w:rsidR="00F63B83">
        <w:t>resin as a processing aid,</w:t>
      </w:r>
      <w:r w:rsidR="00EF3D8A" w:rsidRPr="001F4FE4">
        <w:t xml:space="preserve"> to determine if it is of benefit to their business. </w:t>
      </w:r>
    </w:p>
    <w:p w14:paraId="46DC1BE8" w14:textId="77777777" w:rsidR="008828D9" w:rsidRPr="008828D9" w:rsidRDefault="008828D9" w:rsidP="008828D9">
      <w:pPr>
        <w:rPr>
          <w:lang w:bidi="ar-SA"/>
        </w:rPr>
      </w:pPr>
    </w:p>
    <w:p w14:paraId="052763FC" w14:textId="77777777" w:rsidR="00022DBC" w:rsidRPr="008828D9" w:rsidRDefault="00022DBC" w:rsidP="00022DBC">
      <w:pPr>
        <w:pStyle w:val="FSBullet1"/>
        <w:rPr>
          <w:b/>
        </w:rPr>
      </w:pPr>
      <w:r w:rsidRPr="008828D9">
        <w:rPr>
          <w:b/>
        </w:rPr>
        <w:t>the promotion of fair trading in food</w:t>
      </w:r>
    </w:p>
    <w:p w14:paraId="6A3AF67E" w14:textId="77777777" w:rsidR="003840D6" w:rsidRDefault="003840D6" w:rsidP="008828D9"/>
    <w:p w14:paraId="0F615C79" w14:textId="0C44463A" w:rsidR="008828D9" w:rsidRPr="008828D9" w:rsidRDefault="003840D6" w:rsidP="008828D9">
      <w:pPr>
        <w:rPr>
          <w:lang w:bidi="ar-SA"/>
        </w:rPr>
      </w:pPr>
      <w:r w:rsidRPr="00D511BA">
        <w:t xml:space="preserve">The </w:t>
      </w:r>
      <w:r w:rsidR="00F63B83">
        <w:t>agarose ion exchange resin</w:t>
      </w:r>
      <w:r w:rsidRPr="00D511BA">
        <w:t xml:space="preserve"> has been assessed as safe </w:t>
      </w:r>
      <w:r>
        <w:t xml:space="preserve">and permitted for use </w:t>
      </w:r>
      <w:r w:rsidRPr="00D511BA">
        <w:t>in other countries.</w:t>
      </w:r>
      <w:r w:rsidR="00345DA8">
        <w:t xml:space="preserve"> Permitting its use </w:t>
      </w:r>
      <w:r w:rsidR="00E21C40">
        <w:t xml:space="preserve">in Australia and New Zealand </w:t>
      </w:r>
      <w:r w:rsidR="00286304">
        <w:t>would support fair trading for both domestic and international food manufacturers and retailers.</w:t>
      </w:r>
    </w:p>
    <w:p w14:paraId="0BDEA0EE" w14:textId="77777777" w:rsidR="003840D6" w:rsidRPr="003840D6" w:rsidRDefault="003840D6" w:rsidP="003840D6">
      <w:pPr>
        <w:pStyle w:val="FSBullet1"/>
        <w:numPr>
          <w:ilvl w:val="0"/>
          <w:numId w:val="0"/>
        </w:numPr>
        <w:ind w:left="567"/>
      </w:pPr>
    </w:p>
    <w:p w14:paraId="6D074368" w14:textId="77777777" w:rsidR="003C5407" w:rsidRDefault="003C5407" w:rsidP="003C5407">
      <w:pPr>
        <w:pStyle w:val="FSBullet1"/>
        <w:widowControl w:val="0"/>
        <w:ind w:left="0" w:firstLine="0"/>
        <w:rPr>
          <w:b/>
        </w:rPr>
      </w:pPr>
      <w:r>
        <w:rPr>
          <w:b/>
        </w:rPr>
        <w:br w:type="page"/>
      </w:r>
    </w:p>
    <w:p w14:paraId="25253AFE" w14:textId="77CC207D" w:rsidR="00022DBC" w:rsidRPr="005E2F53" w:rsidRDefault="00022DBC" w:rsidP="003C5407">
      <w:pPr>
        <w:pStyle w:val="FSBullet1"/>
        <w:widowControl w:val="0"/>
        <w:ind w:left="0" w:firstLine="0"/>
      </w:pPr>
      <w:r w:rsidRPr="008828D9">
        <w:rPr>
          <w:b/>
        </w:rPr>
        <w:lastRenderedPageBreak/>
        <w:t>any written policy guidelines formulated by the Ministerial Council</w:t>
      </w:r>
      <w:r w:rsidRPr="005E2F53">
        <w:rPr>
          <w:rStyle w:val="FootnoteReference"/>
        </w:rPr>
        <w:footnoteReference w:id="2"/>
      </w:r>
    </w:p>
    <w:p w14:paraId="2054DC1F" w14:textId="77777777" w:rsidR="00022DBC" w:rsidRDefault="00022DBC" w:rsidP="003C5407">
      <w:pPr>
        <w:rPr>
          <w:lang w:bidi="ar-SA"/>
        </w:rPr>
      </w:pPr>
    </w:p>
    <w:p w14:paraId="5DF4F6E3" w14:textId="77777777" w:rsidR="003840D6" w:rsidRPr="00871CF9" w:rsidRDefault="003840D6" w:rsidP="00366E90">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9B046B9" w14:textId="77777777" w:rsidR="003840D6" w:rsidRPr="00871CF9" w:rsidRDefault="003840D6" w:rsidP="003840D6"/>
    <w:p w14:paraId="1A95DC09" w14:textId="77777777" w:rsidR="003840D6" w:rsidRPr="00871CF9" w:rsidRDefault="003840D6" w:rsidP="003840D6">
      <w:pPr>
        <w:pStyle w:val="FSBullet1"/>
      </w:pPr>
      <w:r w:rsidRPr="00871CF9">
        <w:t>the purpose for adding the substance can be articulated clearly by the manufacturer as achieving a solely technological function (i.e. the ‘stated purpose’)</w:t>
      </w:r>
    </w:p>
    <w:p w14:paraId="0226FAEC" w14:textId="77777777" w:rsidR="003840D6" w:rsidRPr="00871CF9" w:rsidRDefault="003840D6" w:rsidP="003840D6">
      <w:pPr>
        <w:pStyle w:val="FSBullet1"/>
      </w:pPr>
      <w:r w:rsidRPr="00871CF9">
        <w:t>the addition of the substance to food is safe for human consumption</w:t>
      </w:r>
    </w:p>
    <w:p w14:paraId="2C74E54F" w14:textId="77777777" w:rsidR="003840D6" w:rsidRPr="00871CF9" w:rsidRDefault="003840D6" w:rsidP="003840D6">
      <w:pPr>
        <w:pStyle w:val="FSBullet1"/>
      </w:pPr>
      <w:r w:rsidRPr="00871CF9">
        <w:t>the amounts added are consistent with achieving the technological function</w:t>
      </w:r>
    </w:p>
    <w:p w14:paraId="1B8DDCAC" w14:textId="77777777" w:rsidR="003840D6" w:rsidRPr="00871CF9" w:rsidRDefault="003840D6" w:rsidP="003840D6">
      <w:pPr>
        <w:pStyle w:val="FSBullet1"/>
      </w:pPr>
      <w:r w:rsidRPr="00871CF9">
        <w:t>the substance is added in a quantity and a form which is consistent with delivering the stated purpose</w:t>
      </w:r>
    </w:p>
    <w:p w14:paraId="2C577C37" w14:textId="77777777" w:rsidR="003840D6" w:rsidRPr="008200A6" w:rsidRDefault="003840D6" w:rsidP="003840D6">
      <w:pPr>
        <w:pStyle w:val="FSBullet1"/>
      </w:pPr>
      <w:proofErr w:type="gramStart"/>
      <w:r w:rsidRPr="008200A6">
        <w:t>no</w:t>
      </w:r>
      <w:proofErr w:type="gramEnd"/>
      <w:r w:rsidRPr="008200A6">
        <w:t xml:space="preserve"> nutrition, health or related claims are to be made in regard to the substance.</w:t>
      </w:r>
    </w:p>
    <w:p w14:paraId="334519A1" w14:textId="77777777" w:rsidR="003840D6" w:rsidRPr="008200A6" w:rsidRDefault="003840D6" w:rsidP="003840D6"/>
    <w:p w14:paraId="7CF5128C" w14:textId="70B414F9" w:rsidR="003840D6" w:rsidRPr="00871CF9" w:rsidRDefault="003840D6" w:rsidP="003840D6">
      <w:r w:rsidRPr="0006373D">
        <w:t xml:space="preserve">FSANZ has determined that permitting the use of the </w:t>
      </w:r>
      <w:r w:rsidR="00F63B83">
        <w:t>agarose ion exchange resin</w:t>
      </w:r>
      <w:r>
        <w:rPr>
          <w:i/>
        </w:rPr>
        <w:t xml:space="preserve"> </w:t>
      </w:r>
      <w:r>
        <w:t>as a processing aid</w:t>
      </w:r>
      <w:r w:rsidR="00D34920">
        <w:t xml:space="preserve"> </w:t>
      </w:r>
      <w:r w:rsidR="00D34920">
        <w:rPr>
          <w:rFonts w:cs="Arial"/>
          <w:color w:val="000000" w:themeColor="text1"/>
        </w:rPr>
        <w:t xml:space="preserve">for the production of </w:t>
      </w:r>
      <w:proofErr w:type="spellStart"/>
      <w:r w:rsidR="00D34920">
        <w:rPr>
          <w:rFonts w:cs="Arial"/>
          <w:color w:val="000000" w:themeColor="text1"/>
        </w:rPr>
        <w:t>lactoferrin</w:t>
      </w:r>
      <w:proofErr w:type="spellEnd"/>
      <w:r>
        <w:t xml:space="preserve"> </w:t>
      </w:r>
      <w:r w:rsidRPr="0006373D">
        <w:t>is consistent with the specific order policy principles for ‘Technological Function’.</w:t>
      </w:r>
    </w:p>
    <w:p w14:paraId="58BF4E7C" w14:textId="77777777" w:rsidR="003840D6" w:rsidRDefault="003840D6" w:rsidP="00DD3C5E"/>
    <w:p w14:paraId="046A0997" w14:textId="4F62BA4F" w:rsidR="005F7342" w:rsidRPr="00932F14" w:rsidRDefault="00867B23" w:rsidP="00E203C2">
      <w:pPr>
        <w:pStyle w:val="Heading1"/>
      </w:pPr>
      <w:bookmarkStart w:id="80" w:name="_Toc286391014"/>
      <w:bookmarkStart w:id="81" w:name="_Toc175381455"/>
      <w:bookmarkStart w:id="82" w:name="_Toc300933445"/>
      <w:bookmarkStart w:id="83" w:name="_Toc442949567"/>
      <w:bookmarkEnd w:id="30"/>
      <w:bookmarkEnd w:id="31"/>
      <w:bookmarkEnd w:id="32"/>
      <w:bookmarkEnd w:id="33"/>
      <w:bookmarkEnd w:id="34"/>
      <w:bookmarkEnd w:id="35"/>
      <w:bookmarkEnd w:id="49"/>
      <w:r>
        <w:t>3</w:t>
      </w:r>
      <w:r w:rsidR="00F604DE">
        <w:tab/>
      </w:r>
      <w:bookmarkEnd w:id="80"/>
      <w:bookmarkEnd w:id="81"/>
      <w:bookmarkEnd w:id="82"/>
      <w:r w:rsidR="00D14405">
        <w:t xml:space="preserve">Draft </w:t>
      </w:r>
      <w:r w:rsidR="00D14405" w:rsidRPr="003840D6">
        <w:t>variation</w:t>
      </w:r>
      <w:bookmarkEnd w:id="83"/>
      <w:r w:rsidR="003840D6" w:rsidRPr="003840D6">
        <w:t xml:space="preserve"> </w:t>
      </w:r>
    </w:p>
    <w:p w14:paraId="097124B5" w14:textId="0E731FA7" w:rsidR="000E1A73" w:rsidRPr="006E5AC2" w:rsidRDefault="00D209C9" w:rsidP="000E1A73">
      <w:pPr>
        <w:rPr>
          <w:szCs w:val="22"/>
        </w:rPr>
      </w:pPr>
      <w:r w:rsidRPr="001E1FAB">
        <w:rPr>
          <w:color w:val="000000" w:themeColor="text1"/>
        </w:rPr>
        <w:t>The d</w:t>
      </w:r>
      <w:r>
        <w:rPr>
          <w:color w:val="000000" w:themeColor="text1"/>
        </w:rPr>
        <w:t>raft variation to the revised Code is</w:t>
      </w:r>
      <w:r w:rsidRPr="001E1FAB">
        <w:rPr>
          <w:color w:val="000000" w:themeColor="text1"/>
        </w:rPr>
        <w:t xml:space="preserve"> at Attachment A</w:t>
      </w:r>
      <w:r>
        <w:rPr>
          <w:color w:val="000000" w:themeColor="text1"/>
        </w:rPr>
        <w:t xml:space="preserve"> and is intended to take effect on </w:t>
      </w:r>
      <w:r w:rsidR="00153CA2">
        <w:rPr>
          <w:color w:val="000000" w:themeColor="text1"/>
        </w:rPr>
        <w:t>gazettal</w:t>
      </w:r>
      <w:r>
        <w:rPr>
          <w:color w:val="000000" w:themeColor="text1"/>
        </w:rPr>
        <w:t>.</w:t>
      </w:r>
      <w:r w:rsidR="000E1A73">
        <w:rPr>
          <w:color w:val="000000" w:themeColor="text1"/>
        </w:rPr>
        <w:t xml:space="preserve"> Note </w:t>
      </w:r>
      <w:r w:rsidR="000E1A73">
        <w:rPr>
          <w:szCs w:val="22"/>
        </w:rPr>
        <w:t>that t</w:t>
      </w:r>
      <w:r w:rsidR="000E1A73" w:rsidRPr="006E5AC2">
        <w:rPr>
          <w:szCs w:val="22"/>
        </w:rPr>
        <w:t>he new section</w:t>
      </w:r>
      <w:r w:rsidR="000E1A73">
        <w:rPr>
          <w:szCs w:val="22"/>
        </w:rPr>
        <w:t xml:space="preserve"> relevant to this Application</w:t>
      </w:r>
      <w:r w:rsidR="000E1A73" w:rsidRPr="006E5AC2">
        <w:rPr>
          <w:szCs w:val="22"/>
        </w:rPr>
        <w:t xml:space="preserve"> is numbered S3—34 to take account of </w:t>
      </w:r>
      <w:r w:rsidR="000E1A73">
        <w:rPr>
          <w:szCs w:val="22"/>
        </w:rPr>
        <w:t>other variations</w:t>
      </w:r>
      <w:r w:rsidR="000E1A73" w:rsidRPr="006E5AC2">
        <w:rPr>
          <w:szCs w:val="22"/>
        </w:rPr>
        <w:t xml:space="preserve"> </w:t>
      </w:r>
      <w:r w:rsidR="000E1A73">
        <w:rPr>
          <w:szCs w:val="22"/>
        </w:rPr>
        <w:t xml:space="preserve">due to other Applications which will insert sections </w:t>
      </w:r>
      <w:r w:rsidR="000E1A73" w:rsidRPr="00ED6E95">
        <w:t>S3—3</w:t>
      </w:r>
      <w:r w:rsidR="000E1A73">
        <w:t xml:space="preserve">1 to </w:t>
      </w:r>
      <w:r w:rsidR="000E1A73" w:rsidRPr="00ED6E95">
        <w:t>S3—3</w:t>
      </w:r>
      <w:r w:rsidR="000E1A73">
        <w:t xml:space="preserve">3 into </w:t>
      </w:r>
      <w:r w:rsidR="000E1A73" w:rsidRPr="00393C25">
        <w:rPr>
          <w:szCs w:val="22"/>
        </w:rPr>
        <w:t>Schedule 3</w:t>
      </w:r>
      <w:r w:rsidR="000E1A73">
        <w:rPr>
          <w:szCs w:val="22"/>
        </w:rPr>
        <w:t>.</w:t>
      </w:r>
    </w:p>
    <w:p w14:paraId="2B530ECE" w14:textId="77777777" w:rsidR="00D209C9" w:rsidRPr="001E1FAB" w:rsidRDefault="00D209C9" w:rsidP="00D209C9">
      <w:pPr>
        <w:rPr>
          <w:color w:val="000000" w:themeColor="text1"/>
        </w:rPr>
      </w:pPr>
    </w:p>
    <w:p w14:paraId="2C6BB533" w14:textId="733C4A5F" w:rsidR="000257D6"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Legislative Instru</w:t>
      </w:r>
      <w:r w:rsidR="00D26814">
        <w:t>ments</w:t>
      </w:r>
      <w:r w:rsidR="00407DF4">
        <w:t xml:space="preserve"> (FRLI)</w:t>
      </w:r>
      <w:r w:rsidR="00D26814">
        <w:t xml:space="preserve">. </w:t>
      </w:r>
    </w:p>
    <w:p w14:paraId="1FF5A6F5" w14:textId="77777777" w:rsidR="00D26814" w:rsidRPr="00924C80" w:rsidRDefault="00D26814" w:rsidP="002432EE">
      <w:pPr>
        <w:rPr>
          <w:rFonts w:cs="Arial"/>
          <w:color w:val="FF0000"/>
        </w:rPr>
      </w:pPr>
      <w:bookmarkStart w:id="84" w:name="_Toc11735643"/>
      <w:bookmarkStart w:id="85" w:name="_Toc29883130"/>
      <w:bookmarkStart w:id="86" w:name="_Toc41906817"/>
      <w:bookmarkStart w:id="87" w:name="_Toc41907564"/>
      <w:bookmarkStart w:id="88" w:name="_Toc43112360"/>
    </w:p>
    <w:p w14:paraId="2E12CD3C" w14:textId="77777777" w:rsidR="00924C80" w:rsidRPr="00923D96" w:rsidRDefault="00867B23" w:rsidP="00E75054">
      <w:pPr>
        <w:pStyle w:val="Heading1"/>
      </w:pPr>
      <w:bookmarkStart w:id="89" w:name="_Toc300933452"/>
      <w:bookmarkStart w:id="90" w:name="_Toc442949568"/>
      <w:r w:rsidRPr="00923D96">
        <w:t>4</w:t>
      </w:r>
      <w:r w:rsidR="00924C80" w:rsidRPr="00923D96">
        <w:tab/>
        <w:t>R</w:t>
      </w:r>
      <w:bookmarkEnd w:id="89"/>
      <w:r w:rsidR="006C28E2" w:rsidRPr="00923D96">
        <w:t>eferences</w:t>
      </w:r>
      <w:bookmarkEnd w:id="90"/>
    </w:p>
    <w:bookmarkEnd w:id="84"/>
    <w:bookmarkEnd w:id="85"/>
    <w:bookmarkEnd w:id="86"/>
    <w:bookmarkEnd w:id="87"/>
    <w:bookmarkEnd w:id="88"/>
    <w:p w14:paraId="5046A9A5" w14:textId="29CAFF83" w:rsidR="004D0E03" w:rsidRDefault="004D0E03" w:rsidP="004D0E03">
      <w:pPr>
        <w:rPr>
          <w:rStyle w:val="Hyperlink"/>
          <w:color w:val="auto"/>
          <w:sz w:val="20"/>
          <w:szCs w:val="20"/>
          <w:u w:val="none"/>
        </w:rPr>
      </w:pPr>
      <w:r>
        <w:rPr>
          <w:sz w:val="20"/>
          <w:szCs w:val="20"/>
        </w:rPr>
        <w:t xml:space="preserve">Codex </w:t>
      </w:r>
      <w:proofErr w:type="spellStart"/>
      <w:r>
        <w:rPr>
          <w:sz w:val="20"/>
          <w:szCs w:val="20"/>
        </w:rPr>
        <w:t>Alimentarius</w:t>
      </w:r>
      <w:proofErr w:type="spellEnd"/>
      <w:r>
        <w:rPr>
          <w:sz w:val="20"/>
          <w:szCs w:val="20"/>
        </w:rPr>
        <w:t xml:space="preserve"> Commission (2010) Guidelines on substances used as processing aids, CAC/GL 75-2010 </w:t>
      </w:r>
      <w:hyperlink r:id="rId22" w:history="1">
        <w:r w:rsidRPr="008A4F8C">
          <w:rPr>
            <w:rStyle w:val="Hyperlink"/>
            <w:sz w:val="20"/>
            <w:szCs w:val="20"/>
          </w:rPr>
          <w:t>http://www.codexalimentarius.org/standards/list-of-standards/</w:t>
        </w:r>
      </w:hyperlink>
      <w:r w:rsidRPr="00E86F00">
        <w:rPr>
          <w:rStyle w:val="Hyperlink"/>
          <w:sz w:val="20"/>
          <w:szCs w:val="20"/>
          <w:u w:val="none"/>
        </w:rPr>
        <w:t xml:space="preserve">. </w:t>
      </w:r>
      <w:proofErr w:type="gramStart"/>
      <w:r w:rsidRPr="00E86F00">
        <w:rPr>
          <w:rStyle w:val="Hyperlink"/>
          <w:color w:val="auto"/>
          <w:sz w:val="20"/>
          <w:szCs w:val="20"/>
          <w:u w:val="none"/>
        </w:rPr>
        <w:t>A</w:t>
      </w:r>
      <w:r>
        <w:rPr>
          <w:rStyle w:val="Hyperlink"/>
          <w:color w:val="auto"/>
          <w:sz w:val="20"/>
          <w:szCs w:val="20"/>
          <w:u w:val="none"/>
        </w:rPr>
        <w:t>cc</w:t>
      </w:r>
      <w:r w:rsidRPr="00E86F00">
        <w:rPr>
          <w:rStyle w:val="Hyperlink"/>
          <w:color w:val="auto"/>
          <w:sz w:val="20"/>
          <w:szCs w:val="20"/>
          <w:u w:val="none"/>
        </w:rPr>
        <w:t xml:space="preserve">essed </w:t>
      </w:r>
      <w:r>
        <w:rPr>
          <w:rStyle w:val="Hyperlink"/>
          <w:color w:val="auto"/>
          <w:sz w:val="20"/>
          <w:szCs w:val="20"/>
          <w:u w:val="none"/>
        </w:rPr>
        <w:t>on 23 December 2015.</w:t>
      </w:r>
      <w:proofErr w:type="gramEnd"/>
    </w:p>
    <w:p w14:paraId="0756ABA9" w14:textId="77777777" w:rsidR="00C6290E" w:rsidRDefault="00C6290E" w:rsidP="00C6290E">
      <w:pPr>
        <w:rPr>
          <w:rStyle w:val="Hyperlink"/>
          <w:color w:val="auto"/>
          <w:sz w:val="20"/>
          <w:szCs w:val="20"/>
          <w:u w:val="none"/>
        </w:rPr>
      </w:pPr>
    </w:p>
    <w:p w14:paraId="6B802A8C" w14:textId="3D00A489" w:rsidR="0025762B" w:rsidRDefault="0025762B" w:rsidP="00C6290E">
      <w:pPr>
        <w:rPr>
          <w:rStyle w:val="Hyperlink"/>
          <w:color w:val="auto"/>
          <w:sz w:val="20"/>
          <w:szCs w:val="20"/>
          <w:u w:val="none"/>
        </w:rPr>
      </w:pPr>
      <w:r>
        <w:rPr>
          <w:rStyle w:val="Hyperlink"/>
          <w:color w:val="auto"/>
          <w:sz w:val="20"/>
          <w:szCs w:val="20"/>
          <w:u w:val="none"/>
        </w:rPr>
        <w:t xml:space="preserve">Codex </w:t>
      </w:r>
      <w:proofErr w:type="spellStart"/>
      <w:r>
        <w:rPr>
          <w:rStyle w:val="Hyperlink"/>
          <w:color w:val="auto"/>
          <w:sz w:val="20"/>
          <w:szCs w:val="20"/>
          <w:u w:val="none"/>
        </w:rPr>
        <w:t>Alimentarius</w:t>
      </w:r>
      <w:proofErr w:type="spellEnd"/>
      <w:r>
        <w:rPr>
          <w:rStyle w:val="Hyperlink"/>
          <w:color w:val="auto"/>
          <w:sz w:val="20"/>
          <w:szCs w:val="20"/>
          <w:u w:val="none"/>
        </w:rPr>
        <w:t xml:space="preserve"> Commission (2015) Procedural Manual, 24</w:t>
      </w:r>
      <w:r w:rsidRPr="0025762B">
        <w:rPr>
          <w:rStyle w:val="Hyperlink"/>
          <w:color w:val="auto"/>
          <w:sz w:val="20"/>
          <w:szCs w:val="20"/>
          <w:u w:val="none"/>
          <w:vertAlign w:val="superscript"/>
        </w:rPr>
        <w:t>th</w:t>
      </w:r>
      <w:r>
        <w:rPr>
          <w:rStyle w:val="Hyperlink"/>
          <w:color w:val="auto"/>
          <w:sz w:val="20"/>
          <w:szCs w:val="20"/>
          <w:u w:val="none"/>
        </w:rPr>
        <w:t xml:space="preserve"> edition </w:t>
      </w:r>
      <w:hyperlink r:id="rId23" w:history="1">
        <w:r w:rsidRPr="008C3B2D">
          <w:rPr>
            <w:rStyle w:val="Hyperlink"/>
            <w:sz w:val="20"/>
            <w:szCs w:val="20"/>
          </w:rPr>
          <w:t>http://www.fao.org/fao-who-codexalimentarius/procedures-strategies/procedural-manual/en/</w:t>
        </w:r>
      </w:hyperlink>
      <w:r>
        <w:rPr>
          <w:rStyle w:val="Hyperlink"/>
          <w:color w:val="auto"/>
          <w:sz w:val="20"/>
          <w:szCs w:val="20"/>
          <w:u w:val="none"/>
        </w:rPr>
        <w:t xml:space="preserve">. </w:t>
      </w:r>
      <w:proofErr w:type="gramStart"/>
      <w:r>
        <w:rPr>
          <w:rStyle w:val="Hyperlink"/>
          <w:color w:val="auto"/>
          <w:sz w:val="20"/>
          <w:szCs w:val="20"/>
          <w:u w:val="none"/>
        </w:rPr>
        <w:t>Accessed on 23 December 2015.</w:t>
      </w:r>
      <w:proofErr w:type="gramEnd"/>
      <w:r>
        <w:rPr>
          <w:rStyle w:val="Hyperlink"/>
          <w:color w:val="auto"/>
          <w:sz w:val="20"/>
          <w:szCs w:val="20"/>
          <w:u w:val="none"/>
        </w:rPr>
        <w:t xml:space="preserve">   </w:t>
      </w:r>
    </w:p>
    <w:p w14:paraId="76A43698" w14:textId="77777777" w:rsidR="0025762B" w:rsidRDefault="0025762B" w:rsidP="00C6290E">
      <w:pPr>
        <w:rPr>
          <w:rStyle w:val="Hyperlink"/>
          <w:color w:val="auto"/>
          <w:sz w:val="20"/>
          <w:szCs w:val="20"/>
          <w:u w:val="none"/>
        </w:rPr>
      </w:pPr>
    </w:p>
    <w:p w14:paraId="4B7AD4BB" w14:textId="43EFF58C" w:rsidR="00C6290E" w:rsidRDefault="00C6290E" w:rsidP="00C6290E">
      <w:pPr>
        <w:rPr>
          <w:rStyle w:val="Hyperlink"/>
          <w:color w:val="auto"/>
          <w:sz w:val="20"/>
          <w:szCs w:val="20"/>
          <w:u w:val="none"/>
        </w:rPr>
      </w:pPr>
      <w:r>
        <w:rPr>
          <w:rStyle w:val="Hyperlink"/>
          <w:color w:val="auto"/>
          <w:sz w:val="20"/>
          <w:szCs w:val="20"/>
          <w:u w:val="none"/>
        </w:rPr>
        <w:t>European Commission (2004) Regulation (EC)</w:t>
      </w:r>
      <w:r w:rsidRPr="00C6290E">
        <w:rPr>
          <w:rStyle w:val="Hyperlink"/>
          <w:color w:val="auto"/>
          <w:sz w:val="20"/>
          <w:szCs w:val="20"/>
          <w:u w:val="none"/>
        </w:rPr>
        <w:t xml:space="preserve"> No 1935/2004 </w:t>
      </w:r>
      <w:r>
        <w:rPr>
          <w:rStyle w:val="Hyperlink"/>
          <w:color w:val="auto"/>
          <w:sz w:val="20"/>
          <w:szCs w:val="20"/>
          <w:u w:val="none"/>
        </w:rPr>
        <w:t xml:space="preserve">of the European Parliament and of the Council of 27 October 2004 </w:t>
      </w:r>
      <w:r w:rsidRPr="00C6290E">
        <w:rPr>
          <w:rStyle w:val="Hyperlink"/>
          <w:color w:val="auto"/>
          <w:sz w:val="20"/>
          <w:szCs w:val="20"/>
          <w:u w:val="none"/>
        </w:rPr>
        <w:t>on materials and articles intended to come into contact with food and repealing Directives 80/590/EEC</w:t>
      </w:r>
      <w:r>
        <w:rPr>
          <w:rStyle w:val="Hyperlink"/>
          <w:color w:val="auto"/>
          <w:sz w:val="20"/>
          <w:szCs w:val="20"/>
          <w:u w:val="none"/>
        </w:rPr>
        <w:t xml:space="preserve"> </w:t>
      </w:r>
      <w:r w:rsidRPr="00C6290E">
        <w:rPr>
          <w:rStyle w:val="Hyperlink"/>
          <w:color w:val="auto"/>
          <w:sz w:val="20"/>
          <w:szCs w:val="20"/>
          <w:u w:val="none"/>
        </w:rPr>
        <w:t>and 89/109/EEC</w:t>
      </w:r>
      <w:r>
        <w:rPr>
          <w:rStyle w:val="Hyperlink"/>
          <w:color w:val="auto"/>
          <w:sz w:val="20"/>
          <w:szCs w:val="20"/>
          <w:u w:val="none"/>
        </w:rPr>
        <w:t xml:space="preserve">. </w:t>
      </w:r>
      <w:r w:rsidRPr="00C6290E">
        <w:rPr>
          <w:rStyle w:val="Hyperlink"/>
          <w:color w:val="auto"/>
          <w:sz w:val="20"/>
          <w:szCs w:val="20"/>
          <w:u w:val="none"/>
        </w:rPr>
        <w:t xml:space="preserve">Official Journal of the European </w:t>
      </w:r>
      <w:proofErr w:type="gramStart"/>
      <w:r w:rsidRPr="00C6290E">
        <w:rPr>
          <w:rStyle w:val="Hyperlink"/>
          <w:color w:val="auto"/>
          <w:sz w:val="20"/>
          <w:szCs w:val="20"/>
          <w:u w:val="none"/>
        </w:rPr>
        <w:t>Union</w:t>
      </w:r>
      <w:r>
        <w:rPr>
          <w:rStyle w:val="Hyperlink"/>
          <w:color w:val="auto"/>
          <w:sz w:val="20"/>
          <w:szCs w:val="20"/>
          <w:u w:val="none"/>
        </w:rPr>
        <w:t xml:space="preserve">  47</w:t>
      </w:r>
      <w:proofErr w:type="gramEnd"/>
      <w:r>
        <w:rPr>
          <w:rStyle w:val="Hyperlink"/>
          <w:color w:val="auto"/>
          <w:sz w:val="20"/>
          <w:szCs w:val="20"/>
          <w:u w:val="none"/>
        </w:rPr>
        <w:t>(L338):</w:t>
      </w:r>
      <w:r w:rsidR="00BD48DF">
        <w:rPr>
          <w:rStyle w:val="Hyperlink"/>
          <w:color w:val="auto"/>
          <w:sz w:val="20"/>
          <w:szCs w:val="20"/>
          <w:u w:val="none"/>
        </w:rPr>
        <w:t xml:space="preserve">4-17 </w:t>
      </w:r>
      <w:hyperlink r:id="rId24" w:history="1">
        <w:r w:rsidR="00BD48DF" w:rsidRPr="008A4F8C">
          <w:rPr>
            <w:rStyle w:val="Hyperlink"/>
            <w:sz w:val="20"/>
            <w:szCs w:val="20"/>
          </w:rPr>
          <w:t>http://eur-lex.europa.eu/legal-content/EN/TXT/?uri=uriserv:OJ.L_.2004.338.01.0004.01.ENG&amp;toc=OJ:L:2004:338:TOC</w:t>
        </w:r>
      </w:hyperlink>
      <w:r w:rsidR="00BD48DF">
        <w:rPr>
          <w:rStyle w:val="Hyperlink"/>
          <w:color w:val="auto"/>
          <w:sz w:val="20"/>
          <w:szCs w:val="20"/>
          <w:u w:val="none"/>
        </w:rPr>
        <w:t xml:space="preserve">. </w:t>
      </w:r>
      <w:proofErr w:type="gramStart"/>
      <w:r w:rsidR="00BD48DF">
        <w:rPr>
          <w:rStyle w:val="Hyperlink"/>
          <w:color w:val="auto"/>
          <w:sz w:val="20"/>
          <w:szCs w:val="20"/>
          <w:u w:val="none"/>
        </w:rPr>
        <w:t>Accessed on 23 December 2015.</w:t>
      </w:r>
      <w:proofErr w:type="gramEnd"/>
    </w:p>
    <w:p w14:paraId="54CB9F27" w14:textId="77777777" w:rsidR="00BD48DF" w:rsidRDefault="00BD48DF" w:rsidP="00C6290E">
      <w:pPr>
        <w:rPr>
          <w:rStyle w:val="Hyperlink"/>
          <w:color w:val="auto"/>
          <w:sz w:val="20"/>
          <w:szCs w:val="20"/>
          <w:u w:val="none"/>
        </w:rPr>
      </w:pPr>
    </w:p>
    <w:p w14:paraId="40F99A3A" w14:textId="77777777" w:rsidR="00BD48DF" w:rsidRDefault="00BD48DF" w:rsidP="00BD48DF">
      <w:pPr>
        <w:rPr>
          <w:sz w:val="20"/>
        </w:rPr>
      </w:pPr>
      <w:proofErr w:type="gramStart"/>
      <w:r>
        <w:rPr>
          <w:sz w:val="20"/>
        </w:rPr>
        <w:t>US FDA (2004)</w:t>
      </w:r>
      <w:r w:rsidRPr="00E50CE7">
        <w:t xml:space="preserve"> </w:t>
      </w:r>
      <w:r w:rsidRPr="00E50CE7">
        <w:rPr>
          <w:sz w:val="20"/>
        </w:rPr>
        <w:t>Inventory of Effective Food Contact Substance (FCS) Notifications</w:t>
      </w:r>
      <w:r>
        <w:rPr>
          <w:sz w:val="20"/>
        </w:rPr>
        <w:t>.</w:t>
      </w:r>
      <w:proofErr w:type="gramEnd"/>
      <w:r>
        <w:rPr>
          <w:sz w:val="20"/>
        </w:rPr>
        <w:t xml:space="preserve"> </w:t>
      </w:r>
      <w:proofErr w:type="gramStart"/>
      <w:r w:rsidRPr="00E50CE7">
        <w:rPr>
          <w:sz w:val="20"/>
        </w:rPr>
        <w:t>F</w:t>
      </w:r>
      <w:r>
        <w:rPr>
          <w:sz w:val="20"/>
        </w:rPr>
        <w:t xml:space="preserve">ood </w:t>
      </w:r>
      <w:r w:rsidRPr="00E50CE7">
        <w:rPr>
          <w:sz w:val="20"/>
        </w:rPr>
        <w:t>C</w:t>
      </w:r>
      <w:r>
        <w:rPr>
          <w:sz w:val="20"/>
        </w:rPr>
        <w:t xml:space="preserve">ontact </w:t>
      </w:r>
      <w:r w:rsidRPr="00E50CE7">
        <w:rPr>
          <w:sz w:val="20"/>
        </w:rPr>
        <w:t>N</w:t>
      </w:r>
      <w:r>
        <w:rPr>
          <w:sz w:val="20"/>
        </w:rPr>
        <w:t>otification</w:t>
      </w:r>
      <w:r w:rsidRPr="00E50CE7">
        <w:rPr>
          <w:sz w:val="20"/>
        </w:rPr>
        <w:t xml:space="preserve"> No. 443</w:t>
      </w:r>
      <w:r>
        <w:rPr>
          <w:sz w:val="20"/>
        </w:rPr>
        <w:t>.</w:t>
      </w:r>
      <w:proofErr w:type="gramEnd"/>
      <w:r>
        <w:rPr>
          <w:sz w:val="20"/>
        </w:rPr>
        <w:t xml:space="preserve"> </w:t>
      </w:r>
      <w:proofErr w:type="gramStart"/>
      <w:r w:rsidRPr="00E50CE7">
        <w:rPr>
          <w:sz w:val="20"/>
        </w:rPr>
        <w:t>Amersham Biosciences</w:t>
      </w:r>
      <w:r>
        <w:rPr>
          <w:sz w:val="20"/>
        </w:rPr>
        <w:t>.</w:t>
      </w:r>
      <w:proofErr w:type="gramEnd"/>
      <w:r>
        <w:rPr>
          <w:sz w:val="20"/>
        </w:rPr>
        <w:t xml:space="preserve"> </w:t>
      </w:r>
      <w:r w:rsidRPr="00E50CE7">
        <w:rPr>
          <w:sz w:val="20"/>
        </w:rPr>
        <w:t>Food Contact Substance: Agarose, polymer with (</w:t>
      </w:r>
      <w:proofErr w:type="spellStart"/>
      <w:r w:rsidRPr="00E50CE7">
        <w:rPr>
          <w:sz w:val="20"/>
        </w:rPr>
        <w:t>chloromethyl</w:t>
      </w:r>
      <w:proofErr w:type="spellEnd"/>
      <w:proofErr w:type="gramStart"/>
      <w:r w:rsidRPr="00E50CE7">
        <w:rPr>
          <w:sz w:val="20"/>
        </w:rPr>
        <w:t>)</w:t>
      </w:r>
      <w:proofErr w:type="spellStart"/>
      <w:r w:rsidRPr="00E50CE7">
        <w:rPr>
          <w:sz w:val="20"/>
        </w:rPr>
        <w:t>oxirane</w:t>
      </w:r>
      <w:proofErr w:type="spellEnd"/>
      <w:proofErr w:type="gramEnd"/>
      <w:r w:rsidRPr="00E50CE7">
        <w:rPr>
          <w:sz w:val="20"/>
        </w:rPr>
        <w:t>, 2-hydroxy-3(3-sulfopropoxy)propyl ethers, sodium salts (CAS Reg. No. 676618-71-6)</w:t>
      </w:r>
      <w:r>
        <w:rPr>
          <w:sz w:val="20"/>
        </w:rPr>
        <w:t xml:space="preserve">. </w:t>
      </w:r>
    </w:p>
    <w:p w14:paraId="22A57802" w14:textId="77777777" w:rsidR="00BD48DF" w:rsidRDefault="00BD48DF" w:rsidP="00C6290E">
      <w:pPr>
        <w:rPr>
          <w:rStyle w:val="Hyperlink"/>
          <w:color w:val="auto"/>
          <w:sz w:val="20"/>
          <w:szCs w:val="20"/>
          <w:u w:val="none"/>
        </w:rPr>
      </w:pPr>
    </w:p>
    <w:p w14:paraId="3C8588BE" w14:textId="77777777" w:rsidR="003C5407" w:rsidRDefault="003C5407" w:rsidP="00BD48DF">
      <w:pPr>
        <w:rPr>
          <w:sz w:val="20"/>
          <w:szCs w:val="20"/>
        </w:rPr>
      </w:pPr>
      <w:r>
        <w:rPr>
          <w:sz w:val="20"/>
          <w:szCs w:val="20"/>
        </w:rPr>
        <w:br w:type="page"/>
      </w:r>
    </w:p>
    <w:p w14:paraId="1856EB22" w14:textId="270D1904" w:rsidR="00BD48DF" w:rsidRPr="00E86F00" w:rsidRDefault="00BD48DF" w:rsidP="00BD48DF">
      <w:pPr>
        <w:rPr>
          <w:sz w:val="20"/>
          <w:szCs w:val="20"/>
        </w:rPr>
      </w:pPr>
      <w:proofErr w:type="gramStart"/>
      <w:r>
        <w:rPr>
          <w:sz w:val="20"/>
          <w:szCs w:val="20"/>
        </w:rPr>
        <w:lastRenderedPageBreak/>
        <w:t>US FDA (2014</w:t>
      </w:r>
      <w:r w:rsidR="002B1802">
        <w:rPr>
          <w:sz w:val="20"/>
          <w:szCs w:val="20"/>
        </w:rPr>
        <w:t>a</w:t>
      </w:r>
      <w:r>
        <w:rPr>
          <w:sz w:val="20"/>
          <w:szCs w:val="20"/>
        </w:rPr>
        <w:t xml:space="preserve">) GRAS Notice No GRN </w:t>
      </w:r>
      <w:r w:rsidR="002B1802">
        <w:rPr>
          <w:sz w:val="20"/>
          <w:szCs w:val="20"/>
        </w:rPr>
        <w:t>464</w:t>
      </w:r>
      <w:r>
        <w:rPr>
          <w:sz w:val="20"/>
          <w:szCs w:val="20"/>
        </w:rPr>
        <w:t xml:space="preserve"> [</w:t>
      </w:r>
      <w:r w:rsidR="002B1802">
        <w:rPr>
          <w:sz w:val="20"/>
          <w:szCs w:val="20"/>
        </w:rPr>
        <w:t xml:space="preserve">Cow’s milk-derived </w:t>
      </w:r>
      <w:proofErr w:type="spellStart"/>
      <w:r w:rsidR="002B1802">
        <w:rPr>
          <w:sz w:val="20"/>
          <w:szCs w:val="20"/>
        </w:rPr>
        <w:t>lactoferrin</w:t>
      </w:r>
      <w:proofErr w:type="spellEnd"/>
      <w:r>
        <w:rPr>
          <w:sz w:val="20"/>
          <w:szCs w:val="20"/>
        </w:rPr>
        <w:t>].</w:t>
      </w:r>
      <w:proofErr w:type="gramEnd"/>
      <w:r>
        <w:rPr>
          <w:sz w:val="20"/>
          <w:szCs w:val="20"/>
        </w:rPr>
        <w:t xml:space="preserve"> Submitted by </w:t>
      </w:r>
      <w:r w:rsidR="002B1802">
        <w:rPr>
          <w:sz w:val="20"/>
          <w:szCs w:val="20"/>
        </w:rPr>
        <w:t>Morinaga Milk Industry Co., Ltd, Tokyo, Japan</w:t>
      </w:r>
      <w:r>
        <w:rPr>
          <w:sz w:val="20"/>
          <w:szCs w:val="20"/>
        </w:rPr>
        <w:t xml:space="preserve"> to the </w:t>
      </w:r>
      <w:r w:rsidRPr="00E8309A">
        <w:rPr>
          <w:sz w:val="20"/>
          <w:szCs w:val="20"/>
        </w:rPr>
        <w:t>U.S. Food and Drug Administration</w:t>
      </w:r>
      <w:r>
        <w:rPr>
          <w:sz w:val="20"/>
          <w:szCs w:val="20"/>
        </w:rPr>
        <w:t xml:space="preserve"> (US FDA), on </w:t>
      </w:r>
      <w:r w:rsidR="002B1802">
        <w:rPr>
          <w:sz w:val="20"/>
          <w:szCs w:val="20"/>
        </w:rPr>
        <w:t xml:space="preserve">22 March </w:t>
      </w:r>
      <w:r>
        <w:rPr>
          <w:sz w:val="20"/>
          <w:szCs w:val="20"/>
        </w:rPr>
        <w:t>201</w:t>
      </w:r>
      <w:r w:rsidR="002B1802">
        <w:rPr>
          <w:sz w:val="20"/>
          <w:szCs w:val="20"/>
        </w:rPr>
        <w:t>3</w:t>
      </w:r>
      <w:r>
        <w:rPr>
          <w:sz w:val="20"/>
          <w:szCs w:val="20"/>
        </w:rPr>
        <w:t xml:space="preserve">. </w:t>
      </w:r>
      <w:r w:rsidRPr="00DC41A1">
        <w:rPr>
          <w:sz w:val="20"/>
          <w:szCs w:val="20"/>
        </w:rPr>
        <w:t xml:space="preserve">Releasable dossier and </w:t>
      </w:r>
      <w:r w:rsidRPr="00DC41A1">
        <w:rPr>
          <w:iCs/>
          <w:sz w:val="20"/>
          <w:szCs w:val="20"/>
        </w:rPr>
        <w:t>Agency Response Letter available at this link</w:t>
      </w:r>
      <w:r>
        <w:rPr>
          <w:sz w:val="20"/>
          <w:szCs w:val="20"/>
        </w:rPr>
        <w:t xml:space="preserve"> </w:t>
      </w:r>
      <w:hyperlink r:id="rId25" w:history="1">
        <w:r w:rsidR="002B1802" w:rsidRPr="002B1802">
          <w:rPr>
            <w:rStyle w:val="Hyperlink"/>
            <w:sz w:val="20"/>
            <w:szCs w:val="20"/>
          </w:rPr>
          <w:t>http://www.accessdata.fda.gov/scripts/fdcc/index.cfm?set=GRASNotices&amp;id=464</w:t>
        </w:r>
      </w:hyperlink>
      <w:r w:rsidR="002B1802" w:rsidRPr="002B1802">
        <w:rPr>
          <w:sz w:val="20"/>
          <w:szCs w:val="20"/>
        </w:rPr>
        <w:t>.</w:t>
      </w:r>
      <w:r w:rsidR="002B1802">
        <w:t xml:space="preserve"> </w:t>
      </w:r>
      <w:proofErr w:type="gramStart"/>
      <w:r w:rsidRPr="00E86F00">
        <w:rPr>
          <w:rStyle w:val="Hyperlink"/>
          <w:color w:val="auto"/>
          <w:sz w:val="20"/>
          <w:szCs w:val="20"/>
          <w:u w:val="none"/>
        </w:rPr>
        <w:t>A</w:t>
      </w:r>
      <w:r>
        <w:rPr>
          <w:rStyle w:val="Hyperlink"/>
          <w:color w:val="auto"/>
          <w:sz w:val="20"/>
          <w:szCs w:val="20"/>
          <w:u w:val="none"/>
        </w:rPr>
        <w:t>cc</w:t>
      </w:r>
      <w:r w:rsidRPr="00E86F00">
        <w:rPr>
          <w:rStyle w:val="Hyperlink"/>
          <w:color w:val="auto"/>
          <w:sz w:val="20"/>
          <w:szCs w:val="20"/>
          <w:u w:val="none"/>
        </w:rPr>
        <w:t xml:space="preserve">essed </w:t>
      </w:r>
      <w:r>
        <w:rPr>
          <w:rStyle w:val="Hyperlink"/>
          <w:color w:val="auto"/>
          <w:sz w:val="20"/>
          <w:szCs w:val="20"/>
          <w:u w:val="none"/>
        </w:rPr>
        <w:t xml:space="preserve">on </w:t>
      </w:r>
      <w:r w:rsidR="002B1802">
        <w:rPr>
          <w:rStyle w:val="Hyperlink"/>
          <w:color w:val="auto"/>
          <w:sz w:val="20"/>
          <w:szCs w:val="20"/>
          <w:u w:val="none"/>
        </w:rPr>
        <w:t>2</w:t>
      </w:r>
      <w:r w:rsidRPr="00E86F00">
        <w:rPr>
          <w:rStyle w:val="Hyperlink"/>
          <w:color w:val="auto"/>
          <w:sz w:val="20"/>
          <w:szCs w:val="20"/>
          <w:u w:val="none"/>
        </w:rPr>
        <w:t>3</w:t>
      </w:r>
      <w:r>
        <w:rPr>
          <w:rStyle w:val="Hyperlink"/>
          <w:color w:val="auto"/>
          <w:sz w:val="20"/>
          <w:szCs w:val="20"/>
          <w:u w:val="none"/>
        </w:rPr>
        <w:t xml:space="preserve"> </w:t>
      </w:r>
      <w:r w:rsidR="002B1802">
        <w:rPr>
          <w:rStyle w:val="Hyperlink"/>
          <w:color w:val="auto"/>
          <w:sz w:val="20"/>
          <w:szCs w:val="20"/>
          <w:u w:val="none"/>
        </w:rPr>
        <w:t xml:space="preserve">December </w:t>
      </w:r>
      <w:r>
        <w:rPr>
          <w:rStyle w:val="Hyperlink"/>
          <w:color w:val="auto"/>
          <w:sz w:val="20"/>
          <w:szCs w:val="20"/>
          <w:u w:val="none"/>
        </w:rPr>
        <w:t>2015</w:t>
      </w:r>
      <w:r w:rsidR="002B1802">
        <w:rPr>
          <w:rStyle w:val="Hyperlink"/>
          <w:color w:val="auto"/>
          <w:sz w:val="20"/>
          <w:szCs w:val="20"/>
          <w:u w:val="none"/>
        </w:rPr>
        <w:t>.</w:t>
      </w:r>
      <w:proofErr w:type="gramEnd"/>
    </w:p>
    <w:p w14:paraId="33A16B29" w14:textId="77777777" w:rsidR="00C6290E" w:rsidRDefault="00C6290E" w:rsidP="004D0E03">
      <w:pPr>
        <w:rPr>
          <w:sz w:val="20"/>
          <w:szCs w:val="20"/>
        </w:rPr>
      </w:pPr>
    </w:p>
    <w:p w14:paraId="0E448039" w14:textId="21DE343A" w:rsidR="000E1A73" w:rsidRDefault="002B1802" w:rsidP="003C5407">
      <w:pPr>
        <w:rPr>
          <w:b/>
          <w:sz w:val="28"/>
          <w:szCs w:val="28"/>
        </w:rPr>
      </w:pPr>
      <w:proofErr w:type="gramStart"/>
      <w:r>
        <w:rPr>
          <w:sz w:val="20"/>
          <w:szCs w:val="20"/>
        </w:rPr>
        <w:t xml:space="preserve">US FDA (2014b) GRAS Notice No GRN 465 [Cow’s milk-derived </w:t>
      </w:r>
      <w:proofErr w:type="spellStart"/>
      <w:r>
        <w:rPr>
          <w:sz w:val="20"/>
          <w:szCs w:val="20"/>
        </w:rPr>
        <w:t>lactoferrin</w:t>
      </w:r>
      <w:proofErr w:type="spellEnd"/>
      <w:r>
        <w:rPr>
          <w:sz w:val="20"/>
          <w:szCs w:val="20"/>
        </w:rPr>
        <w:t>].</w:t>
      </w:r>
      <w:proofErr w:type="gramEnd"/>
      <w:r>
        <w:rPr>
          <w:sz w:val="20"/>
          <w:szCs w:val="20"/>
        </w:rPr>
        <w:t xml:space="preserve"> Submitted by Morinaga Milk Industry Co., Ltd, Tokyo, Japan to the </w:t>
      </w:r>
      <w:r w:rsidRPr="00E8309A">
        <w:rPr>
          <w:sz w:val="20"/>
          <w:szCs w:val="20"/>
        </w:rPr>
        <w:t>U.S. Food and Drug Administration</w:t>
      </w:r>
      <w:r>
        <w:rPr>
          <w:sz w:val="20"/>
          <w:szCs w:val="20"/>
        </w:rPr>
        <w:t xml:space="preserve"> (US FDA), on 22 March 2013. </w:t>
      </w:r>
      <w:r w:rsidRPr="00DC41A1">
        <w:rPr>
          <w:sz w:val="20"/>
          <w:szCs w:val="20"/>
        </w:rPr>
        <w:t xml:space="preserve">Releasable dossier and </w:t>
      </w:r>
      <w:r w:rsidRPr="00DC41A1">
        <w:rPr>
          <w:iCs/>
          <w:sz w:val="20"/>
          <w:szCs w:val="20"/>
        </w:rPr>
        <w:t>Agency Response Letter available at this link</w:t>
      </w:r>
      <w:r>
        <w:rPr>
          <w:sz w:val="20"/>
          <w:szCs w:val="20"/>
        </w:rPr>
        <w:t xml:space="preserve"> </w:t>
      </w:r>
      <w:hyperlink r:id="rId26" w:history="1">
        <w:r w:rsidRPr="002B1802">
          <w:rPr>
            <w:rStyle w:val="Hyperlink"/>
            <w:sz w:val="20"/>
            <w:szCs w:val="20"/>
          </w:rPr>
          <w:t>http://www.accessdata.fda.gov/scripts/fdcc/?set=GRASNotices&amp;id=465</w:t>
        </w:r>
      </w:hyperlink>
      <w:r>
        <w:t xml:space="preserve">. </w:t>
      </w:r>
      <w:proofErr w:type="gramStart"/>
      <w:r w:rsidRPr="00E86F00">
        <w:rPr>
          <w:rStyle w:val="Hyperlink"/>
          <w:color w:val="auto"/>
          <w:sz w:val="20"/>
          <w:szCs w:val="20"/>
          <w:u w:val="none"/>
        </w:rPr>
        <w:t>A</w:t>
      </w:r>
      <w:r>
        <w:rPr>
          <w:rStyle w:val="Hyperlink"/>
          <w:color w:val="auto"/>
          <w:sz w:val="20"/>
          <w:szCs w:val="20"/>
          <w:u w:val="none"/>
        </w:rPr>
        <w:t>cc</w:t>
      </w:r>
      <w:r w:rsidRPr="00E86F00">
        <w:rPr>
          <w:rStyle w:val="Hyperlink"/>
          <w:color w:val="auto"/>
          <w:sz w:val="20"/>
          <w:szCs w:val="20"/>
          <w:u w:val="none"/>
        </w:rPr>
        <w:t xml:space="preserve">essed </w:t>
      </w:r>
      <w:r>
        <w:rPr>
          <w:rStyle w:val="Hyperlink"/>
          <w:color w:val="auto"/>
          <w:sz w:val="20"/>
          <w:szCs w:val="20"/>
          <w:u w:val="none"/>
        </w:rPr>
        <w:t>on 2</w:t>
      </w:r>
      <w:r w:rsidRPr="00E86F00">
        <w:rPr>
          <w:rStyle w:val="Hyperlink"/>
          <w:color w:val="auto"/>
          <w:sz w:val="20"/>
          <w:szCs w:val="20"/>
          <w:u w:val="none"/>
        </w:rPr>
        <w:t>3</w:t>
      </w:r>
      <w:r>
        <w:rPr>
          <w:rStyle w:val="Hyperlink"/>
          <w:color w:val="auto"/>
          <w:sz w:val="20"/>
          <w:szCs w:val="20"/>
          <w:u w:val="none"/>
        </w:rPr>
        <w:t xml:space="preserve"> December 2015.</w:t>
      </w:r>
      <w:proofErr w:type="gramEnd"/>
    </w:p>
    <w:p w14:paraId="31AFC82A"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F9EB62B" w14:textId="77777777" w:rsidR="00A4175D" w:rsidRPr="00E203C2" w:rsidRDefault="00A4175D" w:rsidP="00AF06FC"/>
    <w:p w14:paraId="46BF7154" w14:textId="7AD843FE" w:rsidR="00AB0275" w:rsidRDefault="00AB0275" w:rsidP="00AB0275">
      <w:pPr>
        <w:ind w:left="567" w:hanging="567"/>
      </w:pPr>
      <w:r>
        <w:t>A.</w:t>
      </w:r>
      <w:r>
        <w:tab/>
      </w:r>
      <w:r w:rsidR="00D2071E">
        <w:t>D</w:t>
      </w:r>
      <w:r>
        <w:t xml:space="preserve">raft variation to the </w:t>
      </w:r>
      <w:r w:rsidR="002C4A91">
        <w:t xml:space="preserve">revised </w:t>
      </w:r>
      <w:r w:rsidRPr="000576EB">
        <w:rPr>
          <w:i/>
        </w:rPr>
        <w:t xml:space="preserve">Australia New </w:t>
      </w:r>
      <w:r>
        <w:rPr>
          <w:i/>
        </w:rPr>
        <w:t>Zealand Food Sta</w:t>
      </w:r>
      <w:r w:rsidRPr="000576EB">
        <w:rPr>
          <w:i/>
        </w:rPr>
        <w:t>n</w:t>
      </w:r>
      <w:r>
        <w:rPr>
          <w:i/>
        </w:rPr>
        <w:t>d</w:t>
      </w:r>
      <w:r w:rsidRPr="000576EB">
        <w:rPr>
          <w:i/>
        </w:rPr>
        <w:t>ards Code</w:t>
      </w:r>
      <w:r w:rsidR="002C4A91">
        <w:t xml:space="preserve"> (commencing 1 March 2016)</w:t>
      </w:r>
    </w:p>
    <w:p w14:paraId="396B77F6"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E5E70A" w14:textId="77777777" w:rsidR="00D60568" w:rsidRPr="00E203C2" w:rsidRDefault="00D60568" w:rsidP="002432EE"/>
    <w:p w14:paraId="10DD6033" w14:textId="380DD9AE" w:rsidR="00AB0275" w:rsidRPr="00A55221" w:rsidRDefault="00AB0275" w:rsidP="00AB0275">
      <w:pPr>
        <w:pStyle w:val="Heading2"/>
        <w:ind w:left="0" w:firstLine="0"/>
      </w:pPr>
      <w:bookmarkStart w:id="91" w:name="_Toc300933454"/>
      <w:r w:rsidRPr="00932F14">
        <w:br w:type="page"/>
      </w:r>
      <w:bookmarkStart w:id="92" w:name="_Toc29883131"/>
      <w:bookmarkStart w:id="93" w:name="_Toc41906818"/>
      <w:bookmarkStart w:id="94" w:name="_Toc41907565"/>
      <w:bookmarkStart w:id="95" w:name="_Toc120358596"/>
      <w:bookmarkStart w:id="96" w:name="_Toc175381458"/>
      <w:bookmarkStart w:id="97" w:name="_Toc11735644"/>
      <w:bookmarkStart w:id="98" w:name="_Toc415572037"/>
      <w:bookmarkStart w:id="99" w:name="_Toc442949569"/>
      <w:r w:rsidRPr="00932F14">
        <w:lastRenderedPageBreak/>
        <w:t xml:space="preserve">Attachment </w:t>
      </w:r>
      <w:bookmarkEnd w:id="92"/>
      <w:bookmarkEnd w:id="93"/>
      <w:bookmarkEnd w:id="94"/>
      <w:bookmarkEnd w:id="95"/>
      <w:bookmarkEnd w:id="96"/>
      <w:r>
        <w:t>A</w:t>
      </w:r>
      <w:bookmarkStart w:id="100" w:name="_Toc120358597"/>
      <w:bookmarkStart w:id="101" w:name="_Toc175381459"/>
      <w:bookmarkEnd w:id="97"/>
      <w:r>
        <w:t xml:space="preserve"> –</w:t>
      </w:r>
      <w:r w:rsidR="00CA3C65">
        <w:t xml:space="preserve"> </w:t>
      </w:r>
      <w:bookmarkStart w:id="102" w:name="_Toc415572039"/>
      <w:bookmarkEnd w:id="91"/>
      <w:bookmarkEnd w:id="98"/>
      <w:bookmarkEnd w:id="100"/>
      <w:bookmarkEnd w:id="101"/>
      <w:r w:rsidR="00CA3C65">
        <w:t>D</w:t>
      </w:r>
      <w:r>
        <w:t xml:space="preserve">raft </w:t>
      </w:r>
      <w:r w:rsidRPr="00932F14">
        <w:t>variation to the</w:t>
      </w:r>
      <w:r w:rsidRPr="00755F02">
        <w:t xml:space="preserve"> </w:t>
      </w:r>
      <w:r>
        <w:t xml:space="preserve">revised </w:t>
      </w:r>
      <w:r w:rsidRPr="00795D86">
        <w:rPr>
          <w:i/>
        </w:rPr>
        <w:t>Australia New Zealand Food Standards Code</w:t>
      </w:r>
      <w:r>
        <w:rPr>
          <w:i/>
        </w:rPr>
        <w:t xml:space="preserve"> </w:t>
      </w:r>
      <w:r w:rsidRPr="00456BD5">
        <w:t>(commencing 1 March 2016)</w:t>
      </w:r>
      <w:bookmarkEnd w:id="99"/>
      <w:bookmarkEnd w:id="102"/>
    </w:p>
    <w:p w14:paraId="77ECB1A9" w14:textId="43802CC9" w:rsidR="00652182" w:rsidRPr="00A55221" w:rsidRDefault="00652182" w:rsidP="00652182">
      <w:pPr>
        <w:rPr>
          <w:noProof/>
          <w:sz w:val="20"/>
          <w:lang w:val="en-AU" w:eastAsia="en-AU"/>
        </w:rPr>
      </w:pPr>
      <w:bookmarkStart w:id="103" w:name="_Toc415572277"/>
      <w:bookmarkStart w:id="104" w:name="_Toc421012590"/>
      <w:bookmarkStart w:id="105" w:name="_Toc414880388"/>
      <w:bookmarkEnd w:id="103"/>
      <w:bookmarkEnd w:id="104"/>
      <w:bookmarkEnd w:id="105"/>
      <w:r w:rsidRPr="00A55221">
        <w:rPr>
          <w:noProof/>
          <w:sz w:val="20"/>
          <w:lang w:eastAsia="en-GB" w:bidi="ar-SA"/>
        </w:rPr>
        <w:drawing>
          <wp:inline distT="0" distB="0" distL="0" distR="0" wp14:anchorId="2F52A3A0" wp14:editId="105BF43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EF36C4" w14:textId="77777777" w:rsidR="00153CA2" w:rsidRPr="00C809DC" w:rsidRDefault="00153CA2" w:rsidP="00153CA2">
      <w:pPr>
        <w:pBdr>
          <w:bottom w:val="single" w:sz="4" w:space="1" w:color="auto"/>
        </w:pBdr>
        <w:rPr>
          <w:b/>
          <w:sz w:val="20"/>
        </w:rPr>
      </w:pPr>
    </w:p>
    <w:p w14:paraId="50D116B6" w14:textId="1014CAFB" w:rsidR="00153CA2" w:rsidRPr="00C809DC" w:rsidRDefault="00153CA2" w:rsidP="00153CA2">
      <w:pPr>
        <w:pBdr>
          <w:bottom w:val="single" w:sz="4" w:space="1" w:color="auto"/>
        </w:pBdr>
        <w:rPr>
          <w:b/>
          <w:sz w:val="20"/>
        </w:rPr>
      </w:pPr>
      <w:r w:rsidRPr="00C809DC">
        <w:rPr>
          <w:b/>
          <w:sz w:val="20"/>
        </w:rPr>
        <w:t xml:space="preserve">Food Standards (A1120 – Agarose Ion Exchange Resin as a Processing Aid for </w:t>
      </w:r>
      <w:proofErr w:type="spellStart"/>
      <w:r w:rsidRPr="00C809DC">
        <w:rPr>
          <w:b/>
          <w:sz w:val="20"/>
        </w:rPr>
        <w:t>Lactoferrin</w:t>
      </w:r>
      <w:proofErr w:type="spellEnd"/>
      <w:r w:rsidRPr="00C809DC">
        <w:rPr>
          <w:b/>
          <w:sz w:val="20"/>
        </w:rPr>
        <w:t xml:space="preserve"> Production) Variation</w:t>
      </w:r>
    </w:p>
    <w:p w14:paraId="4E6891D6" w14:textId="77777777" w:rsidR="00652182" w:rsidRPr="00A55221" w:rsidRDefault="00652182" w:rsidP="00652182">
      <w:pPr>
        <w:pStyle w:val="Title"/>
        <w:pBdr>
          <w:bottom w:val="single" w:sz="4" w:space="1" w:color="auto"/>
        </w:pBdr>
        <w:rPr>
          <w:b w:val="0"/>
          <w:bCs w:val="0"/>
          <w:szCs w:val="20"/>
          <w:lang w:val="en-GB"/>
        </w:rPr>
      </w:pPr>
    </w:p>
    <w:p w14:paraId="644A354A" w14:textId="792F0D4B" w:rsidR="00153CA2" w:rsidRPr="00153CA2" w:rsidRDefault="00153CA2" w:rsidP="00153CA2">
      <w:pPr>
        <w:pStyle w:val="HR"/>
        <w:ind w:left="0" w:firstLine="0"/>
        <w:rPr>
          <w:b w:val="0"/>
          <w:sz w:val="20"/>
        </w:rPr>
      </w:pPr>
      <w:r w:rsidRPr="00153CA2">
        <w:rPr>
          <w:b w:val="0"/>
          <w:sz w:val="20"/>
        </w:rPr>
        <w:t xml:space="preserve">The Board of Food Standards Australia New Zealand gives notice of the making of this variation under section 92 of the </w:t>
      </w:r>
      <w:r w:rsidRPr="00153CA2">
        <w:rPr>
          <w:b w:val="0"/>
          <w:i/>
          <w:sz w:val="20"/>
        </w:rPr>
        <w:t>Food Standards Australia New Zealand Act 1991</w:t>
      </w:r>
      <w:r w:rsidRPr="00153CA2">
        <w:rPr>
          <w:b w:val="0"/>
          <w:sz w:val="20"/>
        </w:rPr>
        <w:t>.  The variation commences on the date specified in clause 3 of this variation.</w:t>
      </w:r>
    </w:p>
    <w:p w14:paraId="0DEB52B2" w14:textId="2D5833E2" w:rsidR="00153CA2" w:rsidRPr="008F2616" w:rsidRDefault="00153CA2" w:rsidP="00153CA2">
      <w:pPr>
        <w:rPr>
          <w:sz w:val="20"/>
        </w:rPr>
      </w:pPr>
    </w:p>
    <w:p w14:paraId="17D01EFA" w14:textId="77777777" w:rsidR="00153CA2" w:rsidRPr="008F2616" w:rsidRDefault="00153CA2" w:rsidP="00153CA2">
      <w:pPr>
        <w:rPr>
          <w:sz w:val="20"/>
        </w:rPr>
      </w:pPr>
      <w:r w:rsidRPr="008F2616">
        <w:rPr>
          <w:sz w:val="20"/>
        </w:rPr>
        <w:t xml:space="preserve">Dated </w:t>
      </w:r>
      <w:r>
        <w:rPr>
          <w:sz w:val="20"/>
        </w:rPr>
        <w:t>[To be completed by Standards Management Officer]</w:t>
      </w:r>
    </w:p>
    <w:p w14:paraId="26412C05" w14:textId="77777777" w:rsidR="00153CA2" w:rsidRPr="008F2616" w:rsidRDefault="00153CA2" w:rsidP="00153CA2">
      <w:pPr>
        <w:rPr>
          <w:sz w:val="20"/>
        </w:rPr>
      </w:pPr>
    </w:p>
    <w:p w14:paraId="2D42956F" w14:textId="77777777" w:rsidR="00153CA2" w:rsidRDefault="00153CA2" w:rsidP="00153CA2">
      <w:pPr>
        <w:rPr>
          <w:sz w:val="20"/>
        </w:rPr>
      </w:pPr>
    </w:p>
    <w:p w14:paraId="6E6B8017" w14:textId="77777777" w:rsidR="00153CA2" w:rsidRDefault="00153CA2" w:rsidP="00153CA2">
      <w:pPr>
        <w:rPr>
          <w:sz w:val="20"/>
        </w:rPr>
      </w:pPr>
    </w:p>
    <w:p w14:paraId="2D1DD81C" w14:textId="77777777" w:rsidR="00153CA2" w:rsidRPr="008F2616" w:rsidRDefault="00153CA2" w:rsidP="00153CA2">
      <w:pPr>
        <w:rPr>
          <w:sz w:val="20"/>
        </w:rPr>
      </w:pPr>
    </w:p>
    <w:p w14:paraId="6CF87745" w14:textId="77777777" w:rsidR="00153CA2" w:rsidRPr="008F2616" w:rsidRDefault="00153CA2" w:rsidP="00153CA2">
      <w:pPr>
        <w:rPr>
          <w:sz w:val="20"/>
        </w:rPr>
      </w:pPr>
    </w:p>
    <w:p w14:paraId="13048EC0" w14:textId="77777777" w:rsidR="00153CA2" w:rsidRPr="008F2616" w:rsidRDefault="00153CA2" w:rsidP="00153CA2">
      <w:pPr>
        <w:rPr>
          <w:sz w:val="20"/>
        </w:rPr>
      </w:pPr>
      <w:r w:rsidRPr="008F2616">
        <w:rPr>
          <w:sz w:val="20"/>
        </w:rPr>
        <w:t>Standards Management Officer</w:t>
      </w:r>
    </w:p>
    <w:p w14:paraId="30E518D1" w14:textId="77777777" w:rsidR="00153CA2" w:rsidRPr="008F2616" w:rsidRDefault="00153CA2" w:rsidP="00153CA2">
      <w:pPr>
        <w:rPr>
          <w:sz w:val="20"/>
        </w:rPr>
      </w:pPr>
      <w:r w:rsidRPr="008F2616">
        <w:rPr>
          <w:sz w:val="20"/>
        </w:rPr>
        <w:t>Delegate of the Board of Food Standards Australia New Zealand</w:t>
      </w:r>
    </w:p>
    <w:p w14:paraId="5FF5E530" w14:textId="77777777" w:rsidR="00153CA2" w:rsidRDefault="00153CA2" w:rsidP="00153CA2">
      <w:pPr>
        <w:rPr>
          <w:sz w:val="20"/>
        </w:rPr>
      </w:pPr>
    </w:p>
    <w:p w14:paraId="7766456A" w14:textId="77777777" w:rsidR="00153CA2" w:rsidRDefault="00153CA2" w:rsidP="00153CA2">
      <w:pPr>
        <w:rPr>
          <w:sz w:val="20"/>
        </w:rPr>
      </w:pPr>
    </w:p>
    <w:p w14:paraId="2981F1B0" w14:textId="77777777" w:rsidR="00153CA2" w:rsidRDefault="00153CA2" w:rsidP="00153CA2">
      <w:pPr>
        <w:rPr>
          <w:sz w:val="20"/>
        </w:rPr>
      </w:pPr>
    </w:p>
    <w:p w14:paraId="7921C247" w14:textId="77777777" w:rsidR="00153CA2" w:rsidRDefault="00153CA2" w:rsidP="00153CA2">
      <w:pPr>
        <w:rPr>
          <w:sz w:val="20"/>
        </w:rPr>
      </w:pPr>
    </w:p>
    <w:p w14:paraId="1F2719BA" w14:textId="77777777" w:rsidR="00153CA2" w:rsidRDefault="00153CA2" w:rsidP="00153CA2">
      <w:pPr>
        <w:rPr>
          <w:sz w:val="20"/>
        </w:rPr>
      </w:pPr>
    </w:p>
    <w:p w14:paraId="3A12B8AE" w14:textId="77777777" w:rsidR="00153CA2" w:rsidRPr="00360C8F" w:rsidRDefault="00153CA2" w:rsidP="00153CA2">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B43C951" w14:textId="77777777" w:rsidR="00153CA2" w:rsidRPr="00360C8F" w:rsidRDefault="00153CA2" w:rsidP="00153CA2">
      <w:pPr>
        <w:pBdr>
          <w:top w:val="single" w:sz="4" w:space="1" w:color="auto"/>
          <w:left w:val="single" w:sz="4" w:space="4" w:color="auto"/>
          <w:bottom w:val="single" w:sz="4" w:space="1" w:color="auto"/>
          <w:right w:val="single" w:sz="4" w:space="4" w:color="auto"/>
        </w:pBdr>
        <w:rPr>
          <w:sz w:val="20"/>
          <w:lang w:val="en-AU"/>
        </w:rPr>
      </w:pPr>
    </w:p>
    <w:p w14:paraId="728F2E05" w14:textId="77777777" w:rsidR="00153CA2" w:rsidRPr="00360C8F" w:rsidRDefault="00153CA2" w:rsidP="00153CA2">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w:t>
      </w:r>
      <w:proofErr w:type="gramStart"/>
      <w:r w:rsidRPr="00360C8F">
        <w:rPr>
          <w:sz w:val="20"/>
          <w:lang w:val="en-AU"/>
        </w:rPr>
        <w:t xml:space="preserve">FSC </w:t>
      </w:r>
      <w:r w:rsidRPr="00360C8F">
        <w:rPr>
          <w:color w:val="FF0000"/>
          <w:sz w:val="20"/>
          <w:lang w:val="en-AU"/>
        </w:rPr>
        <w:t>XX on XX Month 20XX</w:t>
      </w:r>
      <w:r w:rsidRPr="00360C8F">
        <w:rPr>
          <w:sz w:val="20"/>
          <w:lang w:val="en-AU"/>
        </w:rPr>
        <w:t>.</w:t>
      </w:r>
      <w:proofErr w:type="gramEnd"/>
      <w:r w:rsidRPr="00360C8F">
        <w:rPr>
          <w:sz w:val="20"/>
          <w:lang w:val="en-AU"/>
        </w:rPr>
        <w:t xml:space="preserve"> This means that this date is the gazettal date for the purposes of clause 3 of the variation. </w:t>
      </w:r>
    </w:p>
    <w:p w14:paraId="79E570EC" w14:textId="77777777" w:rsidR="00153CA2" w:rsidRDefault="00153CA2" w:rsidP="00153CA2">
      <w:pPr>
        <w:rPr>
          <w:sz w:val="20"/>
        </w:rPr>
      </w:pPr>
    </w:p>
    <w:p w14:paraId="7229F85B" w14:textId="77777777" w:rsidR="00153CA2" w:rsidRDefault="00153CA2" w:rsidP="00153CA2">
      <w:pPr>
        <w:widowControl/>
        <w:rPr>
          <w:sz w:val="20"/>
        </w:rPr>
      </w:pPr>
      <w:r>
        <w:rPr>
          <w:sz w:val="20"/>
        </w:rPr>
        <w:br w:type="page"/>
      </w:r>
    </w:p>
    <w:p w14:paraId="4F29A72E" w14:textId="77777777" w:rsidR="00153CA2" w:rsidRPr="005F585D" w:rsidRDefault="00153CA2" w:rsidP="00153CA2">
      <w:pPr>
        <w:pStyle w:val="FSCDraftingitemheading"/>
      </w:pPr>
      <w:r w:rsidRPr="00D433B1">
        <w:lastRenderedPageBreak/>
        <w:t>1</w:t>
      </w:r>
      <w:r w:rsidRPr="00D433B1">
        <w:tab/>
        <w:t>Name</w:t>
      </w:r>
    </w:p>
    <w:p w14:paraId="0BFF6DC0" w14:textId="77777777" w:rsidR="00153CA2" w:rsidRPr="00F618DF" w:rsidRDefault="00153CA2" w:rsidP="00153CA2">
      <w:pPr>
        <w:pStyle w:val="FSCDraftingitem"/>
      </w:pPr>
      <w:r w:rsidRPr="00DB170D">
        <w:t xml:space="preserve">This instrument is the </w:t>
      </w:r>
      <w:r w:rsidRPr="00792F7C">
        <w:rPr>
          <w:i/>
        </w:rPr>
        <w:t>Food Standards (</w:t>
      </w:r>
      <w:r w:rsidRPr="00471BF5">
        <w:rPr>
          <w:i/>
        </w:rPr>
        <w:t xml:space="preserve">A1120 – Agarose Ion Exchange Resin as a Processing Aid for </w:t>
      </w:r>
      <w:proofErr w:type="spellStart"/>
      <w:r w:rsidRPr="00471BF5">
        <w:rPr>
          <w:i/>
        </w:rPr>
        <w:t>Lactoferrin</w:t>
      </w:r>
      <w:proofErr w:type="spellEnd"/>
      <w:r w:rsidRPr="00471BF5">
        <w:rPr>
          <w:i/>
        </w:rPr>
        <w:t xml:space="preserve"> Production</w:t>
      </w:r>
      <w:r>
        <w:rPr>
          <w:i/>
        </w:rPr>
        <w:t xml:space="preserve">) </w:t>
      </w:r>
      <w:r w:rsidRPr="00792F7C">
        <w:rPr>
          <w:i/>
        </w:rPr>
        <w:t>Variation</w:t>
      </w:r>
      <w:r w:rsidRPr="00F618DF">
        <w:t>.</w:t>
      </w:r>
    </w:p>
    <w:p w14:paraId="612210A7" w14:textId="1FDB0FD3" w:rsidR="00153CA2" w:rsidRPr="00D433B1" w:rsidRDefault="00153CA2" w:rsidP="00153CA2">
      <w:pPr>
        <w:pStyle w:val="FSCDraftingitemheading"/>
      </w:pPr>
      <w:r w:rsidRPr="00D433B1">
        <w:t>2</w:t>
      </w:r>
      <w:r w:rsidRPr="00D433B1">
        <w:tab/>
        <w:t xml:space="preserve">Variation to </w:t>
      </w:r>
      <w:r w:rsidR="00C809DC">
        <w:t>s</w:t>
      </w:r>
      <w:r w:rsidRPr="00D433B1">
        <w:t>tandard</w:t>
      </w:r>
      <w:r w:rsidR="004748E6">
        <w:t>s</w:t>
      </w:r>
      <w:r w:rsidRPr="00D433B1">
        <w:t xml:space="preserve"> in the </w:t>
      </w:r>
      <w:r w:rsidRPr="00792F7C">
        <w:t>Australia New Zealand Food Standards Code</w:t>
      </w:r>
    </w:p>
    <w:p w14:paraId="72E5AF75" w14:textId="24EF5602" w:rsidR="00153CA2" w:rsidRDefault="00153CA2" w:rsidP="00153CA2">
      <w:pPr>
        <w:pStyle w:val="FSCDraftingitem"/>
      </w:pPr>
      <w:r>
        <w:t xml:space="preserve">The Schedule varies Standards in the </w:t>
      </w:r>
      <w:r w:rsidRPr="00792F7C">
        <w:rPr>
          <w:i/>
        </w:rPr>
        <w:t>Australia New Zealand Food Standards Code</w:t>
      </w:r>
      <w:r>
        <w:t>.</w:t>
      </w:r>
    </w:p>
    <w:p w14:paraId="7088FEB5" w14:textId="77777777" w:rsidR="00153CA2" w:rsidRPr="00D433B1" w:rsidRDefault="00153CA2" w:rsidP="00153CA2">
      <w:pPr>
        <w:pStyle w:val="FSCDraftingitemheading"/>
      </w:pPr>
      <w:r w:rsidRPr="00D433B1">
        <w:t>3</w:t>
      </w:r>
      <w:r w:rsidRPr="00D433B1">
        <w:tab/>
        <w:t>Commencement</w:t>
      </w:r>
    </w:p>
    <w:p w14:paraId="52A05279" w14:textId="77777777" w:rsidR="00153CA2" w:rsidRDefault="00153CA2" w:rsidP="00153CA2">
      <w:pPr>
        <w:pStyle w:val="FSCDraftingitem"/>
      </w:pPr>
      <w:r>
        <w:t>The variation commenc</w:t>
      </w:r>
      <w:r w:rsidRPr="000055C4">
        <w:t>e</w:t>
      </w:r>
      <w:r>
        <w:t>s</w:t>
      </w:r>
      <w:r w:rsidRPr="000055C4">
        <w:t xml:space="preserve"> on</w:t>
      </w:r>
      <w:r>
        <w:t xml:space="preserve"> the date of gazettal.</w:t>
      </w:r>
    </w:p>
    <w:p w14:paraId="6B88DB60" w14:textId="77777777" w:rsidR="00153CA2" w:rsidRPr="00D433B1" w:rsidRDefault="00153CA2" w:rsidP="00153CA2">
      <w:pPr>
        <w:jc w:val="center"/>
        <w:rPr>
          <w:b/>
          <w:sz w:val="20"/>
        </w:rPr>
      </w:pPr>
      <w:r w:rsidRPr="00D433B1">
        <w:rPr>
          <w:b/>
          <w:sz w:val="20"/>
        </w:rPr>
        <w:t>Schedule</w:t>
      </w:r>
    </w:p>
    <w:p w14:paraId="7C54CF88" w14:textId="1FC14EA6" w:rsidR="00153CA2" w:rsidRDefault="00153CA2" w:rsidP="00A55221">
      <w:pPr>
        <w:pStyle w:val="FSCDraftingitem"/>
      </w:pPr>
      <w:r w:rsidRPr="00A55221">
        <w:rPr>
          <w:b/>
        </w:rPr>
        <w:t>[1]</w:t>
      </w:r>
      <w:r w:rsidRPr="00A55221">
        <w:rPr>
          <w:b/>
        </w:rPr>
        <w:tab/>
        <w:t>Schedule 3</w:t>
      </w:r>
      <w:r w:rsidRPr="00D90338">
        <w:t xml:space="preserve"> is</w:t>
      </w:r>
      <w:r w:rsidRPr="00CC2E5B">
        <w:t xml:space="preserve"> varied by</w:t>
      </w:r>
      <w:r>
        <w:t xml:space="preserve"> </w:t>
      </w:r>
    </w:p>
    <w:p w14:paraId="5CAA968E" w14:textId="55F2F23F" w:rsidR="00153CA2" w:rsidRDefault="00153CA2" w:rsidP="00A55221">
      <w:pPr>
        <w:pStyle w:val="FSCDraftingitem"/>
      </w:pPr>
      <w:r>
        <w:t>[1.1]</w:t>
      </w:r>
      <w:r>
        <w:tab/>
        <w:t>omitting the words “a</w:t>
      </w:r>
      <w:r w:rsidRPr="00592060">
        <w:t>garose ion exchange resin</w:t>
      </w:r>
      <w:r>
        <w:t>” from the table to subsection S3—2(2), substituting “amine a</w:t>
      </w:r>
      <w:r w:rsidRPr="00592060">
        <w:t>garose ion exchange resin</w:t>
      </w:r>
      <w:r>
        <w:t>”</w:t>
      </w:r>
    </w:p>
    <w:p w14:paraId="175EB30F" w14:textId="77777777" w:rsidR="00153CA2" w:rsidRDefault="00153CA2" w:rsidP="00A55221">
      <w:pPr>
        <w:pStyle w:val="FSCDraftingitem"/>
      </w:pPr>
      <w:r>
        <w:t>[1.2]</w:t>
      </w:r>
      <w:r>
        <w:tab/>
        <w:t>inserting in 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153CA2" w:rsidRPr="00406023" w14:paraId="6B75BC5C" w14:textId="77777777" w:rsidTr="00E012BE">
        <w:trPr>
          <w:cantSplit/>
          <w:jc w:val="center"/>
        </w:trPr>
        <w:tc>
          <w:tcPr>
            <w:tcW w:w="4254" w:type="dxa"/>
          </w:tcPr>
          <w:p w14:paraId="7A3691CE" w14:textId="4F17736B" w:rsidR="00153CA2" w:rsidRPr="00406023" w:rsidRDefault="00DA36D6" w:rsidP="00E012BE">
            <w:pPr>
              <w:pStyle w:val="FSCtblMain"/>
              <w:rPr>
                <w:rFonts w:cs="Times New Roman"/>
              </w:rPr>
            </w:pPr>
            <w:r>
              <w:rPr>
                <w:lang w:bidi="en-US"/>
              </w:rPr>
              <w:t>“</w:t>
            </w:r>
            <w:proofErr w:type="spellStart"/>
            <w:r w:rsidR="008C558D">
              <w:t>sulphonate</w:t>
            </w:r>
            <w:proofErr w:type="spellEnd"/>
            <w:r w:rsidR="00153CA2">
              <w:t xml:space="preserve"> a</w:t>
            </w:r>
            <w:r w:rsidR="00153CA2" w:rsidRPr="00592060">
              <w:t>garose ion exchange resin</w:t>
            </w:r>
          </w:p>
        </w:tc>
        <w:tc>
          <w:tcPr>
            <w:tcW w:w="2550" w:type="dxa"/>
          </w:tcPr>
          <w:p w14:paraId="1A8495DB" w14:textId="77777777" w:rsidR="00153CA2" w:rsidRPr="00406023" w:rsidRDefault="00153CA2" w:rsidP="00B2776B">
            <w:pPr>
              <w:pStyle w:val="FSCtblMain"/>
            </w:pPr>
            <w:r>
              <w:t>section S3—34</w:t>
            </w:r>
          </w:p>
        </w:tc>
      </w:tr>
    </w:tbl>
    <w:p w14:paraId="259358B2" w14:textId="782F17BA" w:rsidR="00A55221" w:rsidRDefault="00DA36D6" w:rsidP="00A55221">
      <w:pPr>
        <w:pStyle w:val="FSCDraftingitem"/>
        <w:rPr>
          <w:lang w:bidi="en-US"/>
        </w:rPr>
      </w:pPr>
      <w:r>
        <w:rPr>
          <w:lang w:bidi="en-US"/>
        </w:rPr>
        <w:t xml:space="preserve">                                                                                                                                         </w:t>
      </w:r>
      <w:r w:rsidR="008D3F8A">
        <w:rPr>
          <w:lang w:bidi="en-US"/>
        </w:rPr>
        <w:t>”</w:t>
      </w:r>
    </w:p>
    <w:p w14:paraId="7C76D25B" w14:textId="20BE5B4A" w:rsidR="00153CA2" w:rsidRDefault="00153CA2" w:rsidP="00A55221">
      <w:pPr>
        <w:pStyle w:val="FSCDraftingitem"/>
      </w:pPr>
      <w:r>
        <w:t>[1.3]</w:t>
      </w:r>
      <w:r>
        <w:tab/>
        <w:t>omitting the words “a</w:t>
      </w:r>
      <w:r w:rsidRPr="00592060">
        <w:t>garose ion exchange resin</w:t>
      </w:r>
      <w:r>
        <w:t>” from the heading to section S3—6, substituting “amine a</w:t>
      </w:r>
      <w:r w:rsidRPr="00592060">
        <w:t>garose ion exchange resin</w:t>
      </w:r>
      <w:r>
        <w:t>”</w:t>
      </w:r>
    </w:p>
    <w:p w14:paraId="7570DE33" w14:textId="431352FB" w:rsidR="00153CA2" w:rsidRDefault="00153CA2" w:rsidP="004748E6">
      <w:pPr>
        <w:pStyle w:val="FSCtMain"/>
      </w:pPr>
      <w:r>
        <w:t>[1.4]</w:t>
      </w:r>
      <w:r>
        <w:tab/>
        <w:t xml:space="preserve">inserting after section </w:t>
      </w:r>
      <w:r w:rsidRPr="001D1563">
        <w:t>S3—3</w:t>
      </w:r>
      <w:r>
        <w:t>3</w:t>
      </w:r>
    </w:p>
    <w:p w14:paraId="06092F03" w14:textId="1611B3EA" w:rsidR="00153CA2" w:rsidRPr="00580804" w:rsidRDefault="00153CA2" w:rsidP="00153CA2">
      <w:pPr>
        <w:pStyle w:val="FSCh5Section"/>
      </w:pPr>
      <w:r>
        <w:t>S3—34</w:t>
      </w:r>
      <w:r w:rsidRPr="001D1563">
        <w:tab/>
        <w:t>Specification</w:t>
      </w:r>
      <w:r>
        <w:t xml:space="preserve"> for </w:t>
      </w:r>
      <w:proofErr w:type="spellStart"/>
      <w:r w:rsidR="008C558D">
        <w:t>sulphonate</w:t>
      </w:r>
      <w:proofErr w:type="spellEnd"/>
      <w:r>
        <w:t xml:space="preserve"> a</w:t>
      </w:r>
      <w:r w:rsidRPr="00592060">
        <w:t>garose ion exchange resin</w:t>
      </w:r>
    </w:p>
    <w:p w14:paraId="295D2988" w14:textId="70B4E989" w:rsidR="00153CA2" w:rsidRDefault="00153CA2" w:rsidP="00153CA2">
      <w:pPr>
        <w:pStyle w:val="FSCtMain"/>
      </w:pPr>
      <w:r>
        <w:tab/>
        <w:t>(1)</w:t>
      </w:r>
      <w:r>
        <w:tab/>
        <w:t>T</w:t>
      </w:r>
      <w:r w:rsidRPr="00580804">
        <w:t xml:space="preserve">his specification relates to agarose, cross-linked with </w:t>
      </w:r>
      <w:proofErr w:type="spellStart"/>
      <w:r w:rsidRPr="00580804">
        <w:t>epichlorohydrin</w:t>
      </w:r>
      <w:proofErr w:type="spellEnd"/>
      <w:r w:rsidRPr="00580804">
        <w:t xml:space="preserve"> and </w:t>
      </w:r>
      <w:r w:rsidR="008C175C">
        <w:t xml:space="preserve">reacted with allyl </w:t>
      </w:r>
      <w:proofErr w:type="spellStart"/>
      <w:r w:rsidR="008C175C">
        <w:t>glycidyl</w:t>
      </w:r>
      <w:proofErr w:type="spellEnd"/>
      <w:r w:rsidR="008C175C">
        <w:t xml:space="preserve"> ether</w:t>
      </w:r>
      <w:r w:rsidR="001A3CE1">
        <w:t xml:space="preserve"> or propylene oxide</w:t>
      </w:r>
      <w:r w:rsidR="008C175C">
        <w:t xml:space="preserve">, </w:t>
      </w:r>
      <w:r w:rsidRPr="00580804">
        <w:t xml:space="preserve">then </w:t>
      </w:r>
      <w:proofErr w:type="spellStart"/>
      <w:r w:rsidRPr="00580804">
        <w:t>derivatised</w:t>
      </w:r>
      <w:proofErr w:type="spellEnd"/>
      <w:r w:rsidRPr="00580804">
        <w:t xml:space="preserve"> with </w:t>
      </w:r>
      <w:proofErr w:type="spellStart"/>
      <w:r w:rsidR="008C558D">
        <w:t>sulphonate</w:t>
      </w:r>
      <w:proofErr w:type="spellEnd"/>
      <w:r w:rsidRPr="00580804">
        <w:t xml:space="preserve"> groups whereby the amount of </w:t>
      </w:r>
      <w:proofErr w:type="spellStart"/>
      <w:r w:rsidRPr="00580804">
        <w:t>epichlorohydrin</w:t>
      </w:r>
      <w:proofErr w:type="spellEnd"/>
      <w:r w:rsidRPr="00580804">
        <w:t xml:space="preserve"> plus </w:t>
      </w:r>
      <w:r w:rsidR="008C175C">
        <w:t xml:space="preserve">allyl </w:t>
      </w:r>
      <w:proofErr w:type="spellStart"/>
      <w:r w:rsidR="008C175C">
        <w:t>glycidyl</w:t>
      </w:r>
      <w:proofErr w:type="spellEnd"/>
      <w:r w:rsidR="008C175C">
        <w:t xml:space="preserve"> ether </w:t>
      </w:r>
      <w:r w:rsidR="001A3CE1">
        <w:t xml:space="preserve">or propylene oxide </w:t>
      </w:r>
      <w:r w:rsidRPr="00580804">
        <w:t>does not exceed 250% by weight of the starting quantity of agarose.</w:t>
      </w:r>
      <w:r>
        <w:t xml:space="preserve"> </w:t>
      </w:r>
    </w:p>
    <w:p w14:paraId="760F1D05" w14:textId="58A6BE74" w:rsidR="00153CA2" w:rsidRDefault="00153CA2" w:rsidP="00153CA2">
      <w:pPr>
        <w:pStyle w:val="FSCtMain"/>
      </w:pPr>
      <w:r>
        <w:tab/>
        <w:t>(2)</w:t>
      </w:r>
      <w:r>
        <w:tab/>
      </w:r>
      <w:r w:rsidRPr="00580804">
        <w:t>When subjected to the extraction regime listed in the 21 CFR § 173.25(c)(4), but using dilute hydrochloric acid at pH 2 in place of 5% acetic acid, the ion exchange resin</w:t>
      </w:r>
      <w:r w:rsidR="003C2D94">
        <w:t>s</w:t>
      </w:r>
      <w:r w:rsidRPr="00580804">
        <w:t xml:space="preserve"> shall result in no more than 25 ppm of organic extractives.</w:t>
      </w:r>
    </w:p>
    <w:p w14:paraId="3CD9481F" w14:textId="0C25B8E8" w:rsidR="00153CA2" w:rsidRDefault="00153CA2" w:rsidP="00153CA2">
      <w:pPr>
        <w:pStyle w:val="FSCDraftingitem"/>
        <w:tabs>
          <w:tab w:val="clear" w:pos="851"/>
          <w:tab w:val="left" w:pos="1134"/>
        </w:tabs>
      </w:pPr>
      <w:r>
        <w:rPr>
          <w:b/>
          <w:lang w:bidi="en-US"/>
        </w:rPr>
        <w:t>[2</w:t>
      </w:r>
      <w:r w:rsidRPr="00DA14FC">
        <w:rPr>
          <w:b/>
          <w:lang w:bidi="en-US"/>
        </w:rPr>
        <w:t>]</w:t>
      </w:r>
      <w:r w:rsidRPr="00DA14FC">
        <w:rPr>
          <w:b/>
          <w:lang w:bidi="en-US"/>
        </w:rPr>
        <w:tab/>
      </w:r>
      <w:r w:rsidRPr="00FC4576">
        <w:rPr>
          <w:b/>
          <w:lang w:bidi="en-US"/>
        </w:rPr>
        <w:t>Schedule 18</w:t>
      </w:r>
      <w:r w:rsidRPr="00FC4576">
        <w:rPr>
          <w:lang w:bidi="en-US"/>
        </w:rPr>
        <w:t xml:space="preserve"> </w:t>
      </w:r>
      <w:r w:rsidRPr="00CC2E5B">
        <w:rPr>
          <w:lang w:bidi="en-US"/>
        </w:rPr>
        <w:t xml:space="preserve">is varied </w:t>
      </w:r>
      <w:r w:rsidRPr="00FC4576">
        <w:rPr>
          <w:lang w:bidi="en-US"/>
        </w:rPr>
        <w:t>by</w:t>
      </w:r>
    </w:p>
    <w:p w14:paraId="76B0981D" w14:textId="1E33668A" w:rsidR="00153CA2" w:rsidRDefault="00153CA2" w:rsidP="00153CA2">
      <w:pPr>
        <w:pStyle w:val="FSCtMain"/>
        <w:ind w:left="1134" w:hanging="1134"/>
        <w:rPr>
          <w:lang w:bidi="en-US"/>
        </w:rPr>
      </w:pPr>
      <w:r>
        <w:rPr>
          <w:lang w:bidi="en-US"/>
        </w:rPr>
        <w:t>[2.1]</w:t>
      </w:r>
      <w:r>
        <w:rPr>
          <w:lang w:bidi="en-US"/>
        </w:rPr>
        <w:tab/>
        <w:t>omitting the definition of</w:t>
      </w:r>
      <w:r w:rsidRPr="00B23C8C">
        <w:rPr>
          <w:lang w:bidi="en-US"/>
        </w:rPr>
        <w:t xml:space="preserve"> </w:t>
      </w:r>
      <w:r w:rsidR="00B23C8C">
        <w:rPr>
          <w:lang w:bidi="en-US"/>
        </w:rPr>
        <w:t>“</w:t>
      </w:r>
      <w:r w:rsidRPr="00A55221">
        <w:t>agarose ion exchange resin</w:t>
      </w:r>
      <w:r w:rsidR="00B23C8C">
        <w:t>”</w:t>
      </w:r>
      <w:r w:rsidRPr="001D1563">
        <w:t xml:space="preserve"> </w:t>
      </w:r>
      <w:r>
        <w:rPr>
          <w:lang w:bidi="en-US"/>
        </w:rPr>
        <w:t xml:space="preserve">in subsection </w:t>
      </w:r>
      <w:r>
        <w:t>S18—9</w:t>
      </w:r>
      <w:r>
        <w:rPr>
          <w:lang w:bidi="en-US"/>
        </w:rPr>
        <w:t>(2)</w:t>
      </w:r>
    </w:p>
    <w:p w14:paraId="6FC87BFB" w14:textId="77777777" w:rsidR="00153CA2" w:rsidRDefault="00153CA2" w:rsidP="00153CA2">
      <w:pPr>
        <w:pStyle w:val="FSCtMain"/>
        <w:ind w:left="1134" w:hanging="1134"/>
        <w:rPr>
          <w:lang w:bidi="en-US"/>
        </w:rPr>
      </w:pPr>
      <w:r>
        <w:rPr>
          <w:lang w:bidi="en-US"/>
        </w:rPr>
        <w:t>[2.2]</w:t>
      </w:r>
      <w:r>
        <w:rPr>
          <w:lang w:bidi="en-US"/>
        </w:rPr>
        <w:tab/>
        <w:t xml:space="preserve">inserting in subsection </w:t>
      </w:r>
      <w:r>
        <w:t>S18—9</w:t>
      </w:r>
      <w:r>
        <w:rPr>
          <w:lang w:bidi="en-US"/>
        </w:rPr>
        <w:t>(2) in alphabetical order</w:t>
      </w:r>
    </w:p>
    <w:p w14:paraId="79493827" w14:textId="2D5C24F5" w:rsidR="00153CA2" w:rsidRPr="001D1563" w:rsidRDefault="00153CA2" w:rsidP="00153CA2">
      <w:pPr>
        <w:pStyle w:val="FSCtDefn"/>
      </w:pPr>
      <w:proofErr w:type="gramStart"/>
      <w:r w:rsidRPr="00585C64">
        <w:rPr>
          <w:b/>
          <w:i/>
        </w:rPr>
        <w:t>amine</w:t>
      </w:r>
      <w:proofErr w:type="gramEnd"/>
      <w:r>
        <w:t xml:space="preserve"> </w:t>
      </w:r>
      <w:r w:rsidRPr="00415045">
        <w:rPr>
          <w:b/>
          <w:i/>
        </w:rPr>
        <w:t>agarose ion exchange resin</w:t>
      </w:r>
      <w:r w:rsidRPr="001D1563">
        <w:rPr>
          <w:b/>
          <w:i/>
        </w:rPr>
        <w:t xml:space="preserve"> </w:t>
      </w:r>
      <w:r>
        <w:t xml:space="preserve">means </w:t>
      </w:r>
      <w:r w:rsidRPr="00415045">
        <w:t xml:space="preserve">agarose cross-linked and alkylated with </w:t>
      </w:r>
      <w:proofErr w:type="spellStart"/>
      <w:r w:rsidRPr="00415045">
        <w:t>epichlorohydrin</w:t>
      </w:r>
      <w:proofErr w:type="spellEnd"/>
      <w:r w:rsidRPr="00415045">
        <w:t xml:space="preserve"> and propylene oxide, then </w:t>
      </w:r>
      <w:proofErr w:type="spellStart"/>
      <w:r w:rsidRPr="00415045">
        <w:t>derivatised</w:t>
      </w:r>
      <w:proofErr w:type="spellEnd"/>
      <w:r w:rsidRPr="00415045">
        <w:t xml:space="preserve"> with tertiary amine groups whereby the amount of </w:t>
      </w:r>
      <w:proofErr w:type="spellStart"/>
      <w:r w:rsidRPr="00415045">
        <w:t>epichlorohydrin</w:t>
      </w:r>
      <w:proofErr w:type="spellEnd"/>
      <w:r w:rsidRPr="00415045">
        <w:t xml:space="preserve"> plus propylene oxide does not exceed 250% by weight of the starting amount of agarose</w:t>
      </w:r>
      <w:r>
        <w:t>.</w:t>
      </w:r>
    </w:p>
    <w:p w14:paraId="08FC26A2" w14:textId="558F3A41" w:rsidR="00153CA2" w:rsidRDefault="00153CA2" w:rsidP="00153CA2">
      <w:pPr>
        <w:pStyle w:val="FSCtPara"/>
        <w:ind w:left="1701" w:hanging="1701"/>
      </w:pPr>
      <w:r>
        <w:tab/>
      </w:r>
      <w:proofErr w:type="spellStart"/>
      <w:r w:rsidR="008C558D">
        <w:rPr>
          <w:b/>
          <w:i/>
        </w:rPr>
        <w:t>sulphonate</w:t>
      </w:r>
      <w:proofErr w:type="spellEnd"/>
      <w:r>
        <w:t xml:space="preserve"> </w:t>
      </w:r>
      <w:r w:rsidRPr="00415045">
        <w:rPr>
          <w:b/>
          <w:i/>
        </w:rPr>
        <w:t>agarose ion exchange resin</w:t>
      </w:r>
      <w:r w:rsidRPr="001D1563">
        <w:rPr>
          <w:b/>
          <w:i/>
        </w:rPr>
        <w:t xml:space="preserve"> </w:t>
      </w:r>
      <w:r>
        <w:t xml:space="preserve">means </w:t>
      </w:r>
      <w:r w:rsidRPr="00415045">
        <w:t xml:space="preserve">agarose cross-linked with </w:t>
      </w:r>
      <w:proofErr w:type="spellStart"/>
      <w:r w:rsidRPr="00415045">
        <w:t>epichlorohydrin</w:t>
      </w:r>
      <w:proofErr w:type="spellEnd"/>
      <w:r w:rsidRPr="00415045">
        <w:t xml:space="preserve"> and </w:t>
      </w:r>
      <w:r w:rsidR="008C175C">
        <w:t xml:space="preserve">reacted with allyl </w:t>
      </w:r>
      <w:proofErr w:type="spellStart"/>
      <w:r w:rsidR="008C175C">
        <w:t>glycidyl</w:t>
      </w:r>
      <w:proofErr w:type="spellEnd"/>
      <w:r w:rsidR="008C175C">
        <w:t xml:space="preserve"> ether</w:t>
      </w:r>
      <w:r w:rsidR="001A3CE1">
        <w:t xml:space="preserve"> or propylene oxide</w:t>
      </w:r>
      <w:r w:rsidR="008C175C">
        <w:t>,</w:t>
      </w:r>
      <w:r w:rsidRPr="00415045">
        <w:t xml:space="preserve"> then </w:t>
      </w:r>
      <w:proofErr w:type="spellStart"/>
      <w:r w:rsidRPr="00415045">
        <w:t>derivatised</w:t>
      </w:r>
      <w:proofErr w:type="spellEnd"/>
      <w:r w:rsidRPr="00415045">
        <w:t xml:space="preserve"> with </w:t>
      </w:r>
      <w:proofErr w:type="spellStart"/>
      <w:r w:rsidR="008C558D">
        <w:t>sulphonate</w:t>
      </w:r>
      <w:proofErr w:type="spellEnd"/>
      <w:r w:rsidRPr="00415045">
        <w:t xml:space="preserve"> groups whereby the amount of </w:t>
      </w:r>
      <w:proofErr w:type="spellStart"/>
      <w:r w:rsidRPr="00415045">
        <w:t>epichlorohydrin</w:t>
      </w:r>
      <w:proofErr w:type="spellEnd"/>
      <w:r w:rsidRPr="00415045">
        <w:t xml:space="preserve"> plus </w:t>
      </w:r>
      <w:r w:rsidR="008C175C">
        <w:t xml:space="preserve">allyl </w:t>
      </w:r>
      <w:proofErr w:type="spellStart"/>
      <w:r w:rsidR="008C175C">
        <w:t>glycidyl</w:t>
      </w:r>
      <w:proofErr w:type="spellEnd"/>
      <w:r w:rsidR="008C175C">
        <w:t xml:space="preserve"> ether</w:t>
      </w:r>
      <w:r w:rsidRPr="00415045">
        <w:t xml:space="preserve"> </w:t>
      </w:r>
      <w:r w:rsidR="001A3CE1">
        <w:t xml:space="preserve">or propylene oxide </w:t>
      </w:r>
      <w:r w:rsidRPr="00415045">
        <w:t>does not exceed 250% by weight of the starting quantity of agarose</w:t>
      </w:r>
      <w:r>
        <w:t>.</w:t>
      </w:r>
    </w:p>
    <w:p w14:paraId="4C62CF12" w14:textId="6860588E" w:rsidR="00153CA2" w:rsidRDefault="00153CA2" w:rsidP="00153CA2">
      <w:pPr>
        <w:pStyle w:val="FSCtMain"/>
        <w:ind w:left="1134" w:hanging="1134"/>
        <w:rPr>
          <w:lang w:bidi="en-US"/>
        </w:rPr>
      </w:pPr>
      <w:r>
        <w:rPr>
          <w:lang w:bidi="en-US"/>
        </w:rPr>
        <w:t>[2.3]</w:t>
      </w:r>
      <w:r>
        <w:rPr>
          <w:lang w:bidi="en-US"/>
        </w:rPr>
        <w:tab/>
        <w:t>omitting the words “</w:t>
      </w:r>
      <w:r w:rsidRPr="00592060">
        <w:t>Agarose ion exchange resin</w:t>
      </w:r>
      <w:r>
        <w:t>”</w:t>
      </w:r>
      <w:r>
        <w:rPr>
          <w:lang w:bidi="en-US"/>
        </w:rPr>
        <w:t xml:space="preserve"> in the table to </w:t>
      </w:r>
      <w:r>
        <w:t xml:space="preserve">subsection S18—9(3), substituting </w:t>
      </w:r>
      <w:r>
        <w:rPr>
          <w:lang w:bidi="en-US"/>
        </w:rPr>
        <w:t>“</w:t>
      </w:r>
      <w:r w:rsidRPr="00592060">
        <w:t>A</w:t>
      </w:r>
      <w:r>
        <w:t>mine a</w:t>
      </w:r>
      <w:r w:rsidRPr="00592060">
        <w:t>garose ion exchange resin</w:t>
      </w:r>
      <w:r>
        <w:t>”</w:t>
      </w:r>
    </w:p>
    <w:p w14:paraId="05AEC48D" w14:textId="77777777" w:rsidR="00153CA2" w:rsidRDefault="00153CA2" w:rsidP="00153CA2">
      <w:pPr>
        <w:pStyle w:val="FSCtMain"/>
        <w:ind w:left="1134" w:hanging="1134"/>
      </w:pPr>
      <w:r>
        <w:rPr>
          <w:lang w:bidi="en-US"/>
        </w:rPr>
        <w:t>[2.4]</w:t>
      </w:r>
      <w:r>
        <w:rPr>
          <w:lang w:bidi="en-US"/>
        </w:rPr>
        <w:tab/>
        <w:t xml:space="preserve">inserting in the table to </w:t>
      </w:r>
      <w:r>
        <w:t>subsection S18—9(3)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153CA2" w:rsidRPr="00592060" w14:paraId="2D2C665A" w14:textId="77777777" w:rsidTr="00E012BE">
        <w:trPr>
          <w:jc w:val="center"/>
        </w:trPr>
        <w:tc>
          <w:tcPr>
            <w:tcW w:w="3120" w:type="dxa"/>
          </w:tcPr>
          <w:p w14:paraId="36ACF77E" w14:textId="3C11B5B9" w:rsidR="00153CA2" w:rsidRPr="00592060" w:rsidRDefault="008C558D" w:rsidP="00E012BE">
            <w:pPr>
              <w:pStyle w:val="FSCtblMain"/>
            </w:pPr>
            <w:proofErr w:type="spellStart"/>
            <w:r>
              <w:t>Sulphonate</w:t>
            </w:r>
            <w:proofErr w:type="spellEnd"/>
            <w:r w:rsidR="00153CA2">
              <w:t xml:space="preserve"> a</w:t>
            </w:r>
            <w:r w:rsidR="00153CA2" w:rsidRPr="00592060">
              <w:t>garose ion exchange resin</w:t>
            </w:r>
          </w:p>
        </w:tc>
        <w:tc>
          <w:tcPr>
            <w:tcW w:w="3603" w:type="dxa"/>
          </w:tcPr>
          <w:p w14:paraId="249F5E7D" w14:textId="77777777" w:rsidR="00153CA2" w:rsidRPr="00592060" w:rsidRDefault="00153CA2" w:rsidP="00E012BE">
            <w:pPr>
              <w:pStyle w:val="FSCtblMain"/>
            </w:pPr>
            <w:r>
              <w:t>P</w:t>
            </w:r>
            <w:r w:rsidRPr="0051428E">
              <w:t xml:space="preserve">roduction of </w:t>
            </w:r>
            <w:proofErr w:type="spellStart"/>
            <w:r w:rsidRPr="0051428E">
              <w:t>lactoferrin</w:t>
            </w:r>
            <w:proofErr w:type="spellEnd"/>
            <w:r w:rsidRPr="0051428E">
              <w:t xml:space="preserve"> from bovine milk and milk-related products</w:t>
            </w:r>
          </w:p>
        </w:tc>
        <w:tc>
          <w:tcPr>
            <w:tcW w:w="2349" w:type="dxa"/>
          </w:tcPr>
          <w:p w14:paraId="10F8A05A" w14:textId="77777777" w:rsidR="00153CA2" w:rsidRPr="00592060" w:rsidRDefault="00153CA2" w:rsidP="00E012BE">
            <w:pPr>
              <w:pStyle w:val="FSCtblMain"/>
            </w:pPr>
            <w:r w:rsidRPr="00592060">
              <w:t>GMP</w:t>
            </w:r>
          </w:p>
        </w:tc>
      </w:tr>
    </w:tbl>
    <w:p w14:paraId="22AD95ED" w14:textId="028FADF5" w:rsidR="00577871" w:rsidRDefault="00652182" w:rsidP="00981975">
      <w:pPr>
        <w:pStyle w:val="HR"/>
        <w:rPr>
          <w:lang w:eastAsia="en-GB"/>
        </w:rPr>
      </w:pPr>
      <w:r w:rsidRPr="00972DE7">
        <w:rPr>
          <w:rFonts w:cs="Arial"/>
          <w:color w:val="00B0F0"/>
          <w:sz w:val="22"/>
          <w:szCs w:val="22"/>
        </w:rPr>
        <w:br w:type="page"/>
      </w:r>
    </w:p>
    <w:p w14:paraId="564B6EE0" w14:textId="77777777" w:rsidR="00AB0275" w:rsidRDefault="002C4A91" w:rsidP="00AB0275">
      <w:pPr>
        <w:pStyle w:val="Heading2"/>
        <w:ind w:left="0" w:firstLine="0"/>
      </w:pPr>
      <w:bookmarkStart w:id="106" w:name="_Toc442949570"/>
      <w:r w:rsidRPr="00932F14">
        <w:lastRenderedPageBreak/>
        <w:t xml:space="preserve">Attachment </w:t>
      </w:r>
      <w:r>
        <w:t xml:space="preserve">B – </w:t>
      </w:r>
      <w:r w:rsidR="00AB0275">
        <w:t>Draft Explanatory Statement</w:t>
      </w:r>
      <w:bookmarkEnd w:id="106"/>
    </w:p>
    <w:p w14:paraId="26E97B37"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628BFC6" w14:textId="77777777" w:rsidR="00AB0275" w:rsidRDefault="00AB0275" w:rsidP="00AB0275">
      <w:pPr>
        <w:rPr>
          <w:lang w:val="en-AU" w:eastAsia="en-GB" w:bidi="ar-SA"/>
        </w:rPr>
      </w:pPr>
    </w:p>
    <w:p w14:paraId="4452041E"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974D009" w14:textId="77777777" w:rsidR="00AB0275" w:rsidRPr="00D13E34" w:rsidRDefault="00AB0275" w:rsidP="00AB0275">
      <w:pPr>
        <w:widowControl/>
        <w:autoSpaceDE w:val="0"/>
        <w:autoSpaceDN w:val="0"/>
        <w:adjustRightInd w:val="0"/>
        <w:rPr>
          <w:rFonts w:eastAsia="Calibri" w:cs="Arial"/>
          <w:bCs/>
          <w:szCs w:val="22"/>
          <w:lang w:val="en-AU" w:bidi="ar-SA"/>
        </w:rPr>
      </w:pPr>
    </w:p>
    <w:p w14:paraId="315DBAA5" w14:textId="77777777" w:rsidR="00AB0275" w:rsidRPr="00995385" w:rsidRDefault="00AB0275" w:rsidP="00AB0275">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3CE0974" w14:textId="77777777" w:rsidR="00AB0275" w:rsidRPr="00995385" w:rsidRDefault="00AB0275" w:rsidP="00AB0275">
      <w:pPr>
        <w:widowControl/>
        <w:autoSpaceDE w:val="0"/>
        <w:autoSpaceDN w:val="0"/>
        <w:adjustRightInd w:val="0"/>
        <w:rPr>
          <w:rFonts w:eastAsia="Calibri" w:cs="Arial"/>
          <w:bCs/>
          <w:szCs w:val="22"/>
          <w:lang w:val="en-AU" w:bidi="ar-SA"/>
        </w:rPr>
      </w:pPr>
    </w:p>
    <w:p w14:paraId="424DAC37" w14:textId="14019984" w:rsidR="00AB0275" w:rsidRPr="00995385" w:rsidRDefault="00AB0275" w:rsidP="00AB0275">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FSANZ accepted Application A</w:t>
      </w:r>
      <w:r w:rsidR="00995385">
        <w:rPr>
          <w:rFonts w:eastAsia="Calibri" w:cs="Arial"/>
          <w:bCs/>
          <w:szCs w:val="22"/>
          <w:lang w:val="en-AU" w:bidi="ar-SA"/>
        </w:rPr>
        <w:t>11</w:t>
      </w:r>
      <w:r w:rsidR="004B50EC">
        <w:rPr>
          <w:rFonts w:eastAsia="Calibri" w:cs="Arial"/>
          <w:bCs/>
          <w:szCs w:val="22"/>
          <w:lang w:val="en-AU" w:bidi="ar-SA"/>
        </w:rPr>
        <w:t>20</w:t>
      </w:r>
      <w:r w:rsidRPr="00995385">
        <w:rPr>
          <w:rFonts w:eastAsia="Calibri" w:cs="Arial"/>
          <w:bCs/>
          <w:szCs w:val="22"/>
          <w:lang w:val="en-AU" w:bidi="ar-SA"/>
        </w:rPr>
        <w:t xml:space="preserve"> which seeks to </w:t>
      </w:r>
      <w:r w:rsidR="00995385" w:rsidRPr="00995385">
        <w:rPr>
          <w:rFonts w:eastAsia="Calibri" w:cs="Arial"/>
          <w:bCs/>
          <w:szCs w:val="22"/>
          <w:lang w:val="en-AU" w:bidi="ar-SA"/>
        </w:rPr>
        <w:t xml:space="preserve">permit </w:t>
      </w:r>
      <w:r w:rsidR="004B50EC">
        <w:rPr>
          <w:rFonts w:eastAsia="Calibri" w:cs="Arial"/>
          <w:bCs/>
          <w:szCs w:val="22"/>
          <w:lang w:val="en-AU" w:bidi="ar-SA"/>
        </w:rPr>
        <w:t>an agarose ion exchange resin as a</w:t>
      </w:r>
      <w:r w:rsidR="00995385" w:rsidRPr="00995385">
        <w:rPr>
          <w:rFonts w:eastAsia="Calibri" w:cs="Arial"/>
          <w:bCs/>
          <w:szCs w:val="22"/>
          <w:lang w:val="en-AU" w:bidi="ar-SA"/>
        </w:rPr>
        <w:t xml:space="preserve"> processing aid</w:t>
      </w:r>
      <w:r w:rsidR="004B50EC">
        <w:rPr>
          <w:rFonts w:eastAsia="Calibri" w:cs="Arial"/>
          <w:bCs/>
          <w:szCs w:val="22"/>
          <w:lang w:val="en-AU" w:bidi="ar-SA"/>
        </w:rPr>
        <w:t xml:space="preserve">. The resin </w:t>
      </w:r>
      <w:r w:rsidR="006F311A">
        <w:rPr>
          <w:rFonts w:eastAsia="Calibri" w:cs="Arial"/>
          <w:bCs/>
          <w:szCs w:val="22"/>
          <w:lang w:val="en-AU" w:bidi="ar-SA"/>
        </w:rPr>
        <w:t xml:space="preserve">will be used </w:t>
      </w:r>
      <w:r w:rsidR="00995385" w:rsidRPr="00995385">
        <w:rPr>
          <w:rFonts w:eastAsia="Calibri" w:cs="Arial"/>
          <w:bCs/>
          <w:szCs w:val="22"/>
          <w:lang w:val="en-AU" w:bidi="ar-SA"/>
        </w:rPr>
        <w:t xml:space="preserve">in the production of </w:t>
      </w:r>
      <w:r w:rsidR="004B50EC">
        <w:rPr>
          <w:rFonts w:eastAsia="Calibri" w:cs="Arial"/>
          <w:bCs/>
          <w:szCs w:val="22"/>
          <w:lang w:val="en-AU" w:bidi="ar-SA"/>
        </w:rPr>
        <w:t xml:space="preserve">high purity </w:t>
      </w:r>
      <w:proofErr w:type="spellStart"/>
      <w:r w:rsidR="004B50EC">
        <w:rPr>
          <w:rFonts w:eastAsia="Calibri" w:cs="Arial"/>
          <w:bCs/>
          <w:szCs w:val="22"/>
          <w:lang w:val="en-AU" w:bidi="ar-SA"/>
        </w:rPr>
        <w:t>lactoferrin</w:t>
      </w:r>
      <w:proofErr w:type="spellEnd"/>
      <w:r w:rsidR="004B50EC">
        <w:rPr>
          <w:rFonts w:eastAsia="Calibri" w:cs="Arial"/>
          <w:bCs/>
          <w:szCs w:val="22"/>
          <w:lang w:val="en-AU" w:bidi="ar-SA"/>
        </w:rPr>
        <w:t xml:space="preserve"> from bovine milk and milk-related products.</w:t>
      </w:r>
      <w:r w:rsidR="00995385">
        <w:rPr>
          <w:rFonts w:eastAsia="Calibri" w:cs="Arial"/>
          <w:bCs/>
          <w:szCs w:val="22"/>
          <w:lang w:val="en-AU" w:bidi="ar-SA"/>
        </w:rPr>
        <w:t xml:space="preserve"> </w:t>
      </w:r>
      <w:r w:rsidRPr="00995385">
        <w:rPr>
          <w:rFonts w:eastAsia="Calibri" w:cs="Arial"/>
          <w:bCs/>
          <w:szCs w:val="22"/>
          <w:lang w:val="en-AU" w:bidi="ar-SA"/>
        </w:rPr>
        <w:t xml:space="preserve">The Authority considered the Application in accordance with Division 1 of Part 3 and has </w:t>
      </w:r>
      <w:r w:rsidR="00CA3C65" w:rsidRPr="00995385">
        <w:rPr>
          <w:rFonts w:eastAsia="Calibri" w:cs="Arial"/>
          <w:bCs/>
          <w:szCs w:val="22"/>
          <w:lang w:val="en-AU" w:bidi="ar-SA"/>
        </w:rPr>
        <w:t>prepared</w:t>
      </w:r>
      <w:r w:rsidRPr="00995385">
        <w:rPr>
          <w:rFonts w:eastAsia="Calibri" w:cs="Arial"/>
          <w:bCs/>
          <w:szCs w:val="22"/>
          <w:lang w:val="en-AU" w:bidi="ar-SA"/>
        </w:rPr>
        <w:t xml:space="preserve"> a draft </w:t>
      </w:r>
      <w:r w:rsidR="00995385">
        <w:rPr>
          <w:rFonts w:eastAsia="Calibri" w:cs="Arial"/>
          <w:bCs/>
          <w:szCs w:val="22"/>
          <w:lang w:val="en-AU" w:bidi="ar-SA"/>
        </w:rPr>
        <w:t>variation to the revised Code</w:t>
      </w:r>
      <w:r w:rsidRPr="00995385">
        <w:rPr>
          <w:rFonts w:eastAsia="Calibri" w:cs="Arial"/>
          <w:bCs/>
          <w:szCs w:val="22"/>
          <w:lang w:val="en-AU" w:bidi="ar-SA"/>
        </w:rPr>
        <w:t xml:space="preserve">. </w:t>
      </w:r>
    </w:p>
    <w:p w14:paraId="0E5CA9E2" w14:textId="77777777" w:rsidR="00AB0275" w:rsidRPr="00D13E34" w:rsidRDefault="00AB0275" w:rsidP="00AB0275">
      <w:pPr>
        <w:widowControl/>
        <w:autoSpaceDE w:val="0"/>
        <w:autoSpaceDN w:val="0"/>
        <w:adjustRightInd w:val="0"/>
        <w:rPr>
          <w:rFonts w:eastAsia="Calibri" w:cs="Arial"/>
          <w:bCs/>
          <w:szCs w:val="22"/>
          <w:lang w:val="en-AU" w:bidi="ar-SA"/>
        </w:rPr>
      </w:pPr>
    </w:p>
    <w:p w14:paraId="13EDF7A1"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2B419BA1" w14:textId="77777777" w:rsidR="00AB0275" w:rsidRDefault="00AB0275" w:rsidP="00AB0275">
      <w:pPr>
        <w:rPr>
          <w:lang w:val="en-AU" w:eastAsia="en-GB" w:bidi="ar-SA"/>
        </w:rPr>
      </w:pPr>
    </w:p>
    <w:p w14:paraId="6C900E05" w14:textId="620DF70C" w:rsidR="00C56DBB" w:rsidRDefault="00B73FB6" w:rsidP="00C56DBB">
      <w:r>
        <w:rPr>
          <w:color w:val="000000" w:themeColor="text1"/>
        </w:rPr>
        <w:t xml:space="preserve">Ion exchange resins used in processing and manufacturing food are considered to be processing aids. </w:t>
      </w:r>
      <w:r w:rsidR="00511D9E">
        <w:rPr>
          <w:color w:val="000000" w:themeColor="text1"/>
        </w:rPr>
        <w:t>O</w:t>
      </w:r>
      <w:r>
        <w:rPr>
          <w:color w:val="000000" w:themeColor="text1"/>
        </w:rPr>
        <w:t xml:space="preserve">nly those processing aids listed in Schedule </w:t>
      </w:r>
      <w:r>
        <w:t>18 are permitted to be used in producing food sold in Australia and New Zealand.</w:t>
      </w:r>
      <w:r w:rsidRPr="0082591D">
        <w:t xml:space="preserve"> </w:t>
      </w:r>
      <w:r w:rsidR="00995385">
        <w:rPr>
          <w:lang w:val="en-AU" w:eastAsia="en-GB" w:bidi="ar-SA"/>
        </w:rPr>
        <w:t xml:space="preserve">The Authority has proposed that the </w:t>
      </w:r>
      <w:r w:rsidR="004B50EC">
        <w:rPr>
          <w:lang w:val="en-AU" w:eastAsia="en-GB" w:bidi="ar-SA"/>
        </w:rPr>
        <w:t xml:space="preserve">agarose ion exchange resin </w:t>
      </w:r>
      <w:r w:rsidR="00086414" w:rsidRPr="00345928">
        <w:t>is permitted as a processing aid</w:t>
      </w:r>
      <w:r w:rsidR="00086414">
        <w:rPr>
          <w:lang w:val="en-AU" w:eastAsia="en-GB" w:bidi="ar-SA"/>
        </w:rPr>
        <w:t xml:space="preserve"> </w:t>
      </w:r>
      <w:r w:rsidR="004B50EC">
        <w:rPr>
          <w:lang w:val="en-AU" w:eastAsia="en-GB" w:bidi="ar-SA"/>
        </w:rPr>
        <w:t xml:space="preserve">for </w:t>
      </w:r>
      <w:proofErr w:type="spellStart"/>
      <w:r w:rsidR="004B50EC">
        <w:rPr>
          <w:lang w:val="en-AU" w:eastAsia="en-GB" w:bidi="ar-SA"/>
        </w:rPr>
        <w:t>lactoferrin</w:t>
      </w:r>
      <w:proofErr w:type="spellEnd"/>
      <w:r w:rsidR="004B50EC">
        <w:rPr>
          <w:lang w:val="en-AU" w:eastAsia="en-GB" w:bidi="ar-SA"/>
        </w:rPr>
        <w:t xml:space="preserve"> production</w:t>
      </w:r>
      <w:r w:rsidR="003A4659">
        <w:rPr>
          <w:lang w:val="en-AU" w:eastAsia="en-GB" w:bidi="ar-SA"/>
        </w:rPr>
        <w:t xml:space="preserve"> </w:t>
      </w:r>
      <w:r>
        <w:t>by adding th</w:t>
      </w:r>
      <w:r w:rsidR="00EC02C9">
        <w:t>is</w:t>
      </w:r>
      <w:r>
        <w:t xml:space="preserve"> resin</w:t>
      </w:r>
      <w:r w:rsidR="006E40DC">
        <w:t xml:space="preserve"> to</w:t>
      </w:r>
      <w:r w:rsidR="00345928" w:rsidRPr="00345928">
        <w:t xml:space="preserve"> the </w:t>
      </w:r>
      <w:r w:rsidR="00367EE0">
        <w:t>t</w:t>
      </w:r>
      <w:r w:rsidR="00345928" w:rsidRPr="00345928">
        <w:t>able to subsection S18––</w:t>
      </w:r>
      <w:r w:rsidR="007B20BD">
        <w:t>9</w:t>
      </w:r>
      <w:r w:rsidR="00345928" w:rsidRPr="00345928">
        <w:t>(</w:t>
      </w:r>
      <w:r w:rsidR="007B20BD">
        <w:t>3</w:t>
      </w:r>
      <w:r w:rsidR="00345928" w:rsidRPr="00345928">
        <w:t>) in Schedule 18.</w:t>
      </w:r>
      <w:r w:rsidR="006E40DC">
        <w:t xml:space="preserve"> </w:t>
      </w:r>
    </w:p>
    <w:p w14:paraId="452CD7B4" w14:textId="77777777" w:rsidR="001F44EC" w:rsidRDefault="001F44EC" w:rsidP="00345928"/>
    <w:p w14:paraId="2D26CD5A" w14:textId="5B5FF112" w:rsidR="00345928" w:rsidRPr="00345928" w:rsidRDefault="00492D5B" w:rsidP="00345928">
      <w:r>
        <w:t xml:space="preserve">Permissions for processing aids are also linked to their specification for identity and purity, provided in Schedule 3 of the revised Code. </w:t>
      </w:r>
      <w:r w:rsidR="007B20BD">
        <w:t xml:space="preserve">Since there are no specifications for the agarose ion exchange resin for </w:t>
      </w:r>
      <w:proofErr w:type="spellStart"/>
      <w:r w:rsidR="007B20BD">
        <w:t>lactoferrin</w:t>
      </w:r>
      <w:proofErr w:type="spellEnd"/>
      <w:r w:rsidR="007B20BD">
        <w:t xml:space="preserve"> production in any of the monographs in Schedule 3 </w:t>
      </w:r>
      <w:r w:rsidR="007B20BD" w:rsidRPr="008F0A02">
        <w:rPr>
          <w:lang w:val="en-AU" w:eastAsia="en-GB" w:bidi="ar-SA"/>
        </w:rPr>
        <w:t>(</w:t>
      </w:r>
      <w:r w:rsidR="00C56DBB">
        <w:rPr>
          <w:lang w:val="en-AU" w:eastAsia="en-GB" w:bidi="ar-SA"/>
        </w:rPr>
        <w:t xml:space="preserve">subsections </w:t>
      </w:r>
      <w:r w:rsidR="007B20BD" w:rsidRPr="008F0A02">
        <w:rPr>
          <w:lang w:val="en-AU" w:eastAsia="en-GB" w:bidi="ar-SA"/>
        </w:rPr>
        <w:t>S3</w:t>
      </w:r>
      <w:r w:rsidR="007B20BD">
        <w:rPr>
          <w:lang w:val="en-AU" w:eastAsia="en-GB" w:bidi="ar-SA"/>
        </w:rPr>
        <w:t xml:space="preserve">—2 </w:t>
      </w:r>
      <w:r w:rsidR="007B20BD" w:rsidRPr="008F0A02">
        <w:rPr>
          <w:lang w:val="en-AU" w:eastAsia="en-GB" w:bidi="ar-SA"/>
        </w:rPr>
        <w:t>and S3</w:t>
      </w:r>
      <w:r w:rsidR="007B20BD">
        <w:rPr>
          <w:lang w:val="en-AU" w:eastAsia="en-GB" w:bidi="ar-SA"/>
        </w:rPr>
        <w:t>—3)</w:t>
      </w:r>
      <w:r w:rsidR="007B20BD" w:rsidRPr="008F0A02">
        <w:rPr>
          <w:lang w:val="en-AU" w:eastAsia="en-GB" w:bidi="ar-SA"/>
        </w:rPr>
        <w:t>,</w:t>
      </w:r>
      <w:r w:rsidR="007B20BD">
        <w:rPr>
          <w:lang w:val="en-AU" w:eastAsia="en-GB" w:bidi="ar-SA"/>
        </w:rPr>
        <w:t xml:space="preserve"> a new specification </w:t>
      </w:r>
      <w:r w:rsidR="001F44EC">
        <w:rPr>
          <w:lang w:val="en-AU" w:eastAsia="en-GB" w:bidi="ar-SA"/>
        </w:rPr>
        <w:t>will be</w:t>
      </w:r>
      <w:r w:rsidR="007B20BD">
        <w:rPr>
          <w:lang w:val="en-AU" w:eastAsia="en-GB" w:bidi="ar-SA"/>
        </w:rPr>
        <w:t xml:space="preserve"> written into Schedule 3. </w:t>
      </w:r>
    </w:p>
    <w:p w14:paraId="2CC84AEA" w14:textId="77777777" w:rsidR="00995385" w:rsidRDefault="00995385" w:rsidP="00AB0275">
      <w:pPr>
        <w:rPr>
          <w:lang w:val="en-AU" w:eastAsia="en-GB" w:bidi="ar-SA"/>
        </w:rPr>
      </w:pPr>
    </w:p>
    <w:p w14:paraId="7D1BF0B0"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3ED94C9" w14:textId="77777777" w:rsidR="00AB0275" w:rsidRDefault="00AB0275" w:rsidP="00AB0275">
      <w:pPr>
        <w:rPr>
          <w:lang w:val="en-AU" w:eastAsia="en-GB" w:bidi="ar-SA"/>
        </w:rPr>
      </w:pPr>
    </w:p>
    <w:p w14:paraId="640C278C" w14:textId="4239034E" w:rsidR="00422107" w:rsidRPr="002A13BC" w:rsidRDefault="00422107" w:rsidP="00422107">
      <w:pPr>
        <w:widowControl/>
        <w:autoSpaceDE w:val="0"/>
        <w:autoSpaceDN w:val="0"/>
        <w:adjustRightInd w:val="0"/>
        <w:rPr>
          <w:rFonts w:eastAsia="Calibri" w:cs="Arial"/>
          <w:color w:val="000000"/>
          <w:szCs w:val="22"/>
          <w:lang w:bidi="ar-SA"/>
        </w:rPr>
      </w:pPr>
      <w:r w:rsidRPr="002A13BC">
        <w:rPr>
          <w:rFonts w:eastAsia="Calibri" w:cs="Arial"/>
          <w:bCs/>
          <w:color w:val="000000"/>
          <w:szCs w:val="22"/>
          <w:lang w:val="en-AU" w:bidi="ar-SA"/>
        </w:rPr>
        <w:t xml:space="preserve">The approved draft variation </w:t>
      </w:r>
      <w:r w:rsidRPr="002A13BC">
        <w:rPr>
          <w:rFonts w:eastAsia="Calibri" w:cs="Arial"/>
          <w:color w:val="000000"/>
          <w:szCs w:val="22"/>
          <w:lang w:bidi="ar-SA"/>
        </w:rPr>
        <w:t>incorporates</w:t>
      </w:r>
      <w:r>
        <w:rPr>
          <w:rFonts w:eastAsia="Calibri" w:cs="Arial"/>
          <w:color w:val="000000"/>
          <w:szCs w:val="22"/>
          <w:lang w:bidi="ar-SA"/>
        </w:rPr>
        <w:t xml:space="preserve"> a</w:t>
      </w:r>
      <w:r w:rsidRPr="002A13BC">
        <w:rPr>
          <w:rFonts w:eastAsia="Calibri" w:cs="Arial"/>
          <w:color w:val="000000"/>
          <w:szCs w:val="22"/>
          <w:lang w:bidi="ar-SA"/>
        </w:rPr>
        <w:t xml:space="preserve"> </w:t>
      </w:r>
      <w:r>
        <w:rPr>
          <w:rFonts w:eastAsia="Calibri" w:cs="Arial"/>
          <w:color w:val="000000"/>
          <w:szCs w:val="22"/>
          <w:lang w:bidi="ar-SA"/>
        </w:rPr>
        <w:t>specification</w:t>
      </w:r>
      <w:r w:rsidRPr="002A13BC">
        <w:rPr>
          <w:rFonts w:eastAsia="Calibri" w:cs="Arial"/>
          <w:color w:val="000000"/>
          <w:szCs w:val="22"/>
          <w:lang w:bidi="ar-SA"/>
        </w:rPr>
        <w:t xml:space="preserve"> by reference to </w:t>
      </w:r>
      <w:r>
        <w:rPr>
          <w:rFonts w:eastAsia="Calibri" w:cs="Arial"/>
          <w:color w:val="000000"/>
          <w:szCs w:val="22"/>
          <w:lang w:bidi="ar-SA"/>
        </w:rPr>
        <w:t>a specific document</w:t>
      </w:r>
      <w:r w:rsidRPr="002A13BC">
        <w:rPr>
          <w:rFonts w:eastAsia="Calibri" w:cs="Arial"/>
          <w:color w:val="000000"/>
          <w:szCs w:val="22"/>
          <w:lang w:bidi="ar-SA"/>
        </w:rPr>
        <w:t xml:space="preserve"> in force or existing at the commencement of the variation.</w:t>
      </w:r>
    </w:p>
    <w:p w14:paraId="415623AA" w14:textId="77777777" w:rsidR="00422107" w:rsidRPr="002A13BC" w:rsidRDefault="00422107" w:rsidP="00422107">
      <w:pPr>
        <w:widowControl/>
        <w:autoSpaceDE w:val="0"/>
        <w:autoSpaceDN w:val="0"/>
        <w:adjustRightInd w:val="0"/>
        <w:rPr>
          <w:rFonts w:eastAsia="Calibri" w:cs="Arial"/>
          <w:color w:val="000000"/>
          <w:szCs w:val="22"/>
          <w:lang w:bidi="ar-SA"/>
        </w:rPr>
      </w:pPr>
    </w:p>
    <w:p w14:paraId="20A309A0" w14:textId="0D8CC113" w:rsidR="00422107" w:rsidRPr="002A13BC" w:rsidRDefault="00422107" w:rsidP="00422107">
      <w:pPr>
        <w:widowControl/>
        <w:autoSpaceDE w:val="0"/>
        <w:autoSpaceDN w:val="0"/>
        <w:adjustRightInd w:val="0"/>
        <w:rPr>
          <w:rFonts w:eastAsia="Calibri" w:cs="Arial"/>
          <w:color w:val="000000"/>
          <w:szCs w:val="22"/>
          <w:lang w:bidi="ar-SA"/>
        </w:rPr>
      </w:pPr>
      <w:r>
        <w:rPr>
          <w:rFonts w:eastAsia="Calibri" w:cs="Arial"/>
          <w:bCs/>
          <w:color w:val="000000"/>
          <w:szCs w:val="22"/>
          <w:lang w:val="en-AU" w:bidi="ar-SA"/>
        </w:rPr>
        <w:t xml:space="preserve">The incorporated specification is an </w:t>
      </w:r>
      <w:r w:rsidRPr="00580804">
        <w:t xml:space="preserve">extraction regime </w:t>
      </w:r>
      <w:r>
        <w:t>described</w:t>
      </w:r>
      <w:r w:rsidRPr="002A13BC">
        <w:rPr>
          <w:rFonts w:eastAsia="Calibri" w:cs="Arial"/>
          <w:bCs/>
          <w:color w:val="000000"/>
          <w:szCs w:val="22"/>
          <w:lang w:val="en-AU" w:bidi="ar-SA"/>
        </w:rPr>
        <w:t xml:space="preserve"> in the </w:t>
      </w:r>
      <w:r>
        <w:rPr>
          <w:rFonts w:eastAsia="Calibri" w:cs="Arial"/>
          <w:bCs/>
          <w:color w:val="000000"/>
          <w:szCs w:val="22"/>
          <w:lang w:val="en-AU" w:bidi="ar-SA"/>
        </w:rPr>
        <w:t>2014 compilation of the United States Code of Federal Regulation. The latter is</w:t>
      </w:r>
      <w:r w:rsidRPr="002A13BC">
        <w:rPr>
          <w:rFonts w:eastAsia="Calibri" w:cs="Arial"/>
          <w:color w:val="000000"/>
          <w:szCs w:val="22"/>
          <w:lang w:bidi="ar-SA"/>
        </w:rPr>
        <w:t xml:space="preserve"> referred to in order to provide technical detail</w:t>
      </w:r>
      <w:r w:rsidRPr="002A13BC">
        <w:rPr>
          <w:rFonts w:eastAsia="Calibri" w:cs="Arial"/>
          <w:bCs/>
          <w:color w:val="000000"/>
          <w:szCs w:val="22"/>
          <w:lang w:val="en-AU" w:bidi="ar-SA"/>
        </w:rPr>
        <w:t xml:space="preserve"> </w:t>
      </w:r>
      <w:r>
        <w:rPr>
          <w:rFonts w:eastAsia="Calibri" w:cs="Arial"/>
          <w:bCs/>
          <w:color w:val="000000"/>
          <w:szCs w:val="22"/>
          <w:lang w:val="en-AU" w:bidi="ar-SA"/>
        </w:rPr>
        <w:t xml:space="preserve">required </w:t>
      </w:r>
      <w:r w:rsidRPr="002A13BC">
        <w:rPr>
          <w:rFonts w:eastAsia="Calibri" w:cs="Arial"/>
          <w:color w:val="000000"/>
          <w:szCs w:val="22"/>
          <w:lang w:bidi="ar-SA"/>
        </w:rPr>
        <w:t xml:space="preserve">to support the provisions of the Code. </w:t>
      </w:r>
      <w:r>
        <w:rPr>
          <w:rFonts w:eastAsia="Calibri" w:cs="Arial"/>
          <w:color w:val="000000"/>
          <w:szCs w:val="22"/>
          <w:lang w:bidi="ar-SA"/>
        </w:rPr>
        <w:t xml:space="preserve">This reference </w:t>
      </w:r>
      <w:r w:rsidRPr="002A13BC">
        <w:rPr>
          <w:rFonts w:eastAsia="Calibri" w:cs="Arial"/>
          <w:color w:val="000000"/>
          <w:szCs w:val="22"/>
          <w:lang w:bidi="ar-SA"/>
        </w:rPr>
        <w:t xml:space="preserve">by incorporation </w:t>
      </w:r>
      <w:r>
        <w:rPr>
          <w:rFonts w:eastAsia="Calibri" w:cs="Arial"/>
          <w:color w:val="000000"/>
          <w:szCs w:val="22"/>
          <w:lang w:bidi="ar-SA"/>
        </w:rPr>
        <w:t>is</w:t>
      </w:r>
      <w:r w:rsidRPr="002A13BC">
        <w:rPr>
          <w:rFonts w:eastAsia="Calibri" w:cs="Arial"/>
          <w:color w:val="000000"/>
          <w:szCs w:val="22"/>
          <w:lang w:bidi="ar-SA"/>
        </w:rPr>
        <w:t xml:space="preserve"> consistent with the current</w:t>
      </w:r>
      <w:r w:rsidRPr="002A13BC">
        <w:rPr>
          <w:rFonts w:eastAsia="Calibri" w:cs="Arial"/>
          <w:bCs/>
          <w:color w:val="000000"/>
          <w:szCs w:val="22"/>
          <w:lang w:val="en-AU" w:bidi="ar-SA"/>
        </w:rPr>
        <w:t xml:space="preserve"> </w:t>
      </w:r>
      <w:r w:rsidRPr="002A13BC">
        <w:rPr>
          <w:rFonts w:eastAsia="Calibri" w:cs="Arial"/>
          <w:color w:val="000000"/>
          <w:szCs w:val="22"/>
          <w:lang w:bidi="ar-SA"/>
        </w:rPr>
        <w:t xml:space="preserve">practice in the Code, particularly </w:t>
      </w:r>
      <w:r w:rsidRPr="002A13BC">
        <w:rPr>
          <w:rFonts w:eastAsia="Calibri" w:cs="Arial"/>
          <w:bCs/>
          <w:color w:val="000000"/>
          <w:szCs w:val="22"/>
          <w:lang w:val="en-AU" w:bidi="ar-SA"/>
        </w:rPr>
        <w:t xml:space="preserve">Schedule 3 which itself already </w:t>
      </w:r>
      <w:r w:rsidRPr="002A13BC">
        <w:rPr>
          <w:rFonts w:eastAsia="Calibri" w:cs="Arial"/>
          <w:color w:val="000000"/>
          <w:szCs w:val="22"/>
          <w:lang w:bidi="ar-SA"/>
        </w:rPr>
        <w:t xml:space="preserve">incorporates </w:t>
      </w:r>
      <w:r>
        <w:rPr>
          <w:rFonts w:eastAsia="Calibri" w:cs="Arial"/>
          <w:color w:val="000000"/>
          <w:szCs w:val="22"/>
          <w:lang w:bidi="ar-SA"/>
        </w:rPr>
        <w:t>the same document</w:t>
      </w:r>
      <w:r>
        <w:rPr>
          <w:rFonts w:eastAsia="Calibri" w:cs="Arial"/>
          <w:bCs/>
          <w:color w:val="000000"/>
          <w:szCs w:val="22"/>
          <w:lang w:val="en-AU" w:bidi="ar-SA"/>
        </w:rPr>
        <w:t xml:space="preserve"> </w:t>
      </w:r>
      <w:r w:rsidRPr="002A13BC">
        <w:rPr>
          <w:rFonts w:eastAsia="Calibri" w:cs="Arial"/>
          <w:color w:val="000000"/>
          <w:szCs w:val="22"/>
          <w:lang w:bidi="ar-SA"/>
        </w:rPr>
        <w:t>by reference</w:t>
      </w:r>
      <w:r w:rsidRPr="002A13BC">
        <w:rPr>
          <w:rFonts w:eastAsia="Calibri" w:cs="Arial"/>
          <w:bCs/>
          <w:color w:val="000000"/>
          <w:szCs w:val="22"/>
          <w:lang w:val="en-AU" w:bidi="ar-SA"/>
        </w:rPr>
        <w:t>.</w:t>
      </w:r>
    </w:p>
    <w:p w14:paraId="72B1D23A" w14:textId="46FE7936" w:rsidR="00AB0275" w:rsidRDefault="00AB0275" w:rsidP="006E5AC2">
      <w:pPr>
        <w:widowControl/>
        <w:autoSpaceDE w:val="0"/>
        <w:autoSpaceDN w:val="0"/>
        <w:adjustRightInd w:val="0"/>
        <w:rPr>
          <w:lang w:val="en-AU" w:eastAsia="en-GB" w:bidi="ar-SA"/>
        </w:rPr>
      </w:pPr>
    </w:p>
    <w:p w14:paraId="2ADB02C4"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F05F13F" w14:textId="77777777" w:rsidR="00AB0275" w:rsidRDefault="00AB0275" w:rsidP="00AB0275">
      <w:pPr>
        <w:rPr>
          <w:lang w:val="en-AU" w:eastAsia="en-GB" w:bidi="ar-SA"/>
        </w:rPr>
      </w:pPr>
    </w:p>
    <w:p w14:paraId="661919A6" w14:textId="50AE2671" w:rsidR="00345928" w:rsidRPr="00E967A2" w:rsidRDefault="00AB0275" w:rsidP="00345928">
      <w:pPr>
        <w:rPr>
          <w:lang w:val="en-AU"/>
        </w:rPr>
      </w:pPr>
      <w:r w:rsidRPr="00F634A1">
        <w:rPr>
          <w:szCs w:val="22"/>
        </w:rPr>
        <w:t>In accordanc</w:t>
      </w:r>
      <w:r w:rsidR="00345928">
        <w:rPr>
          <w:szCs w:val="22"/>
        </w:rPr>
        <w:t xml:space="preserve">e with the procedure in Division 1 </w:t>
      </w:r>
      <w:r w:rsidRPr="00F634A1">
        <w:rPr>
          <w:szCs w:val="22"/>
        </w:rPr>
        <w:t xml:space="preserve">of Part </w:t>
      </w:r>
      <w:r w:rsidR="00345928">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00345928">
        <w:rPr>
          <w:szCs w:val="22"/>
        </w:rPr>
        <w:t>Application A11</w:t>
      </w:r>
      <w:r w:rsidR="007B20BD">
        <w:rPr>
          <w:szCs w:val="22"/>
        </w:rPr>
        <w:t>20</w:t>
      </w:r>
      <w:r w:rsidRPr="00D06616">
        <w:rPr>
          <w:color w:val="FF0000"/>
          <w:szCs w:val="22"/>
        </w:rPr>
        <w:t xml:space="preserve"> </w:t>
      </w:r>
      <w:r>
        <w:rPr>
          <w:szCs w:val="22"/>
        </w:rPr>
        <w:t xml:space="preserve">will </w:t>
      </w:r>
      <w:r w:rsidRPr="00345928">
        <w:rPr>
          <w:szCs w:val="22"/>
        </w:rPr>
        <w:t>include one round of public consultation following an assessment and the preparation of a draft Standard and associated report</w:t>
      </w:r>
      <w:r w:rsidR="00345928">
        <w:rPr>
          <w:szCs w:val="22"/>
        </w:rPr>
        <w:t xml:space="preserve">. </w:t>
      </w:r>
      <w:r w:rsidR="00345928" w:rsidRPr="0057496B">
        <w:rPr>
          <w:szCs w:val="22"/>
        </w:rPr>
        <w:t xml:space="preserve">A call for </w:t>
      </w:r>
      <w:r w:rsidR="00345928" w:rsidRPr="00E967A2">
        <w:rPr>
          <w:szCs w:val="22"/>
        </w:rPr>
        <w:t>submissions (including the draft variation) will occur for a six-week consultation period.</w:t>
      </w:r>
    </w:p>
    <w:p w14:paraId="5B8A9222" w14:textId="77777777" w:rsidR="00AB0275" w:rsidRDefault="00AB0275" w:rsidP="00AB0275">
      <w:pPr>
        <w:rPr>
          <w:color w:val="FF0000"/>
        </w:rPr>
      </w:pPr>
    </w:p>
    <w:p w14:paraId="773DC481" w14:textId="0455CBCC" w:rsidR="00AB0275" w:rsidRPr="00345928" w:rsidRDefault="00AB0275" w:rsidP="00AB0275">
      <w:pPr>
        <w:widowControl/>
        <w:autoSpaceDE w:val="0"/>
        <w:autoSpaceDN w:val="0"/>
        <w:adjustRightInd w:val="0"/>
        <w:rPr>
          <w:rFonts w:cs="Arial"/>
          <w:szCs w:val="22"/>
        </w:rPr>
      </w:pPr>
      <w:r w:rsidRPr="00345928">
        <w:rPr>
          <w:rFonts w:eastAsia="Calibri" w:cs="Arial"/>
          <w:bCs/>
          <w:szCs w:val="22"/>
          <w:lang w:val="en-AU" w:bidi="ar-SA"/>
        </w:rPr>
        <w:t xml:space="preserve">A Regulation Impact Statement was not required because the proposed variation to </w:t>
      </w:r>
      <w:r w:rsidR="00345928" w:rsidRPr="00345928">
        <w:rPr>
          <w:rFonts w:eastAsia="Calibri" w:cs="Arial"/>
          <w:bCs/>
          <w:szCs w:val="22"/>
          <w:lang w:val="en-AU" w:bidi="ar-SA"/>
        </w:rPr>
        <w:t xml:space="preserve">Schedule 18 </w:t>
      </w:r>
      <w:r w:rsidR="007B20BD">
        <w:rPr>
          <w:rFonts w:eastAsia="Calibri" w:cs="Arial"/>
          <w:bCs/>
          <w:szCs w:val="22"/>
          <w:lang w:val="en-AU" w:bidi="ar-SA"/>
        </w:rPr>
        <w:t xml:space="preserve">and Schedule 3 </w:t>
      </w:r>
      <w:r w:rsidR="00345928" w:rsidRPr="00345928">
        <w:rPr>
          <w:rFonts w:eastAsia="Calibri" w:cs="Arial"/>
          <w:bCs/>
          <w:szCs w:val="22"/>
          <w:lang w:val="en-AU" w:bidi="ar-SA"/>
        </w:rPr>
        <w:t>is</w:t>
      </w:r>
      <w:r w:rsidRPr="00345928">
        <w:t xml:space="preserve"> likely to have a minor impact on business and individuals. </w:t>
      </w:r>
    </w:p>
    <w:p w14:paraId="17A8907C" w14:textId="77777777" w:rsidR="00AB0275" w:rsidRPr="00345928" w:rsidRDefault="00AB0275" w:rsidP="00AB0275">
      <w:pPr>
        <w:widowControl/>
        <w:rPr>
          <w:rFonts w:eastAsiaTheme="minorHAnsi" w:cs="Arial"/>
          <w:b/>
          <w:bCs/>
          <w:szCs w:val="22"/>
          <w:lang w:val="en-AU" w:bidi="ar-SA"/>
        </w:rPr>
      </w:pPr>
    </w:p>
    <w:p w14:paraId="34790E98" w14:textId="77777777" w:rsidR="003C5407" w:rsidRDefault="003C5407" w:rsidP="00AB0275">
      <w:pPr>
        <w:widowControl/>
        <w:rPr>
          <w:rFonts w:eastAsiaTheme="minorHAnsi" w:cs="Arial"/>
          <w:b/>
          <w:bCs/>
          <w:szCs w:val="22"/>
          <w:lang w:val="en-AU" w:bidi="ar-SA"/>
        </w:rPr>
      </w:pPr>
      <w:r>
        <w:rPr>
          <w:rFonts w:eastAsiaTheme="minorHAnsi" w:cs="Arial"/>
          <w:b/>
          <w:bCs/>
          <w:szCs w:val="22"/>
          <w:lang w:val="en-AU" w:bidi="ar-SA"/>
        </w:rPr>
        <w:br w:type="page"/>
      </w:r>
    </w:p>
    <w:p w14:paraId="38BBB60C" w14:textId="4F5CC186" w:rsidR="00AB0275" w:rsidRDefault="00AB0275" w:rsidP="00AB027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1443AB66" w14:textId="77777777" w:rsidR="00AB0275" w:rsidRDefault="00AB0275" w:rsidP="00AB0275">
      <w:pPr>
        <w:rPr>
          <w:rFonts w:eastAsiaTheme="minorHAnsi"/>
          <w:lang w:val="en-AU" w:bidi="ar-SA"/>
        </w:rPr>
      </w:pPr>
    </w:p>
    <w:p w14:paraId="03133503"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2E5561C" w14:textId="77777777" w:rsidR="00AB0275" w:rsidRDefault="00AB0275" w:rsidP="00AB0275">
      <w:pPr>
        <w:rPr>
          <w:rFonts w:eastAsiaTheme="minorHAnsi"/>
          <w:lang w:val="en-AU" w:bidi="ar-SA"/>
        </w:rPr>
      </w:pPr>
    </w:p>
    <w:p w14:paraId="0325357D"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581A133" w14:textId="77777777" w:rsidR="00AB0275" w:rsidRPr="00AD344F" w:rsidRDefault="00AB0275" w:rsidP="00AB0275">
      <w:pPr>
        <w:rPr>
          <w:b/>
        </w:rPr>
      </w:pPr>
    </w:p>
    <w:p w14:paraId="2B1FC227" w14:textId="582E747C" w:rsidR="00C56DBB" w:rsidRPr="00620214" w:rsidRDefault="00C56DBB" w:rsidP="00C56DBB">
      <w:pPr>
        <w:rPr>
          <w:b/>
          <w:i/>
        </w:rPr>
      </w:pPr>
      <w:r w:rsidRPr="00620214">
        <w:rPr>
          <w:b/>
          <w:i/>
        </w:rPr>
        <w:t>6.</w:t>
      </w:r>
      <w:r>
        <w:rPr>
          <w:b/>
          <w:i/>
        </w:rPr>
        <w:t>1</w:t>
      </w:r>
      <w:r w:rsidRPr="00620214">
        <w:rPr>
          <w:b/>
          <w:i/>
        </w:rPr>
        <w:tab/>
        <w:t>Variation to Schedule 3</w:t>
      </w:r>
    </w:p>
    <w:p w14:paraId="7C6820B1" w14:textId="77777777" w:rsidR="00C56DBB" w:rsidRDefault="00C56DBB" w:rsidP="00C56DBB"/>
    <w:p w14:paraId="647344FC" w14:textId="02F2A930" w:rsidR="00692945" w:rsidRDefault="00692945" w:rsidP="00277C13">
      <w:r>
        <w:t>Item [1] varies Schedule 3.</w:t>
      </w:r>
    </w:p>
    <w:p w14:paraId="7793B425" w14:textId="77777777" w:rsidR="006E5AC2" w:rsidRDefault="006E5AC2" w:rsidP="00277C13"/>
    <w:p w14:paraId="6FC3315F" w14:textId="77C57BA6" w:rsidR="00692945" w:rsidRDefault="00692945" w:rsidP="00277C13">
      <w:proofErr w:type="spellStart"/>
      <w:r>
        <w:t>Subitem</w:t>
      </w:r>
      <w:proofErr w:type="spellEnd"/>
      <w:r>
        <w:t xml:space="preserve"> [1.1] </w:t>
      </w:r>
      <w:r w:rsidRPr="00692945">
        <w:t>omits the words “agarose ion exchange resin” from the table to subsection S3—2(2)</w:t>
      </w:r>
      <w:r>
        <w:t>,</w:t>
      </w:r>
      <w:r w:rsidRPr="00692945">
        <w:t xml:space="preserve"> and substitutes those words with “amine agarose ion exchange resin”.</w:t>
      </w:r>
    </w:p>
    <w:p w14:paraId="5F10EB84" w14:textId="77777777" w:rsidR="00692945" w:rsidRDefault="00692945" w:rsidP="00277C13"/>
    <w:p w14:paraId="05FB1827" w14:textId="7FC4365B" w:rsidR="00692945" w:rsidRDefault="00692945" w:rsidP="00277C13">
      <w:proofErr w:type="spellStart"/>
      <w:r>
        <w:t>Subitem</w:t>
      </w:r>
      <w:proofErr w:type="spellEnd"/>
      <w:r>
        <w:t xml:space="preserve"> [1.2] inserts </w:t>
      </w:r>
      <w:r w:rsidR="004C240B">
        <w:t xml:space="preserve">a </w:t>
      </w:r>
      <w:r w:rsidR="00F8308D">
        <w:t xml:space="preserve">reference to </w:t>
      </w:r>
      <w:r w:rsidR="004C240B">
        <w:t>“</w:t>
      </w:r>
      <w:proofErr w:type="spellStart"/>
      <w:r w:rsidR="004C240B">
        <w:t>sulphonate</w:t>
      </w:r>
      <w:proofErr w:type="spellEnd"/>
      <w:r w:rsidR="004C240B">
        <w:t xml:space="preserve"> agarose ion exchange resin” </w:t>
      </w:r>
      <w:r>
        <w:t>in</w:t>
      </w:r>
      <w:r w:rsidR="00F8308D">
        <w:t>to</w:t>
      </w:r>
      <w:r>
        <w:t xml:space="preserve"> the table to subsection </w:t>
      </w:r>
      <w:r w:rsidRPr="00692945">
        <w:t>S3—2(2) in alphabetical order</w:t>
      </w:r>
      <w:r w:rsidR="00D336B6">
        <w:t>,</w:t>
      </w:r>
      <w:r>
        <w:t xml:space="preserve"> </w:t>
      </w:r>
      <w:r w:rsidR="003505C6">
        <w:t xml:space="preserve">together with </w:t>
      </w:r>
      <w:r w:rsidR="005B67D1">
        <w:t xml:space="preserve">a reference to the provision </w:t>
      </w:r>
      <w:r w:rsidR="00F8308D">
        <w:t xml:space="preserve">that </w:t>
      </w:r>
      <w:r w:rsidR="005B67D1">
        <w:t>set</w:t>
      </w:r>
      <w:r w:rsidR="00F8308D">
        <w:t>s</w:t>
      </w:r>
      <w:r w:rsidR="005B67D1">
        <w:t xml:space="preserve"> </w:t>
      </w:r>
      <w:r w:rsidR="00F8308D">
        <w:t>a</w:t>
      </w:r>
      <w:r w:rsidR="005B67D1">
        <w:t xml:space="preserve"> specification</w:t>
      </w:r>
      <w:r w:rsidR="003505C6">
        <w:t xml:space="preserve"> </w:t>
      </w:r>
      <w:r w:rsidR="00F8308D">
        <w:t xml:space="preserve">for that substance </w:t>
      </w:r>
      <w:r w:rsidR="003505C6">
        <w:t>(</w:t>
      </w:r>
      <w:r w:rsidR="005B67D1">
        <w:t>“</w:t>
      </w:r>
      <w:r w:rsidR="003505C6">
        <w:t>section S3</w:t>
      </w:r>
      <w:r w:rsidR="003505C6" w:rsidRPr="00692945">
        <w:t>—</w:t>
      </w:r>
      <w:r w:rsidR="003505C6">
        <w:t>34</w:t>
      </w:r>
      <w:r w:rsidR="005B67D1">
        <w:t>”</w:t>
      </w:r>
      <w:r w:rsidR="003505C6">
        <w:t>)</w:t>
      </w:r>
      <w:r>
        <w:t>.</w:t>
      </w:r>
    </w:p>
    <w:p w14:paraId="3EB72ECA" w14:textId="77777777" w:rsidR="00692945" w:rsidRDefault="00692945" w:rsidP="00277C13"/>
    <w:p w14:paraId="2B7390C8" w14:textId="7726262F" w:rsidR="00692945" w:rsidRDefault="00692945" w:rsidP="00277C13">
      <w:proofErr w:type="spellStart"/>
      <w:r>
        <w:t>Subitem</w:t>
      </w:r>
      <w:proofErr w:type="spellEnd"/>
      <w:r>
        <w:t xml:space="preserve"> [1.3] omits</w:t>
      </w:r>
      <w:r w:rsidRPr="00692945">
        <w:t xml:space="preserve"> the words “agarose ion exchange resin” from the heading to section S3—6, </w:t>
      </w:r>
      <w:r>
        <w:t xml:space="preserve">and substitutes those words with </w:t>
      </w:r>
      <w:r w:rsidRPr="00692945">
        <w:t>“amine agarose ion exchange resin”</w:t>
      </w:r>
    </w:p>
    <w:p w14:paraId="11199F3A" w14:textId="77777777" w:rsidR="00ED6E95" w:rsidRDefault="00ED6E95" w:rsidP="00277C13"/>
    <w:p w14:paraId="1EFE2CA5" w14:textId="3B7FD309" w:rsidR="00ED6E95" w:rsidRPr="006E5AC2" w:rsidRDefault="00ED6E95" w:rsidP="00277C13">
      <w:pPr>
        <w:rPr>
          <w:szCs w:val="22"/>
        </w:rPr>
      </w:pPr>
      <w:proofErr w:type="spellStart"/>
      <w:r>
        <w:t>Subitem</w:t>
      </w:r>
      <w:proofErr w:type="spellEnd"/>
      <w:r>
        <w:t xml:space="preserve"> [1.4] inserts </w:t>
      </w:r>
      <w:r w:rsidR="00951A22">
        <w:t>new</w:t>
      </w:r>
      <w:r w:rsidR="00951A22" w:rsidRPr="00ED6E95">
        <w:t xml:space="preserve"> </w:t>
      </w:r>
      <w:r w:rsidRPr="00ED6E95">
        <w:t>section S3—</w:t>
      </w:r>
      <w:r w:rsidR="00951A22" w:rsidRPr="00ED6E95">
        <w:t>3</w:t>
      </w:r>
      <w:r w:rsidR="00951A22">
        <w:t xml:space="preserve">4, which sets </w:t>
      </w:r>
      <w:r>
        <w:t xml:space="preserve">a specification for a </w:t>
      </w:r>
      <w:proofErr w:type="spellStart"/>
      <w:r>
        <w:t>sulphonate</w:t>
      </w:r>
      <w:proofErr w:type="spellEnd"/>
      <w:r>
        <w:t xml:space="preserve"> agarose ion exchange resin.</w:t>
      </w:r>
      <w:r w:rsidR="00422107">
        <w:t xml:space="preserve"> </w:t>
      </w:r>
      <w:r w:rsidR="00422107" w:rsidRPr="006E5AC2">
        <w:rPr>
          <w:szCs w:val="22"/>
        </w:rPr>
        <w:t xml:space="preserve">The new section is numbered S3—34 to take account of </w:t>
      </w:r>
      <w:r w:rsidR="004B28D6">
        <w:rPr>
          <w:szCs w:val="22"/>
        </w:rPr>
        <w:t>other</w:t>
      </w:r>
      <w:r w:rsidR="00422107">
        <w:rPr>
          <w:szCs w:val="22"/>
        </w:rPr>
        <w:t xml:space="preserve"> variation</w:t>
      </w:r>
      <w:r w:rsidR="004B28D6">
        <w:rPr>
          <w:szCs w:val="22"/>
        </w:rPr>
        <w:t>s</w:t>
      </w:r>
      <w:r w:rsidR="00422107" w:rsidRPr="006E5AC2">
        <w:rPr>
          <w:szCs w:val="22"/>
        </w:rPr>
        <w:t xml:space="preserve"> </w:t>
      </w:r>
      <w:r w:rsidR="00422107">
        <w:rPr>
          <w:szCs w:val="22"/>
        </w:rPr>
        <w:t>which will insert section</w:t>
      </w:r>
      <w:r w:rsidR="004B28D6">
        <w:rPr>
          <w:szCs w:val="22"/>
        </w:rPr>
        <w:t>s</w:t>
      </w:r>
      <w:r w:rsidR="00422107">
        <w:rPr>
          <w:szCs w:val="22"/>
        </w:rPr>
        <w:t xml:space="preserve"> </w:t>
      </w:r>
      <w:r w:rsidR="004B28D6" w:rsidRPr="00ED6E95">
        <w:t>S3—3</w:t>
      </w:r>
      <w:r w:rsidR="004B28D6">
        <w:t xml:space="preserve">1 to </w:t>
      </w:r>
      <w:r w:rsidR="00422107" w:rsidRPr="00ED6E95">
        <w:t>S3—3</w:t>
      </w:r>
      <w:r w:rsidR="004B28D6">
        <w:t>3</w:t>
      </w:r>
      <w:r w:rsidR="00422107">
        <w:t xml:space="preserve"> into </w:t>
      </w:r>
      <w:r w:rsidR="00422107" w:rsidRPr="00393C25">
        <w:rPr>
          <w:szCs w:val="22"/>
        </w:rPr>
        <w:t>Schedule 3</w:t>
      </w:r>
      <w:r w:rsidR="00422107">
        <w:rPr>
          <w:szCs w:val="22"/>
        </w:rPr>
        <w:t>.</w:t>
      </w:r>
    </w:p>
    <w:p w14:paraId="13891F06" w14:textId="77777777" w:rsidR="00277C13" w:rsidRDefault="00277C13" w:rsidP="00277C13"/>
    <w:p w14:paraId="7970B412" w14:textId="4D66A387" w:rsidR="007B20BD" w:rsidRPr="0006221B" w:rsidRDefault="007B20BD" w:rsidP="007B20BD">
      <w:pPr>
        <w:keepNext/>
        <w:keepLines/>
        <w:widowControl/>
        <w:rPr>
          <w:b/>
          <w:i/>
        </w:rPr>
      </w:pPr>
      <w:r w:rsidRPr="0006221B">
        <w:rPr>
          <w:b/>
          <w:i/>
        </w:rPr>
        <w:t>6.</w:t>
      </w:r>
      <w:r w:rsidR="00C56DBB">
        <w:rPr>
          <w:b/>
          <w:i/>
        </w:rPr>
        <w:t>2</w:t>
      </w:r>
      <w:r w:rsidRPr="0006221B">
        <w:rPr>
          <w:b/>
          <w:i/>
        </w:rPr>
        <w:tab/>
        <w:t>Variation to S</w:t>
      </w:r>
      <w:r>
        <w:rPr>
          <w:b/>
          <w:i/>
        </w:rPr>
        <w:t xml:space="preserve">chedule </w:t>
      </w:r>
      <w:r w:rsidRPr="0006221B">
        <w:rPr>
          <w:b/>
          <w:i/>
        </w:rPr>
        <w:t>1</w:t>
      </w:r>
      <w:r>
        <w:rPr>
          <w:b/>
          <w:i/>
        </w:rPr>
        <w:t>8</w:t>
      </w:r>
    </w:p>
    <w:p w14:paraId="1A84DB86" w14:textId="77777777" w:rsidR="007B20BD" w:rsidRDefault="007B20BD" w:rsidP="00AB0275"/>
    <w:p w14:paraId="4EF16191" w14:textId="7E6EF489" w:rsidR="00ED6E95" w:rsidRDefault="00ED6E95" w:rsidP="00ED6E95">
      <w:r>
        <w:t>Item [2] varies Schedule 18.</w:t>
      </w:r>
    </w:p>
    <w:p w14:paraId="5B22994B" w14:textId="7615EBB7" w:rsidR="00ED6E95" w:rsidRDefault="00ED6E95" w:rsidP="00AB0275"/>
    <w:p w14:paraId="01A81C77" w14:textId="2B4E96EF" w:rsidR="00ED6E95" w:rsidRDefault="00ED6E95" w:rsidP="00AB0275">
      <w:proofErr w:type="spellStart"/>
      <w:r>
        <w:t>Subitem</w:t>
      </w:r>
      <w:proofErr w:type="spellEnd"/>
      <w:r>
        <w:t xml:space="preserve"> [2.1] omits the definition </w:t>
      </w:r>
      <w:r w:rsidRPr="00ED6E95">
        <w:t>of “agarose ion exchange resin” in subsection S18—9(2)</w:t>
      </w:r>
      <w:r>
        <w:t>.</w:t>
      </w:r>
    </w:p>
    <w:p w14:paraId="3B5447AD" w14:textId="77777777" w:rsidR="00ED6E95" w:rsidRDefault="00ED6E95" w:rsidP="00AB0275"/>
    <w:p w14:paraId="086A56CD" w14:textId="49EB305D" w:rsidR="00D336B6" w:rsidRDefault="00ED6E95" w:rsidP="00AB0275">
      <w:proofErr w:type="spellStart"/>
      <w:r>
        <w:t>Subitem</w:t>
      </w:r>
      <w:proofErr w:type="spellEnd"/>
      <w:r>
        <w:t xml:space="preserve"> [2.2] inserts </w:t>
      </w:r>
      <w:r w:rsidRPr="00ED6E95">
        <w:t>in subsection S18—9(2)</w:t>
      </w:r>
      <w:r w:rsidR="00D336B6">
        <w:t>,</w:t>
      </w:r>
      <w:r w:rsidRPr="00ED6E95">
        <w:t xml:space="preserve"> in alphabetical order</w:t>
      </w:r>
      <w:r w:rsidR="00D336B6">
        <w:t>,</w:t>
      </w:r>
      <w:r>
        <w:t xml:space="preserve"> definitions</w:t>
      </w:r>
      <w:r w:rsidR="00B029DD">
        <w:t xml:space="preserve"> for the following </w:t>
      </w:r>
      <w:r w:rsidR="00F8308D">
        <w:t xml:space="preserve">terms used in </w:t>
      </w:r>
      <w:r w:rsidR="00050ED6" w:rsidRPr="00ED6E95">
        <w:t>section S18—9</w:t>
      </w:r>
      <w:r>
        <w:t>:</w:t>
      </w:r>
    </w:p>
    <w:p w14:paraId="3552C43D" w14:textId="77777777" w:rsidR="00D336B6" w:rsidRDefault="00D336B6" w:rsidP="00AB0275"/>
    <w:p w14:paraId="0F28770F" w14:textId="012E48A0" w:rsidR="00D336B6" w:rsidRPr="00D336B6" w:rsidRDefault="00C7415D" w:rsidP="00E4060D">
      <w:pPr>
        <w:pStyle w:val="FSBullet"/>
      </w:pPr>
      <w:r>
        <w:t>“</w:t>
      </w:r>
      <w:r w:rsidR="00D336B6" w:rsidRPr="00D336B6">
        <w:t>amine agarose ion exchange resin</w:t>
      </w:r>
      <w:r>
        <w:t>”</w:t>
      </w:r>
      <w:r w:rsidR="00D336B6" w:rsidRPr="00D336B6">
        <w:t>; and</w:t>
      </w:r>
    </w:p>
    <w:p w14:paraId="1E6C38CB" w14:textId="1FAE1993" w:rsidR="00D336B6" w:rsidRPr="00D336B6" w:rsidRDefault="00C7415D" w:rsidP="00E4060D">
      <w:pPr>
        <w:pStyle w:val="FSBullet"/>
      </w:pPr>
      <w:r>
        <w:t>“</w:t>
      </w:r>
      <w:proofErr w:type="spellStart"/>
      <w:proofErr w:type="gramStart"/>
      <w:r w:rsidR="00D336B6" w:rsidRPr="00D336B6">
        <w:t>sulphonate</w:t>
      </w:r>
      <w:proofErr w:type="spellEnd"/>
      <w:proofErr w:type="gramEnd"/>
      <w:r w:rsidR="00D336B6" w:rsidRPr="00D336B6">
        <w:t xml:space="preserve"> agarose ion exchange resin</w:t>
      </w:r>
      <w:r>
        <w:t>”</w:t>
      </w:r>
      <w:r w:rsidR="00D336B6">
        <w:t>.</w:t>
      </w:r>
    </w:p>
    <w:p w14:paraId="367CF715" w14:textId="1E03BCBD" w:rsidR="00ED6E95" w:rsidRDefault="00D336B6" w:rsidP="00AB0275">
      <w:r w:rsidDel="00D336B6">
        <w:t xml:space="preserve"> </w:t>
      </w:r>
    </w:p>
    <w:p w14:paraId="731FA569" w14:textId="1C0BBCBD" w:rsidR="00ED6E95" w:rsidRDefault="00ED6E95" w:rsidP="00AB0275">
      <w:proofErr w:type="spellStart"/>
      <w:r>
        <w:t>Subitem</w:t>
      </w:r>
      <w:proofErr w:type="spellEnd"/>
      <w:r>
        <w:t xml:space="preserve"> [2.3] omits the words “</w:t>
      </w:r>
      <w:r w:rsidRPr="00ED6E95">
        <w:t xml:space="preserve">Agarose ion exchange resin” </w:t>
      </w:r>
      <w:r>
        <w:t>from</w:t>
      </w:r>
      <w:r w:rsidRPr="00ED6E95">
        <w:t xml:space="preserve"> the table to subsection S18—9(3), </w:t>
      </w:r>
      <w:r>
        <w:t>and substitutes those words with</w:t>
      </w:r>
      <w:r w:rsidRPr="00ED6E95">
        <w:t xml:space="preserve"> “Amine agarose ion exchange resin”</w:t>
      </w:r>
      <w:r>
        <w:t>.</w:t>
      </w:r>
    </w:p>
    <w:p w14:paraId="09546F83" w14:textId="77777777" w:rsidR="00ED6E95" w:rsidRDefault="00ED6E95" w:rsidP="00AB0275"/>
    <w:p w14:paraId="14347089" w14:textId="2A87DF5C" w:rsidR="00DB5EAB" w:rsidRDefault="00ED6E95" w:rsidP="00AB0275">
      <w:proofErr w:type="spellStart"/>
      <w:r>
        <w:t>Subitem</w:t>
      </w:r>
      <w:proofErr w:type="spellEnd"/>
      <w:r>
        <w:t xml:space="preserve"> [2.4] inserts</w:t>
      </w:r>
      <w:r w:rsidRPr="00ED6E95">
        <w:t xml:space="preserve"> in the table to subsection S18—9(3)</w:t>
      </w:r>
      <w:r w:rsidR="00A5518A">
        <w:t>,</w:t>
      </w:r>
      <w:r w:rsidRPr="00ED6E95">
        <w:t xml:space="preserve"> in alphabetical order</w:t>
      </w:r>
      <w:r w:rsidR="00A5518A">
        <w:t>,</w:t>
      </w:r>
      <w:r>
        <w:t xml:space="preserve"> a new entry </w:t>
      </w:r>
      <w:r w:rsidR="00A5518A">
        <w:t xml:space="preserve">for </w:t>
      </w:r>
      <w:r w:rsidR="00A30BEE">
        <w:t>“</w:t>
      </w:r>
      <w:proofErr w:type="spellStart"/>
      <w:r w:rsidR="00A30BEE">
        <w:t>S</w:t>
      </w:r>
      <w:r w:rsidR="00A5518A">
        <w:t>ulphonate</w:t>
      </w:r>
      <w:proofErr w:type="spellEnd"/>
      <w:r w:rsidR="00A5518A">
        <w:t xml:space="preserve"> a</w:t>
      </w:r>
      <w:r w:rsidR="00A5518A" w:rsidRPr="00592060">
        <w:t>garose ion exchange resin</w:t>
      </w:r>
      <w:r w:rsidR="00A30BEE">
        <w:t>”</w:t>
      </w:r>
      <w:r>
        <w:t>.</w:t>
      </w:r>
      <w:r w:rsidR="00A004BE">
        <w:t xml:space="preserve"> </w:t>
      </w:r>
      <w:r w:rsidR="00DB5EAB">
        <w:t>Th</w:t>
      </w:r>
      <w:r w:rsidR="00F8308D">
        <w:t>e effect of this amendment is</w:t>
      </w:r>
      <w:r w:rsidR="00DB5EAB">
        <w:t xml:space="preserve"> that </w:t>
      </w:r>
      <w:proofErr w:type="spellStart"/>
      <w:r w:rsidR="00DB5EAB" w:rsidRPr="00D336B6">
        <w:t>sulphonate</w:t>
      </w:r>
      <w:proofErr w:type="spellEnd"/>
      <w:r w:rsidR="00DB5EAB" w:rsidRPr="00D336B6">
        <w:t xml:space="preserve"> agarose ion exchange resin</w:t>
      </w:r>
      <w:r w:rsidR="00DB5EAB">
        <w:t xml:space="preserve"> is permitted </w:t>
      </w:r>
      <w:r w:rsidR="005C4A9C">
        <w:t xml:space="preserve">as a processing aid </w:t>
      </w:r>
      <w:r w:rsidR="00DB5EAB">
        <w:t>where</w:t>
      </w:r>
      <w:r w:rsidR="004B73C2">
        <w:t>:</w:t>
      </w:r>
    </w:p>
    <w:p w14:paraId="51A46372" w14:textId="77777777" w:rsidR="00E4060D" w:rsidRDefault="00E4060D" w:rsidP="00AB0275"/>
    <w:p w14:paraId="1B867655" w14:textId="77777777" w:rsidR="00DB5EAB" w:rsidRDefault="00DB5EAB" w:rsidP="00E4060D">
      <w:pPr>
        <w:pStyle w:val="FSBullet"/>
      </w:pPr>
      <w:r>
        <w:t>its</w:t>
      </w:r>
      <w:r w:rsidR="00A004BE">
        <w:t xml:space="preserve"> technological purpose is </w:t>
      </w:r>
      <w:r w:rsidR="00826583">
        <w:t>the p</w:t>
      </w:r>
      <w:r w:rsidR="00A004BE" w:rsidRPr="0051428E">
        <w:t xml:space="preserve">roduction of </w:t>
      </w:r>
      <w:proofErr w:type="spellStart"/>
      <w:r w:rsidR="00A004BE" w:rsidRPr="0051428E">
        <w:t>lactoferrin</w:t>
      </w:r>
      <w:proofErr w:type="spellEnd"/>
      <w:r w:rsidR="00A004BE" w:rsidRPr="0051428E">
        <w:t xml:space="preserve"> from bovine milk and milk-related products</w:t>
      </w:r>
      <w:r>
        <w:t>; and</w:t>
      </w:r>
    </w:p>
    <w:p w14:paraId="0746A7B2" w14:textId="5C6BC570" w:rsidR="00ED6E95" w:rsidRDefault="00DB5EAB" w:rsidP="00E4060D">
      <w:pPr>
        <w:pStyle w:val="FSBullet"/>
      </w:pPr>
      <w:proofErr w:type="gramStart"/>
      <w:r>
        <w:t>its</w:t>
      </w:r>
      <w:proofErr w:type="gramEnd"/>
      <w:r w:rsidR="00826583">
        <w:t xml:space="preserve"> </w:t>
      </w:r>
      <w:r>
        <w:t xml:space="preserve">maximum </w:t>
      </w:r>
      <w:r w:rsidR="003F40F7">
        <w:t xml:space="preserve">levels </w:t>
      </w:r>
      <w:r>
        <w:t xml:space="preserve">are </w:t>
      </w:r>
      <w:r w:rsidR="003F40F7">
        <w:t>consistent with good manufacturing practice or “GMP”.</w:t>
      </w:r>
      <w:r w:rsidR="00A5518A">
        <w:t xml:space="preserve"> </w:t>
      </w:r>
    </w:p>
    <w:p w14:paraId="46D1B4E7" w14:textId="77777777" w:rsidR="00ED6E95" w:rsidRDefault="00ED6E95" w:rsidP="00AB0275"/>
    <w:p w14:paraId="1C178BC8" w14:textId="222AB233" w:rsidR="0073453D" w:rsidRDefault="0073453D" w:rsidP="0073453D"/>
    <w:sectPr w:rsidR="0073453D"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313B1" w14:textId="77777777" w:rsidR="009A6308" w:rsidRDefault="009A6308">
      <w:r>
        <w:separator/>
      </w:r>
    </w:p>
  </w:endnote>
  <w:endnote w:type="continuationSeparator" w:id="0">
    <w:p w14:paraId="00217E22" w14:textId="77777777" w:rsidR="009A6308" w:rsidRDefault="009A6308">
      <w:r>
        <w:continuationSeparator/>
      </w:r>
    </w:p>
  </w:endnote>
  <w:endnote w:type="continuationNotice" w:id="1">
    <w:p w14:paraId="6AFA84FB" w14:textId="77777777" w:rsidR="009A6308" w:rsidRDefault="009A6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A3208" w14:textId="77777777" w:rsidR="00345DA8" w:rsidRDefault="00345DA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EE4AD3" w14:textId="77777777" w:rsidR="00345DA8" w:rsidRDefault="00345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6689" w14:textId="77777777" w:rsidR="00345DA8" w:rsidRDefault="00345DA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E3B">
      <w:rPr>
        <w:rStyle w:val="PageNumber"/>
        <w:noProof/>
      </w:rPr>
      <w:t>1</w:t>
    </w:r>
    <w:r>
      <w:rPr>
        <w:rStyle w:val="PageNumber"/>
      </w:rPr>
      <w:fldChar w:fldCharType="end"/>
    </w:r>
  </w:p>
  <w:p w14:paraId="4FEA7BAC" w14:textId="77777777" w:rsidR="00345DA8" w:rsidRDefault="00345DA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860" w14:textId="77777777" w:rsidR="00374DC0" w:rsidRDefault="00374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E6C15" w14:textId="77777777" w:rsidR="009A6308" w:rsidRDefault="009A6308">
      <w:r>
        <w:separator/>
      </w:r>
    </w:p>
  </w:footnote>
  <w:footnote w:type="continuationSeparator" w:id="0">
    <w:p w14:paraId="2CED723C" w14:textId="77777777" w:rsidR="009A6308" w:rsidRDefault="009A6308">
      <w:r>
        <w:continuationSeparator/>
      </w:r>
    </w:p>
  </w:footnote>
  <w:footnote w:type="continuationNotice" w:id="1">
    <w:p w14:paraId="5206F6D8" w14:textId="77777777" w:rsidR="009A6308" w:rsidRDefault="009A6308"/>
  </w:footnote>
  <w:footnote w:id="2">
    <w:p w14:paraId="03B3EC5E" w14:textId="77777777" w:rsidR="00345DA8" w:rsidRPr="008828D9" w:rsidRDefault="00345DA8"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14:paraId="60D575A0" w14:textId="77777777" w:rsidR="00345DA8" w:rsidRPr="006115C5" w:rsidRDefault="00345DA8" w:rsidP="003840D6">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7615F" w14:textId="77777777" w:rsidR="00374DC0" w:rsidRDefault="00374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13F58" w14:textId="77777777" w:rsidR="00374DC0" w:rsidRDefault="00374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8F2C1" w14:textId="77777777" w:rsidR="00345DA8" w:rsidRDefault="00345DA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F486D"/>
    <w:multiLevelType w:val="hybridMultilevel"/>
    <w:tmpl w:val="9892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AB5640"/>
    <w:multiLevelType w:val="hybridMultilevel"/>
    <w:tmpl w:val="269E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CB078D"/>
    <w:multiLevelType w:val="hybridMultilevel"/>
    <w:tmpl w:val="3ADC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5F4A58"/>
    <w:multiLevelType w:val="hybridMultilevel"/>
    <w:tmpl w:val="9A10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9"/>
  </w:num>
  <w:num w:numId="9">
    <w:abstractNumId w:val="6"/>
  </w:num>
  <w:num w:numId="10">
    <w:abstractNumId w:val="4"/>
  </w:num>
  <w:num w:numId="11">
    <w:abstractNumId w:val="3"/>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23E"/>
    <w:rsid w:val="00001CF2"/>
    <w:rsid w:val="0000247B"/>
    <w:rsid w:val="00004274"/>
    <w:rsid w:val="0000469B"/>
    <w:rsid w:val="00007710"/>
    <w:rsid w:val="00016CB6"/>
    <w:rsid w:val="000203D9"/>
    <w:rsid w:val="00022DBC"/>
    <w:rsid w:val="000257D6"/>
    <w:rsid w:val="00034F87"/>
    <w:rsid w:val="00035C9B"/>
    <w:rsid w:val="00035FF3"/>
    <w:rsid w:val="000375EA"/>
    <w:rsid w:val="00041B08"/>
    <w:rsid w:val="000427B2"/>
    <w:rsid w:val="00043BBF"/>
    <w:rsid w:val="00043C74"/>
    <w:rsid w:val="00050ED6"/>
    <w:rsid w:val="00051021"/>
    <w:rsid w:val="0005191B"/>
    <w:rsid w:val="00051ED9"/>
    <w:rsid w:val="00054A17"/>
    <w:rsid w:val="00057181"/>
    <w:rsid w:val="000574C0"/>
    <w:rsid w:val="00064B2D"/>
    <w:rsid w:val="00065CE7"/>
    <w:rsid w:val="00065F1F"/>
    <w:rsid w:val="000664EE"/>
    <w:rsid w:val="00072F23"/>
    <w:rsid w:val="0007466A"/>
    <w:rsid w:val="00076D33"/>
    <w:rsid w:val="000778D6"/>
    <w:rsid w:val="000845CF"/>
    <w:rsid w:val="00086414"/>
    <w:rsid w:val="00091CC2"/>
    <w:rsid w:val="00095A7B"/>
    <w:rsid w:val="000963B7"/>
    <w:rsid w:val="000A27E9"/>
    <w:rsid w:val="000A3D8B"/>
    <w:rsid w:val="000A5769"/>
    <w:rsid w:val="000A5DF8"/>
    <w:rsid w:val="000B2964"/>
    <w:rsid w:val="000B6AF2"/>
    <w:rsid w:val="000C2BD8"/>
    <w:rsid w:val="000D046D"/>
    <w:rsid w:val="000D295F"/>
    <w:rsid w:val="000D3EF2"/>
    <w:rsid w:val="000D6FD4"/>
    <w:rsid w:val="000E0AE4"/>
    <w:rsid w:val="000E1350"/>
    <w:rsid w:val="000E1A73"/>
    <w:rsid w:val="000E24F3"/>
    <w:rsid w:val="000E3DBC"/>
    <w:rsid w:val="000E42E1"/>
    <w:rsid w:val="000E7859"/>
    <w:rsid w:val="000F068F"/>
    <w:rsid w:val="000F49A3"/>
    <w:rsid w:val="00113CE3"/>
    <w:rsid w:val="001149A4"/>
    <w:rsid w:val="00117522"/>
    <w:rsid w:val="001278A9"/>
    <w:rsid w:val="00130A37"/>
    <w:rsid w:val="00130CC6"/>
    <w:rsid w:val="001372CF"/>
    <w:rsid w:val="0014368E"/>
    <w:rsid w:val="00153CA2"/>
    <w:rsid w:val="001542D8"/>
    <w:rsid w:val="00154757"/>
    <w:rsid w:val="00180C41"/>
    <w:rsid w:val="00182C4C"/>
    <w:rsid w:val="00185066"/>
    <w:rsid w:val="00185EA9"/>
    <w:rsid w:val="0018690C"/>
    <w:rsid w:val="0019271D"/>
    <w:rsid w:val="0019777A"/>
    <w:rsid w:val="00197D8D"/>
    <w:rsid w:val="001A1A75"/>
    <w:rsid w:val="001A3CE1"/>
    <w:rsid w:val="001A7E9A"/>
    <w:rsid w:val="001B0F20"/>
    <w:rsid w:val="001B42DD"/>
    <w:rsid w:val="001B5FBB"/>
    <w:rsid w:val="001C27A3"/>
    <w:rsid w:val="001C282C"/>
    <w:rsid w:val="001C3D2F"/>
    <w:rsid w:val="001C5295"/>
    <w:rsid w:val="001C7C30"/>
    <w:rsid w:val="001D31DD"/>
    <w:rsid w:val="001D5B4F"/>
    <w:rsid w:val="001E09FA"/>
    <w:rsid w:val="001E2F89"/>
    <w:rsid w:val="001E3158"/>
    <w:rsid w:val="001F44EC"/>
    <w:rsid w:val="001F47E3"/>
    <w:rsid w:val="001F5B9C"/>
    <w:rsid w:val="001F6B81"/>
    <w:rsid w:val="001F74B2"/>
    <w:rsid w:val="002027A5"/>
    <w:rsid w:val="00203540"/>
    <w:rsid w:val="00206742"/>
    <w:rsid w:val="00206FEE"/>
    <w:rsid w:val="00207213"/>
    <w:rsid w:val="00221D07"/>
    <w:rsid w:val="00221EC3"/>
    <w:rsid w:val="002262EB"/>
    <w:rsid w:val="00227E4A"/>
    <w:rsid w:val="002363E9"/>
    <w:rsid w:val="00236C9A"/>
    <w:rsid w:val="002432EE"/>
    <w:rsid w:val="0024582E"/>
    <w:rsid w:val="00247332"/>
    <w:rsid w:val="002547EF"/>
    <w:rsid w:val="00256BC2"/>
    <w:rsid w:val="00256D65"/>
    <w:rsid w:val="0025762B"/>
    <w:rsid w:val="00263A00"/>
    <w:rsid w:val="00263F29"/>
    <w:rsid w:val="00271F00"/>
    <w:rsid w:val="00272D82"/>
    <w:rsid w:val="00273A80"/>
    <w:rsid w:val="0027513D"/>
    <w:rsid w:val="00276026"/>
    <w:rsid w:val="00277C13"/>
    <w:rsid w:val="00281052"/>
    <w:rsid w:val="002851C8"/>
    <w:rsid w:val="00286304"/>
    <w:rsid w:val="0029082D"/>
    <w:rsid w:val="00290E58"/>
    <w:rsid w:val="0029204E"/>
    <w:rsid w:val="00294BAD"/>
    <w:rsid w:val="0029631C"/>
    <w:rsid w:val="002A0194"/>
    <w:rsid w:val="002A5F8B"/>
    <w:rsid w:val="002A7CAA"/>
    <w:rsid w:val="002A7F6C"/>
    <w:rsid w:val="002B0D8E"/>
    <w:rsid w:val="002B1802"/>
    <w:rsid w:val="002B5AB2"/>
    <w:rsid w:val="002B7F4E"/>
    <w:rsid w:val="002C0177"/>
    <w:rsid w:val="002C04F1"/>
    <w:rsid w:val="002C4A91"/>
    <w:rsid w:val="002C5196"/>
    <w:rsid w:val="002D6809"/>
    <w:rsid w:val="002E086A"/>
    <w:rsid w:val="002F0FDC"/>
    <w:rsid w:val="002F4873"/>
    <w:rsid w:val="002F6488"/>
    <w:rsid w:val="002F745A"/>
    <w:rsid w:val="003023F6"/>
    <w:rsid w:val="003067D8"/>
    <w:rsid w:val="00310E84"/>
    <w:rsid w:val="00312564"/>
    <w:rsid w:val="00315A71"/>
    <w:rsid w:val="00317134"/>
    <w:rsid w:val="003213F9"/>
    <w:rsid w:val="00323DBF"/>
    <w:rsid w:val="00325074"/>
    <w:rsid w:val="003309A8"/>
    <w:rsid w:val="0033134D"/>
    <w:rsid w:val="0033260C"/>
    <w:rsid w:val="00332B12"/>
    <w:rsid w:val="003330D7"/>
    <w:rsid w:val="0033470E"/>
    <w:rsid w:val="00334A2D"/>
    <w:rsid w:val="00336711"/>
    <w:rsid w:val="00340D96"/>
    <w:rsid w:val="00345928"/>
    <w:rsid w:val="00345DA8"/>
    <w:rsid w:val="00347935"/>
    <w:rsid w:val="003505C6"/>
    <w:rsid w:val="00350DBD"/>
    <w:rsid w:val="00351927"/>
    <w:rsid w:val="00351B07"/>
    <w:rsid w:val="00353442"/>
    <w:rsid w:val="0036268A"/>
    <w:rsid w:val="00364841"/>
    <w:rsid w:val="00366E90"/>
    <w:rsid w:val="00367EE0"/>
    <w:rsid w:val="00370240"/>
    <w:rsid w:val="00371B29"/>
    <w:rsid w:val="00372182"/>
    <w:rsid w:val="00374DC0"/>
    <w:rsid w:val="0037520F"/>
    <w:rsid w:val="00376BAD"/>
    <w:rsid w:val="003840D6"/>
    <w:rsid w:val="00385850"/>
    <w:rsid w:val="00385B9F"/>
    <w:rsid w:val="00391769"/>
    <w:rsid w:val="003953E1"/>
    <w:rsid w:val="003956B3"/>
    <w:rsid w:val="003A4659"/>
    <w:rsid w:val="003A6818"/>
    <w:rsid w:val="003A68BE"/>
    <w:rsid w:val="003A7725"/>
    <w:rsid w:val="003A7B94"/>
    <w:rsid w:val="003B1493"/>
    <w:rsid w:val="003B3C9D"/>
    <w:rsid w:val="003B78E0"/>
    <w:rsid w:val="003B7B9B"/>
    <w:rsid w:val="003C0949"/>
    <w:rsid w:val="003C2D94"/>
    <w:rsid w:val="003C4969"/>
    <w:rsid w:val="003C5407"/>
    <w:rsid w:val="003C7DD2"/>
    <w:rsid w:val="003D0F71"/>
    <w:rsid w:val="003E361A"/>
    <w:rsid w:val="003E41D5"/>
    <w:rsid w:val="003E46BA"/>
    <w:rsid w:val="003E5100"/>
    <w:rsid w:val="003E7D22"/>
    <w:rsid w:val="003F40F7"/>
    <w:rsid w:val="003F65A7"/>
    <w:rsid w:val="003F6F48"/>
    <w:rsid w:val="003F74C1"/>
    <w:rsid w:val="00402D8C"/>
    <w:rsid w:val="00405B1A"/>
    <w:rsid w:val="00407241"/>
    <w:rsid w:val="0040761E"/>
    <w:rsid w:val="0040794F"/>
    <w:rsid w:val="00407DF4"/>
    <w:rsid w:val="00410C76"/>
    <w:rsid w:val="00411907"/>
    <w:rsid w:val="00413CA8"/>
    <w:rsid w:val="0041795A"/>
    <w:rsid w:val="00417EE3"/>
    <w:rsid w:val="004207EB"/>
    <w:rsid w:val="004210E4"/>
    <w:rsid w:val="00422107"/>
    <w:rsid w:val="00423B46"/>
    <w:rsid w:val="00427CDF"/>
    <w:rsid w:val="00435FA5"/>
    <w:rsid w:val="00436B8D"/>
    <w:rsid w:val="00437276"/>
    <w:rsid w:val="00441D3B"/>
    <w:rsid w:val="004469A0"/>
    <w:rsid w:val="00447B12"/>
    <w:rsid w:val="00447E67"/>
    <w:rsid w:val="00454673"/>
    <w:rsid w:val="00454E26"/>
    <w:rsid w:val="0045556F"/>
    <w:rsid w:val="00456B54"/>
    <w:rsid w:val="00463DB7"/>
    <w:rsid w:val="00464643"/>
    <w:rsid w:val="004646F8"/>
    <w:rsid w:val="004748E6"/>
    <w:rsid w:val="00480A7E"/>
    <w:rsid w:val="00482252"/>
    <w:rsid w:val="00486793"/>
    <w:rsid w:val="00487772"/>
    <w:rsid w:val="00492A63"/>
    <w:rsid w:val="00492D5B"/>
    <w:rsid w:val="00495145"/>
    <w:rsid w:val="004A2037"/>
    <w:rsid w:val="004A3685"/>
    <w:rsid w:val="004A490E"/>
    <w:rsid w:val="004B28D6"/>
    <w:rsid w:val="004B4525"/>
    <w:rsid w:val="004B50EC"/>
    <w:rsid w:val="004B73C2"/>
    <w:rsid w:val="004C240B"/>
    <w:rsid w:val="004C2CE7"/>
    <w:rsid w:val="004D0E03"/>
    <w:rsid w:val="004D2220"/>
    <w:rsid w:val="004D30A6"/>
    <w:rsid w:val="004F4F98"/>
    <w:rsid w:val="004F69F6"/>
    <w:rsid w:val="004F79AC"/>
    <w:rsid w:val="005017CF"/>
    <w:rsid w:val="00503629"/>
    <w:rsid w:val="005057A5"/>
    <w:rsid w:val="00511D9E"/>
    <w:rsid w:val="00512290"/>
    <w:rsid w:val="005207D8"/>
    <w:rsid w:val="00521A8C"/>
    <w:rsid w:val="00521F70"/>
    <w:rsid w:val="00531774"/>
    <w:rsid w:val="005319AC"/>
    <w:rsid w:val="0053464E"/>
    <w:rsid w:val="005358B0"/>
    <w:rsid w:val="00553475"/>
    <w:rsid w:val="00553969"/>
    <w:rsid w:val="00557B0F"/>
    <w:rsid w:val="00562917"/>
    <w:rsid w:val="0056511E"/>
    <w:rsid w:val="00574E3B"/>
    <w:rsid w:val="00575E71"/>
    <w:rsid w:val="005760DD"/>
    <w:rsid w:val="005770BB"/>
    <w:rsid w:val="00577871"/>
    <w:rsid w:val="00586228"/>
    <w:rsid w:val="0059227F"/>
    <w:rsid w:val="0059498B"/>
    <w:rsid w:val="005A3A03"/>
    <w:rsid w:val="005B01E7"/>
    <w:rsid w:val="005B615C"/>
    <w:rsid w:val="005B67D1"/>
    <w:rsid w:val="005B6AF4"/>
    <w:rsid w:val="005C04CB"/>
    <w:rsid w:val="005C4A9C"/>
    <w:rsid w:val="005C71BA"/>
    <w:rsid w:val="005D16AD"/>
    <w:rsid w:val="005D72E1"/>
    <w:rsid w:val="005D7383"/>
    <w:rsid w:val="005E2F53"/>
    <w:rsid w:val="005E4EDD"/>
    <w:rsid w:val="005E6E16"/>
    <w:rsid w:val="005F3677"/>
    <w:rsid w:val="005F39CC"/>
    <w:rsid w:val="005F400E"/>
    <w:rsid w:val="005F7342"/>
    <w:rsid w:val="00603A08"/>
    <w:rsid w:val="00604B68"/>
    <w:rsid w:val="006066BC"/>
    <w:rsid w:val="00606C88"/>
    <w:rsid w:val="00607EDE"/>
    <w:rsid w:val="00610A3C"/>
    <w:rsid w:val="006169E7"/>
    <w:rsid w:val="00621922"/>
    <w:rsid w:val="00627F48"/>
    <w:rsid w:val="0063305E"/>
    <w:rsid w:val="00633726"/>
    <w:rsid w:val="00633ACA"/>
    <w:rsid w:val="006342E0"/>
    <w:rsid w:val="00642A47"/>
    <w:rsid w:val="00645924"/>
    <w:rsid w:val="00646FDD"/>
    <w:rsid w:val="00652182"/>
    <w:rsid w:val="00663FCF"/>
    <w:rsid w:val="006652A2"/>
    <w:rsid w:val="00681754"/>
    <w:rsid w:val="00681D53"/>
    <w:rsid w:val="00683E69"/>
    <w:rsid w:val="00685413"/>
    <w:rsid w:val="00692945"/>
    <w:rsid w:val="006937FF"/>
    <w:rsid w:val="006965BF"/>
    <w:rsid w:val="006A0717"/>
    <w:rsid w:val="006A48A7"/>
    <w:rsid w:val="006B3B3D"/>
    <w:rsid w:val="006B4BA1"/>
    <w:rsid w:val="006C28E2"/>
    <w:rsid w:val="006C5CF5"/>
    <w:rsid w:val="006E2C01"/>
    <w:rsid w:val="006E40DC"/>
    <w:rsid w:val="006E5AC2"/>
    <w:rsid w:val="006F081C"/>
    <w:rsid w:val="006F17A0"/>
    <w:rsid w:val="006F311A"/>
    <w:rsid w:val="006F4A82"/>
    <w:rsid w:val="00700239"/>
    <w:rsid w:val="0070373B"/>
    <w:rsid w:val="00703D0F"/>
    <w:rsid w:val="00707D57"/>
    <w:rsid w:val="00707E72"/>
    <w:rsid w:val="00707F02"/>
    <w:rsid w:val="007113EB"/>
    <w:rsid w:val="0072150F"/>
    <w:rsid w:val="00721729"/>
    <w:rsid w:val="00724FA4"/>
    <w:rsid w:val="00726C2F"/>
    <w:rsid w:val="00730800"/>
    <w:rsid w:val="0073170F"/>
    <w:rsid w:val="007344BE"/>
    <w:rsid w:val="0073453D"/>
    <w:rsid w:val="007368AB"/>
    <w:rsid w:val="00737902"/>
    <w:rsid w:val="00741EFE"/>
    <w:rsid w:val="00747EE2"/>
    <w:rsid w:val="007602AA"/>
    <w:rsid w:val="00764BB5"/>
    <w:rsid w:val="007652EF"/>
    <w:rsid w:val="0076715A"/>
    <w:rsid w:val="00772BDC"/>
    <w:rsid w:val="00773033"/>
    <w:rsid w:val="00777477"/>
    <w:rsid w:val="00780792"/>
    <w:rsid w:val="007908BA"/>
    <w:rsid w:val="007938C0"/>
    <w:rsid w:val="007A2008"/>
    <w:rsid w:val="007A44B4"/>
    <w:rsid w:val="007A7D3D"/>
    <w:rsid w:val="007B20BD"/>
    <w:rsid w:val="007B225D"/>
    <w:rsid w:val="007C174F"/>
    <w:rsid w:val="007C1C64"/>
    <w:rsid w:val="007D26BE"/>
    <w:rsid w:val="007D2F8B"/>
    <w:rsid w:val="007D3B67"/>
    <w:rsid w:val="007D40A1"/>
    <w:rsid w:val="007E2E8B"/>
    <w:rsid w:val="007E48BC"/>
    <w:rsid w:val="007E621C"/>
    <w:rsid w:val="007E63E9"/>
    <w:rsid w:val="007E79F7"/>
    <w:rsid w:val="007F0D9A"/>
    <w:rsid w:val="007F2FFD"/>
    <w:rsid w:val="007F3630"/>
    <w:rsid w:val="007F42B8"/>
    <w:rsid w:val="007F615A"/>
    <w:rsid w:val="007F632D"/>
    <w:rsid w:val="008051FC"/>
    <w:rsid w:val="00806513"/>
    <w:rsid w:val="00807559"/>
    <w:rsid w:val="008101E0"/>
    <w:rsid w:val="00813304"/>
    <w:rsid w:val="00822D20"/>
    <w:rsid w:val="00824AF7"/>
    <w:rsid w:val="0082591D"/>
    <w:rsid w:val="00826583"/>
    <w:rsid w:val="00827ED6"/>
    <w:rsid w:val="00831961"/>
    <w:rsid w:val="00832B9C"/>
    <w:rsid w:val="00834510"/>
    <w:rsid w:val="008354C6"/>
    <w:rsid w:val="00836A3E"/>
    <w:rsid w:val="008450BC"/>
    <w:rsid w:val="00851A60"/>
    <w:rsid w:val="0085334B"/>
    <w:rsid w:val="00855153"/>
    <w:rsid w:val="00867B23"/>
    <w:rsid w:val="00870214"/>
    <w:rsid w:val="00871F09"/>
    <w:rsid w:val="00875651"/>
    <w:rsid w:val="00876515"/>
    <w:rsid w:val="008828D9"/>
    <w:rsid w:val="008845A0"/>
    <w:rsid w:val="00885C51"/>
    <w:rsid w:val="00885EB0"/>
    <w:rsid w:val="0088772F"/>
    <w:rsid w:val="0089264A"/>
    <w:rsid w:val="00893E96"/>
    <w:rsid w:val="00894AFE"/>
    <w:rsid w:val="00896B85"/>
    <w:rsid w:val="00897554"/>
    <w:rsid w:val="008A22BE"/>
    <w:rsid w:val="008A3221"/>
    <w:rsid w:val="008A35FB"/>
    <w:rsid w:val="008B0075"/>
    <w:rsid w:val="008C0E7A"/>
    <w:rsid w:val="008C175C"/>
    <w:rsid w:val="008C1B36"/>
    <w:rsid w:val="008C558D"/>
    <w:rsid w:val="008C6B10"/>
    <w:rsid w:val="008D06C6"/>
    <w:rsid w:val="008D3F8A"/>
    <w:rsid w:val="008E6250"/>
    <w:rsid w:val="008E75FC"/>
    <w:rsid w:val="008F21C3"/>
    <w:rsid w:val="008F47CC"/>
    <w:rsid w:val="008F65B4"/>
    <w:rsid w:val="00902AF6"/>
    <w:rsid w:val="00913126"/>
    <w:rsid w:val="00914030"/>
    <w:rsid w:val="00920249"/>
    <w:rsid w:val="00923D96"/>
    <w:rsid w:val="00924C80"/>
    <w:rsid w:val="00932F14"/>
    <w:rsid w:val="00935EFE"/>
    <w:rsid w:val="00941BB4"/>
    <w:rsid w:val="0094247F"/>
    <w:rsid w:val="00942D60"/>
    <w:rsid w:val="00944BA4"/>
    <w:rsid w:val="00951A22"/>
    <w:rsid w:val="009543DD"/>
    <w:rsid w:val="0096523B"/>
    <w:rsid w:val="00966EE3"/>
    <w:rsid w:val="0097131D"/>
    <w:rsid w:val="00972D06"/>
    <w:rsid w:val="00972DE7"/>
    <w:rsid w:val="00981975"/>
    <w:rsid w:val="00983413"/>
    <w:rsid w:val="00983709"/>
    <w:rsid w:val="00983E77"/>
    <w:rsid w:val="0098560A"/>
    <w:rsid w:val="00995385"/>
    <w:rsid w:val="009A391C"/>
    <w:rsid w:val="009A50F2"/>
    <w:rsid w:val="009A6271"/>
    <w:rsid w:val="009A6308"/>
    <w:rsid w:val="009B305D"/>
    <w:rsid w:val="009B3C98"/>
    <w:rsid w:val="009C4322"/>
    <w:rsid w:val="009D4C2D"/>
    <w:rsid w:val="009D6386"/>
    <w:rsid w:val="009D790B"/>
    <w:rsid w:val="009E0A61"/>
    <w:rsid w:val="009E3010"/>
    <w:rsid w:val="009F007E"/>
    <w:rsid w:val="009F7065"/>
    <w:rsid w:val="00A004BE"/>
    <w:rsid w:val="00A12B44"/>
    <w:rsid w:val="00A14053"/>
    <w:rsid w:val="00A22061"/>
    <w:rsid w:val="00A30BEE"/>
    <w:rsid w:val="00A3414A"/>
    <w:rsid w:val="00A3577F"/>
    <w:rsid w:val="00A3708A"/>
    <w:rsid w:val="00A40193"/>
    <w:rsid w:val="00A4175D"/>
    <w:rsid w:val="00A45115"/>
    <w:rsid w:val="00A51AC9"/>
    <w:rsid w:val="00A54934"/>
    <w:rsid w:val="00A5518A"/>
    <w:rsid w:val="00A55221"/>
    <w:rsid w:val="00A56DC7"/>
    <w:rsid w:val="00A56E34"/>
    <w:rsid w:val="00A57962"/>
    <w:rsid w:val="00A67556"/>
    <w:rsid w:val="00A74FD1"/>
    <w:rsid w:val="00A75A2C"/>
    <w:rsid w:val="00A77209"/>
    <w:rsid w:val="00A84A58"/>
    <w:rsid w:val="00A84AF8"/>
    <w:rsid w:val="00A873F8"/>
    <w:rsid w:val="00A91DF1"/>
    <w:rsid w:val="00AA2E8C"/>
    <w:rsid w:val="00AA432C"/>
    <w:rsid w:val="00AB0275"/>
    <w:rsid w:val="00AB2648"/>
    <w:rsid w:val="00AC1E38"/>
    <w:rsid w:val="00AC299D"/>
    <w:rsid w:val="00AC3694"/>
    <w:rsid w:val="00AC5672"/>
    <w:rsid w:val="00AC73B4"/>
    <w:rsid w:val="00AC74CB"/>
    <w:rsid w:val="00AD0721"/>
    <w:rsid w:val="00AD22F9"/>
    <w:rsid w:val="00AD7A3D"/>
    <w:rsid w:val="00AE41DD"/>
    <w:rsid w:val="00AE4E6E"/>
    <w:rsid w:val="00AE766D"/>
    <w:rsid w:val="00AF06FC"/>
    <w:rsid w:val="00AF18CC"/>
    <w:rsid w:val="00AF3391"/>
    <w:rsid w:val="00AF387F"/>
    <w:rsid w:val="00AF4226"/>
    <w:rsid w:val="00AF602C"/>
    <w:rsid w:val="00B00E7F"/>
    <w:rsid w:val="00B029DD"/>
    <w:rsid w:val="00B06351"/>
    <w:rsid w:val="00B065BA"/>
    <w:rsid w:val="00B131CA"/>
    <w:rsid w:val="00B13BDB"/>
    <w:rsid w:val="00B16026"/>
    <w:rsid w:val="00B173DA"/>
    <w:rsid w:val="00B21DCC"/>
    <w:rsid w:val="00B23C8C"/>
    <w:rsid w:val="00B25F37"/>
    <w:rsid w:val="00B2776B"/>
    <w:rsid w:val="00B31E6D"/>
    <w:rsid w:val="00B34FED"/>
    <w:rsid w:val="00B40176"/>
    <w:rsid w:val="00B41178"/>
    <w:rsid w:val="00B44422"/>
    <w:rsid w:val="00B46EA0"/>
    <w:rsid w:val="00B51E03"/>
    <w:rsid w:val="00B65710"/>
    <w:rsid w:val="00B65C1B"/>
    <w:rsid w:val="00B71F51"/>
    <w:rsid w:val="00B731D3"/>
    <w:rsid w:val="00B73FB6"/>
    <w:rsid w:val="00B7443F"/>
    <w:rsid w:val="00B839A3"/>
    <w:rsid w:val="00B853D2"/>
    <w:rsid w:val="00B902BD"/>
    <w:rsid w:val="00B9694C"/>
    <w:rsid w:val="00B97BA4"/>
    <w:rsid w:val="00BA24E2"/>
    <w:rsid w:val="00BA5D61"/>
    <w:rsid w:val="00BB5930"/>
    <w:rsid w:val="00BB73D7"/>
    <w:rsid w:val="00BC2B21"/>
    <w:rsid w:val="00BC4CE3"/>
    <w:rsid w:val="00BD06B1"/>
    <w:rsid w:val="00BD2A39"/>
    <w:rsid w:val="00BD2E80"/>
    <w:rsid w:val="00BD3BE7"/>
    <w:rsid w:val="00BD48DF"/>
    <w:rsid w:val="00BE008B"/>
    <w:rsid w:val="00BE11B8"/>
    <w:rsid w:val="00BE3818"/>
    <w:rsid w:val="00BF2F35"/>
    <w:rsid w:val="00BF6A34"/>
    <w:rsid w:val="00BF7FF0"/>
    <w:rsid w:val="00C12502"/>
    <w:rsid w:val="00C1266C"/>
    <w:rsid w:val="00C135AB"/>
    <w:rsid w:val="00C13D95"/>
    <w:rsid w:val="00C14FD2"/>
    <w:rsid w:val="00C229FF"/>
    <w:rsid w:val="00C2661F"/>
    <w:rsid w:val="00C266E3"/>
    <w:rsid w:val="00C36578"/>
    <w:rsid w:val="00C36B39"/>
    <w:rsid w:val="00C40AA5"/>
    <w:rsid w:val="00C45737"/>
    <w:rsid w:val="00C46F70"/>
    <w:rsid w:val="00C476D0"/>
    <w:rsid w:val="00C51F9B"/>
    <w:rsid w:val="00C532CB"/>
    <w:rsid w:val="00C56DBB"/>
    <w:rsid w:val="00C56F71"/>
    <w:rsid w:val="00C6290E"/>
    <w:rsid w:val="00C63580"/>
    <w:rsid w:val="00C66F08"/>
    <w:rsid w:val="00C7408D"/>
    <w:rsid w:val="00C7415D"/>
    <w:rsid w:val="00C809DC"/>
    <w:rsid w:val="00C836E3"/>
    <w:rsid w:val="00C86577"/>
    <w:rsid w:val="00C87B0C"/>
    <w:rsid w:val="00C90AE6"/>
    <w:rsid w:val="00C92E07"/>
    <w:rsid w:val="00C94942"/>
    <w:rsid w:val="00C95A55"/>
    <w:rsid w:val="00C96868"/>
    <w:rsid w:val="00C96A50"/>
    <w:rsid w:val="00CA0416"/>
    <w:rsid w:val="00CA3C65"/>
    <w:rsid w:val="00CA7F35"/>
    <w:rsid w:val="00CB1375"/>
    <w:rsid w:val="00CC36E7"/>
    <w:rsid w:val="00CC560B"/>
    <w:rsid w:val="00CC75E2"/>
    <w:rsid w:val="00CD46EB"/>
    <w:rsid w:val="00CD7EBE"/>
    <w:rsid w:val="00CD7EBF"/>
    <w:rsid w:val="00CE0AEB"/>
    <w:rsid w:val="00CE25C8"/>
    <w:rsid w:val="00CE398B"/>
    <w:rsid w:val="00CE3CC8"/>
    <w:rsid w:val="00CE4397"/>
    <w:rsid w:val="00CF6AF9"/>
    <w:rsid w:val="00CF7250"/>
    <w:rsid w:val="00D0306B"/>
    <w:rsid w:val="00D032FF"/>
    <w:rsid w:val="00D04529"/>
    <w:rsid w:val="00D056F1"/>
    <w:rsid w:val="00D05B4A"/>
    <w:rsid w:val="00D062E4"/>
    <w:rsid w:val="00D11171"/>
    <w:rsid w:val="00D125A3"/>
    <w:rsid w:val="00D14405"/>
    <w:rsid w:val="00D1773D"/>
    <w:rsid w:val="00D2071E"/>
    <w:rsid w:val="00D209C9"/>
    <w:rsid w:val="00D22F3C"/>
    <w:rsid w:val="00D23DB6"/>
    <w:rsid w:val="00D26814"/>
    <w:rsid w:val="00D3022A"/>
    <w:rsid w:val="00D30DF8"/>
    <w:rsid w:val="00D3171B"/>
    <w:rsid w:val="00D336B6"/>
    <w:rsid w:val="00D33F56"/>
    <w:rsid w:val="00D34920"/>
    <w:rsid w:val="00D43FE6"/>
    <w:rsid w:val="00D45D23"/>
    <w:rsid w:val="00D46D2D"/>
    <w:rsid w:val="00D51A95"/>
    <w:rsid w:val="00D60568"/>
    <w:rsid w:val="00D613CC"/>
    <w:rsid w:val="00D66EEF"/>
    <w:rsid w:val="00D70C7A"/>
    <w:rsid w:val="00D70EB7"/>
    <w:rsid w:val="00D73931"/>
    <w:rsid w:val="00D754D8"/>
    <w:rsid w:val="00D77690"/>
    <w:rsid w:val="00D81D38"/>
    <w:rsid w:val="00D8470F"/>
    <w:rsid w:val="00D8471A"/>
    <w:rsid w:val="00D973A6"/>
    <w:rsid w:val="00DA10A8"/>
    <w:rsid w:val="00DA10BB"/>
    <w:rsid w:val="00DA2766"/>
    <w:rsid w:val="00DA36D6"/>
    <w:rsid w:val="00DB1230"/>
    <w:rsid w:val="00DB1E08"/>
    <w:rsid w:val="00DB2973"/>
    <w:rsid w:val="00DB324A"/>
    <w:rsid w:val="00DB5EAB"/>
    <w:rsid w:val="00DB7A08"/>
    <w:rsid w:val="00DC14A9"/>
    <w:rsid w:val="00DC1B56"/>
    <w:rsid w:val="00DC2129"/>
    <w:rsid w:val="00DC2EB7"/>
    <w:rsid w:val="00DC3C72"/>
    <w:rsid w:val="00DC5C16"/>
    <w:rsid w:val="00DC6570"/>
    <w:rsid w:val="00DD3C5E"/>
    <w:rsid w:val="00DE380E"/>
    <w:rsid w:val="00DE67B1"/>
    <w:rsid w:val="00DE79D9"/>
    <w:rsid w:val="00DF25C3"/>
    <w:rsid w:val="00DF2C0B"/>
    <w:rsid w:val="00DF4C93"/>
    <w:rsid w:val="00DF674A"/>
    <w:rsid w:val="00E011AD"/>
    <w:rsid w:val="00E012BE"/>
    <w:rsid w:val="00E04062"/>
    <w:rsid w:val="00E0571F"/>
    <w:rsid w:val="00E063C6"/>
    <w:rsid w:val="00E06920"/>
    <w:rsid w:val="00E15BEF"/>
    <w:rsid w:val="00E16844"/>
    <w:rsid w:val="00E16F1D"/>
    <w:rsid w:val="00E2003B"/>
    <w:rsid w:val="00E203C2"/>
    <w:rsid w:val="00E21C40"/>
    <w:rsid w:val="00E24DE8"/>
    <w:rsid w:val="00E26F7B"/>
    <w:rsid w:val="00E279D8"/>
    <w:rsid w:val="00E314E1"/>
    <w:rsid w:val="00E319B1"/>
    <w:rsid w:val="00E32F5C"/>
    <w:rsid w:val="00E40467"/>
    <w:rsid w:val="00E4060D"/>
    <w:rsid w:val="00E40ED4"/>
    <w:rsid w:val="00E44E0D"/>
    <w:rsid w:val="00E477A1"/>
    <w:rsid w:val="00E520FE"/>
    <w:rsid w:val="00E5492F"/>
    <w:rsid w:val="00E62DEF"/>
    <w:rsid w:val="00E70A86"/>
    <w:rsid w:val="00E75054"/>
    <w:rsid w:val="00E751D6"/>
    <w:rsid w:val="00E777EC"/>
    <w:rsid w:val="00E808B2"/>
    <w:rsid w:val="00E80E3C"/>
    <w:rsid w:val="00E80FCD"/>
    <w:rsid w:val="00E818EA"/>
    <w:rsid w:val="00E81F6E"/>
    <w:rsid w:val="00E86155"/>
    <w:rsid w:val="00EA7F2F"/>
    <w:rsid w:val="00EC00DE"/>
    <w:rsid w:val="00EC02C9"/>
    <w:rsid w:val="00EC30E1"/>
    <w:rsid w:val="00EC32B8"/>
    <w:rsid w:val="00ED172A"/>
    <w:rsid w:val="00ED5CEA"/>
    <w:rsid w:val="00ED6DDD"/>
    <w:rsid w:val="00ED6E95"/>
    <w:rsid w:val="00EE0A23"/>
    <w:rsid w:val="00EE0BD8"/>
    <w:rsid w:val="00EF3D8A"/>
    <w:rsid w:val="00F05E7F"/>
    <w:rsid w:val="00F0750B"/>
    <w:rsid w:val="00F14BEC"/>
    <w:rsid w:val="00F2132A"/>
    <w:rsid w:val="00F225C5"/>
    <w:rsid w:val="00F2587A"/>
    <w:rsid w:val="00F33BB8"/>
    <w:rsid w:val="00F362C6"/>
    <w:rsid w:val="00F367E7"/>
    <w:rsid w:val="00F3715D"/>
    <w:rsid w:val="00F413B9"/>
    <w:rsid w:val="00F420C8"/>
    <w:rsid w:val="00F42937"/>
    <w:rsid w:val="00F42A4C"/>
    <w:rsid w:val="00F45D73"/>
    <w:rsid w:val="00F53B04"/>
    <w:rsid w:val="00F547B3"/>
    <w:rsid w:val="00F604DE"/>
    <w:rsid w:val="00F60A53"/>
    <w:rsid w:val="00F629DB"/>
    <w:rsid w:val="00F635EB"/>
    <w:rsid w:val="00F63B83"/>
    <w:rsid w:val="00F64653"/>
    <w:rsid w:val="00F739B3"/>
    <w:rsid w:val="00F8308D"/>
    <w:rsid w:val="00F9208C"/>
    <w:rsid w:val="00F9520E"/>
    <w:rsid w:val="00FA19DE"/>
    <w:rsid w:val="00FB09E8"/>
    <w:rsid w:val="00FB1533"/>
    <w:rsid w:val="00FB4209"/>
    <w:rsid w:val="00FB67A3"/>
    <w:rsid w:val="00FB7512"/>
    <w:rsid w:val="00FC1AED"/>
    <w:rsid w:val="00FC6E3F"/>
    <w:rsid w:val="00FD0427"/>
    <w:rsid w:val="00FD2FBE"/>
    <w:rsid w:val="00FD7547"/>
    <w:rsid w:val="00FF3953"/>
    <w:rsid w:val="00FF5F5C"/>
    <w:rsid w:val="00FF7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C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09D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721729"/>
    <w:pPr>
      <w:ind w:left="720"/>
      <w:contextualSpacing/>
    </w:pPr>
  </w:style>
  <w:style w:type="table" w:customStyle="1" w:styleId="TableGrid1">
    <w:name w:val="Table Grid1"/>
    <w:basedOn w:val="TableNormal"/>
    <w:next w:val="TableGrid"/>
    <w:rsid w:val="007217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R">
    <w:name w:val="HR"/>
    <w:aliases w:val="Regulation Heading"/>
    <w:basedOn w:val="Normal"/>
    <w:next w:val="Normal"/>
    <w:rsid w:val="00652182"/>
    <w:pPr>
      <w:keepNext/>
      <w:keepLines/>
      <w:widowControl/>
      <w:spacing w:before="360"/>
      <w:ind w:left="964" w:hanging="964"/>
    </w:pPr>
    <w:rPr>
      <w:b/>
      <w:sz w:val="24"/>
      <w:lang w:val="en-AU" w:eastAsia="en-AU" w:bidi="ar-SA"/>
    </w:rPr>
  </w:style>
  <w:style w:type="paragraph" w:styleId="Title">
    <w:name w:val="Title"/>
    <w:basedOn w:val="Normal"/>
    <w:link w:val="TitleChar"/>
    <w:uiPriority w:val="10"/>
    <w:qFormat/>
    <w:rsid w:val="00652182"/>
    <w:pPr>
      <w:tabs>
        <w:tab w:val="left" w:pos="851"/>
      </w:tabs>
      <w:jc w:val="center"/>
    </w:pPr>
    <w:rPr>
      <w:b/>
      <w:bCs/>
      <w:sz w:val="20"/>
      <w:lang w:val="en-AU" w:bidi="ar-SA"/>
    </w:rPr>
  </w:style>
  <w:style w:type="character" w:customStyle="1" w:styleId="TitleChar">
    <w:name w:val="Title Char"/>
    <w:basedOn w:val="DefaultParagraphFont"/>
    <w:link w:val="Title"/>
    <w:uiPriority w:val="10"/>
    <w:rsid w:val="00652182"/>
    <w:rPr>
      <w:rFonts w:ascii="Arial" w:hAnsi="Arial"/>
      <w:b/>
      <w:bCs/>
      <w:szCs w:val="24"/>
      <w:lang w:val="en-AU" w:eastAsia="en-US"/>
    </w:rPr>
  </w:style>
  <w:style w:type="character" w:customStyle="1" w:styleId="ClauseChar">
    <w:name w:val="Clause Char"/>
    <w:basedOn w:val="DefaultParagraphFont"/>
    <w:link w:val="Clause"/>
    <w:rsid w:val="00652182"/>
    <w:rPr>
      <w:rFonts w:ascii="Arial" w:hAnsi="Arial"/>
      <w:lang w:eastAsia="en-US" w:bidi="en-US"/>
    </w:rPr>
  </w:style>
  <w:style w:type="paragraph" w:customStyle="1" w:styleId="Scheduletitle">
    <w:name w:val="Schedule title"/>
    <w:basedOn w:val="Normal"/>
    <w:next w:val="Normal"/>
    <w:rsid w:val="00652182"/>
    <w:pPr>
      <w:keepNext/>
      <w:keepLines/>
      <w:widowControl/>
      <w:spacing w:before="480"/>
      <w:ind w:left="2410" w:hanging="2410"/>
    </w:pPr>
    <w:rPr>
      <w:b/>
      <w:sz w:val="32"/>
      <w:lang w:val="en-AU" w:eastAsia="en-AU" w:bidi="ar-SA"/>
    </w:rPr>
  </w:style>
  <w:style w:type="paragraph" w:customStyle="1" w:styleId="tbAt1Item">
    <w:name w:val="tbA_t1_Item"/>
    <w:aliases w:val="FSC_tbl_A_Main"/>
    <w:basedOn w:val="Normal"/>
    <w:qFormat/>
    <w:rsid w:val="00652182"/>
    <w:pPr>
      <w:keepLines/>
      <w:widowControl/>
      <w:spacing w:before="60" w:after="60"/>
    </w:pPr>
    <w:rPr>
      <w:rFonts w:ascii="Times New Roman" w:hAnsi="Times New Roman" w:cs="Arial"/>
      <w:iCs/>
      <w:sz w:val="20"/>
      <w:szCs w:val="22"/>
      <w:lang w:val="en-AU" w:eastAsia="en-AU" w:bidi="ar-SA"/>
    </w:rPr>
  </w:style>
  <w:style w:type="paragraph" w:customStyle="1" w:styleId="FSCh5Section">
    <w:name w:val="FSC_h5_Section"/>
    <w:basedOn w:val="Normal"/>
    <w:next w:val="FSCtMain"/>
    <w:qFormat/>
    <w:rsid w:val="00153CA2"/>
    <w:pPr>
      <w:keepNext/>
      <w:spacing w:before="240" w:after="120"/>
      <w:ind w:left="1701" w:hanging="1701"/>
      <w:outlineLvl w:val="4"/>
    </w:pPr>
    <w:rPr>
      <w:b/>
      <w:bCs/>
      <w:kern w:val="32"/>
      <w:lang w:eastAsia="en-AU" w:bidi="ar-SA"/>
    </w:rPr>
  </w:style>
  <w:style w:type="paragraph" w:customStyle="1" w:styleId="FSCtMain">
    <w:name w:val="FSC_t_Main"/>
    <w:basedOn w:val="Normal"/>
    <w:rsid w:val="00153CA2"/>
    <w:pPr>
      <w:tabs>
        <w:tab w:val="left" w:pos="1134"/>
      </w:tabs>
      <w:spacing w:before="120" w:after="120"/>
      <w:ind w:left="1701" w:hanging="1701"/>
    </w:pPr>
    <w:rPr>
      <w:rFonts w:cs="Arial"/>
      <w:iCs/>
      <w:sz w:val="20"/>
      <w:szCs w:val="22"/>
      <w:lang w:eastAsia="en-AU" w:bidi="ar-SA"/>
    </w:rPr>
  </w:style>
  <w:style w:type="paragraph" w:customStyle="1" w:styleId="FSCtPara">
    <w:name w:val="FSC_t_Para"/>
    <w:basedOn w:val="FSCtMain"/>
    <w:qFormat/>
    <w:rsid w:val="00153CA2"/>
    <w:pPr>
      <w:tabs>
        <w:tab w:val="clear" w:pos="1134"/>
        <w:tab w:val="left" w:pos="1701"/>
      </w:tabs>
      <w:spacing w:before="60" w:after="60"/>
      <w:ind w:left="2268" w:hanging="2268"/>
    </w:pPr>
  </w:style>
  <w:style w:type="paragraph" w:customStyle="1" w:styleId="FSCtDefn">
    <w:name w:val="FSC_t_Defn"/>
    <w:basedOn w:val="FSCtMain"/>
    <w:rsid w:val="00153CA2"/>
    <w:pPr>
      <w:ind w:firstLine="0"/>
    </w:pPr>
  </w:style>
  <w:style w:type="paragraph" w:customStyle="1" w:styleId="FSCtblMain">
    <w:name w:val="FSC_tbl_Main"/>
    <w:basedOn w:val="Normal"/>
    <w:rsid w:val="00153CA2"/>
    <w:pPr>
      <w:keepLines/>
      <w:widowControl/>
      <w:tabs>
        <w:tab w:val="right" w:pos="3969"/>
      </w:tabs>
      <w:spacing w:before="60" w:after="60"/>
    </w:pPr>
    <w:rPr>
      <w:rFonts w:cs="Arial"/>
      <w:sz w:val="18"/>
      <w:szCs w:val="20"/>
      <w:lang w:eastAsia="en-AU" w:bidi="ar-SA"/>
    </w:rPr>
  </w:style>
  <w:style w:type="paragraph" w:customStyle="1" w:styleId="FSCDraftingitem">
    <w:name w:val="FSC_Drafting_item"/>
    <w:basedOn w:val="Normal"/>
    <w:qFormat/>
    <w:rsid w:val="00153CA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153CA2"/>
    <w:pPr>
      <w:spacing w:before="120" w:after="120"/>
      <w:ind w:left="851" w:hanging="851"/>
    </w:pPr>
    <w:rPr>
      <w:b/>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09D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721729"/>
    <w:pPr>
      <w:ind w:left="720"/>
      <w:contextualSpacing/>
    </w:pPr>
  </w:style>
  <w:style w:type="table" w:customStyle="1" w:styleId="TableGrid1">
    <w:name w:val="Table Grid1"/>
    <w:basedOn w:val="TableNormal"/>
    <w:next w:val="TableGrid"/>
    <w:rsid w:val="007217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R">
    <w:name w:val="HR"/>
    <w:aliases w:val="Regulation Heading"/>
    <w:basedOn w:val="Normal"/>
    <w:next w:val="Normal"/>
    <w:rsid w:val="00652182"/>
    <w:pPr>
      <w:keepNext/>
      <w:keepLines/>
      <w:widowControl/>
      <w:spacing w:before="360"/>
      <w:ind w:left="964" w:hanging="964"/>
    </w:pPr>
    <w:rPr>
      <w:b/>
      <w:sz w:val="24"/>
      <w:lang w:val="en-AU" w:eastAsia="en-AU" w:bidi="ar-SA"/>
    </w:rPr>
  </w:style>
  <w:style w:type="paragraph" w:styleId="Title">
    <w:name w:val="Title"/>
    <w:basedOn w:val="Normal"/>
    <w:link w:val="TitleChar"/>
    <w:uiPriority w:val="10"/>
    <w:qFormat/>
    <w:rsid w:val="00652182"/>
    <w:pPr>
      <w:tabs>
        <w:tab w:val="left" w:pos="851"/>
      </w:tabs>
      <w:jc w:val="center"/>
    </w:pPr>
    <w:rPr>
      <w:b/>
      <w:bCs/>
      <w:sz w:val="20"/>
      <w:lang w:val="en-AU" w:bidi="ar-SA"/>
    </w:rPr>
  </w:style>
  <w:style w:type="character" w:customStyle="1" w:styleId="TitleChar">
    <w:name w:val="Title Char"/>
    <w:basedOn w:val="DefaultParagraphFont"/>
    <w:link w:val="Title"/>
    <w:uiPriority w:val="10"/>
    <w:rsid w:val="00652182"/>
    <w:rPr>
      <w:rFonts w:ascii="Arial" w:hAnsi="Arial"/>
      <w:b/>
      <w:bCs/>
      <w:szCs w:val="24"/>
      <w:lang w:val="en-AU" w:eastAsia="en-US"/>
    </w:rPr>
  </w:style>
  <w:style w:type="character" w:customStyle="1" w:styleId="ClauseChar">
    <w:name w:val="Clause Char"/>
    <w:basedOn w:val="DefaultParagraphFont"/>
    <w:link w:val="Clause"/>
    <w:rsid w:val="00652182"/>
    <w:rPr>
      <w:rFonts w:ascii="Arial" w:hAnsi="Arial"/>
      <w:lang w:eastAsia="en-US" w:bidi="en-US"/>
    </w:rPr>
  </w:style>
  <w:style w:type="paragraph" w:customStyle="1" w:styleId="Scheduletitle">
    <w:name w:val="Schedule title"/>
    <w:basedOn w:val="Normal"/>
    <w:next w:val="Normal"/>
    <w:rsid w:val="00652182"/>
    <w:pPr>
      <w:keepNext/>
      <w:keepLines/>
      <w:widowControl/>
      <w:spacing w:before="480"/>
      <w:ind w:left="2410" w:hanging="2410"/>
    </w:pPr>
    <w:rPr>
      <w:b/>
      <w:sz w:val="32"/>
      <w:lang w:val="en-AU" w:eastAsia="en-AU" w:bidi="ar-SA"/>
    </w:rPr>
  </w:style>
  <w:style w:type="paragraph" w:customStyle="1" w:styleId="tbAt1Item">
    <w:name w:val="tbA_t1_Item"/>
    <w:aliases w:val="FSC_tbl_A_Main"/>
    <w:basedOn w:val="Normal"/>
    <w:qFormat/>
    <w:rsid w:val="00652182"/>
    <w:pPr>
      <w:keepLines/>
      <w:widowControl/>
      <w:spacing w:before="60" w:after="60"/>
    </w:pPr>
    <w:rPr>
      <w:rFonts w:ascii="Times New Roman" w:hAnsi="Times New Roman" w:cs="Arial"/>
      <w:iCs/>
      <w:sz w:val="20"/>
      <w:szCs w:val="22"/>
      <w:lang w:val="en-AU" w:eastAsia="en-AU" w:bidi="ar-SA"/>
    </w:rPr>
  </w:style>
  <w:style w:type="paragraph" w:customStyle="1" w:styleId="FSCh5Section">
    <w:name w:val="FSC_h5_Section"/>
    <w:basedOn w:val="Normal"/>
    <w:next w:val="FSCtMain"/>
    <w:qFormat/>
    <w:rsid w:val="00153CA2"/>
    <w:pPr>
      <w:keepNext/>
      <w:spacing w:before="240" w:after="120"/>
      <w:ind w:left="1701" w:hanging="1701"/>
      <w:outlineLvl w:val="4"/>
    </w:pPr>
    <w:rPr>
      <w:b/>
      <w:bCs/>
      <w:kern w:val="32"/>
      <w:lang w:eastAsia="en-AU" w:bidi="ar-SA"/>
    </w:rPr>
  </w:style>
  <w:style w:type="paragraph" w:customStyle="1" w:styleId="FSCtMain">
    <w:name w:val="FSC_t_Main"/>
    <w:basedOn w:val="Normal"/>
    <w:rsid w:val="00153CA2"/>
    <w:pPr>
      <w:tabs>
        <w:tab w:val="left" w:pos="1134"/>
      </w:tabs>
      <w:spacing w:before="120" w:after="120"/>
      <w:ind w:left="1701" w:hanging="1701"/>
    </w:pPr>
    <w:rPr>
      <w:rFonts w:cs="Arial"/>
      <w:iCs/>
      <w:sz w:val="20"/>
      <w:szCs w:val="22"/>
      <w:lang w:eastAsia="en-AU" w:bidi="ar-SA"/>
    </w:rPr>
  </w:style>
  <w:style w:type="paragraph" w:customStyle="1" w:styleId="FSCtPara">
    <w:name w:val="FSC_t_Para"/>
    <w:basedOn w:val="FSCtMain"/>
    <w:qFormat/>
    <w:rsid w:val="00153CA2"/>
    <w:pPr>
      <w:tabs>
        <w:tab w:val="clear" w:pos="1134"/>
        <w:tab w:val="left" w:pos="1701"/>
      </w:tabs>
      <w:spacing w:before="60" w:after="60"/>
      <w:ind w:left="2268" w:hanging="2268"/>
    </w:pPr>
  </w:style>
  <w:style w:type="paragraph" w:customStyle="1" w:styleId="FSCtDefn">
    <w:name w:val="FSC_t_Defn"/>
    <w:basedOn w:val="FSCtMain"/>
    <w:rsid w:val="00153CA2"/>
    <w:pPr>
      <w:ind w:firstLine="0"/>
    </w:pPr>
  </w:style>
  <w:style w:type="paragraph" w:customStyle="1" w:styleId="FSCtblMain">
    <w:name w:val="FSC_tbl_Main"/>
    <w:basedOn w:val="Normal"/>
    <w:rsid w:val="00153CA2"/>
    <w:pPr>
      <w:keepLines/>
      <w:widowControl/>
      <w:tabs>
        <w:tab w:val="right" w:pos="3969"/>
      </w:tabs>
      <w:spacing w:before="60" w:after="60"/>
    </w:pPr>
    <w:rPr>
      <w:rFonts w:cs="Arial"/>
      <w:sz w:val="18"/>
      <w:szCs w:val="20"/>
      <w:lang w:eastAsia="en-AU" w:bidi="ar-SA"/>
    </w:rPr>
  </w:style>
  <w:style w:type="paragraph" w:customStyle="1" w:styleId="FSCDraftingitem">
    <w:name w:val="FSC_Drafting_item"/>
    <w:basedOn w:val="Normal"/>
    <w:qFormat/>
    <w:rsid w:val="00153CA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153CA2"/>
    <w:pPr>
      <w:spacing w:before="120" w:after="120"/>
      <w:ind w:left="851" w:hanging="851"/>
    </w:pPr>
    <w:rPr>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accessdata.fda.gov/scripts/fdcc/?set=GRASNotices&amp;id=465" TargetMode="External"/><Relationship Id="rId3" Type="http://schemas.openxmlformats.org/officeDocument/2006/relationships/styles" Target="styles.xml"/><Relationship Id="rId21" Type="http://schemas.openxmlformats.org/officeDocument/2006/relationships/hyperlink" Target="http://www.foodstandards.gov.au/code/applications/Pages/A1120AgaroseIonExchangeResinPA.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accessdata.fda.gov/scripts/fdcc/index.cfm?set=GRASNotices&amp;id=464"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eur-lex.europa.eu/legal-content/EN/TXT/?uri=uriserv:OJ.L_.2004.338.01.0004.01.ENG&amp;toc=OJ:L:2004:338:TOC"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ao.org/fao-who-codexalimentarius/procedures-strategies/procedural-manual/en/" TargetMode="External"/><Relationship Id="rId28"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org/standards/list-of-standards/" TargetMode="External"/><Relationship Id="rId27" Type="http://schemas.openxmlformats.org/officeDocument/2006/relationships/image" Target="media/image2.png"/><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6C0FCD-1460-4896-9DAB-5CAF06E20FCB}"/>
</file>

<file path=customXml/itemProps2.xml><?xml version="1.0" encoding="utf-8"?>
<ds:datastoreItem xmlns:ds="http://schemas.openxmlformats.org/officeDocument/2006/customXml" ds:itemID="{5C863908-30E1-48BE-AC8E-1951EFF8FADF}"/>
</file>

<file path=customXml/itemProps3.xml><?xml version="1.0" encoding="utf-8"?>
<ds:datastoreItem xmlns:ds="http://schemas.openxmlformats.org/officeDocument/2006/customXml" ds:itemID="{44D637CD-522A-48FC-92D8-B3279D3FD264}"/>
</file>

<file path=customXml/itemProps4.xml><?xml version="1.0" encoding="utf-8"?>
<ds:datastoreItem xmlns:ds="http://schemas.openxmlformats.org/officeDocument/2006/customXml" ds:itemID="{2E1ADAB6-7D69-4962-8D79-CDB421831F66}"/>
</file>

<file path=docProps/app.xml><?xml version="1.0" encoding="utf-8"?>
<Properties xmlns="http://schemas.openxmlformats.org/officeDocument/2006/extended-properties" xmlns:vt="http://schemas.openxmlformats.org/officeDocument/2006/docPropsVTypes">
  <Template>Normal</Template>
  <TotalTime>0</TotalTime>
  <Pages>1</Pages>
  <Words>6001</Words>
  <Characters>34207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40128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A1120-Agarose-CFS</dc:title>
  <dc:creator/>
  <cp:lastModifiedBy/>
  <cp:revision>1</cp:revision>
  <dcterms:created xsi:type="dcterms:W3CDTF">2016-02-12T00:06:00Z</dcterms:created>
  <dcterms:modified xsi:type="dcterms:W3CDTF">2016-02-12T00:10:00Z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