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A3BA6" w14:textId="5C607373" w:rsidR="00E203C2" w:rsidRDefault="00E203C2" w:rsidP="00E203C2">
      <w:r>
        <w:rPr>
          <w:noProof/>
          <w:lang w:eastAsia="en-GB" w:bidi="ar-SA"/>
        </w:rPr>
        <w:drawing>
          <wp:inline distT="0" distB="0" distL="0" distR="0" wp14:anchorId="628D6579" wp14:editId="7B39E6E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28EFFF0" w14:textId="77777777" w:rsidR="00E203C2" w:rsidRDefault="00E203C2" w:rsidP="00E203C2"/>
    <w:p w14:paraId="42FD493E" w14:textId="322EBDD3" w:rsidR="00CA641D" w:rsidRPr="00D127AE" w:rsidRDefault="00D127AE" w:rsidP="00CA641D">
      <w:pPr>
        <w:rPr>
          <w:b/>
          <w:sz w:val="28"/>
          <w:szCs w:val="28"/>
        </w:rPr>
      </w:pPr>
      <w:r w:rsidRPr="00D127AE">
        <w:rPr>
          <w:b/>
          <w:sz w:val="28"/>
          <w:szCs w:val="28"/>
        </w:rPr>
        <w:t>13 November 2018</w:t>
      </w:r>
    </w:p>
    <w:p w14:paraId="09EFAC11" w14:textId="23F10DCA" w:rsidR="00CA641D" w:rsidRPr="00D127AE" w:rsidRDefault="00D127AE" w:rsidP="00CA641D">
      <w:pPr>
        <w:rPr>
          <w:b/>
          <w:sz w:val="28"/>
          <w:szCs w:val="28"/>
        </w:rPr>
      </w:pPr>
      <w:r w:rsidRPr="00D127AE">
        <w:rPr>
          <w:b/>
          <w:sz w:val="28"/>
          <w:szCs w:val="28"/>
        </w:rPr>
        <w:t>[63-18</w:t>
      </w:r>
      <w:r w:rsidR="00CA641D" w:rsidRPr="00D127AE">
        <w:rPr>
          <w:b/>
          <w:sz w:val="28"/>
          <w:szCs w:val="28"/>
        </w:rPr>
        <w:t>]</w:t>
      </w:r>
    </w:p>
    <w:p w14:paraId="4AA8B8CE" w14:textId="77777777" w:rsidR="0057615C" w:rsidRPr="0057615C" w:rsidRDefault="0057615C" w:rsidP="00690206">
      <w:pPr>
        <w:pStyle w:val="FSTitle"/>
        <w:rPr>
          <w:b/>
          <w:sz w:val="22"/>
        </w:rPr>
      </w:pPr>
      <w:bookmarkStart w:id="0" w:name="_GoBack"/>
      <w:bookmarkEnd w:id="0"/>
    </w:p>
    <w:p w14:paraId="45C68C41" w14:textId="77777777" w:rsidR="00092CDA" w:rsidRPr="005B7A73" w:rsidRDefault="00092CDA" w:rsidP="00690206">
      <w:pPr>
        <w:pStyle w:val="FSTitle"/>
        <w:rPr>
          <w:b/>
        </w:rPr>
      </w:pPr>
      <w:r w:rsidRPr="005B7A73">
        <w:rPr>
          <w:b/>
        </w:rPr>
        <w:t>S</w:t>
      </w:r>
      <w:r w:rsidR="00B12F1E" w:rsidRPr="005B7A73">
        <w:rPr>
          <w:b/>
        </w:rPr>
        <w:t>upporting doc</w:t>
      </w:r>
      <w:r w:rsidR="00B12F1E" w:rsidRPr="00F83E70">
        <w:rPr>
          <w:b/>
        </w:rPr>
        <w:t>ument</w:t>
      </w:r>
      <w:r w:rsidRPr="00F83E70">
        <w:rPr>
          <w:b/>
        </w:rPr>
        <w:t xml:space="preserve"> </w:t>
      </w:r>
      <w:r w:rsidR="00F83E70" w:rsidRPr="00F83E70">
        <w:rPr>
          <w:b/>
        </w:rPr>
        <w:t>1</w:t>
      </w:r>
    </w:p>
    <w:p w14:paraId="6CFF7626" w14:textId="77777777" w:rsidR="00BA24E2" w:rsidRDefault="00BA24E2" w:rsidP="00E203C2"/>
    <w:p w14:paraId="1F647629" w14:textId="66DB191B" w:rsidR="00D056F1" w:rsidRPr="00F83E70" w:rsidRDefault="003C74FA" w:rsidP="00690206">
      <w:pPr>
        <w:pStyle w:val="FSTitle"/>
      </w:pPr>
      <w:r>
        <w:t>Risk and technical</w:t>
      </w:r>
      <w:r w:rsidR="00F83E70">
        <w:t xml:space="preserve"> </w:t>
      </w:r>
      <w:r w:rsidR="00F83E70" w:rsidRPr="00AC6EE5">
        <w:t>assessment</w:t>
      </w:r>
      <w:r w:rsidR="00320839" w:rsidRPr="00F83E70">
        <w:t xml:space="preserve"> </w:t>
      </w:r>
      <w:r>
        <w:t xml:space="preserve">report </w:t>
      </w:r>
      <w:r w:rsidR="006B5EBE" w:rsidRPr="00F83E70">
        <w:t xml:space="preserve">– </w:t>
      </w:r>
      <w:r w:rsidR="00D056F1" w:rsidRPr="00F83E70">
        <w:t>A</w:t>
      </w:r>
      <w:r w:rsidR="00B12F1E" w:rsidRPr="00F83E70">
        <w:t>pplication</w:t>
      </w:r>
      <w:r w:rsidR="00F83E70" w:rsidRPr="00F83E70">
        <w:t xml:space="preserve"> </w:t>
      </w:r>
      <w:r w:rsidR="00D056F1" w:rsidRPr="00F83E70">
        <w:t>A</w:t>
      </w:r>
      <w:r w:rsidR="00F83E70" w:rsidRPr="00F83E70">
        <w:t>1162</w:t>
      </w:r>
    </w:p>
    <w:p w14:paraId="6C15BB2A" w14:textId="77777777" w:rsidR="00E203C2" w:rsidRPr="00690206" w:rsidRDefault="00E203C2" w:rsidP="00690206"/>
    <w:p w14:paraId="18BA23E9" w14:textId="228BB425" w:rsidR="00F83E70" w:rsidRPr="00C32320" w:rsidRDefault="00F83E70" w:rsidP="00F83E70">
      <w:pPr>
        <w:pStyle w:val="Title"/>
        <w:jc w:val="left"/>
        <w:rPr>
          <w:rFonts w:cs="Arial"/>
          <w:b w:val="0"/>
          <w:i w:val="0"/>
          <w:iCs w:val="0"/>
          <w:sz w:val="32"/>
          <w:szCs w:val="32"/>
          <w:lang w:val="en-GB"/>
        </w:rPr>
      </w:pPr>
      <w:r>
        <w:rPr>
          <w:b w:val="0"/>
          <w:i w:val="0"/>
          <w:sz w:val="32"/>
          <w:szCs w:val="32"/>
          <w:lang w:val="en-GB"/>
        </w:rPr>
        <w:t>Triacylglycerol l</w:t>
      </w:r>
      <w:r w:rsidRPr="00C32320">
        <w:rPr>
          <w:b w:val="0"/>
          <w:i w:val="0"/>
          <w:sz w:val="32"/>
          <w:szCs w:val="32"/>
          <w:lang w:val="en-GB"/>
        </w:rPr>
        <w:t xml:space="preserve">ipase from </w:t>
      </w:r>
      <w:r w:rsidRPr="00C32320">
        <w:rPr>
          <w:b w:val="0"/>
          <w:sz w:val="32"/>
          <w:szCs w:val="32"/>
          <w:lang w:val="en-GB"/>
        </w:rPr>
        <w:t>Trichoderma reesei</w:t>
      </w:r>
      <w:r w:rsidR="0040727A">
        <w:rPr>
          <w:b w:val="0"/>
          <w:i w:val="0"/>
          <w:sz w:val="32"/>
          <w:szCs w:val="32"/>
          <w:lang w:val="en-GB"/>
        </w:rPr>
        <w:t xml:space="preserve"> as a p</w:t>
      </w:r>
      <w:r w:rsidRPr="00C32320">
        <w:rPr>
          <w:b w:val="0"/>
          <w:i w:val="0"/>
          <w:sz w:val="32"/>
          <w:szCs w:val="32"/>
          <w:lang w:val="en-GB"/>
        </w:rPr>
        <w:t xml:space="preserve">rocessing </w:t>
      </w:r>
      <w:r w:rsidR="0040727A">
        <w:rPr>
          <w:b w:val="0"/>
          <w:i w:val="0"/>
          <w:sz w:val="32"/>
          <w:szCs w:val="32"/>
          <w:lang w:val="en-GB"/>
        </w:rPr>
        <w:t>a</w:t>
      </w:r>
      <w:r w:rsidRPr="00C32320">
        <w:rPr>
          <w:b w:val="0"/>
          <w:i w:val="0"/>
          <w:sz w:val="32"/>
          <w:szCs w:val="32"/>
          <w:lang w:val="en-GB"/>
        </w:rPr>
        <w:t xml:space="preserve">id </w:t>
      </w:r>
      <w:r>
        <w:rPr>
          <w:b w:val="0"/>
          <w:i w:val="0"/>
          <w:sz w:val="32"/>
          <w:szCs w:val="32"/>
          <w:lang w:val="en-GB"/>
        </w:rPr>
        <w:t>(</w:t>
      </w:r>
      <w:r w:rsidR="0040727A">
        <w:rPr>
          <w:b w:val="0"/>
          <w:i w:val="0"/>
          <w:sz w:val="32"/>
          <w:szCs w:val="32"/>
          <w:lang w:val="en-GB"/>
        </w:rPr>
        <w:t>e</w:t>
      </w:r>
      <w:r>
        <w:rPr>
          <w:b w:val="0"/>
          <w:i w:val="0"/>
          <w:sz w:val="32"/>
          <w:szCs w:val="32"/>
          <w:lang w:val="en-GB"/>
        </w:rPr>
        <w:t>nzyme)</w:t>
      </w:r>
    </w:p>
    <w:p w14:paraId="3800599E" w14:textId="77777777" w:rsidR="00E203C2" w:rsidRPr="00B37BF0" w:rsidRDefault="00E203C2" w:rsidP="00E203C2">
      <w:pPr>
        <w:pBdr>
          <w:bottom w:val="single" w:sz="12" w:space="1" w:color="auto"/>
        </w:pBdr>
        <w:spacing w:line="280" w:lineRule="exact"/>
        <w:rPr>
          <w:rFonts w:cs="Arial"/>
          <w:bCs/>
        </w:rPr>
      </w:pPr>
    </w:p>
    <w:p w14:paraId="007AD02E" w14:textId="77777777" w:rsidR="00E203C2" w:rsidRPr="00B37BF0" w:rsidRDefault="00E203C2" w:rsidP="00E203C2"/>
    <w:p w14:paraId="029116A8" w14:textId="77777777" w:rsidR="00092CDA" w:rsidRPr="00092CDA" w:rsidRDefault="00092CDA" w:rsidP="00352CF2">
      <w:pPr>
        <w:pStyle w:val="Heading1"/>
        <w:spacing w:before="0"/>
      </w:pPr>
      <w:bookmarkStart w:id="1" w:name="_Toc286391001"/>
      <w:bookmarkStart w:id="2" w:name="_Toc300933414"/>
      <w:bookmarkStart w:id="3" w:name="_Toc528243320"/>
      <w:r w:rsidRPr="00092CDA">
        <w:t xml:space="preserve">Executive </w:t>
      </w:r>
      <w:r w:rsidR="00B12F1E">
        <w:t>s</w:t>
      </w:r>
      <w:r w:rsidRPr="00092CDA">
        <w:t>ummary</w:t>
      </w:r>
      <w:bookmarkEnd w:id="1"/>
      <w:bookmarkEnd w:id="2"/>
      <w:bookmarkEnd w:id="3"/>
    </w:p>
    <w:p w14:paraId="703195DE" w14:textId="77777777" w:rsidR="00C334AD" w:rsidRDefault="00C334AD" w:rsidP="00C334AD">
      <w:r>
        <w:rPr>
          <w:lang w:val="en-AU"/>
        </w:rPr>
        <w:t xml:space="preserve">The purpose of the application is to seek amendment of Schedule 18 – Processing Aids of the </w:t>
      </w:r>
      <w:r w:rsidRPr="00A710D7">
        <w:rPr>
          <w:lang w:val="en-AU"/>
        </w:rPr>
        <w:t>Australia New Zealand Food Standards Code</w:t>
      </w:r>
      <w:r>
        <w:rPr>
          <w:lang w:val="en-AU"/>
        </w:rPr>
        <w:t xml:space="preserve"> (the Code) to include the enzyme </w:t>
      </w:r>
      <w:r>
        <w:t xml:space="preserve">triacylglycerol lipase </w:t>
      </w:r>
      <w:r w:rsidRPr="0004503F">
        <w:t>(EC 3.1.1.</w:t>
      </w:r>
      <w:r>
        <w:t>3</w:t>
      </w:r>
      <w:r w:rsidRPr="0004503F">
        <w:t xml:space="preserve">) </w:t>
      </w:r>
      <w:r>
        <w:t xml:space="preserve">from a genetically modified strain of </w:t>
      </w:r>
      <w:r w:rsidRPr="00CA52E1">
        <w:rPr>
          <w:i/>
        </w:rPr>
        <w:t>Trichoderma reesei</w:t>
      </w:r>
      <w:r w:rsidRPr="00CA52E1">
        <w:t xml:space="preserve"> as a processing aid </w:t>
      </w:r>
      <w:r>
        <w:t>in</w:t>
      </w:r>
      <w:r w:rsidRPr="00CA52E1">
        <w:t xml:space="preserve"> </w:t>
      </w:r>
      <w:r w:rsidRPr="009B7104">
        <w:t>baking and other cereal-based processes</w:t>
      </w:r>
      <w:r w:rsidRPr="002C26C0">
        <w:t>.</w:t>
      </w:r>
    </w:p>
    <w:p w14:paraId="6A61EABD" w14:textId="77777777" w:rsidR="00C334AD" w:rsidRDefault="00C334AD" w:rsidP="00C334AD"/>
    <w:p w14:paraId="3DB0C9F7" w14:textId="35C30469" w:rsidR="00C334AD" w:rsidRPr="005C0CBE" w:rsidRDefault="00C334AD" w:rsidP="00C334AD">
      <w:pPr>
        <w:rPr>
          <w:lang w:val="en-AU"/>
        </w:rPr>
      </w:pPr>
      <w:r w:rsidRPr="005C0CBE">
        <w:rPr>
          <w:lang w:val="en-AU"/>
        </w:rPr>
        <w:t xml:space="preserve">FSANZ has assessed the information </w:t>
      </w:r>
      <w:r>
        <w:rPr>
          <w:lang w:val="en-AU"/>
        </w:rPr>
        <w:t>on</w:t>
      </w:r>
      <w:r w:rsidRPr="005C0CBE">
        <w:rPr>
          <w:lang w:val="en-AU"/>
        </w:rPr>
        <w:t xml:space="preserve"> th</w:t>
      </w:r>
      <w:r>
        <w:rPr>
          <w:lang w:val="en-AU"/>
        </w:rPr>
        <w:t>is</w:t>
      </w:r>
      <w:r w:rsidRPr="005C0CBE">
        <w:rPr>
          <w:lang w:val="en-AU"/>
        </w:rPr>
        <w:t xml:space="preserve"> </w:t>
      </w:r>
      <w:r w:rsidR="00D2772A">
        <w:rPr>
          <w:lang w:val="en-AU"/>
        </w:rPr>
        <w:t>triacylglycerol lipase</w:t>
      </w:r>
      <w:r w:rsidRPr="005C0CBE">
        <w:rPr>
          <w:lang w:val="en-AU"/>
        </w:rPr>
        <w:t xml:space="preserve"> provided with the </w:t>
      </w:r>
      <w:r>
        <w:rPr>
          <w:lang w:val="en-AU"/>
        </w:rPr>
        <w:t>a</w:t>
      </w:r>
      <w:r w:rsidRPr="005C0CBE">
        <w:rPr>
          <w:lang w:val="en-AU"/>
        </w:rPr>
        <w:t xml:space="preserve">pplication, and has determined that the data provided are adequate for this assessment. </w:t>
      </w:r>
    </w:p>
    <w:p w14:paraId="6BA18A0E" w14:textId="54A2C7CF" w:rsidR="00C334AD" w:rsidRDefault="00C334AD" w:rsidP="00C334AD">
      <w:pPr>
        <w:rPr>
          <w:lang w:val="en-AU"/>
        </w:rPr>
      </w:pPr>
    </w:p>
    <w:p w14:paraId="6A780442" w14:textId="439C6270" w:rsidR="00C334AD" w:rsidRDefault="00C334AD" w:rsidP="00C334AD">
      <w:pPr>
        <w:rPr>
          <w:lang w:val="en-AU"/>
        </w:rPr>
      </w:pPr>
      <w:r w:rsidRPr="004E38D4">
        <w:rPr>
          <w:lang w:val="en-AU"/>
        </w:rPr>
        <w:t xml:space="preserve">The stated technological purpose of </w:t>
      </w:r>
      <w:r>
        <w:rPr>
          <w:lang w:val="en-AU"/>
        </w:rPr>
        <w:t>the triacylglycerol lipase</w:t>
      </w:r>
      <w:r w:rsidRPr="004E38D4">
        <w:rPr>
          <w:lang w:val="en-AU"/>
        </w:rPr>
        <w:t xml:space="preserve">, namely, for use as a processing aid </w:t>
      </w:r>
      <w:r>
        <w:rPr>
          <w:lang w:val="en-AU"/>
        </w:rPr>
        <w:t>in baking and other cereal-based processes</w:t>
      </w:r>
      <w:r w:rsidRPr="004E38D4">
        <w:rPr>
          <w:lang w:val="en-AU"/>
        </w:rPr>
        <w:t>, is clearly articulated in the application.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03D8307C" w14:textId="38EFBC7C" w:rsidR="00C334AD" w:rsidRDefault="00C334AD" w:rsidP="00C334AD">
      <w:pPr>
        <w:rPr>
          <w:lang w:val="en-AU"/>
        </w:rPr>
      </w:pPr>
    </w:p>
    <w:p w14:paraId="2060D139" w14:textId="77777777" w:rsidR="00C62741" w:rsidRDefault="006464C0" w:rsidP="006109D9">
      <w:pPr>
        <w:pStyle w:val="FSBullet1"/>
        <w:numPr>
          <w:ilvl w:val="0"/>
          <w:numId w:val="0"/>
        </w:numPr>
      </w:pPr>
      <w:r>
        <w:t xml:space="preserve">The production organism </w:t>
      </w:r>
      <w:r w:rsidRPr="004B132D">
        <w:rPr>
          <w:i/>
        </w:rPr>
        <w:t>T</w:t>
      </w:r>
      <w:r>
        <w:rPr>
          <w:i/>
        </w:rPr>
        <w:t>.</w:t>
      </w:r>
      <w:r w:rsidRPr="004B132D">
        <w:rPr>
          <w:i/>
        </w:rPr>
        <w:t xml:space="preserve"> reesei</w:t>
      </w:r>
      <w:r>
        <w:t xml:space="preserve"> is not pathogenic and is </w:t>
      </w:r>
      <w:r w:rsidRPr="009265D9">
        <w:t>absent in the final enzyme preparation proposed to be used as a food processing aid.</w:t>
      </w:r>
      <w:r>
        <w:t xml:space="preserve"> </w:t>
      </w:r>
      <w:r w:rsidR="006109D9" w:rsidRPr="005E48A1">
        <w:t>Molecular characterisation of the production strain has confirmed the sequence of the inserted DNA is as expected</w:t>
      </w:r>
      <w:r w:rsidR="006109D9">
        <w:t xml:space="preserve"> and</w:t>
      </w:r>
      <w:r w:rsidR="006109D9" w:rsidRPr="005E48A1">
        <w:t xml:space="preserve"> has not undergone any rearrangement, and the introduced DNA is stably inherited.</w:t>
      </w:r>
      <w:r w:rsidR="006109D9">
        <w:t xml:space="preserve"> </w:t>
      </w:r>
    </w:p>
    <w:p w14:paraId="152442BE" w14:textId="77777777" w:rsidR="00C62741" w:rsidRDefault="00C62741" w:rsidP="006109D9">
      <w:pPr>
        <w:pStyle w:val="FSBullet1"/>
        <w:numPr>
          <w:ilvl w:val="0"/>
          <w:numId w:val="0"/>
        </w:numPr>
      </w:pPr>
    </w:p>
    <w:p w14:paraId="7BFBF319" w14:textId="0B995A27" w:rsidR="00FB6DB1" w:rsidRDefault="00E5574F" w:rsidP="006109D9">
      <w:pPr>
        <w:pStyle w:val="FSBullet1"/>
        <w:numPr>
          <w:ilvl w:val="0"/>
          <w:numId w:val="0"/>
        </w:numPr>
      </w:pPr>
      <w:r>
        <w:t xml:space="preserve">Triacylglycerol lipase from </w:t>
      </w:r>
      <w:r w:rsidRPr="00E5574F">
        <w:rPr>
          <w:i/>
        </w:rPr>
        <w:t>T</w:t>
      </w:r>
      <w:r w:rsidR="006464C0">
        <w:rPr>
          <w:i/>
        </w:rPr>
        <w:t>.</w:t>
      </w:r>
      <w:r w:rsidR="00FB6DB1" w:rsidRPr="00E5574F">
        <w:rPr>
          <w:i/>
        </w:rPr>
        <w:t xml:space="preserve"> reesei</w:t>
      </w:r>
      <w:r w:rsidR="00FB6DB1">
        <w:t xml:space="preserve"> was not genotoxic </w:t>
      </w:r>
      <w:r w:rsidR="00FB6DB1" w:rsidRPr="00E5574F">
        <w:rPr>
          <w:i/>
        </w:rPr>
        <w:t>in vitro</w:t>
      </w:r>
      <w:r w:rsidR="00FB6DB1">
        <w:t xml:space="preserve"> and did not cause adverse effects in a subchronic toxicity study in rats. </w:t>
      </w:r>
      <w:r w:rsidR="00FB6DB1" w:rsidRPr="004F6AFD">
        <w:t>The</w:t>
      </w:r>
      <w:r w:rsidR="00FB6DB1">
        <w:t xml:space="preserve"> no observed adverse effect level (</w:t>
      </w:r>
      <w:r w:rsidR="00FB6DB1" w:rsidRPr="004F6AFD">
        <w:t>NOAEL</w:t>
      </w:r>
      <w:r w:rsidR="00FB6DB1">
        <w:t>)</w:t>
      </w:r>
      <w:r w:rsidR="00FB6DB1" w:rsidRPr="004F6AFD">
        <w:t xml:space="preserve"> in </w:t>
      </w:r>
      <w:r w:rsidR="00FB6DB1">
        <w:t>the subchronic toxicity study</w:t>
      </w:r>
      <w:r w:rsidR="00FB6DB1" w:rsidRPr="004F6AFD">
        <w:t xml:space="preserve"> was the highest </w:t>
      </w:r>
      <w:r w:rsidR="00FB6DB1" w:rsidRPr="004F6AFD">
        <w:lastRenderedPageBreak/>
        <w:t>dose tested</w:t>
      </w:r>
      <w:r w:rsidR="00FB6DB1">
        <w:t>,</w:t>
      </w:r>
      <w:r w:rsidR="00FB6DB1" w:rsidRPr="004F6AFD">
        <w:t xml:space="preserve"> 1000 mg/kg bw/day </w:t>
      </w:r>
      <w:r w:rsidR="00FB6DB1">
        <w:t>on a total organic solids (TOS) basis. This is more than 11,</w:t>
      </w:r>
      <w:r w:rsidR="00D2772A">
        <w:t>000-fold higher than the a</w:t>
      </w:r>
      <w:r w:rsidR="00FB6DB1" w:rsidRPr="004F6AFD">
        <w:t>pplicant’s estimate of an individual’s theoretical max</w:t>
      </w:r>
      <w:r w:rsidR="00FB6DB1">
        <w:t>imal daily intake (0.09</w:t>
      </w:r>
      <w:r w:rsidR="00FB6DB1" w:rsidRPr="004F6AFD">
        <w:t xml:space="preserve"> mg TOS/kg bw/day) based on the proposed uses.</w:t>
      </w:r>
    </w:p>
    <w:p w14:paraId="6F7841BB" w14:textId="0069236A" w:rsidR="00FB6DB1" w:rsidRDefault="00FB6DB1" w:rsidP="00690206"/>
    <w:p w14:paraId="0B5AABE8" w14:textId="67DDE371" w:rsidR="002D603F" w:rsidRDefault="006464C0" w:rsidP="002D603F">
      <w:pPr>
        <w:rPr>
          <w:lang w:eastAsia="en-AU" w:bidi="ar-SA"/>
        </w:rPr>
      </w:pPr>
      <w:r w:rsidRPr="009265D9">
        <w:rPr>
          <w:lang w:val="en-AU"/>
        </w:rPr>
        <w:t>Bioinformatic analysis indicated that the enzyme has no biologically relevant homology to kn</w:t>
      </w:r>
      <w:r>
        <w:rPr>
          <w:lang w:val="en-AU"/>
        </w:rPr>
        <w:t xml:space="preserve">own protein allergens and </w:t>
      </w:r>
      <w:r>
        <w:rPr>
          <w:rFonts w:eastAsia="Calibri"/>
          <w:color w:val="000000" w:themeColor="text1"/>
          <w:szCs w:val="22"/>
        </w:rPr>
        <w:t>is unlikely to pose an allergenicity concern. However, t</w:t>
      </w:r>
      <w:r w:rsidR="00E5574F" w:rsidRPr="003C02FE">
        <w:t>he enzyme preparation contains wheat flour</w:t>
      </w:r>
      <w:r w:rsidR="00B740CE">
        <w:t xml:space="preserve"> as a carrier</w:t>
      </w:r>
      <w:r w:rsidR="00E5574F" w:rsidRPr="003C02FE">
        <w:t xml:space="preserve">. As wheat is a </w:t>
      </w:r>
      <w:r w:rsidR="00E5574F">
        <w:t xml:space="preserve">major </w:t>
      </w:r>
      <w:r w:rsidR="00E5574F" w:rsidRPr="003C02FE">
        <w:t xml:space="preserve">food allergen, risk management measures </w:t>
      </w:r>
      <w:r w:rsidR="00E5574F">
        <w:t>are indicated</w:t>
      </w:r>
      <w:r w:rsidR="00E5574F" w:rsidRPr="003C02FE">
        <w:t xml:space="preserve"> to protect wheat-allergic individuals.</w:t>
      </w:r>
      <w:r w:rsidR="002D603F" w:rsidRPr="002D603F">
        <w:rPr>
          <w:lang w:eastAsia="en-AU" w:bidi="ar-SA"/>
        </w:rPr>
        <w:t xml:space="preserve"> </w:t>
      </w:r>
    </w:p>
    <w:p w14:paraId="6481DFD8" w14:textId="77777777" w:rsidR="002D603F" w:rsidRDefault="002D603F" w:rsidP="002D603F">
      <w:pPr>
        <w:rPr>
          <w:lang w:eastAsia="en-AU" w:bidi="ar-SA"/>
        </w:rPr>
      </w:pPr>
    </w:p>
    <w:p w14:paraId="23EBCBA6" w14:textId="26642A4D" w:rsidR="00092CDA" w:rsidRDefault="002D603F" w:rsidP="00690206">
      <w:r w:rsidRPr="006100F4">
        <w:rPr>
          <w:lang w:eastAsia="en-AU" w:bidi="ar-SA"/>
        </w:rPr>
        <w:t xml:space="preserve">In the absence of any identifiable hazard an </w:t>
      </w:r>
      <w:r w:rsidR="00860917">
        <w:rPr>
          <w:lang w:eastAsia="en-AU" w:bidi="ar-SA"/>
        </w:rPr>
        <w:t>a</w:t>
      </w:r>
      <w:r w:rsidRPr="006100F4">
        <w:rPr>
          <w:lang w:eastAsia="en-AU" w:bidi="ar-SA"/>
        </w:rPr>
        <w:t xml:space="preserve">cceptable </w:t>
      </w:r>
      <w:r w:rsidR="00860917">
        <w:rPr>
          <w:lang w:eastAsia="en-AU" w:bidi="ar-SA"/>
        </w:rPr>
        <w:t>d</w:t>
      </w:r>
      <w:r w:rsidRPr="006100F4">
        <w:rPr>
          <w:lang w:eastAsia="en-AU" w:bidi="ar-SA"/>
        </w:rPr>
        <w:t xml:space="preserve">aily </w:t>
      </w:r>
      <w:r w:rsidR="00860917">
        <w:rPr>
          <w:lang w:eastAsia="en-AU" w:bidi="ar-SA"/>
        </w:rPr>
        <w:t>i</w:t>
      </w:r>
      <w:r w:rsidRPr="006100F4">
        <w:rPr>
          <w:lang w:eastAsia="en-AU" w:bidi="ar-SA"/>
        </w:rPr>
        <w:t>ntake ‘not specified’ is appropriate</w:t>
      </w:r>
      <w:r>
        <w:rPr>
          <w:lang w:eastAsia="en-AU" w:bidi="ar-SA"/>
        </w:rPr>
        <w:t>.</w:t>
      </w:r>
      <w:r w:rsidRPr="003E1360">
        <w:t xml:space="preserve"> A dietary exposure assessment </w:t>
      </w:r>
      <w:r w:rsidR="009E07C0">
        <w:t>wa</w:t>
      </w:r>
      <w:r w:rsidRPr="003E1360">
        <w:t>s therefore not required.</w:t>
      </w:r>
    </w:p>
    <w:p w14:paraId="27F05A3D" w14:textId="77777777" w:rsidR="00092CDA" w:rsidRDefault="00092CDA" w:rsidP="00690206">
      <w:pPr>
        <w:sectPr w:rsidR="00092CDA" w:rsidSect="0054272D">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AC2977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CAFD445" w14:textId="6A67D9DB" w:rsidR="0077508F"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8243320" w:history="1">
        <w:r w:rsidR="0077508F" w:rsidRPr="002A7B4E">
          <w:rPr>
            <w:rStyle w:val="Hyperlink"/>
            <w:noProof/>
          </w:rPr>
          <w:t>Executive summary</w:t>
        </w:r>
        <w:r w:rsidR="0077508F">
          <w:rPr>
            <w:noProof/>
            <w:webHidden/>
          </w:rPr>
          <w:tab/>
        </w:r>
        <w:r w:rsidR="0077508F">
          <w:rPr>
            <w:noProof/>
            <w:webHidden/>
          </w:rPr>
          <w:fldChar w:fldCharType="begin"/>
        </w:r>
        <w:r w:rsidR="0077508F">
          <w:rPr>
            <w:noProof/>
            <w:webHidden/>
          </w:rPr>
          <w:instrText xml:space="preserve"> PAGEREF _Toc528243320 \h </w:instrText>
        </w:r>
        <w:r w:rsidR="0077508F">
          <w:rPr>
            <w:noProof/>
            <w:webHidden/>
          </w:rPr>
        </w:r>
        <w:r w:rsidR="0077508F">
          <w:rPr>
            <w:noProof/>
            <w:webHidden/>
          </w:rPr>
          <w:fldChar w:fldCharType="separate"/>
        </w:r>
        <w:r w:rsidR="0077508F">
          <w:rPr>
            <w:noProof/>
            <w:webHidden/>
          </w:rPr>
          <w:t>i</w:t>
        </w:r>
        <w:r w:rsidR="0077508F">
          <w:rPr>
            <w:noProof/>
            <w:webHidden/>
          </w:rPr>
          <w:fldChar w:fldCharType="end"/>
        </w:r>
      </w:hyperlink>
    </w:p>
    <w:p w14:paraId="606F402C" w14:textId="25BA4E9A" w:rsidR="0077508F" w:rsidRDefault="00D127AE">
      <w:pPr>
        <w:pStyle w:val="TOC1"/>
        <w:tabs>
          <w:tab w:val="right" w:leader="dot" w:pos="9060"/>
        </w:tabs>
        <w:rPr>
          <w:rFonts w:eastAsiaTheme="minorEastAsia" w:cstheme="minorBidi"/>
          <w:b w:val="0"/>
          <w:bCs w:val="0"/>
          <w:caps w:val="0"/>
          <w:noProof/>
          <w:sz w:val="22"/>
          <w:szCs w:val="22"/>
          <w:lang w:eastAsia="en-GB" w:bidi="ar-SA"/>
        </w:rPr>
      </w:pPr>
      <w:hyperlink w:anchor="_Toc528243321" w:history="1">
        <w:r w:rsidR="0077508F" w:rsidRPr="002A7B4E">
          <w:rPr>
            <w:rStyle w:val="Hyperlink"/>
            <w:noProof/>
          </w:rPr>
          <w:t>1 Introduction</w:t>
        </w:r>
        <w:r w:rsidR="0077508F">
          <w:rPr>
            <w:noProof/>
            <w:webHidden/>
          </w:rPr>
          <w:tab/>
        </w:r>
        <w:r w:rsidR="0077508F">
          <w:rPr>
            <w:noProof/>
            <w:webHidden/>
          </w:rPr>
          <w:fldChar w:fldCharType="begin"/>
        </w:r>
        <w:r w:rsidR="0077508F">
          <w:rPr>
            <w:noProof/>
            <w:webHidden/>
          </w:rPr>
          <w:instrText xml:space="preserve"> PAGEREF _Toc528243321 \h </w:instrText>
        </w:r>
        <w:r w:rsidR="0077508F">
          <w:rPr>
            <w:noProof/>
            <w:webHidden/>
          </w:rPr>
        </w:r>
        <w:r w:rsidR="0077508F">
          <w:rPr>
            <w:noProof/>
            <w:webHidden/>
          </w:rPr>
          <w:fldChar w:fldCharType="separate"/>
        </w:r>
        <w:r w:rsidR="0077508F">
          <w:rPr>
            <w:noProof/>
            <w:webHidden/>
          </w:rPr>
          <w:t>2</w:t>
        </w:r>
        <w:r w:rsidR="0077508F">
          <w:rPr>
            <w:noProof/>
            <w:webHidden/>
          </w:rPr>
          <w:fldChar w:fldCharType="end"/>
        </w:r>
      </w:hyperlink>
    </w:p>
    <w:p w14:paraId="26FDBA84" w14:textId="64B08775"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22" w:history="1">
        <w:r w:rsidR="0077508F" w:rsidRPr="002A7B4E">
          <w:rPr>
            <w:rStyle w:val="Hyperlink"/>
            <w:noProof/>
          </w:rPr>
          <w:t>1.1</w:t>
        </w:r>
        <w:r w:rsidR="0077508F">
          <w:rPr>
            <w:rFonts w:eastAsiaTheme="minorEastAsia" w:cstheme="minorBidi"/>
            <w:smallCaps w:val="0"/>
            <w:noProof/>
            <w:sz w:val="22"/>
            <w:szCs w:val="22"/>
            <w:lang w:eastAsia="en-GB" w:bidi="ar-SA"/>
          </w:rPr>
          <w:tab/>
        </w:r>
        <w:r w:rsidR="0077508F" w:rsidRPr="002A7B4E">
          <w:rPr>
            <w:rStyle w:val="Hyperlink"/>
            <w:noProof/>
          </w:rPr>
          <w:t>Objectives of the assessment</w:t>
        </w:r>
        <w:r w:rsidR="0077508F">
          <w:rPr>
            <w:noProof/>
            <w:webHidden/>
          </w:rPr>
          <w:tab/>
        </w:r>
        <w:r w:rsidR="0077508F">
          <w:rPr>
            <w:noProof/>
            <w:webHidden/>
          </w:rPr>
          <w:fldChar w:fldCharType="begin"/>
        </w:r>
        <w:r w:rsidR="0077508F">
          <w:rPr>
            <w:noProof/>
            <w:webHidden/>
          </w:rPr>
          <w:instrText xml:space="preserve"> PAGEREF _Toc528243322 \h </w:instrText>
        </w:r>
        <w:r w:rsidR="0077508F">
          <w:rPr>
            <w:noProof/>
            <w:webHidden/>
          </w:rPr>
        </w:r>
        <w:r w:rsidR="0077508F">
          <w:rPr>
            <w:noProof/>
            <w:webHidden/>
          </w:rPr>
          <w:fldChar w:fldCharType="separate"/>
        </w:r>
        <w:r w:rsidR="0077508F">
          <w:rPr>
            <w:noProof/>
            <w:webHidden/>
          </w:rPr>
          <w:t>2</w:t>
        </w:r>
        <w:r w:rsidR="0077508F">
          <w:rPr>
            <w:noProof/>
            <w:webHidden/>
          </w:rPr>
          <w:fldChar w:fldCharType="end"/>
        </w:r>
      </w:hyperlink>
    </w:p>
    <w:p w14:paraId="6EE92E52" w14:textId="0EAFBB79" w:rsidR="0077508F" w:rsidRDefault="00D127AE">
      <w:pPr>
        <w:pStyle w:val="TOC1"/>
        <w:tabs>
          <w:tab w:val="right" w:leader="dot" w:pos="9060"/>
        </w:tabs>
        <w:rPr>
          <w:rFonts w:eastAsiaTheme="minorEastAsia" w:cstheme="minorBidi"/>
          <w:b w:val="0"/>
          <w:bCs w:val="0"/>
          <w:caps w:val="0"/>
          <w:noProof/>
          <w:sz w:val="22"/>
          <w:szCs w:val="22"/>
          <w:lang w:eastAsia="en-GB" w:bidi="ar-SA"/>
        </w:rPr>
      </w:pPr>
      <w:hyperlink w:anchor="_Toc528243323" w:history="1">
        <w:r w:rsidR="0077508F" w:rsidRPr="002A7B4E">
          <w:rPr>
            <w:rStyle w:val="Hyperlink"/>
            <w:noProof/>
          </w:rPr>
          <w:t>2 Food technology assessment</w:t>
        </w:r>
        <w:r w:rsidR="0077508F">
          <w:rPr>
            <w:noProof/>
            <w:webHidden/>
          </w:rPr>
          <w:tab/>
        </w:r>
        <w:r w:rsidR="0077508F">
          <w:rPr>
            <w:noProof/>
            <w:webHidden/>
          </w:rPr>
          <w:fldChar w:fldCharType="begin"/>
        </w:r>
        <w:r w:rsidR="0077508F">
          <w:rPr>
            <w:noProof/>
            <w:webHidden/>
          </w:rPr>
          <w:instrText xml:space="preserve"> PAGEREF _Toc528243323 \h </w:instrText>
        </w:r>
        <w:r w:rsidR="0077508F">
          <w:rPr>
            <w:noProof/>
            <w:webHidden/>
          </w:rPr>
        </w:r>
        <w:r w:rsidR="0077508F">
          <w:rPr>
            <w:noProof/>
            <w:webHidden/>
          </w:rPr>
          <w:fldChar w:fldCharType="separate"/>
        </w:r>
        <w:r w:rsidR="0077508F">
          <w:rPr>
            <w:noProof/>
            <w:webHidden/>
          </w:rPr>
          <w:t>2</w:t>
        </w:r>
        <w:r w:rsidR="0077508F">
          <w:rPr>
            <w:noProof/>
            <w:webHidden/>
          </w:rPr>
          <w:fldChar w:fldCharType="end"/>
        </w:r>
      </w:hyperlink>
    </w:p>
    <w:p w14:paraId="02A2EDDD" w14:textId="50987738"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24" w:history="1">
        <w:r w:rsidR="0077508F" w:rsidRPr="002A7B4E">
          <w:rPr>
            <w:rStyle w:val="Hyperlink"/>
            <w:noProof/>
          </w:rPr>
          <w:t>2.1</w:t>
        </w:r>
        <w:r w:rsidR="0077508F">
          <w:rPr>
            <w:rFonts w:eastAsiaTheme="minorEastAsia" w:cstheme="minorBidi"/>
            <w:smallCaps w:val="0"/>
            <w:noProof/>
            <w:sz w:val="22"/>
            <w:szCs w:val="22"/>
            <w:lang w:eastAsia="en-GB" w:bidi="ar-SA"/>
          </w:rPr>
          <w:tab/>
        </w:r>
        <w:r w:rsidR="0077508F" w:rsidRPr="002A7B4E">
          <w:rPr>
            <w:rStyle w:val="Hyperlink"/>
            <w:noProof/>
          </w:rPr>
          <w:t>Characterisation of the enzyme</w:t>
        </w:r>
        <w:r w:rsidR="0077508F">
          <w:rPr>
            <w:noProof/>
            <w:webHidden/>
          </w:rPr>
          <w:tab/>
        </w:r>
        <w:r w:rsidR="0077508F">
          <w:rPr>
            <w:noProof/>
            <w:webHidden/>
          </w:rPr>
          <w:fldChar w:fldCharType="begin"/>
        </w:r>
        <w:r w:rsidR="0077508F">
          <w:rPr>
            <w:noProof/>
            <w:webHidden/>
          </w:rPr>
          <w:instrText xml:space="preserve"> PAGEREF _Toc528243324 \h </w:instrText>
        </w:r>
        <w:r w:rsidR="0077508F">
          <w:rPr>
            <w:noProof/>
            <w:webHidden/>
          </w:rPr>
        </w:r>
        <w:r w:rsidR="0077508F">
          <w:rPr>
            <w:noProof/>
            <w:webHidden/>
          </w:rPr>
          <w:fldChar w:fldCharType="separate"/>
        </w:r>
        <w:r w:rsidR="0077508F">
          <w:rPr>
            <w:noProof/>
            <w:webHidden/>
          </w:rPr>
          <w:t>2</w:t>
        </w:r>
        <w:r w:rsidR="0077508F">
          <w:rPr>
            <w:noProof/>
            <w:webHidden/>
          </w:rPr>
          <w:fldChar w:fldCharType="end"/>
        </w:r>
      </w:hyperlink>
    </w:p>
    <w:p w14:paraId="3F8BE451" w14:textId="15FCDDCA"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25" w:history="1">
        <w:r w:rsidR="0077508F" w:rsidRPr="002A7B4E">
          <w:rPr>
            <w:rStyle w:val="Hyperlink"/>
            <w:noProof/>
          </w:rPr>
          <w:t>2.1.1</w:t>
        </w:r>
        <w:r w:rsidR="0077508F">
          <w:rPr>
            <w:rFonts w:eastAsiaTheme="minorEastAsia" w:cstheme="minorBidi"/>
            <w:i w:val="0"/>
            <w:iCs w:val="0"/>
            <w:noProof/>
            <w:sz w:val="22"/>
            <w:szCs w:val="22"/>
            <w:lang w:eastAsia="en-GB" w:bidi="ar-SA"/>
          </w:rPr>
          <w:tab/>
        </w:r>
        <w:r w:rsidR="0077508F" w:rsidRPr="002A7B4E">
          <w:rPr>
            <w:rStyle w:val="Hyperlink"/>
            <w:noProof/>
          </w:rPr>
          <w:t>Identity of the enzyme</w:t>
        </w:r>
        <w:r w:rsidR="0077508F">
          <w:rPr>
            <w:noProof/>
            <w:webHidden/>
          </w:rPr>
          <w:tab/>
        </w:r>
        <w:r w:rsidR="0077508F">
          <w:rPr>
            <w:noProof/>
            <w:webHidden/>
          </w:rPr>
          <w:fldChar w:fldCharType="begin"/>
        </w:r>
        <w:r w:rsidR="0077508F">
          <w:rPr>
            <w:noProof/>
            <w:webHidden/>
          </w:rPr>
          <w:instrText xml:space="preserve"> PAGEREF _Toc528243325 \h </w:instrText>
        </w:r>
        <w:r w:rsidR="0077508F">
          <w:rPr>
            <w:noProof/>
            <w:webHidden/>
          </w:rPr>
        </w:r>
        <w:r w:rsidR="0077508F">
          <w:rPr>
            <w:noProof/>
            <w:webHidden/>
          </w:rPr>
          <w:fldChar w:fldCharType="separate"/>
        </w:r>
        <w:r w:rsidR="0077508F">
          <w:rPr>
            <w:noProof/>
            <w:webHidden/>
          </w:rPr>
          <w:t>2</w:t>
        </w:r>
        <w:r w:rsidR="0077508F">
          <w:rPr>
            <w:noProof/>
            <w:webHidden/>
          </w:rPr>
          <w:fldChar w:fldCharType="end"/>
        </w:r>
      </w:hyperlink>
    </w:p>
    <w:p w14:paraId="74C2D7A2" w14:textId="35E47EE1"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26" w:history="1">
        <w:r w:rsidR="0077508F" w:rsidRPr="002A7B4E">
          <w:rPr>
            <w:rStyle w:val="Hyperlink"/>
            <w:noProof/>
          </w:rPr>
          <w:t>2.1.2</w:t>
        </w:r>
        <w:r w:rsidR="0077508F">
          <w:rPr>
            <w:rFonts w:eastAsiaTheme="minorEastAsia" w:cstheme="minorBidi"/>
            <w:i w:val="0"/>
            <w:iCs w:val="0"/>
            <w:noProof/>
            <w:sz w:val="22"/>
            <w:szCs w:val="22"/>
            <w:lang w:eastAsia="en-GB" w:bidi="ar-SA"/>
          </w:rPr>
          <w:tab/>
        </w:r>
        <w:r w:rsidR="0077508F" w:rsidRPr="002A7B4E">
          <w:rPr>
            <w:rStyle w:val="Hyperlink"/>
            <w:noProof/>
          </w:rPr>
          <w:t>Technological purpose of the enzyme</w:t>
        </w:r>
        <w:r w:rsidR="0077508F">
          <w:rPr>
            <w:noProof/>
            <w:webHidden/>
          </w:rPr>
          <w:tab/>
        </w:r>
        <w:r w:rsidR="0077508F">
          <w:rPr>
            <w:noProof/>
            <w:webHidden/>
          </w:rPr>
          <w:fldChar w:fldCharType="begin"/>
        </w:r>
        <w:r w:rsidR="0077508F">
          <w:rPr>
            <w:noProof/>
            <w:webHidden/>
          </w:rPr>
          <w:instrText xml:space="preserve"> PAGEREF _Toc528243326 \h </w:instrText>
        </w:r>
        <w:r w:rsidR="0077508F">
          <w:rPr>
            <w:noProof/>
            <w:webHidden/>
          </w:rPr>
        </w:r>
        <w:r w:rsidR="0077508F">
          <w:rPr>
            <w:noProof/>
            <w:webHidden/>
          </w:rPr>
          <w:fldChar w:fldCharType="separate"/>
        </w:r>
        <w:r w:rsidR="0077508F">
          <w:rPr>
            <w:noProof/>
            <w:webHidden/>
          </w:rPr>
          <w:t>3</w:t>
        </w:r>
        <w:r w:rsidR="0077508F">
          <w:rPr>
            <w:noProof/>
            <w:webHidden/>
          </w:rPr>
          <w:fldChar w:fldCharType="end"/>
        </w:r>
      </w:hyperlink>
    </w:p>
    <w:p w14:paraId="71D75B62" w14:textId="5C808765"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27" w:history="1">
        <w:r w:rsidR="0077508F" w:rsidRPr="002A7B4E">
          <w:rPr>
            <w:rStyle w:val="Hyperlink"/>
            <w:noProof/>
          </w:rPr>
          <w:t>2.1.3</w:t>
        </w:r>
        <w:r w:rsidR="0077508F">
          <w:rPr>
            <w:rFonts w:eastAsiaTheme="minorEastAsia" w:cstheme="minorBidi"/>
            <w:i w:val="0"/>
            <w:iCs w:val="0"/>
            <w:noProof/>
            <w:sz w:val="22"/>
            <w:szCs w:val="22"/>
            <w:lang w:eastAsia="en-GB" w:bidi="ar-SA"/>
          </w:rPr>
          <w:tab/>
        </w:r>
        <w:r w:rsidR="0077508F" w:rsidRPr="002A7B4E">
          <w:rPr>
            <w:rStyle w:val="Hyperlink"/>
            <w:noProof/>
          </w:rPr>
          <w:t>Technological justification for the enzyme</w:t>
        </w:r>
        <w:r w:rsidR="0077508F">
          <w:rPr>
            <w:noProof/>
            <w:webHidden/>
          </w:rPr>
          <w:tab/>
        </w:r>
        <w:r w:rsidR="0077508F">
          <w:rPr>
            <w:noProof/>
            <w:webHidden/>
          </w:rPr>
          <w:fldChar w:fldCharType="begin"/>
        </w:r>
        <w:r w:rsidR="0077508F">
          <w:rPr>
            <w:noProof/>
            <w:webHidden/>
          </w:rPr>
          <w:instrText xml:space="preserve"> PAGEREF _Toc528243327 \h </w:instrText>
        </w:r>
        <w:r w:rsidR="0077508F">
          <w:rPr>
            <w:noProof/>
            <w:webHidden/>
          </w:rPr>
        </w:r>
        <w:r w:rsidR="0077508F">
          <w:rPr>
            <w:noProof/>
            <w:webHidden/>
          </w:rPr>
          <w:fldChar w:fldCharType="separate"/>
        </w:r>
        <w:r w:rsidR="0077508F">
          <w:rPr>
            <w:noProof/>
            <w:webHidden/>
          </w:rPr>
          <w:t>5</w:t>
        </w:r>
        <w:r w:rsidR="0077508F">
          <w:rPr>
            <w:noProof/>
            <w:webHidden/>
          </w:rPr>
          <w:fldChar w:fldCharType="end"/>
        </w:r>
      </w:hyperlink>
    </w:p>
    <w:p w14:paraId="6DD9B06A" w14:textId="1D1FF3A7"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28" w:history="1">
        <w:r w:rsidR="0077508F" w:rsidRPr="002A7B4E">
          <w:rPr>
            <w:rStyle w:val="Hyperlink"/>
            <w:noProof/>
          </w:rPr>
          <w:t>2.2</w:t>
        </w:r>
        <w:r w:rsidR="0077508F">
          <w:rPr>
            <w:rFonts w:eastAsiaTheme="minorEastAsia" w:cstheme="minorBidi"/>
            <w:smallCaps w:val="0"/>
            <w:noProof/>
            <w:sz w:val="22"/>
            <w:szCs w:val="22"/>
            <w:lang w:eastAsia="en-GB" w:bidi="ar-SA"/>
          </w:rPr>
          <w:tab/>
        </w:r>
        <w:r w:rsidR="0077508F" w:rsidRPr="002A7B4E">
          <w:rPr>
            <w:rStyle w:val="Hyperlink"/>
            <w:noProof/>
          </w:rPr>
          <w:t>Manufacturing process</w:t>
        </w:r>
        <w:r w:rsidR="0077508F">
          <w:rPr>
            <w:noProof/>
            <w:webHidden/>
          </w:rPr>
          <w:tab/>
        </w:r>
        <w:r w:rsidR="0077508F">
          <w:rPr>
            <w:noProof/>
            <w:webHidden/>
          </w:rPr>
          <w:fldChar w:fldCharType="begin"/>
        </w:r>
        <w:r w:rsidR="0077508F">
          <w:rPr>
            <w:noProof/>
            <w:webHidden/>
          </w:rPr>
          <w:instrText xml:space="preserve"> PAGEREF _Toc528243328 \h </w:instrText>
        </w:r>
        <w:r w:rsidR="0077508F">
          <w:rPr>
            <w:noProof/>
            <w:webHidden/>
          </w:rPr>
        </w:r>
        <w:r w:rsidR="0077508F">
          <w:rPr>
            <w:noProof/>
            <w:webHidden/>
          </w:rPr>
          <w:fldChar w:fldCharType="separate"/>
        </w:r>
        <w:r w:rsidR="0077508F">
          <w:rPr>
            <w:noProof/>
            <w:webHidden/>
          </w:rPr>
          <w:t>5</w:t>
        </w:r>
        <w:r w:rsidR="0077508F">
          <w:rPr>
            <w:noProof/>
            <w:webHidden/>
          </w:rPr>
          <w:fldChar w:fldCharType="end"/>
        </w:r>
      </w:hyperlink>
    </w:p>
    <w:p w14:paraId="5351CF6A" w14:textId="4C5B9EF0"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29" w:history="1">
        <w:r w:rsidR="0077508F" w:rsidRPr="002A7B4E">
          <w:rPr>
            <w:rStyle w:val="Hyperlink"/>
            <w:noProof/>
          </w:rPr>
          <w:t>2.2.1</w:t>
        </w:r>
        <w:r w:rsidR="0077508F">
          <w:rPr>
            <w:rFonts w:eastAsiaTheme="minorEastAsia" w:cstheme="minorBidi"/>
            <w:i w:val="0"/>
            <w:iCs w:val="0"/>
            <w:noProof/>
            <w:sz w:val="22"/>
            <w:szCs w:val="22"/>
            <w:lang w:eastAsia="en-GB" w:bidi="ar-SA"/>
          </w:rPr>
          <w:tab/>
        </w:r>
        <w:r w:rsidR="0077508F" w:rsidRPr="002A7B4E">
          <w:rPr>
            <w:rStyle w:val="Hyperlink"/>
            <w:noProof/>
          </w:rPr>
          <w:t>Production of the enzyme</w:t>
        </w:r>
        <w:r w:rsidR="0077508F">
          <w:rPr>
            <w:noProof/>
            <w:webHidden/>
          </w:rPr>
          <w:tab/>
        </w:r>
        <w:r w:rsidR="0077508F">
          <w:rPr>
            <w:noProof/>
            <w:webHidden/>
          </w:rPr>
          <w:fldChar w:fldCharType="begin"/>
        </w:r>
        <w:r w:rsidR="0077508F">
          <w:rPr>
            <w:noProof/>
            <w:webHidden/>
          </w:rPr>
          <w:instrText xml:space="preserve"> PAGEREF _Toc528243329 \h </w:instrText>
        </w:r>
        <w:r w:rsidR="0077508F">
          <w:rPr>
            <w:noProof/>
            <w:webHidden/>
          </w:rPr>
        </w:r>
        <w:r w:rsidR="0077508F">
          <w:rPr>
            <w:noProof/>
            <w:webHidden/>
          </w:rPr>
          <w:fldChar w:fldCharType="separate"/>
        </w:r>
        <w:r w:rsidR="0077508F">
          <w:rPr>
            <w:noProof/>
            <w:webHidden/>
          </w:rPr>
          <w:t>5</w:t>
        </w:r>
        <w:r w:rsidR="0077508F">
          <w:rPr>
            <w:noProof/>
            <w:webHidden/>
          </w:rPr>
          <w:fldChar w:fldCharType="end"/>
        </w:r>
      </w:hyperlink>
    </w:p>
    <w:p w14:paraId="048EE78F" w14:textId="265A38FD"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0" w:history="1">
        <w:r w:rsidR="0077508F" w:rsidRPr="002A7B4E">
          <w:rPr>
            <w:rStyle w:val="Hyperlink"/>
            <w:noProof/>
          </w:rPr>
          <w:t>2.2.2</w:t>
        </w:r>
        <w:r w:rsidR="0077508F">
          <w:rPr>
            <w:rFonts w:eastAsiaTheme="minorEastAsia" w:cstheme="minorBidi"/>
            <w:i w:val="0"/>
            <w:iCs w:val="0"/>
            <w:noProof/>
            <w:sz w:val="22"/>
            <w:szCs w:val="22"/>
            <w:lang w:eastAsia="en-GB" w:bidi="ar-SA"/>
          </w:rPr>
          <w:tab/>
        </w:r>
        <w:r w:rsidR="0077508F" w:rsidRPr="002A7B4E">
          <w:rPr>
            <w:rStyle w:val="Hyperlink"/>
            <w:noProof/>
          </w:rPr>
          <w:t>Specifications</w:t>
        </w:r>
        <w:r w:rsidR="0077508F">
          <w:rPr>
            <w:noProof/>
            <w:webHidden/>
          </w:rPr>
          <w:tab/>
        </w:r>
        <w:r w:rsidR="0077508F">
          <w:rPr>
            <w:noProof/>
            <w:webHidden/>
          </w:rPr>
          <w:fldChar w:fldCharType="begin"/>
        </w:r>
        <w:r w:rsidR="0077508F">
          <w:rPr>
            <w:noProof/>
            <w:webHidden/>
          </w:rPr>
          <w:instrText xml:space="preserve"> PAGEREF _Toc528243330 \h </w:instrText>
        </w:r>
        <w:r w:rsidR="0077508F">
          <w:rPr>
            <w:noProof/>
            <w:webHidden/>
          </w:rPr>
        </w:r>
        <w:r w:rsidR="0077508F">
          <w:rPr>
            <w:noProof/>
            <w:webHidden/>
          </w:rPr>
          <w:fldChar w:fldCharType="separate"/>
        </w:r>
        <w:r w:rsidR="0077508F">
          <w:rPr>
            <w:noProof/>
            <w:webHidden/>
          </w:rPr>
          <w:t>7</w:t>
        </w:r>
        <w:r w:rsidR="0077508F">
          <w:rPr>
            <w:noProof/>
            <w:webHidden/>
          </w:rPr>
          <w:fldChar w:fldCharType="end"/>
        </w:r>
      </w:hyperlink>
    </w:p>
    <w:p w14:paraId="79560873" w14:textId="0BA829B3"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1" w:history="1">
        <w:r w:rsidR="0077508F" w:rsidRPr="002A7B4E">
          <w:rPr>
            <w:rStyle w:val="Hyperlink"/>
            <w:noProof/>
          </w:rPr>
          <w:t>2.2.3</w:t>
        </w:r>
        <w:r w:rsidR="0077508F">
          <w:rPr>
            <w:rFonts w:eastAsiaTheme="minorEastAsia" w:cstheme="minorBidi"/>
            <w:i w:val="0"/>
            <w:iCs w:val="0"/>
            <w:noProof/>
            <w:sz w:val="22"/>
            <w:szCs w:val="22"/>
            <w:lang w:eastAsia="en-GB" w:bidi="ar-SA"/>
          </w:rPr>
          <w:tab/>
        </w:r>
        <w:r w:rsidR="0077508F" w:rsidRPr="002A7B4E">
          <w:rPr>
            <w:rStyle w:val="Hyperlink"/>
            <w:noProof/>
          </w:rPr>
          <w:t>Stability</w:t>
        </w:r>
        <w:r w:rsidR="0077508F">
          <w:rPr>
            <w:noProof/>
            <w:webHidden/>
          </w:rPr>
          <w:tab/>
        </w:r>
        <w:r w:rsidR="0077508F">
          <w:rPr>
            <w:noProof/>
            <w:webHidden/>
          </w:rPr>
          <w:fldChar w:fldCharType="begin"/>
        </w:r>
        <w:r w:rsidR="0077508F">
          <w:rPr>
            <w:noProof/>
            <w:webHidden/>
          </w:rPr>
          <w:instrText xml:space="preserve"> PAGEREF _Toc528243331 \h </w:instrText>
        </w:r>
        <w:r w:rsidR="0077508F">
          <w:rPr>
            <w:noProof/>
            <w:webHidden/>
          </w:rPr>
        </w:r>
        <w:r w:rsidR="0077508F">
          <w:rPr>
            <w:noProof/>
            <w:webHidden/>
          </w:rPr>
          <w:fldChar w:fldCharType="separate"/>
        </w:r>
        <w:r w:rsidR="0077508F">
          <w:rPr>
            <w:noProof/>
            <w:webHidden/>
          </w:rPr>
          <w:t>8</w:t>
        </w:r>
        <w:r w:rsidR="0077508F">
          <w:rPr>
            <w:noProof/>
            <w:webHidden/>
          </w:rPr>
          <w:fldChar w:fldCharType="end"/>
        </w:r>
      </w:hyperlink>
    </w:p>
    <w:p w14:paraId="748F2A1F" w14:textId="4597D0E4"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32" w:history="1">
        <w:r w:rsidR="0077508F" w:rsidRPr="002A7B4E">
          <w:rPr>
            <w:rStyle w:val="Hyperlink"/>
            <w:noProof/>
          </w:rPr>
          <w:t>2.3</w:t>
        </w:r>
        <w:r w:rsidR="0077508F">
          <w:rPr>
            <w:rFonts w:eastAsiaTheme="minorEastAsia" w:cstheme="minorBidi"/>
            <w:smallCaps w:val="0"/>
            <w:noProof/>
            <w:sz w:val="22"/>
            <w:szCs w:val="22"/>
            <w:lang w:eastAsia="en-GB" w:bidi="ar-SA"/>
          </w:rPr>
          <w:tab/>
        </w:r>
        <w:r w:rsidR="0077508F" w:rsidRPr="002A7B4E">
          <w:rPr>
            <w:rStyle w:val="Hyperlink"/>
            <w:noProof/>
          </w:rPr>
          <w:t>Food technology conclusion</w:t>
        </w:r>
        <w:r w:rsidR="0077508F">
          <w:rPr>
            <w:noProof/>
            <w:webHidden/>
          </w:rPr>
          <w:tab/>
        </w:r>
        <w:r w:rsidR="0077508F">
          <w:rPr>
            <w:noProof/>
            <w:webHidden/>
          </w:rPr>
          <w:fldChar w:fldCharType="begin"/>
        </w:r>
        <w:r w:rsidR="0077508F">
          <w:rPr>
            <w:noProof/>
            <w:webHidden/>
          </w:rPr>
          <w:instrText xml:space="preserve"> PAGEREF _Toc528243332 \h </w:instrText>
        </w:r>
        <w:r w:rsidR="0077508F">
          <w:rPr>
            <w:noProof/>
            <w:webHidden/>
          </w:rPr>
        </w:r>
        <w:r w:rsidR="0077508F">
          <w:rPr>
            <w:noProof/>
            <w:webHidden/>
          </w:rPr>
          <w:fldChar w:fldCharType="separate"/>
        </w:r>
        <w:r w:rsidR="0077508F">
          <w:rPr>
            <w:noProof/>
            <w:webHidden/>
          </w:rPr>
          <w:t>9</w:t>
        </w:r>
        <w:r w:rsidR="0077508F">
          <w:rPr>
            <w:noProof/>
            <w:webHidden/>
          </w:rPr>
          <w:fldChar w:fldCharType="end"/>
        </w:r>
      </w:hyperlink>
    </w:p>
    <w:p w14:paraId="334FDB54" w14:textId="0623933E" w:rsidR="0077508F" w:rsidRDefault="00D127AE">
      <w:pPr>
        <w:pStyle w:val="TOC1"/>
        <w:tabs>
          <w:tab w:val="right" w:leader="dot" w:pos="9060"/>
        </w:tabs>
        <w:rPr>
          <w:rFonts w:eastAsiaTheme="minorEastAsia" w:cstheme="minorBidi"/>
          <w:b w:val="0"/>
          <w:bCs w:val="0"/>
          <w:caps w:val="0"/>
          <w:noProof/>
          <w:sz w:val="22"/>
          <w:szCs w:val="22"/>
          <w:lang w:eastAsia="en-GB" w:bidi="ar-SA"/>
        </w:rPr>
      </w:pPr>
      <w:hyperlink w:anchor="_Toc528243333" w:history="1">
        <w:r w:rsidR="0077508F" w:rsidRPr="002A7B4E">
          <w:rPr>
            <w:rStyle w:val="Hyperlink"/>
            <w:noProof/>
          </w:rPr>
          <w:t>3 Safety assessment</w:t>
        </w:r>
        <w:r w:rsidR="0077508F">
          <w:rPr>
            <w:noProof/>
            <w:webHidden/>
          </w:rPr>
          <w:tab/>
        </w:r>
        <w:r w:rsidR="0077508F">
          <w:rPr>
            <w:noProof/>
            <w:webHidden/>
          </w:rPr>
          <w:fldChar w:fldCharType="begin"/>
        </w:r>
        <w:r w:rsidR="0077508F">
          <w:rPr>
            <w:noProof/>
            <w:webHidden/>
          </w:rPr>
          <w:instrText xml:space="preserve"> PAGEREF _Toc528243333 \h </w:instrText>
        </w:r>
        <w:r w:rsidR="0077508F">
          <w:rPr>
            <w:noProof/>
            <w:webHidden/>
          </w:rPr>
        </w:r>
        <w:r w:rsidR="0077508F">
          <w:rPr>
            <w:noProof/>
            <w:webHidden/>
          </w:rPr>
          <w:fldChar w:fldCharType="separate"/>
        </w:r>
        <w:r w:rsidR="0077508F">
          <w:rPr>
            <w:noProof/>
            <w:webHidden/>
          </w:rPr>
          <w:t>9</w:t>
        </w:r>
        <w:r w:rsidR="0077508F">
          <w:rPr>
            <w:noProof/>
            <w:webHidden/>
          </w:rPr>
          <w:fldChar w:fldCharType="end"/>
        </w:r>
      </w:hyperlink>
    </w:p>
    <w:p w14:paraId="199DE6EE" w14:textId="462A8C21"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34" w:history="1">
        <w:r w:rsidR="0077508F" w:rsidRPr="002A7B4E">
          <w:rPr>
            <w:rStyle w:val="Hyperlink"/>
            <w:noProof/>
          </w:rPr>
          <w:t>3.1</w:t>
        </w:r>
        <w:r w:rsidR="0077508F">
          <w:rPr>
            <w:rFonts w:eastAsiaTheme="minorEastAsia" w:cstheme="minorBidi"/>
            <w:smallCaps w:val="0"/>
            <w:noProof/>
            <w:sz w:val="22"/>
            <w:szCs w:val="22"/>
            <w:lang w:eastAsia="en-GB" w:bidi="ar-SA"/>
          </w:rPr>
          <w:tab/>
        </w:r>
        <w:r w:rsidR="0077508F" w:rsidRPr="002A7B4E">
          <w:rPr>
            <w:rStyle w:val="Hyperlink"/>
            <w:noProof/>
          </w:rPr>
          <w:t>History of use</w:t>
        </w:r>
        <w:r w:rsidR="0077508F">
          <w:rPr>
            <w:noProof/>
            <w:webHidden/>
          </w:rPr>
          <w:tab/>
        </w:r>
        <w:r w:rsidR="0077508F">
          <w:rPr>
            <w:noProof/>
            <w:webHidden/>
          </w:rPr>
          <w:fldChar w:fldCharType="begin"/>
        </w:r>
        <w:r w:rsidR="0077508F">
          <w:rPr>
            <w:noProof/>
            <w:webHidden/>
          </w:rPr>
          <w:instrText xml:space="preserve"> PAGEREF _Toc528243334 \h </w:instrText>
        </w:r>
        <w:r w:rsidR="0077508F">
          <w:rPr>
            <w:noProof/>
            <w:webHidden/>
          </w:rPr>
        </w:r>
        <w:r w:rsidR="0077508F">
          <w:rPr>
            <w:noProof/>
            <w:webHidden/>
          </w:rPr>
          <w:fldChar w:fldCharType="separate"/>
        </w:r>
        <w:r w:rsidR="0077508F">
          <w:rPr>
            <w:noProof/>
            <w:webHidden/>
          </w:rPr>
          <w:t>9</w:t>
        </w:r>
        <w:r w:rsidR="0077508F">
          <w:rPr>
            <w:noProof/>
            <w:webHidden/>
          </w:rPr>
          <w:fldChar w:fldCharType="end"/>
        </w:r>
      </w:hyperlink>
    </w:p>
    <w:p w14:paraId="59B101E4" w14:textId="0AF017EF"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5" w:history="1">
        <w:r w:rsidR="0077508F" w:rsidRPr="002A7B4E">
          <w:rPr>
            <w:rStyle w:val="Hyperlink"/>
            <w:noProof/>
          </w:rPr>
          <w:t>3.1.1</w:t>
        </w:r>
        <w:r w:rsidR="0077508F">
          <w:rPr>
            <w:rFonts w:eastAsiaTheme="minorEastAsia" w:cstheme="minorBidi"/>
            <w:i w:val="0"/>
            <w:iCs w:val="0"/>
            <w:noProof/>
            <w:sz w:val="22"/>
            <w:szCs w:val="22"/>
            <w:lang w:eastAsia="en-GB" w:bidi="ar-SA"/>
          </w:rPr>
          <w:tab/>
        </w:r>
        <w:r w:rsidR="0077508F" w:rsidRPr="002A7B4E">
          <w:rPr>
            <w:rStyle w:val="Hyperlink"/>
            <w:noProof/>
          </w:rPr>
          <w:t>Host organism</w:t>
        </w:r>
        <w:r w:rsidR="0077508F">
          <w:rPr>
            <w:noProof/>
            <w:webHidden/>
          </w:rPr>
          <w:tab/>
        </w:r>
        <w:r w:rsidR="0077508F">
          <w:rPr>
            <w:noProof/>
            <w:webHidden/>
          </w:rPr>
          <w:fldChar w:fldCharType="begin"/>
        </w:r>
        <w:r w:rsidR="0077508F">
          <w:rPr>
            <w:noProof/>
            <w:webHidden/>
          </w:rPr>
          <w:instrText xml:space="preserve"> PAGEREF _Toc528243335 \h </w:instrText>
        </w:r>
        <w:r w:rsidR="0077508F">
          <w:rPr>
            <w:noProof/>
            <w:webHidden/>
          </w:rPr>
        </w:r>
        <w:r w:rsidR="0077508F">
          <w:rPr>
            <w:noProof/>
            <w:webHidden/>
          </w:rPr>
          <w:fldChar w:fldCharType="separate"/>
        </w:r>
        <w:r w:rsidR="0077508F">
          <w:rPr>
            <w:noProof/>
            <w:webHidden/>
          </w:rPr>
          <w:t>9</w:t>
        </w:r>
        <w:r w:rsidR="0077508F">
          <w:rPr>
            <w:noProof/>
            <w:webHidden/>
          </w:rPr>
          <w:fldChar w:fldCharType="end"/>
        </w:r>
      </w:hyperlink>
    </w:p>
    <w:p w14:paraId="76A261F7" w14:textId="316ECBEA"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6" w:history="1">
        <w:r w:rsidR="0077508F" w:rsidRPr="002A7B4E">
          <w:rPr>
            <w:rStyle w:val="Hyperlink"/>
            <w:noProof/>
          </w:rPr>
          <w:t>3.1.2</w:t>
        </w:r>
        <w:r w:rsidR="0077508F">
          <w:rPr>
            <w:rFonts w:eastAsiaTheme="minorEastAsia" w:cstheme="minorBidi"/>
            <w:i w:val="0"/>
            <w:iCs w:val="0"/>
            <w:noProof/>
            <w:sz w:val="22"/>
            <w:szCs w:val="22"/>
            <w:lang w:eastAsia="en-GB" w:bidi="ar-SA"/>
          </w:rPr>
          <w:tab/>
        </w:r>
        <w:r w:rsidR="0077508F" w:rsidRPr="002A7B4E">
          <w:rPr>
            <w:rStyle w:val="Hyperlink"/>
            <w:noProof/>
          </w:rPr>
          <w:t>Gene donor organism(s)</w:t>
        </w:r>
        <w:r w:rsidR="0077508F">
          <w:rPr>
            <w:noProof/>
            <w:webHidden/>
          </w:rPr>
          <w:tab/>
        </w:r>
        <w:r w:rsidR="0077508F">
          <w:rPr>
            <w:noProof/>
            <w:webHidden/>
          </w:rPr>
          <w:fldChar w:fldCharType="begin"/>
        </w:r>
        <w:r w:rsidR="0077508F">
          <w:rPr>
            <w:noProof/>
            <w:webHidden/>
          </w:rPr>
          <w:instrText xml:space="preserve"> PAGEREF _Toc528243336 \h </w:instrText>
        </w:r>
        <w:r w:rsidR="0077508F">
          <w:rPr>
            <w:noProof/>
            <w:webHidden/>
          </w:rPr>
        </w:r>
        <w:r w:rsidR="0077508F">
          <w:rPr>
            <w:noProof/>
            <w:webHidden/>
          </w:rPr>
          <w:fldChar w:fldCharType="separate"/>
        </w:r>
        <w:r w:rsidR="0077508F">
          <w:rPr>
            <w:noProof/>
            <w:webHidden/>
          </w:rPr>
          <w:t>10</w:t>
        </w:r>
        <w:r w:rsidR="0077508F">
          <w:rPr>
            <w:noProof/>
            <w:webHidden/>
          </w:rPr>
          <w:fldChar w:fldCharType="end"/>
        </w:r>
      </w:hyperlink>
    </w:p>
    <w:p w14:paraId="4E952E46" w14:textId="6C48E80C"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37" w:history="1">
        <w:r w:rsidR="0077508F" w:rsidRPr="002A7B4E">
          <w:rPr>
            <w:rStyle w:val="Hyperlink"/>
            <w:noProof/>
          </w:rPr>
          <w:t>3.2</w:t>
        </w:r>
        <w:r w:rsidR="0077508F">
          <w:rPr>
            <w:rFonts w:eastAsiaTheme="minorEastAsia" w:cstheme="minorBidi"/>
            <w:smallCaps w:val="0"/>
            <w:noProof/>
            <w:sz w:val="22"/>
            <w:szCs w:val="22"/>
            <w:lang w:eastAsia="en-GB" w:bidi="ar-SA"/>
          </w:rPr>
          <w:tab/>
        </w:r>
        <w:r w:rsidR="0077508F" w:rsidRPr="002A7B4E">
          <w:rPr>
            <w:rStyle w:val="Hyperlink"/>
            <w:noProof/>
          </w:rPr>
          <w:t>Characterisation of the genetic modification(s)</w:t>
        </w:r>
        <w:r w:rsidR="0077508F">
          <w:rPr>
            <w:noProof/>
            <w:webHidden/>
          </w:rPr>
          <w:tab/>
        </w:r>
        <w:r w:rsidR="0077508F">
          <w:rPr>
            <w:noProof/>
            <w:webHidden/>
          </w:rPr>
          <w:fldChar w:fldCharType="begin"/>
        </w:r>
        <w:r w:rsidR="0077508F">
          <w:rPr>
            <w:noProof/>
            <w:webHidden/>
          </w:rPr>
          <w:instrText xml:space="preserve"> PAGEREF _Toc528243337 \h </w:instrText>
        </w:r>
        <w:r w:rsidR="0077508F">
          <w:rPr>
            <w:noProof/>
            <w:webHidden/>
          </w:rPr>
        </w:r>
        <w:r w:rsidR="0077508F">
          <w:rPr>
            <w:noProof/>
            <w:webHidden/>
          </w:rPr>
          <w:fldChar w:fldCharType="separate"/>
        </w:r>
        <w:r w:rsidR="0077508F">
          <w:rPr>
            <w:noProof/>
            <w:webHidden/>
          </w:rPr>
          <w:t>10</w:t>
        </w:r>
        <w:r w:rsidR="0077508F">
          <w:rPr>
            <w:noProof/>
            <w:webHidden/>
          </w:rPr>
          <w:fldChar w:fldCharType="end"/>
        </w:r>
      </w:hyperlink>
    </w:p>
    <w:p w14:paraId="4C1D22D9" w14:textId="6265AF69"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8" w:history="1">
        <w:r w:rsidR="0077508F" w:rsidRPr="002A7B4E">
          <w:rPr>
            <w:rStyle w:val="Hyperlink"/>
            <w:noProof/>
          </w:rPr>
          <w:t>3.2.1</w:t>
        </w:r>
        <w:r w:rsidR="0077508F">
          <w:rPr>
            <w:rFonts w:eastAsiaTheme="minorEastAsia" w:cstheme="minorBidi"/>
            <w:i w:val="0"/>
            <w:iCs w:val="0"/>
            <w:noProof/>
            <w:sz w:val="22"/>
            <w:szCs w:val="22"/>
            <w:lang w:eastAsia="en-GB" w:bidi="ar-SA"/>
          </w:rPr>
          <w:tab/>
        </w:r>
        <w:r w:rsidR="0077508F" w:rsidRPr="002A7B4E">
          <w:rPr>
            <w:rStyle w:val="Hyperlink"/>
            <w:noProof/>
          </w:rPr>
          <w:t>Description of DNA to be introduced and method of transformation</w:t>
        </w:r>
        <w:r w:rsidR="0077508F">
          <w:rPr>
            <w:noProof/>
            <w:webHidden/>
          </w:rPr>
          <w:tab/>
        </w:r>
        <w:r w:rsidR="0077508F">
          <w:rPr>
            <w:noProof/>
            <w:webHidden/>
          </w:rPr>
          <w:fldChar w:fldCharType="begin"/>
        </w:r>
        <w:r w:rsidR="0077508F">
          <w:rPr>
            <w:noProof/>
            <w:webHidden/>
          </w:rPr>
          <w:instrText xml:space="preserve"> PAGEREF _Toc528243338 \h </w:instrText>
        </w:r>
        <w:r w:rsidR="0077508F">
          <w:rPr>
            <w:noProof/>
            <w:webHidden/>
          </w:rPr>
        </w:r>
        <w:r w:rsidR="0077508F">
          <w:rPr>
            <w:noProof/>
            <w:webHidden/>
          </w:rPr>
          <w:fldChar w:fldCharType="separate"/>
        </w:r>
        <w:r w:rsidR="0077508F">
          <w:rPr>
            <w:noProof/>
            <w:webHidden/>
          </w:rPr>
          <w:t>10</w:t>
        </w:r>
        <w:r w:rsidR="0077508F">
          <w:rPr>
            <w:noProof/>
            <w:webHidden/>
          </w:rPr>
          <w:fldChar w:fldCharType="end"/>
        </w:r>
      </w:hyperlink>
    </w:p>
    <w:p w14:paraId="14CEBC7F" w14:textId="6D4E8A8B"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39" w:history="1">
        <w:r w:rsidR="0077508F" w:rsidRPr="002A7B4E">
          <w:rPr>
            <w:rStyle w:val="Hyperlink"/>
            <w:noProof/>
          </w:rPr>
          <w:t>3.2.2</w:t>
        </w:r>
        <w:r w:rsidR="0077508F">
          <w:rPr>
            <w:rFonts w:eastAsiaTheme="minorEastAsia" w:cstheme="minorBidi"/>
            <w:i w:val="0"/>
            <w:iCs w:val="0"/>
            <w:noProof/>
            <w:sz w:val="22"/>
            <w:szCs w:val="22"/>
            <w:lang w:eastAsia="en-GB" w:bidi="ar-SA"/>
          </w:rPr>
          <w:tab/>
        </w:r>
        <w:r w:rsidR="0077508F" w:rsidRPr="002A7B4E">
          <w:rPr>
            <w:rStyle w:val="Hyperlink"/>
            <w:noProof/>
          </w:rPr>
          <w:t>Characterisation of inserted DNA</w:t>
        </w:r>
        <w:r w:rsidR="0077508F">
          <w:rPr>
            <w:noProof/>
            <w:webHidden/>
          </w:rPr>
          <w:tab/>
        </w:r>
        <w:r w:rsidR="0077508F">
          <w:rPr>
            <w:noProof/>
            <w:webHidden/>
          </w:rPr>
          <w:fldChar w:fldCharType="begin"/>
        </w:r>
        <w:r w:rsidR="0077508F">
          <w:rPr>
            <w:noProof/>
            <w:webHidden/>
          </w:rPr>
          <w:instrText xml:space="preserve"> PAGEREF _Toc528243339 \h </w:instrText>
        </w:r>
        <w:r w:rsidR="0077508F">
          <w:rPr>
            <w:noProof/>
            <w:webHidden/>
          </w:rPr>
        </w:r>
        <w:r w:rsidR="0077508F">
          <w:rPr>
            <w:noProof/>
            <w:webHidden/>
          </w:rPr>
          <w:fldChar w:fldCharType="separate"/>
        </w:r>
        <w:r w:rsidR="0077508F">
          <w:rPr>
            <w:noProof/>
            <w:webHidden/>
          </w:rPr>
          <w:t>11</w:t>
        </w:r>
        <w:r w:rsidR="0077508F">
          <w:rPr>
            <w:noProof/>
            <w:webHidden/>
          </w:rPr>
          <w:fldChar w:fldCharType="end"/>
        </w:r>
      </w:hyperlink>
    </w:p>
    <w:p w14:paraId="5A22098F" w14:textId="283718C6"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40" w:history="1">
        <w:r w:rsidR="0077508F" w:rsidRPr="002A7B4E">
          <w:rPr>
            <w:rStyle w:val="Hyperlink"/>
            <w:noProof/>
          </w:rPr>
          <w:t>3.2.3</w:t>
        </w:r>
        <w:r w:rsidR="0077508F">
          <w:rPr>
            <w:rFonts w:eastAsiaTheme="minorEastAsia" w:cstheme="minorBidi"/>
            <w:i w:val="0"/>
            <w:iCs w:val="0"/>
            <w:noProof/>
            <w:sz w:val="22"/>
            <w:szCs w:val="22"/>
            <w:lang w:eastAsia="en-GB" w:bidi="ar-SA"/>
          </w:rPr>
          <w:tab/>
        </w:r>
        <w:r w:rsidR="0077508F" w:rsidRPr="002A7B4E">
          <w:rPr>
            <w:rStyle w:val="Hyperlink"/>
            <w:noProof/>
          </w:rPr>
          <w:t>Genetic stability of the inserted gene</w:t>
        </w:r>
        <w:r w:rsidR="0077508F">
          <w:rPr>
            <w:noProof/>
            <w:webHidden/>
          </w:rPr>
          <w:tab/>
        </w:r>
        <w:r w:rsidR="0077508F">
          <w:rPr>
            <w:noProof/>
            <w:webHidden/>
          </w:rPr>
          <w:fldChar w:fldCharType="begin"/>
        </w:r>
        <w:r w:rsidR="0077508F">
          <w:rPr>
            <w:noProof/>
            <w:webHidden/>
          </w:rPr>
          <w:instrText xml:space="preserve"> PAGEREF _Toc528243340 \h </w:instrText>
        </w:r>
        <w:r w:rsidR="0077508F">
          <w:rPr>
            <w:noProof/>
            <w:webHidden/>
          </w:rPr>
        </w:r>
        <w:r w:rsidR="0077508F">
          <w:rPr>
            <w:noProof/>
            <w:webHidden/>
          </w:rPr>
          <w:fldChar w:fldCharType="separate"/>
        </w:r>
        <w:r w:rsidR="0077508F">
          <w:rPr>
            <w:noProof/>
            <w:webHidden/>
          </w:rPr>
          <w:t>11</w:t>
        </w:r>
        <w:r w:rsidR="0077508F">
          <w:rPr>
            <w:noProof/>
            <w:webHidden/>
          </w:rPr>
          <w:fldChar w:fldCharType="end"/>
        </w:r>
      </w:hyperlink>
    </w:p>
    <w:p w14:paraId="66D5A058" w14:textId="55BBBE09"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41" w:history="1">
        <w:r w:rsidR="0077508F" w:rsidRPr="002A7B4E">
          <w:rPr>
            <w:rStyle w:val="Hyperlink"/>
            <w:noProof/>
          </w:rPr>
          <w:t>3.3</w:t>
        </w:r>
        <w:r w:rsidR="0077508F">
          <w:rPr>
            <w:rFonts w:eastAsiaTheme="minorEastAsia" w:cstheme="minorBidi"/>
            <w:smallCaps w:val="0"/>
            <w:noProof/>
            <w:sz w:val="22"/>
            <w:szCs w:val="22"/>
            <w:lang w:eastAsia="en-GB" w:bidi="ar-SA"/>
          </w:rPr>
          <w:tab/>
        </w:r>
        <w:r w:rsidR="0077508F" w:rsidRPr="002A7B4E">
          <w:rPr>
            <w:rStyle w:val="Hyperlink"/>
            <w:noProof/>
          </w:rPr>
          <w:t>Safety of triacylglycerol lipase</w:t>
        </w:r>
        <w:r w:rsidR="0077508F">
          <w:rPr>
            <w:noProof/>
            <w:webHidden/>
          </w:rPr>
          <w:tab/>
        </w:r>
        <w:r w:rsidR="0077508F">
          <w:rPr>
            <w:noProof/>
            <w:webHidden/>
          </w:rPr>
          <w:fldChar w:fldCharType="begin"/>
        </w:r>
        <w:r w:rsidR="0077508F">
          <w:rPr>
            <w:noProof/>
            <w:webHidden/>
          </w:rPr>
          <w:instrText xml:space="preserve"> PAGEREF _Toc528243341 \h </w:instrText>
        </w:r>
        <w:r w:rsidR="0077508F">
          <w:rPr>
            <w:noProof/>
            <w:webHidden/>
          </w:rPr>
        </w:r>
        <w:r w:rsidR="0077508F">
          <w:rPr>
            <w:noProof/>
            <w:webHidden/>
          </w:rPr>
          <w:fldChar w:fldCharType="separate"/>
        </w:r>
        <w:r w:rsidR="0077508F">
          <w:rPr>
            <w:noProof/>
            <w:webHidden/>
          </w:rPr>
          <w:t>11</w:t>
        </w:r>
        <w:r w:rsidR="0077508F">
          <w:rPr>
            <w:noProof/>
            <w:webHidden/>
          </w:rPr>
          <w:fldChar w:fldCharType="end"/>
        </w:r>
      </w:hyperlink>
    </w:p>
    <w:p w14:paraId="2C75314D" w14:textId="029B5C93"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42" w:history="1">
        <w:r w:rsidR="0077508F" w:rsidRPr="002A7B4E">
          <w:rPr>
            <w:rStyle w:val="Hyperlink"/>
            <w:noProof/>
          </w:rPr>
          <w:t>3.3.1</w:t>
        </w:r>
        <w:r w:rsidR="0077508F">
          <w:rPr>
            <w:rFonts w:eastAsiaTheme="minorEastAsia" w:cstheme="minorBidi"/>
            <w:i w:val="0"/>
            <w:iCs w:val="0"/>
            <w:noProof/>
            <w:sz w:val="22"/>
            <w:szCs w:val="22"/>
            <w:lang w:eastAsia="en-GB" w:bidi="ar-SA"/>
          </w:rPr>
          <w:tab/>
        </w:r>
        <w:r w:rsidR="0077508F" w:rsidRPr="002A7B4E">
          <w:rPr>
            <w:rStyle w:val="Hyperlink"/>
            <w:noProof/>
          </w:rPr>
          <w:t>History of safe use of the enzyme</w:t>
        </w:r>
        <w:r w:rsidR="0077508F">
          <w:rPr>
            <w:noProof/>
            <w:webHidden/>
          </w:rPr>
          <w:tab/>
        </w:r>
        <w:r w:rsidR="0077508F">
          <w:rPr>
            <w:noProof/>
            <w:webHidden/>
          </w:rPr>
          <w:fldChar w:fldCharType="begin"/>
        </w:r>
        <w:r w:rsidR="0077508F">
          <w:rPr>
            <w:noProof/>
            <w:webHidden/>
          </w:rPr>
          <w:instrText xml:space="preserve"> PAGEREF _Toc528243342 \h </w:instrText>
        </w:r>
        <w:r w:rsidR="0077508F">
          <w:rPr>
            <w:noProof/>
            <w:webHidden/>
          </w:rPr>
        </w:r>
        <w:r w:rsidR="0077508F">
          <w:rPr>
            <w:noProof/>
            <w:webHidden/>
          </w:rPr>
          <w:fldChar w:fldCharType="separate"/>
        </w:r>
        <w:r w:rsidR="0077508F">
          <w:rPr>
            <w:noProof/>
            <w:webHidden/>
          </w:rPr>
          <w:t>11</w:t>
        </w:r>
        <w:r w:rsidR="0077508F">
          <w:rPr>
            <w:noProof/>
            <w:webHidden/>
          </w:rPr>
          <w:fldChar w:fldCharType="end"/>
        </w:r>
      </w:hyperlink>
    </w:p>
    <w:p w14:paraId="26F12EF1" w14:textId="0FCB3DF4"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43" w:history="1">
        <w:r w:rsidR="0077508F" w:rsidRPr="002A7B4E">
          <w:rPr>
            <w:rStyle w:val="Hyperlink"/>
            <w:noProof/>
          </w:rPr>
          <w:t>3.3.2</w:t>
        </w:r>
        <w:r w:rsidR="0077508F">
          <w:rPr>
            <w:rFonts w:eastAsiaTheme="minorEastAsia" w:cstheme="minorBidi"/>
            <w:i w:val="0"/>
            <w:iCs w:val="0"/>
            <w:noProof/>
            <w:sz w:val="22"/>
            <w:szCs w:val="22"/>
            <w:lang w:eastAsia="en-GB" w:bidi="ar-SA"/>
          </w:rPr>
          <w:tab/>
        </w:r>
        <w:r w:rsidR="0077508F" w:rsidRPr="002A7B4E">
          <w:rPr>
            <w:rStyle w:val="Hyperlink"/>
            <w:noProof/>
          </w:rPr>
          <w:t>Bioinformatic analysis for potential allergenicity</w:t>
        </w:r>
        <w:r w:rsidR="0077508F">
          <w:rPr>
            <w:noProof/>
            <w:webHidden/>
          </w:rPr>
          <w:tab/>
        </w:r>
        <w:r w:rsidR="0077508F">
          <w:rPr>
            <w:noProof/>
            <w:webHidden/>
          </w:rPr>
          <w:fldChar w:fldCharType="begin"/>
        </w:r>
        <w:r w:rsidR="0077508F">
          <w:rPr>
            <w:noProof/>
            <w:webHidden/>
          </w:rPr>
          <w:instrText xml:space="preserve"> PAGEREF _Toc528243343 \h </w:instrText>
        </w:r>
        <w:r w:rsidR="0077508F">
          <w:rPr>
            <w:noProof/>
            <w:webHidden/>
          </w:rPr>
        </w:r>
        <w:r w:rsidR="0077508F">
          <w:rPr>
            <w:noProof/>
            <w:webHidden/>
          </w:rPr>
          <w:fldChar w:fldCharType="separate"/>
        </w:r>
        <w:r w:rsidR="0077508F">
          <w:rPr>
            <w:noProof/>
            <w:webHidden/>
          </w:rPr>
          <w:t>12</w:t>
        </w:r>
        <w:r w:rsidR="0077508F">
          <w:rPr>
            <w:noProof/>
            <w:webHidden/>
          </w:rPr>
          <w:fldChar w:fldCharType="end"/>
        </w:r>
      </w:hyperlink>
    </w:p>
    <w:p w14:paraId="0DA29079" w14:textId="35783883"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44" w:history="1">
        <w:r w:rsidR="0077508F" w:rsidRPr="002A7B4E">
          <w:rPr>
            <w:rStyle w:val="Hyperlink"/>
            <w:noProof/>
          </w:rPr>
          <w:t>3.3.3</w:t>
        </w:r>
        <w:r w:rsidR="0077508F">
          <w:rPr>
            <w:rFonts w:eastAsiaTheme="minorEastAsia" w:cstheme="minorBidi"/>
            <w:i w:val="0"/>
            <w:iCs w:val="0"/>
            <w:noProof/>
            <w:sz w:val="22"/>
            <w:szCs w:val="22"/>
            <w:lang w:eastAsia="en-GB" w:bidi="ar-SA"/>
          </w:rPr>
          <w:tab/>
        </w:r>
        <w:r w:rsidR="0077508F" w:rsidRPr="002A7B4E">
          <w:rPr>
            <w:rStyle w:val="Hyperlink"/>
            <w:noProof/>
          </w:rPr>
          <w:t>Other allergenic components</w:t>
        </w:r>
        <w:r w:rsidR="0077508F">
          <w:rPr>
            <w:noProof/>
            <w:webHidden/>
          </w:rPr>
          <w:tab/>
        </w:r>
        <w:r w:rsidR="0077508F">
          <w:rPr>
            <w:noProof/>
            <w:webHidden/>
          </w:rPr>
          <w:fldChar w:fldCharType="begin"/>
        </w:r>
        <w:r w:rsidR="0077508F">
          <w:rPr>
            <w:noProof/>
            <w:webHidden/>
          </w:rPr>
          <w:instrText xml:space="preserve"> PAGEREF _Toc528243344 \h </w:instrText>
        </w:r>
        <w:r w:rsidR="0077508F">
          <w:rPr>
            <w:noProof/>
            <w:webHidden/>
          </w:rPr>
        </w:r>
        <w:r w:rsidR="0077508F">
          <w:rPr>
            <w:noProof/>
            <w:webHidden/>
          </w:rPr>
          <w:fldChar w:fldCharType="separate"/>
        </w:r>
        <w:r w:rsidR="0077508F">
          <w:rPr>
            <w:noProof/>
            <w:webHidden/>
          </w:rPr>
          <w:t>12</w:t>
        </w:r>
        <w:r w:rsidR="0077508F">
          <w:rPr>
            <w:noProof/>
            <w:webHidden/>
          </w:rPr>
          <w:fldChar w:fldCharType="end"/>
        </w:r>
      </w:hyperlink>
    </w:p>
    <w:p w14:paraId="308D18EC" w14:textId="22BC92B6" w:rsidR="0077508F" w:rsidRDefault="00D127AE">
      <w:pPr>
        <w:pStyle w:val="TOC3"/>
        <w:tabs>
          <w:tab w:val="left" w:pos="1100"/>
          <w:tab w:val="right" w:leader="dot" w:pos="9060"/>
        </w:tabs>
        <w:rPr>
          <w:rFonts w:eastAsiaTheme="minorEastAsia" w:cstheme="minorBidi"/>
          <w:i w:val="0"/>
          <w:iCs w:val="0"/>
          <w:noProof/>
          <w:sz w:val="22"/>
          <w:szCs w:val="22"/>
          <w:lang w:eastAsia="en-GB" w:bidi="ar-SA"/>
        </w:rPr>
      </w:pPr>
      <w:hyperlink w:anchor="_Toc528243345" w:history="1">
        <w:r w:rsidR="0077508F" w:rsidRPr="002A7B4E">
          <w:rPr>
            <w:rStyle w:val="Hyperlink"/>
            <w:noProof/>
          </w:rPr>
          <w:t>3.3.4</w:t>
        </w:r>
        <w:r w:rsidR="0077508F">
          <w:rPr>
            <w:rFonts w:eastAsiaTheme="minorEastAsia" w:cstheme="minorBidi"/>
            <w:i w:val="0"/>
            <w:iCs w:val="0"/>
            <w:noProof/>
            <w:sz w:val="22"/>
            <w:szCs w:val="22"/>
            <w:lang w:eastAsia="en-GB" w:bidi="ar-SA"/>
          </w:rPr>
          <w:tab/>
        </w:r>
        <w:r w:rsidR="0077508F" w:rsidRPr="002A7B4E">
          <w:rPr>
            <w:rStyle w:val="Hyperlink"/>
            <w:noProof/>
          </w:rPr>
          <w:t>Bioinformatic analysis for potential toxicity</w:t>
        </w:r>
        <w:r w:rsidR="0077508F">
          <w:rPr>
            <w:noProof/>
            <w:webHidden/>
          </w:rPr>
          <w:tab/>
        </w:r>
        <w:r w:rsidR="0077508F">
          <w:rPr>
            <w:noProof/>
            <w:webHidden/>
          </w:rPr>
          <w:fldChar w:fldCharType="begin"/>
        </w:r>
        <w:r w:rsidR="0077508F">
          <w:rPr>
            <w:noProof/>
            <w:webHidden/>
          </w:rPr>
          <w:instrText xml:space="preserve"> PAGEREF _Toc528243345 \h </w:instrText>
        </w:r>
        <w:r w:rsidR="0077508F">
          <w:rPr>
            <w:noProof/>
            <w:webHidden/>
          </w:rPr>
        </w:r>
        <w:r w:rsidR="0077508F">
          <w:rPr>
            <w:noProof/>
            <w:webHidden/>
          </w:rPr>
          <w:fldChar w:fldCharType="separate"/>
        </w:r>
        <w:r w:rsidR="0077508F">
          <w:rPr>
            <w:noProof/>
            <w:webHidden/>
          </w:rPr>
          <w:t>12</w:t>
        </w:r>
        <w:r w:rsidR="0077508F">
          <w:rPr>
            <w:noProof/>
            <w:webHidden/>
          </w:rPr>
          <w:fldChar w:fldCharType="end"/>
        </w:r>
      </w:hyperlink>
    </w:p>
    <w:p w14:paraId="3001DA98" w14:textId="49AC6746" w:rsidR="0077508F" w:rsidRDefault="0077508F">
      <w:pPr>
        <w:pStyle w:val="TOC3"/>
        <w:tabs>
          <w:tab w:val="left" w:pos="1100"/>
          <w:tab w:val="right" w:leader="dot" w:pos="9060"/>
        </w:tabs>
        <w:rPr>
          <w:rFonts w:eastAsiaTheme="minorEastAsia" w:cstheme="minorBidi"/>
          <w:i w:val="0"/>
          <w:iCs w:val="0"/>
          <w:noProof/>
          <w:sz w:val="22"/>
          <w:szCs w:val="22"/>
          <w:lang w:eastAsia="en-GB" w:bidi="ar-SA"/>
        </w:rPr>
      </w:pPr>
      <w:hyperlink w:anchor="_Toc528243346" w:history="1">
        <w:r w:rsidRPr="002A7B4E">
          <w:rPr>
            <w:rStyle w:val="Hyperlink"/>
            <w:noProof/>
          </w:rPr>
          <w:t>3.3.5</w:t>
        </w:r>
        <w:r>
          <w:rPr>
            <w:rFonts w:eastAsiaTheme="minorEastAsia" w:cstheme="minorBidi"/>
            <w:i w:val="0"/>
            <w:iCs w:val="0"/>
            <w:noProof/>
            <w:sz w:val="22"/>
            <w:szCs w:val="22"/>
            <w:lang w:eastAsia="en-GB" w:bidi="ar-SA"/>
          </w:rPr>
          <w:tab/>
        </w:r>
        <w:r w:rsidRPr="002A7B4E">
          <w:rPr>
            <w:rStyle w:val="Hyperlink"/>
            <w:noProof/>
          </w:rPr>
          <w:t>Toxicity studies of the enzyme</w:t>
        </w:r>
        <w:r>
          <w:rPr>
            <w:noProof/>
            <w:webHidden/>
          </w:rPr>
          <w:tab/>
        </w:r>
        <w:r>
          <w:rPr>
            <w:noProof/>
            <w:webHidden/>
          </w:rPr>
          <w:fldChar w:fldCharType="begin"/>
        </w:r>
        <w:r>
          <w:rPr>
            <w:noProof/>
            <w:webHidden/>
          </w:rPr>
          <w:instrText xml:space="preserve"> PAGEREF _Toc528243346 \h </w:instrText>
        </w:r>
        <w:r>
          <w:rPr>
            <w:noProof/>
            <w:webHidden/>
          </w:rPr>
        </w:r>
        <w:r>
          <w:rPr>
            <w:noProof/>
            <w:webHidden/>
          </w:rPr>
          <w:fldChar w:fldCharType="separate"/>
        </w:r>
        <w:r>
          <w:rPr>
            <w:noProof/>
            <w:webHidden/>
          </w:rPr>
          <w:t>12</w:t>
        </w:r>
        <w:r>
          <w:rPr>
            <w:noProof/>
            <w:webHidden/>
          </w:rPr>
          <w:fldChar w:fldCharType="end"/>
        </w:r>
      </w:hyperlink>
    </w:p>
    <w:p w14:paraId="522BD049" w14:textId="3F1DAB7E" w:rsidR="0077508F" w:rsidRDefault="00D127AE">
      <w:pPr>
        <w:pStyle w:val="TOC2"/>
        <w:tabs>
          <w:tab w:val="left" w:pos="880"/>
          <w:tab w:val="right" w:leader="dot" w:pos="9060"/>
        </w:tabs>
        <w:rPr>
          <w:rFonts w:eastAsiaTheme="minorEastAsia" w:cstheme="minorBidi"/>
          <w:smallCaps w:val="0"/>
          <w:noProof/>
          <w:sz w:val="22"/>
          <w:szCs w:val="22"/>
          <w:lang w:eastAsia="en-GB" w:bidi="ar-SA"/>
        </w:rPr>
      </w:pPr>
      <w:hyperlink w:anchor="_Toc528243347" w:history="1">
        <w:r w:rsidR="0077508F" w:rsidRPr="002A7B4E">
          <w:rPr>
            <w:rStyle w:val="Hyperlink"/>
            <w:noProof/>
          </w:rPr>
          <w:t>3.4</w:t>
        </w:r>
        <w:r w:rsidR="0077508F">
          <w:rPr>
            <w:rFonts w:eastAsiaTheme="minorEastAsia" w:cstheme="minorBidi"/>
            <w:smallCaps w:val="0"/>
            <w:noProof/>
            <w:sz w:val="22"/>
            <w:szCs w:val="22"/>
            <w:lang w:eastAsia="en-GB" w:bidi="ar-SA"/>
          </w:rPr>
          <w:tab/>
        </w:r>
        <w:r w:rsidR="0077508F" w:rsidRPr="002A7B4E">
          <w:rPr>
            <w:rStyle w:val="Hyperlink"/>
            <w:noProof/>
          </w:rPr>
          <w:t>Safety assessment conclusions</w:t>
        </w:r>
        <w:r w:rsidR="0077508F">
          <w:rPr>
            <w:noProof/>
            <w:webHidden/>
          </w:rPr>
          <w:tab/>
        </w:r>
        <w:r w:rsidR="0077508F">
          <w:rPr>
            <w:noProof/>
            <w:webHidden/>
          </w:rPr>
          <w:fldChar w:fldCharType="begin"/>
        </w:r>
        <w:r w:rsidR="0077508F">
          <w:rPr>
            <w:noProof/>
            <w:webHidden/>
          </w:rPr>
          <w:instrText xml:space="preserve"> PAGEREF _Toc528243347 \h </w:instrText>
        </w:r>
        <w:r w:rsidR="0077508F">
          <w:rPr>
            <w:noProof/>
            <w:webHidden/>
          </w:rPr>
        </w:r>
        <w:r w:rsidR="0077508F">
          <w:rPr>
            <w:noProof/>
            <w:webHidden/>
          </w:rPr>
          <w:fldChar w:fldCharType="separate"/>
        </w:r>
        <w:r w:rsidR="0077508F">
          <w:rPr>
            <w:noProof/>
            <w:webHidden/>
          </w:rPr>
          <w:t>15</w:t>
        </w:r>
        <w:r w:rsidR="0077508F">
          <w:rPr>
            <w:noProof/>
            <w:webHidden/>
          </w:rPr>
          <w:fldChar w:fldCharType="end"/>
        </w:r>
      </w:hyperlink>
    </w:p>
    <w:p w14:paraId="75E25CE7" w14:textId="34014C94" w:rsidR="0077508F" w:rsidRDefault="00D127AE">
      <w:pPr>
        <w:pStyle w:val="TOC1"/>
        <w:tabs>
          <w:tab w:val="right" w:leader="dot" w:pos="9060"/>
        </w:tabs>
        <w:rPr>
          <w:rFonts w:eastAsiaTheme="minorEastAsia" w:cstheme="minorBidi"/>
          <w:b w:val="0"/>
          <w:bCs w:val="0"/>
          <w:caps w:val="0"/>
          <w:noProof/>
          <w:sz w:val="22"/>
          <w:szCs w:val="22"/>
          <w:lang w:eastAsia="en-GB" w:bidi="ar-SA"/>
        </w:rPr>
      </w:pPr>
      <w:hyperlink w:anchor="_Toc528243348" w:history="1">
        <w:r w:rsidR="0077508F" w:rsidRPr="002A7B4E">
          <w:rPr>
            <w:rStyle w:val="Hyperlink"/>
            <w:noProof/>
          </w:rPr>
          <w:t>4 References</w:t>
        </w:r>
        <w:r w:rsidR="0077508F">
          <w:rPr>
            <w:noProof/>
            <w:webHidden/>
          </w:rPr>
          <w:tab/>
        </w:r>
        <w:r w:rsidR="0077508F">
          <w:rPr>
            <w:noProof/>
            <w:webHidden/>
          </w:rPr>
          <w:fldChar w:fldCharType="begin"/>
        </w:r>
        <w:r w:rsidR="0077508F">
          <w:rPr>
            <w:noProof/>
            <w:webHidden/>
          </w:rPr>
          <w:instrText xml:space="preserve"> PAGEREF _Toc528243348 \h </w:instrText>
        </w:r>
        <w:r w:rsidR="0077508F">
          <w:rPr>
            <w:noProof/>
            <w:webHidden/>
          </w:rPr>
        </w:r>
        <w:r w:rsidR="0077508F">
          <w:rPr>
            <w:noProof/>
            <w:webHidden/>
          </w:rPr>
          <w:fldChar w:fldCharType="separate"/>
        </w:r>
        <w:r w:rsidR="0077508F">
          <w:rPr>
            <w:noProof/>
            <w:webHidden/>
          </w:rPr>
          <w:t>15</w:t>
        </w:r>
        <w:r w:rsidR="0077508F">
          <w:rPr>
            <w:noProof/>
            <w:webHidden/>
          </w:rPr>
          <w:fldChar w:fldCharType="end"/>
        </w:r>
      </w:hyperlink>
    </w:p>
    <w:p w14:paraId="018C45B9" w14:textId="08771D68" w:rsidR="00562917" w:rsidRDefault="00326D85" w:rsidP="00051ED9">
      <w:r>
        <w:fldChar w:fldCharType="end"/>
      </w:r>
    </w:p>
    <w:p w14:paraId="7D5B8120" w14:textId="77777777" w:rsidR="00E066BA" w:rsidRDefault="00E066BA" w:rsidP="00051ED9"/>
    <w:p w14:paraId="3A75AE4D" w14:textId="77777777" w:rsidR="00051ED9" w:rsidRDefault="00562917" w:rsidP="00772BDC">
      <w:r w:rsidRPr="00E203C2">
        <w:br w:type="page"/>
      </w:r>
    </w:p>
    <w:p w14:paraId="4B7DC09C" w14:textId="78E44300" w:rsidR="004F3184" w:rsidRDefault="004F3184" w:rsidP="00292564">
      <w:pPr>
        <w:pStyle w:val="Heading1"/>
      </w:pPr>
      <w:bookmarkStart w:id="4" w:name="_Toc528243321"/>
      <w:bookmarkStart w:id="5" w:name="_Toc505255637"/>
      <w:r>
        <w:lastRenderedPageBreak/>
        <w:t>1</w:t>
      </w:r>
      <w:r w:rsidR="0040727A">
        <w:t xml:space="preserve"> </w:t>
      </w:r>
      <w:r w:rsidRPr="0040727A">
        <w:rPr>
          <w:rStyle w:val="Heading1Char"/>
          <w:b/>
        </w:rPr>
        <w:t>Introduction</w:t>
      </w:r>
      <w:bookmarkEnd w:id="4"/>
    </w:p>
    <w:p w14:paraId="2C2EAB9A" w14:textId="5D6673F5" w:rsidR="002D4E34" w:rsidRDefault="002D4E34" w:rsidP="002D4E34">
      <w:pPr>
        <w:tabs>
          <w:tab w:val="left" w:pos="993"/>
        </w:tabs>
      </w:pPr>
      <w:r>
        <w:t xml:space="preserve">AB Enzymes GmbH </w:t>
      </w:r>
      <w:r w:rsidR="00786513">
        <w:t xml:space="preserve">has made an application to FSANZ seeking permission to use the enzyme </w:t>
      </w:r>
      <w:r w:rsidRPr="00D12859">
        <w:t xml:space="preserve">triacylglycerol lipase </w:t>
      </w:r>
      <w:r w:rsidR="00786513">
        <w:t xml:space="preserve">(EC 3.1.1.3) from a genetically modified strain of </w:t>
      </w:r>
      <w:r w:rsidR="00786513">
        <w:rPr>
          <w:i/>
        </w:rPr>
        <w:t xml:space="preserve">Trichoderma reesei </w:t>
      </w:r>
      <w:r w:rsidR="00786513">
        <w:t xml:space="preserve">as a processing aid for use in baking and other cereal-based processes. Specifically, the enzyme would be used </w:t>
      </w:r>
      <w:r w:rsidR="0010191A">
        <w:t xml:space="preserve">in baking processes, for foods </w:t>
      </w:r>
      <w:r w:rsidR="00786513">
        <w:t xml:space="preserve">such as </w:t>
      </w:r>
      <w:r w:rsidRPr="00C0308D">
        <w:t>bread, biscuits, tortillas, cakes, steamed bread and croissants</w:t>
      </w:r>
      <w:r w:rsidR="00786513">
        <w:t xml:space="preserve">, and </w:t>
      </w:r>
      <w:r w:rsidR="0010191A">
        <w:t>in other cereal-</w:t>
      </w:r>
      <w:r w:rsidRPr="00C0308D">
        <w:t>based processes</w:t>
      </w:r>
      <w:r w:rsidR="0010191A">
        <w:t>,</w:t>
      </w:r>
      <w:r w:rsidRPr="00C0308D">
        <w:t xml:space="preserve"> </w:t>
      </w:r>
      <w:r w:rsidR="00786513">
        <w:t xml:space="preserve">for foods such as </w:t>
      </w:r>
      <w:r w:rsidRPr="00C0308D">
        <w:t>pastas</w:t>
      </w:r>
      <w:r w:rsidR="00064481">
        <w:t xml:space="preserve"> and </w:t>
      </w:r>
      <w:r w:rsidRPr="00C0308D">
        <w:t xml:space="preserve">noodles. </w:t>
      </w:r>
    </w:p>
    <w:p w14:paraId="1579F3D6" w14:textId="77777777" w:rsidR="002D4E34" w:rsidRDefault="002D4E34" w:rsidP="002D4E34">
      <w:pPr>
        <w:tabs>
          <w:tab w:val="left" w:pos="993"/>
        </w:tabs>
      </w:pPr>
    </w:p>
    <w:p w14:paraId="028C17C3" w14:textId="30D025BA" w:rsidR="002D4E34" w:rsidRDefault="002D4E34" w:rsidP="0010191A">
      <w:r w:rsidRPr="005E6580">
        <w:t>AB Enzymes</w:t>
      </w:r>
      <w:r>
        <w:t xml:space="preserve"> GmbH is</w:t>
      </w:r>
      <w:r w:rsidRPr="005E6580">
        <w:t xml:space="preserve"> an industrial biotech</w:t>
      </w:r>
      <w:r>
        <w:t>nology</w:t>
      </w:r>
      <w:r w:rsidRPr="005E6580">
        <w:t xml:space="preserve"> company that</w:t>
      </w:r>
      <w:r w:rsidR="0010191A">
        <w:t xml:space="preserve"> develops</w:t>
      </w:r>
      <w:r w:rsidR="00D2772A">
        <w:t>,</w:t>
      </w:r>
      <w:r w:rsidR="0010191A">
        <w:t xml:space="preserve"> manufactures and supplies </w:t>
      </w:r>
      <w:r w:rsidRPr="005E6580">
        <w:t xml:space="preserve">enzyme preparations for industrial applications. </w:t>
      </w:r>
      <w:r>
        <w:t xml:space="preserve">The enzyme preparation </w:t>
      </w:r>
      <w:r w:rsidR="0010191A">
        <w:t xml:space="preserve">that is the subject of this application </w:t>
      </w:r>
      <w:r>
        <w:t xml:space="preserve">has been </w:t>
      </w:r>
      <w:r w:rsidR="0010191A">
        <w:t>authorised for use</w:t>
      </w:r>
      <w:r>
        <w:t xml:space="preserve"> in France (April 2017)</w:t>
      </w:r>
      <w:r w:rsidR="0010191A">
        <w:t xml:space="preserve"> and the United States</w:t>
      </w:r>
      <w:r>
        <w:t xml:space="preserve"> (</w:t>
      </w:r>
      <w:r w:rsidR="0010191A">
        <w:t xml:space="preserve">US </w:t>
      </w:r>
      <w:r>
        <w:t xml:space="preserve">GRAS no objection letter </w:t>
      </w:r>
      <w:r w:rsidR="0010191A">
        <w:t>GRN000631)</w:t>
      </w:r>
      <w:r>
        <w:t>. A dossier</w:t>
      </w:r>
      <w:r w:rsidR="0010191A">
        <w:t xml:space="preserve"> on the enzyme</w:t>
      </w:r>
      <w:r>
        <w:t xml:space="preserve"> has also been submitted to </w:t>
      </w:r>
      <w:r w:rsidR="0010191A">
        <w:t xml:space="preserve">the </w:t>
      </w:r>
      <w:r w:rsidR="0010191A" w:rsidRPr="004C72BB">
        <w:t>European Food Safety Authority (EFSA) (EFSA-Q-201</w:t>
      </w:r>
      <w:r w:rsidR="0010191A">
        <w:t>6</w:t>
      </w:r>
      <w:r w:rsidR="0010191A" w:rsidRPr="004C72BB">
        <w:t>-00</w:t>
      </w:r>
      <w:r w:rsidR="0010191A">
        <w:t xml:space="preserve">212) </w:t>
      </w:r>
      <w:r>
        <w:t>and is currently under review.</w:t>
      </w:r>
    </w:p>
    <w:p w14:paraId="7C622BFC" w14:textId="22FF91D1" w:rsidR="0010191A" w:rsidRDefault="0010191A" w:rsidP="0010191A"/>
    <w:p w14:paraId="16EE3642" w14:textId="2E9BF7E7" w:rsidR="0010191A" w:rsidRPr="00B659CB" w:rsidRDefault="0010191A" w:rsidP="0010191A">
      <w:r>
        <w:t xml:space="preserve">There are a number of permissions for triacylglycerol lipase in the </w:t>
      </w:r>
      <w:r w:rsidRPr="00A76648">
        <w:t>Australia New Zealand Food Standards Code</w:t>
      </w:r>
      <w:r>
        <w:t xml:space="preserve"> (the Code) (FSANZ 2018). However, there is no permission for use of this enzyme </w:t>
      </w:r>
      <w:r w:rsidRPr="00B659CB">
        <w:t xml:space="preserve">sourced from </w:t>
      </w:r>
      <w:r>
        <w:t xml:space="preserve">a genetically modified </w:t>
      </w:r>
      <w:r w:rsidR="00592007">
        <w:t xml:space="preserve">strain </w:t>
      </w:r>
      <w:r>
        <w:t xml:space="preserve">of </w:t>
      </w:r>
      <w:r>
        <w:rPr>
          <w:i/>
        </w:rPr>
        <w:t xml:space="preserve">T. reesei, </w:t>
      </w:r>
      <w:r>
        <w:t xml:space="preserve">containing the gene for triacylglycerol lipase </w:t>
      </w:r>
      <w:r w:rsidR="00F42E27">
        <w:t xml:space="preserve">isolated </w:t>
      </w:r>
      <w:r>
        <w:t xml:space="preserve">from </w:t>
      </w:r>
      <w:r w:rsidR="00F42E27">
        <w:rPr>
          <w:i/>
        </w:rPr>
        <w:t>Fusarium oxysporum</w:t>
      </w:r>
      <w:r>
        <w:rPr>
          <w:i/>
        </w:rPr>
        <w:t xml:space="preserve">. </w:t>
      </w:r>
      <w:r>
        <w:t xml:space="preserve">Therefore, </w:t>
      </w:r>
      <w:r w:rsidRPr="00B659CB">
        <w:t xml:space="preserve">any application to amend the Code to permit the use of this enzyme as a food processing aid requires a pre-market assessment. </w:t>
      </w:r>
    </w:p>
    <w:p w14:paraId="11BD1938" w14:textId="0CFB7023" w:rsidR="004F3184" w:rsidRDefault="004F3184" w:rsidP="00786513">
      <w:pPr>
        <w:pStyle w:val="Heading2"/>
        <w:numPr>
          <w:ilvl w:val="1"/>
          <w:numId w:val="16"/>
        </w:numPr>
      </w:pPr>
      <w:bookmarkStart w:id="6" w:name="_Toc528243322"/>
      <w:r>
        <w:t>Objectives of the assessment</w:t>
      </w:r>
      <w:bookmarkEnd w:id="6"/>
    </w:p>
    <w:p w14:paraId="053D435F" w14:textId="72FB6691" w:rsidR="00786513" w:rsidRPr="00B659CB" w:rsidRDefault="00786513" w:rsidP="00786513">
      <w:r w:rsidRPr="00B659CB">
        <w:t xml:space="preserve">The objectives of this </w:t>
      </w:r>
      <w:r w:rsidR="000A1C35">
        <w:t>technical</w:t>
      </w:r>
      <w:r w:rsidR="004A6CF2">
        <w:t>, safety</w:t>
      </w:r>
      <w:r w:rsidR="000A1C35">
        <w:t xml:space="preserve"> and </w:t>
      </w:r>
      <w:r w:rsidRPr="00B659CB">
        <w:t xml:space="preserve">risk assessment </w:t>
      </w:r>
      <w:r w:rsidR="000A1C35">
        <w:t xml:space="preserve">for triacylglycerol lipase </w:t>
      </w:r>
      <w:r w:rsidRPr="00B659CB">
        <w:t>were to:</w:t>
      </w:r>
    </w:p>
    <w:p w14:paraId="1A4E4844" w14:textId="77777777" w:rsidR="00786513" w:rsidRPr="00B659CB" w:rsidRDefault="00786513" w:rsidP="00786513"/>
    <w:p w14:paraId="48370762" w14:textId="5F6AEA38" w:rsidR="00786513" w:rsidRDefault="00786513" w:rsidP="00CD762C">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23A841AF" w14:textId="77777777" w:rsidR="000A1C35" w:rsidRPr="00B659CB" w:rsidRDefault="000A1C35" w:rsidP="000A1C35">
      <w:pPr>
        <w:pStyle w:val="ListParagraph"/>
        <w:ind w:left="930"/>
      </w:pPr>
    </w:p>
    <w:p w14:paraId="02231AAA" w14:textId="0BF0BBAE" w:rsidR="00786513" w:rsidRDefault="00786513" w:rsidP="00CD762C">
      <w:pPr>
        <w:pStyle w:val="FSBullet1"/>
      </w:pPr>
      <w:r w:rsidRPr="00B659CB">
        <w:t xml:space="preserve">evaluate any potential public health and safety </w:t>
      </w:r>
      <w:r w:rsidR="000A1C35">
        <w:t>issues</w:t>
      </w:r>
      <w:r w:rsidR="000A1C35" w:rsidRPr="00B659CB">
        <w:t xml:space="preserve"> </w:t>
      </w:r>
      <w:r w:rsidRPr="00B659CB">
        <w:t xml:space="preserve">that may arise from the use of </w:t>
      </w:r>
      <w:r w:rsidR="000A1C35">
        <w:t>this enzyme protein, produced by</w:t>
      </w:r>
      <w:r w:rsidRPr="00B659CB">
        <w:t xml:space="preserve"> </w:t>
      </w:r>
      <w:r>
        <w:t xml:space="preserve">a genetically modified </w:t>
      </w:r>
      <w:r w:rsidR="000A1C35">
        <w:t xml:space="preserve">organism </w:t>
      </w:r>
      <w:r w:rsidRPr="00B659CB">
        <w:t>as a processing aid.</w:t>
      </w:r>
      <w:r w:rsidR="000A1C35">
        <w:t xml:space="preserve"> Specifically by considering the:</w:t>
      </w:r>
    </w:p>
    <w:p w14:paraId="3BB12AA7" w14:textId="2D258924" w:rsidR="000A1C35" w:rsidRDefault="000A1C35" w:rsidP="000A1C35"/>
    <w:p w14:paraId="2381F31C" w14:textId="29846774" w:rsidR="000A1C35" w:rsidRDefault="000A1C35" w:rsidP="00CD762C">
      <w:pPr>
        <w:pStyle w:val="FSBullet2"/>
      </w:pPr>
      <w:r w:rsidRPr="00F853CC">
        <w:t>history of us</w:t>
      </w:r>
      <w:r>
        <w:t>e of the host and gene donor organisms</w:t>
      </w:r>
    </w:p>
    <w:p w14:paraId="4B583676" w14:textId="77777777" w:rsidR="000A1C35" w:rsidRPr="00460133" w:rsidRDefault="000A1C35" w:rsidP="00CD762C">
      <w:pPr>
        <w:pStyle w:val="FSBullet2"/>
      </w:pPr>
      <w:r>
        <w:t>characterisation of the genetic modification(s), and</w:t>
      </w:r>
    </w:p>
    <w:p w14:paraId="122E3D0A" w14:textId="77777777" w:rsidR="000A1C35" w:rsidRDefault="000A1C35" w:rsidP="00CD762C">
      <w:pPr>
        <w:pStyle w:val="FSBullet2"/>
      </w:pPr>
      <w:r>
        <w:t>safety of the enzyme protein.</w:t>
      </w:r>
    </w:p>
    <w:p w14:paraId="1B5D4373" w14:textId="27D006BF" w:rsidR="004F3184" w:rsidRDefault="0040727A" w:rsidP="0040727A">
      <w:pPr>
        <w:pStyle w:val="Heading1"/>
      </w:pPr>
      <w:bookmarkStart w:id="7" w:name="_Toc528243323"/>
      <w:r>
        <w:lastRenderedPageBreak/>
        <w:t xml:space="preserve">2 </w:t>
      </w:r>
      <w:r w:rsidR="009E0A57">
        <w:t>Food t</w:t>
      </w:r>
      <w:r w:rsidR="004F3184">
        <w:t xml:space="preserve">echnology </w:t>
      </w:r>
      <w:r w:rsidR="009E0A57">
        <w:t>a</w:t>
      </w:r>
      <w:r w:rsidR="004F3184">
        <w:t>ssessment</w:t>
      </w:r>
      <w:bookmarkEnd w:id="7"/>
    </w:p>
    <w:p w14:paraId="268DF2D7" w14:textId="5C38D266" w:rsidR="004F3184" w:rsidRDefault="0040727A" w:rsidP="0040727A">
      <w:pPr>
        <w:pStyle w:val="Heading2"/>
      </w:pPr>
      <w:bookmarkStart w:id="8" w:name="_Toc528243324"/>
      <w:r>
        <w:t>2.1</w:t>
      </w:r>
      <w:r>
        <w:tab/>
      </w:r>
      <w:r w:rsidR="004F3184">
        <w:t>Characterisation of the enzyme</w:t>
      </w:r>
      <w:bookmarkEnd w:id="8"/>
    </w:p>
    <w:p w14:paraId="02713CA2" w14:textId="03A80E60" w:rsidR="004F3184" w:rsidRDefault="0040727A" w:rsidP="0040727A">
      <w:pPr>
        <w:pStyle w:val="Heading3"/>
      </w:pPr>
      <w:bookmarkStart w:id="9" w:name="_Toc528243325"/>
      <w:r>
        <w:t>2.1.1</w:t>
      </w:r>
      <w:r>
        <w:tab/>
      </w:r>
      <w:r w:rsidR="004F3184">
        <w:t>Identity of the enzyme</w:t>
      </w:r>
      <w:bookmarkEnd w:id="9"/>
    </w:p>
    <w:p w14:paraId="5A87E8EC" w14:textId="02984351" w:rsidR="006E4128" w:rsidRPr="006014F1" w:rsidRDefault="006E4128" w:rsidP="006E4128">
      <w:r w:rsidRPr="006014F1">
        <w:t xml:space="preserve">Information concerning the identity of the enzyme </w:t>
      </w:r>
      <w:r>
        <w:t>from the</w:t>
      </w:r>
      <w:r w:rsidRPr="006014F1">
        <w:t xml:space="preserve"> </w:t>
      </w:r>
      <w:r w:rsidR="009E0A57">
        <w:t>a</w:t>
      </w:r>
      <w:r w:rsidRPr="006014F1">
        <w:t>pplication has been verified using an appropriate enzyme nomenclature reference (IUBMB</w:t>
      </w:r>
      <w:r w:rsidR="009E0A57">
        <w:t xml:space="preserve"> </w:t>
      </w:r>
      <w:r w:rsidRPr="00830498">
        <w:t>201</w:t>
      </w:r>
      <w:r w:rsidR="009E0A57">
        <w:t>7</w:t>
      </w:r>
      <w:r w:rsidRPr="006014F1">
        <w:t xml:space="preserve">). </w:t>
      </w:r>
    </w:p>
    <w:p w14:paraId="71DC495A" w14:textId="77777777" w:rsidR="006E4128" w:rsidRPr="006E4128" w:rsidRDefault="006E4128" w:rsidP="006E4128">
      <w:pPr>
        <w:rPr>
          <w:lang w:eastAsia="en-AU" w:bidi="ar-SA"/>
        </w:rPr>
      </w:pPr>
    </w:p>
    <w:tbl>
      <w:tblPr>
        <w:tblStyle w:val="TableGrid"/>
        <w:tblW w:w="101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6857"/>
      </w:tblGrid>
      <w:tr w:rsidR="00053CB9" w:rsidRPr="00866B0C" w14:paraId="3B5FD159" w14:textId="77777777" w:rsidTr="002F041E">
        <w:tc>
          <w:tcPr>
            <w:tcW w:w="3266" w:type="dxa"/>
          </w:tcPr>
          <w:p w14:paraId="3AD9405B" w14:textId="6CA34B18" w:rsidR="00866B0C" w:rsidRPr="00866B0C" w:rsidRDefault="00053CB9" w:rsidP="002F041E">
            <w:pPr>
              <w:rPr>
                <w:bCs/>
                <w:i/>
                <w:iCs/>
                <w:lang w:eastAsia="en-AU"/>
              </w:rPr>
            </w:pPr>
            <w:r>
              <w:rPr>
                <w:bCs/>
                <w:i/>
                <w:iCs/>
                <w:lang w:eastAsia="en-AU"/>
              </w:rPr>
              <w:t xml:space="preserve">Systematic </w:t>
            </w:r>
            <w:r w:rsidR="006E4128">
              <w:rPr>
                <w:bCs/>
                <w:i/>
                <w:iCs/>
                <w:lang w:eastAsia="en-AU"/>
              </w:rPr>
              <w:t>name</w:t>
            </w:r>
            <w:r w:rsidR="00866B0C" w:rsidRPr="00866B0C">
              <w:rPr>
                <w:bCs/>
                <w:i/>
                <w:iCs/>
                <w:lang w:eastAsia="en-AU"/>
              </w:rPr>
              <w:t>:</w:t>
            </w:r>
          </w:p>
        </w:tc>
        <w:tc>
          <w:tcPr>
            <w:tcW w:w="6857" w:type="dxa"/>
          </w:tcPr>
          <w:p w14:paraId="1729F9B9" w14:textId="77777777" w:rsidR="00866B0C" w:rsidRDefault="00866B0C" w:rsidP="002F041E">
            <w:pPr>
              <w:rPr>
                <w:bCs/>
                <w:iCs/>
                <w:lang w:eastAsia="en-AU"/>
              </w:rPr>
            </w:pPr>
            <w:r w:rsidRPr="00866B0C">
              <w:rPr>
                <w:bCs/>
                <w:iCs/>
                <w:lang w:eastAsia="en-AU"/>
              </w:rPr>
              <w:t>Triacylglycerol acylhydrolase</w:t>
            </w:r>
          </w:p>
          <w:p w14:paraId="3B86BF25" w14:textId="2B8E8FA8" w:rsidR="002F041E" w:rsidRPr="00866B0C" w:rsidRDefault="002F041E" w:rsidP="002F041E">
            <w:pPr>
              <w:rPr>
                <w:bCs/>
                <w:iCs/>
                <w:lang w:eastAsia="en-AU"/>
              </w:rPr>
            </w:pPr>
          </w:p>
        </w:tc>
      </w:tr>
      <w:tr w:rsidR="006E4128" w:rsidRPr="00866B0C" w14:paraId="6051B2A6" w14:textId="77777777" w:rsidTr="002F041E">
        <w:tc>
          <w:tcPr>
            <w:tcW w:w="3266" w:type="dxa"/>
          </w:tcPr>
          <w:p w14:paraId="115B3BE1" w14:textId="31F878B1" w:rsidR="006E4128" w:rsidRDefault="006E4128" w:rsidP="002F041E">
            <w:pPr>
              <w:rPr>
                <w:bCs/>
                <w:i/>
                <w:iCs/>
                <w:lang w:eastAsia="en-AU"/>
              </w:rPr>
            </w:pPr>
            <w:r>
              <w:rPr>
                <w:bCs/>
                <w:i/>
                <w:iCs/>
                <w:lang w:eastAsia="en-AU"/>
              </w:rPr>
              <w:t xml:space="preserve">Accepted </w:t>
            </w:r>
            <w:r w:rsidR="002F041E">
              <w:rPr>
                <w:bCs/>
                <w:i/>
                <w:iCs/>
                <w:lang w:eastAsia="en-AU"/>
              </w:rPr>
              <w:t>IUBMB</w:t>
            </w:r>
            <w:r w:rsidR="002F041E">
              <w:rPr>
                <w:rStyle w:val="FootnoteReference"/>
                <w:bCs/>
                <w:i/>
                <w:iCs/>
                <w:lang w:eastAsia="en-AU"/>
              </w:rPr>
              <w:footnoteReference w:id="2"/>
            </w:r>
            <w:r w:rsidRPr="00866B0C">
              <w:rPr>
                <w:bCs/>
                <w:i/>
                <w:iCs/>
                <w:lang w:eastAsia="en-AU"/>
              </w:rPr>
              <w:t xml:space="preserve"> name</w:t>
            </w:r>
            <w:r>
              <w:rPr>
                <w:bCs/>
                <w:i/>
                <w:iCs/>
                <w:lang w:eastAsia="en-AU"/>
              </w:rPr>
              <w:t>:</w:t>
            </w:r>
          </w:p>
        </w:tc>
        <w:tc>
          <w:tcPr>
            <w:tcW w:w="6857" w:type="dxa"/>
          </w:tcPr>
          <w:p w14:paraId="3AC16DAB" w14:textId="77777777" w:rsidR="006E4128" w:rsidRDefault="006E4128" w:rsidP="002F041E">
            <w:pPr>
              <w:rPr>
                <w:bCs/>
                <w:iCs/>
                <w:lang w:eastAsia="en-AU"/>
              </w:rPr>
            </w:pPr>
            <w:r w:rsidRPr="00866B0C">
              <w:rPr>
                <w:bCs/>
                <w:iCs/>
                <w:lang w:eastAsia="en-AU"/>
              </w:rPr>
              <w:t>Triacylglycerol lipase</w:t>
            </w:r>
          </w:p>
          <w:p w14:paraId="7414E2E7" w14:textId="34C3131F" w:rsidR="002F041E" w:rsidRPr="00866B0C" w:rsidRDefault="002F041E" w:rsidP="002F041E">
            <w:pPr>
              <w:rPr>
                <w:bCs/>
                <w:iCs/>
                <w:lang w:eastAsia="en-AU"/>
              </w:rPr>
            </w:pPr>
          </w:p>
        </w:tc>
      </w:tr>
      <w:tr w:rsidR="00053CB9" w:rsidRPr="00866B0C" w14:paraId="55EE4D8A" w14:textId="77777777" w:rsidTr="002F041E">
        <w:trPr>
          <w:trHeight w:val="604"/>
        </w:trPr>
        <w:tc>
          <w:tcPr>
            <w:tcW w:w="3266" w:type="dxa"/>
          </w:tcPr>
          <w:p w14:paraId="65EF142D" w14:textId="77777777" w:rsidR="006E4128" w:rsidRPr="00866B0C" w:rsidRDefault="006E4128" w:rsidP="002F041E">
            <w:pPr>
              <w:rPr>
                <w:bCs/>
                <w:i/>
                <w:iCs/>
                <w:lang w:eastAsia="en-AU"/>
              </w:rPr>
            </w:pPr>
            <w:r w:rsidRPr="00866B0C">
              <w:rPr>
                <w:bCs/>
                <w:i/>
                <w:iCs/>
                <w:lang w:eastAsia="en-AU"/>
              </w:rPr>
              <w:t>Common names:</w:t>
            </w:r>
          </w:p>
        </w:tc>
        <w:tc>
          <w:tcPr>
            <w:tcW w:w="6857" w:type="dxa"/>
          </w:tcPr>
          <w:p w14:paraId="5C749A9B" w14:textId="6BE4E6A8" w:rsidR="009E0A57" w:rsidRPr="00F80448" w:rsidRDefault="002F041E" w:rsidP="002F041E">
            <w:pPr>
              <w:rPr>
                <w:bCs/>
                <w:iCs/>
                <w:sz w:val="20"/>
                <w:szCs w:val="20"/>
                <w:lang w:eastAsia="en-AU"/>
              </w:rPr>
            </w:pPr>
            <w:r>
              <w:rPr>
                <w:bCs/>
                <w:iCs/>
                <w:sz w:val="20"/>
                <w:szCs w:val="20"/>
                <w:lang w:eastAsia="en-AU"/>
              </w:rPr>
              <w:t>L</w:t>
            </w:r>
            <w:r w:rsidR="006E4128" w:rsidRPr="002F041E">
              <w:rPr>
                <w:bCs/>
                <w:iCs/>
                <w:sz w:val="20"/>
                <w:szCs w:val="20"/>
                <w:lang w:eastAsia="en-AU"/>
              </w:rPr>
              <w:t>ipase; triglyceride lipase; tributyrase; butyr</w:t>
            </w:r>
            <w:r w:rsidR="00F80448">
              <w:rPr>
                <w:bCs/>
                <w:iCs/>
                <w:sz w:val="20"/>
                <w:szCs w:val="20"/>
                <w:lang w:eastAsia="en-AU"/>
              </w:rPr>
              <w:t>inase; glycerol ester hydrolase;</w:t>
            </w:r>
            <w:r w:rsidR="009E0A57" w:rsidRPr="002F041E">
              <w:rPr>
                <w:bCs/>
                <w:iCs/>
                <w:sz w:val="20"/>
                <w:szCs w:val="20"/>
                <w:lang w:eastAsia="en-AU"/>
              </w:rPr>
              <w:t xml:space="preserve"> tributyrinase; Tween hydrolase; steapsin; triacetinase; tributyrin esterase; Tweenase; amno N-AP; Takedo 1969-4-9; Meito MY 30; Tweenesterase; GA 56; capalase L; triglyceride hydrolase; triolein hydrolase; tween-hydrolyzing esterase; amano CE; cacordase; triglyceridase; triacylglycerol ester hydrolase; amano P; amano AP; PPL; glycerol-ester hydrolase; GEH; meito Sangyo OF lipase; hepatic lipase; lipazin; post-heparin plasma protamine-resistant lipase; salt-resistant post-heparin lipase; heparin releasable </w:t>
            </w:r>
            <w:r w:rsidR="009E0A57" w:rsidRPr="002F041E">
              <w:rPr>
                <w:sz w:val="20"/>
                <w:szCs w:val="20"/>
              </w:rPr>
              <w:t>hepatic lipase; amano CES; amano B; tributyrase; triglyceride lipase; liver lipase; hepatic monoacylglycerol acyltransferase</w:t>
            </w:r>
          </w:p>
          <w:p w14:paraId="1FE6022D" w14:textId="5E898307" w:rsidR="002F041E" w:rsidRPr="00866B0C" w:rsidRDefault="002F041E" w:rsidP="002F041E">
            <w:pPr>
              <w:rPr>
                <w:bCs/>
                <w:iCs/>
                <w:lang w:eastAsia="en-AU"/>
              </w:rPr>
            </w:pPr>
          </w:p>
        </w:tc>
      </w:tr>
      <w:tr w:rsidR="00053CB9" w:rsidRPr="00866B0C" w14:paraId="6E028F01" w14:textId="77777777" w:rsidTr="002F041E">
        <w:tc>
          <w:tcPr>
            <w:tcW w:w="3266" w:type="dxa"/>
          </w:tcPr>
          <w:p w14:paraId="32219521" w14:textId="57748824" w:rsidR="006E4128" w:rsidRPr="00866B0C" w:rsidRDefault="006E4128" w:rsidP="002F041E">
            <w:pPr>
              <w:rPr>
                <w:bCs/>
                <w:i/>
                <w:iCs/>
                <w:lang w:eastAsia="en-AU"/>
              </w:rPr>
            </w:pPr>
            <w:r w:rsidRPr="00866B0C">
              <w:rPr>
                <w:bCs/>
                <w:i/>
                <w:iCs/>
                <w:lang w:eastAsia="en-AU"/>
              </w:rPr>
              <w:t>IUBMB enzyme nomenclature</w:t>
            </w:r>
            <w:r>
              <w:rPr>
                <w:bCs/>
                <w:i/>
                <w:iCs/>
                <w:lang w:eastAsia="en-AU"/>
              </w:rPr>
              <w:t>:</w:t>
            </w:r>
          </w:p>
        </w:tc>
        <w:tc>
          <w:tcPr>
            <w:tcW w:w="6857" w:type="dxa"/>
          </w:tcPr>
          <w:p w14:paraId="006DEE17" w14:textId="77777777" w:rsidR="006E4128" w:rsidRDefault="006E4128" w:rsidP="002F041E">
            <w:pPr>
              <w:rPr>
                <w:bCs/>
                <w:iCs/>
                <w:lang w:eastAsia="en-AU"/>
              </w:rPr>
            </w:pPr>
            <w:r w:rsidRPr="00866B0C">
              <w:rPr>
                <w:bCs/>
                <w:iCs/>
                <w:lang w:eastAsia="en-AU"/>
              </w:rPr>
              <w:t>EC 3.1.1.3</w:t>
            </w:r>
          </w:p>
          <w:p w14:paraId="651EE9F7" w14:textId="67DF668C" w:rsidR="002F041E" w:rsidRPr="006E4128" w:rsidRDefault="002F041E" w:rsidP="002F041E">
            <w:pPr>
              <w:rPr>
                <w:bCs/>
                <w:iCs/>
                <w:lang w:eastAsia="en-AU"/>
              </w:rPr>
            </w:pPr>
          </w:p>
        </w:tc>
      </w:tr>
      <w:tr w:rsidR="00053CB9" w:rsidRPr="00866B0C" w14:paraId="74C35258" w14:textId="77777777" w:rsidTr="002F041E">
        <w:tc>
          <w:tcPr>
            <w:tcW w:w="3266" w:type="dxa"/>
          </w:tcPr>
          <w:p w14:paraId="0A782D05" w14:textId="77777777" w:rsidR="006E4128" w:rsidRPr="00866B0C" w:rsidRDefault="006E4128" w:rsidP="002F041E">
            <w:pPr>
              <w:rPr>
                <w:bCs/>
                <w:i/>
                <w:iCs/>
                <w:lang w:eastAsia="en-AU"/>
              </w:rPr>
            </w:pPr>
            <w:r w:rsidRPr="00866B0C">
              <w:rPr>
                <w:bCs/>
                <w:i/>
                <w:iCs/>
                <w:lang w:eastAsia="en-AU"/>
              </w:rPr>
              <w:t>Host microorganism:</w:t>
            </w:r>
          </w:p>
        </w:tc>
        <w:tc>
          <w:tcPr>
            <w:tcW w:w="6857" w:type="dxa"/>
          </w:tcPr>
          <w:p w14:paraId="16C8035A" w14:textId="77777777" w:rsidR="006E4128" w:rsidRDefault="006E4128" w:rsidP="002F041E">
            <w:pPr>
              <w:rPr>
                <w:bCs/>
                <w:i/>
                <w:iCs/>
                <w:lang w:eastAsia="en-AU"/>
              </w:rPr>
            </w:pPr>
            <w:r w:rsidRPr="00866B0C">
              <w:rPr>
                <w:bCs/>
                <w:i/>
                <w:iCs/>
                <w:lang w:eastAsia="en-AU"/>
              </w:rPr>
              <w:t>Trichoderma reesei</w:t>
            </w:r>
          </w:p>
          <w:p w14:paraId="3F63DA87" w14:textId="29254B57" w:rsidR="002F041E" w:rsidRPr="00866B0C" w:rsidRDefault="002F041E" w:rsidP="002F041E">
            <w:pPr>
              <w:rPr>
                <w:bCs/>
                <w:i/>
                <w:iCs/>
                <w:lang w:eastAsia="en-AU"/>
              </w:rPr>
            </w:pPr>
          </w:p>
        </w:tc>
      </w:tr>
      <w:tr w:rsidR="00053CB9" w:rsidRPr="00866B0C" w14:paraId="2A42FCE9" w14:textId="77777777" w:rsidTr="002F041E">
        <w:tc>
          <w:tcPr>
            <w:tcW w:w="3266" w:type="dxa"/>
          </w:tcPr>
          <w:p w14:paraId="043AE9FE" w14:textId="63E41E7A" w:rsidR="006E4128" w:rsidRPr="00866B0C" w:rsidRDefault="006E4128" w:rsidP="002F041E">
            <w:pPr>
              <w:rPr>
                <w:bCs/>
                <w:i/>
                <w:iCs/>
                <w:lang w:eastAsia="en-AU"/>
              </w:rPr>
            </w:pPr>
            <w:r w:rsidRPr="00866B0C">
              <w:rPr>
                <w:bCs/>
                <w:i/>
                <w:iCs/>
                <w:lang w:eastAsia="en-AU"/>
              </w:rPr>
              <w:t>Gene donor microorganism</w:t>
            </w:r>
            <w:r w:rsidR="002F041E">
              <w:rPr>
                <w:bCs/>
                <w:i/>
                <w:iCs/>
                <w:lang w:eastAsia="en-AU"/>
              </w:rPr>
              <w:t>:</w:t>
            </w:r>
          </w:p>
        </w:tc>
        <w:tc>
          <w:tcPr>
            <w:tcW w:w="6857" w:type="dxa"/>
          </w:tcPr>
          <w:p w14:paraId="2C6E07A3" w14:textId="77777777" w:rsidR="006E4128" w:rsidRDefault="006E4128" w:rsidP="002F041E">
            <w:pPr>
              <w:rPr>
                <w:bCs/>
                <w:i/>
                <w:iCs/>
                <w:lang w:eastAsia="en-AU"/>
              </w:rPr>
            </w:pPr>
            <w:r w:rsidRPr="00866B0C">
              <w:rPr>
                <w:bCs/>
                <w:i/>
                <w:iCs/>
                <w:lang w:eastAsia="en-AU"/>
              </w:rPr>
              <w:t>Fusarium oxysporum</w:t>
            </w:r>
          </w:p>
          <w:p w14:paraId="632F57AA" w14:textId="042577B5" w:rsidR="002F041E" w:rsidRPr="00866B0C" w:rsidRDefault="002F041E" w:rsidP="002F041E">
            <w:pPr>
              <w:rPr>
                <w:bCs/>
                <w:i/>
                <w:iCs/>
                <w:lang w:eastAsia="en-AU"/>
              </w:rPr>
            </w:pPr>
          </w:p>
        </w:tc>
      </w:tr>
      <w:tr w:rsidR="00053CB9" w:rsidRPr="00866B0C" w14:paraId="3DEE4351" w14:textId="77777777" w:rsidTr="002F041E">
        <w:tc>
          <w:tcPr>
            <w:tcW w:w="3266" w:type="dxa"/>
          </w:tcPr>
          <w:p w14:paraId="66ED3C8D" w14:textId="72314178" w:rsidR="006E4128" w:rsidRPr="00866B0C" w:rsidRDefault="006E4128" w:rsidP="002F041E">
            <w:pPr>
              <w:rPr>
                <w:bCs/>
                <w:i/>
                <w:iCs/>
                <w:lang w:eastAsia="en-AU"/>
              </w:rPr>
            </w:pPr>
            <w:r w:rsidRPr="00866B0C">
              <w:rPr>
                <w:bCs/>
                <w:i/>
                <w:iCs/>
                <w:lang w:eastAsia="en-AU"/>
              </w:rPr>
              <w:t>CAS</w:t>
            </w:r>
            <w:r w:rsidR="002F041E">
              <w:rPr>
                <w:rStyle w:val="FootnoteReference"/>
                <w:bCs/>
                <w:i/>
                <w:iCs/>
                <w:lang w:eastAsia="en-AU"/>
              </w:rPr>
              <w:footnoteReference w:id="3"/>
            </w:r>
            <w:r w:rsidRPr="00866B0C">
              <w:rPr>
                <w:bCs/>
                <w:i/>
                <w:iCs/>
                <w:lang w:eastAsia="en-AU"/>
              </w:rPr>
              <w:t xml:space="preserve"> registry number: </w:t>
            </w:r>
          </w:p>
        </w:tc>
        <w:tc>
          <w:tcPr>
            <w:tcW w:w="6857" w:type="dxa"/>
          </w:tcPr>
          <w:p w14:paraId="6BC991EE" w14:textId="77777777" w:rsidR="006E4128" w:rsidRPr="002F041E" w:rsidRDefault="006E4128" w:rsidP="002F041E">
            <w:pPr>
              <w:rPr>
                <w:bCs/>
                <w:iCs/>
                <w:lang w:eastAsia="en-AU"/>
              </w:rPr>
            </w:pPr>
            <w:r w:rsidRPr="002F041E">
              <w:rPr>
                <w:bCs/>
                <w:iCs/>
                <w:lang w:eastAsia="en-AU"/>
              </w:rPr>
              <w:t>9001-62-1</w:t>
            </w:r>
          </w:p>
          <w:p w14:paraId="3638D91F" w14:textId="4CF19AB9" w:rsidR="002F041E" w:rsidRPr="00866B0C" w:rsidRDefault="002F041E" w:rsidP="002F041E">
            <w:pPr>
              <w:rPr>
                <w:bCs/>
                <w:iCs/>
                <w:lang w:eastAsia="en-AU"/>
              </w:rPr>
            </w:pPr>
          </w:p>
        </w:tc>
      </w:tr>
      <w:tr w:rsidR="002F041E" w:rsidRPr="00866B0C" w14:paraId="3B011D74" w14:textId="77777777" w:rsidTr="002F041E">
        <w:tc>
          <w:tcPr>
            <w:tcW w:w="3266" w:type="dxa"/>
          </w:tcPr>
          <w:p w14:paraId="42D1D07E" w14:textId="0CD231F5" w:rsidR="002F041E" w:rsidRPr="00866B0C" w:rsidRDefault="002F041E" w:rsidP="002F041E">
            <w:pPr>
              <w:rPr>
                <w:bCs/>
                <w:i/>
                <w:iCs/>
                <w:lang w:eastAsia="en-AU"/>
              </w:rPr>
            </w:pPr>
            <w:r>
              <w:rPr>
                <w:bCs/>
                <w:i/>
                <w:iCs/>
                <w:lang w:eastAsia="en-AU"/>
              </w:rPr>
              <w:t>Reaction:</w:t>
            </w:r>
          </w:p>
        </w:tc>
        <w:tc>
          <w:tcPr>
            <w:tcW w:w="6857" w:type="dxa"/>
          </w:tcPr>
          <w:p w14:paraId="06385AD4" w14:textId="4FAAF219" w:rsidR="002F041E" w:rsidRPr="002F041E" w:rsidRDefault="002F041E" w:rsidP="002F041E">
            <w:pPr>
              <w:rPr>
                <w:bCs/>
                <w:iCs/>
                <w:lang w:eastAsia="en-AU"/>
              </w:rPr>
            </w:pPr>
            <w:r>
              <w:rPr>
                <w:bCs/>
                <w:iCs/>
                <w:lang w:eastAsia="en-AU"/>
              </w:rPr>
              <w:t>Triacylglycerol + H</w:t>
            </w:r>
            <w:r w:rsidR="00DB0AB3" w:rsidRPr="00F10908">
              <w:rPr>
                <w:bCs/>
                <w:iCs/>
                <w:vertAlign w:val="subscript"/>
                <w:lang w:eastAsia="en-AU"/>
              </w:rPr>
              <w:t>2</w:t>
            </w:r>
            <w:r>
              <w:rPr>
                <w:bCs/>
                <w:iCs/>
                <w:lang w:eastAsia="en-AU"/>
              </w:rPr>
              <w:t>O = d</w:t>
            </w:r>
            <w:r w:rsidRPr="002F041E">
              <w:rPr>
                <w:bCs/>
                <w:iCs/>
                <w:lang w:eastAsia="en-AU"/>
              </w:rPr>
              <w:t xml:space="preserve">iacylglycerol + </w:t>
            </w:r>
            <w:r>
              <w:rPr>
                <w:bCs/>
                <w:iCs/>
                <w:lang w:eastAsia="en-AU"/>
              </w:rPr>
              <w:t>c</w:t>
            </w:r>
            <w:r w:rsidRPr="002F041E">
              <w:rPr>
                <w:bCs/>
                <w:iCs/>
                <w:lang w:eastAsia="en-AU"/>
              </w:rPr>
              <w:t>arboxylate</w:t>
            </w:r>
          </w:p>
        </w:tc>
      </w:tr>
    </w:tbl>
    <w:p w14:paraId="0BF95388" w14:textId="77777777" w:rsidR="0040727A" w:rsidRPr="007D343B" w:rsidRDefault="0040727A" w:rsidP="0040727A">
      <w:pPr>
        <w:pStyle w:val="Heading3"/>
      </w:pPr>
      <w:bookmarkStart w:id="10" w:name="_Toc521683416"/>
      <w:bookmarkStart w:id="11" w:name="_Toc528243326"/>
      <w:r>
        <w:t>2.1.2</w:t>
      </w:r>
      <w:r>
        <w:tab/>
        <w:t>Technological purpose of the enzyme</w:t>
      </w:r>
      <w:bookmarkEnd w:id="10"/>
      <w:bookmarkEnd w:id="11"/>
    </w:p>
    <w:p w14:paraId="5C6E36E1" w14:textId="321B7A09" w:rsidR="00F80448" w:rsidRDefault="009E0A57" w:rsidP="004E1EF7">
      <w:pPr>
        <w:rPr>
          <w:lang w:eastAsia="en-AU" w:bidi="ar-SA"/>
        </w:rPr>
      </w:pPr>
      <w:r>
        <w:t>The</w:t>
      </w:r>
      <w:r w:rsidRPr="007D343B">
        <w:t xml:space="preserve"> </w:t>
      </w:r>
      <w:r>
        <w:t xml:space="preserve">enzyme is to be used as a processing aid </w:t>
      </w:r>
      <w:r w:rsidRPr="00CA52E1">
        <w:t xml:space="preserve">in </w:t>
      </w:r>
      <w:r>
        <w:t>baking and other cereal-based processes.</w:t>
      </w:r>
      <w:r w:rsidR="0092216C">
        <w:t xml:space="preserve"> </w:t>
      </w:r>
      <w:r w:rsidR="00F80448">
        <w:t>Triacylglycerol lipase</w:t>
      </w:r>
      <w:r>
        <w:t xml:space="preserve"> catalyses the hydrolysis of ester bond</w:t>
      </w:r>
      <w:r w:rsidR="003E0EE8">
        <w:t>s</w:t>
      </w:r>
      <w:r>
        <w:t xml:space="preserve"> </w:t>
      </w:r>
      <w:r w:rsidR="003E0EE8">
        <w:t>of triacylglycerols</w:t>
      </w:r>
      <w:r w:rsidR="0036610F">
        <w:t xml:space="preserve"> (or triglycerides)</w:t>
      </w:r>
      <w:r w:rsidR="003E0EE8">
        <w:t xml:space="preserve">, resulting in the formation of mono- and diacylglycerols, free fatty acids, and glycerol. Figure 1 below shows the hydrolysis of a triacylglycerol to form a diacylglycerol and a free </w:t>
      </w:r>
      <w:r>
        <w:t xml:space="preserve">fatty </w:t>
      </w:r>
      <w:r w:rsidR="003E0EE8">
        <w:t>acid.</w:t>
      </w:r>
    </w:p>
    <w:p w14:paraId="69BCCB85" w14:textId="43529214" w:rsidR="00F80448" w:rsidRDefault="001A663B" w:rsidP="004E1EF7">
      <w:pPr>
        <w:rPr>
          <w:sz w:val="18"/>
          <w:szCs w:val="18"/>
          <w:lang w:eastAsia="en-AU" w:bidi="ar-SA"/>
        </w:rPr>
      </w:pPr>
      <w:r>
        <w:rPr>
          <w:noProof/>
          <w:lang w:eastAsia="en-GB" w:bidi="ar-SA"/>
        </w:rPr>
        <w:drawing>
          <wp:inline distT="0" distB="0" distL="0" distR="0" wp14:anchorId="51BAF157" wp14:editId="0BC98760">
            <wp:extent cx="4230094" cy="14916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91815" cy="1513388"/>
                    </a:xfrm>
                    <a:prstGeom prst="rect">
                      <a:avLst/>
                    </a:prstGeom>
                  </pic:spPr>
                </pic:pic>
              </a:graphicData>
            </a:graphic>
          </wp:inline>
        </w:drawing>
      </w:r>
    </w:p>
    <w:p w14:paraId="6F8E63E8" w14:textId="2E7215D8" w:rsidR="00F80448" w:rsidRPr="00F80448" w:rsidRDefault="00F80448" w:rsidP="004E1EF7">
      <w:pPr>
        <w:rPr>
          <w:sz w:val="18"/>
          <w:szCs w:val="18"/>
          <w:lang w:eastAsia="en-AU" w:bidi="ar-SA"/>
        </w:rPr>
      </w:pPr>
      <w:r w:rsidRPr="00F80448">
        <w:rPr>
          <w:sz w:val="18"/>
          <w:szCs w:val="18"/>
          <w:lang w:eastAsia="en-AU" w:bidi="ar-SA"/>
        </w:rPr>
        <w:t xml:space="preserve">Source: </w:t>
      </w:r>
      <w:hyperlink r:id="rId20" w:history="1">
        <w:r w:rsidRPr="00F80448">
          <w:rPr>
            <w:rStyle w:val="Hyperlink"/>
            <w:sz w:val="18"/>
            <w:szCs w:val="18"/>
            <w:lang w:eastAsia="en-AU" w:bidi="ar-SA"/>
          </w:rPr>
          <w:t>https://www.ebi.ac.uk/thornton-srv/databases/cgi-bin/enzymes/GetPage.pl?ec_number=3.1.1.3</w:t>
        </w:r>
      </w:hyperlink>
    </w:p>
    <w:p w14:paraId="42ACD9BF" w14:textId="77777777" w:rsidR="00F80448" w:rsidRDefault="00F80448" w:rsidP="00F80448">
      <w:pPr>
        <w:rPr>
          <w:b/>
          <w:i/>
        </w:rPr>
      </w:pPr>
    </w:p>
    <w:p w14:paraId="3EE1F082" w14:textId="5103D426" w:rsidR="00F80448" w:rsidRPr="00FE66B7" w:rsidRDefault="00F80448" w:rsidP="00F80448">
      <w:pPr>
        <w:rPr>
          <w:i/>
        </w:rPr>
      </w:pPr>
      <w:r w:rsidRPr="00FE66B7">
        <w:rPr>
          <w:b/>
          <w:i/>
        </w:rPr>
        <w:t>Figure 1</w:t>
      </w:r>
      <w:r w:rsidRPr="00FE66B7">
        <w:rPr>
          <w:i/>
        </w:rPr>
        <w:tab/>
        <w:t xml:space="preserve">Representation of hydrolysis reaction catalysed by </w:t>
      </w:r>
      <w:r w:rsidR="003E0EE8">
        <w:rPr>
          <w:i/>
        </w:rPr>
        <w:t>triacylglycerol lipase</w:t>
      </w:r>
    </w:p>
    <w:p w14:paraId="4FA44C3D" w14:textId="77777777" w:rsidR="00F80448" w:rsidRDefault="00F80448" w:rsidP="004E1EF7">
      <w:pPr>
        <w:rPr>
          <w:lang w:eastAsia="en-AU" w:bidi="ar-SA"/>
        </w:rPr>
      </w:pPr>
    </w:p>
    <w:p w14:paraId="2DDE67A4" w14:textId="2A21F594" w:rsidR="00571D3D" w:rsidRDefault="00321DEE" w:rsidP="004E1EF7">
      <w:pPr>
        <w:rPr>
          <w:lang w:eastAsia="en-AU" w:bidi="ar-SA"/>
        </w:rPr>
      </w:pPr>
      <w:r>
        <w:rPr>
          <w:lang w:eastAsia="en-AU" w:bidi="ar-SA"/>
        </w:rPr>
        <w:t xml:space="preserve">During mixing of the dough, </w:t>
      </w:r>
      <w:r w:rsidR="00AD628B">
        <w:rPr>
          <w:lang w:eastAsia="en-AU" w:bidi="ar-SA"/>
        </w:rPr>
        <w:t xml:space="preserve">triglycerides </w:t>
      </w:r>
      <w:r>
        <w:rPr>
          <w:lang w:eastAsia="en-AU" w:bidi="ar-SA"/>
        </w:rPr>
        <w:t>(</w:t>
      </w:r>
      <w:r w:rsidR="00AD628B">
        <w:rPr>
          <w:lang w:eastAsia="en-AU" w:bidi="ar-SA"/>
        </w:rPr>
        <w:t>lipids</w:t>
      </w:r>
      <w:r>
        <w:rPr>
          <w:lang w:eastAsia="en-AU" w:bidi="ar-SA"/>
        </w:rPr>
        <w:t>) in wheat flour may become bound or trapped within the gluten</w:t>
      </w:r>
      <w:r>
        <w:rPr>
          <w:rStyle w:val="FootnoteReference"/>
          <w:lang w:eastAsia="en-AU" w:bidi="ar-SA"/>
        </w:rPr>
        <w:footnoteReference w:id="4"/>
      </w:r>
      <w:r>
        <w:rPr>
          <w:lang w:eastAsia="en-AU" w:bidi="ar-SA"/>
        </w:rPr>
        <w:t xml:space="preserve"> component of the dough. </w:t>
      </w:r>
      <w:r w:rsidR="00AD628B">
        <w:rPr>
          <w:lang w:eastAsia="en-AU" w:bidi="ar-SA"/>
        </w:rPr>
        <w:t xml:space="preserve">The action of triacylglycerol lipase on triglycerides assists during </w:t>
      </w:r>
      <w:r w:rsidR="006D5C9C">
        <w:rPr>
          <w:lang w:eastAsia="en-AU" w:bidi="ar-SA"/>
        </w:rPr>
        <w:t xml:space="preserve">the </w:t>
      </w:r>
      <w:r w:rsidR="00AD628B">
        <w:rPr>
          <w:lang w:eastAsia="en-AU" w:bidi="ar-SA"/>
        </w:rPr>
        <w:t xml:space="preserve">baking </w:t>
      </w:r>
      <w:r w:rsidR="006D5C9C">
        <w:rPr>
          <w:lang w:eastAsia="en-AU" w:bidi="ar-SA"/>
        </w:rPr>
        <w:t>of bread, biscuits</w:t>
      </w:r>
      <w:r w:rsidR="00AD628B">
        <w:rPr>
          <w:lang w:eastAsia="en-AU" w:bidi="ar-SA"/>
        </w:rPr>
        <w:t>, cakes</w:t>
      </w:r>
      <w:r w:rsidR="006D5C9C">
        <w:rPr>
          <w:lang w:eastAsia="en-AU" w:bidi="ar-SA"/>
        </w:rPr>
        <w:t xml:space="preserve"> etc</w:t>
      </w:r>
      <w:r w:rsidR="00F201D2">
        <w:rPr>
          <w:lang w:eastAsia="en-AU" w:bidi="ar-SA"/>
        </w:rPr>
        <w:t>.</w:t>
      </w:r>
      <w:r w:rsidR="006025B8">
        <w:rPr>
          <w:lang w:eastAsia="en-AU" w:bidi="ar-SA"/>
        </w:rPr>
        <w:t xml:space="preserve"> by</w:t>
      </w:r>
      <w:r w:rsidR="00571D3D">
        <w:rPr>
          <w:lang w:eastAsia="en-AU" w:bidi="ar-SA"/>
        </w:rPr>
        <w:t>:</w:t>
      </w:r>
    </w:p>
    <w:p w14:paraId="13A5CFA8" w14:textId="77777777" w:rsidR="00571D3D" w:rsidRDefault="00571D3D" w:rsidP="00571D3D">
      <w:pPr>
        <w:rPr>
          <w:lang w:eastAsia="en-AU" w:bidi="ar-SA"/>
        </w:rPr>
      </w:pPr>
    </w:p>
    <w:p w14:paraId="5ED09E3A" w14:textId="0C52980E" w:rsidR="00571D3D" w:rsidRDefault="00D21932" w:rsidP="00CD762C">
      <w:pPr>
        <w:pStyle w:val="FSBullet1"/>
        <w:rPr>
          <w:lang w:eastAsia="en-AU"/>
        </w:rPr>
      </w:pPr>
      <w:r>
        <w:rPr>
          <w:lang w:eastAsia="en-AU"/>
        </w:rPr>
        <w:t>producing</w:t>
      </w:r>
      <w:r w:rsidR="006D5C9C">
        <w:rPr>
          <w:lang w:eastAsia="en-AU"/>
        </w:rPr>
        <w:t xml:space="preserve"> </w:t>
      </w:r>
      <w:r w:rsidR="00164BD8">
        <w:rPr>
          <w:lang w:eastAsia="en-AU"/>
        </w:rPr>
        <w:t xml:space="preserve">a </w:t>
      </w:r>
      <w:r w:rsidR="00571D3D">
        <w:rPr>
          <w:lang w:eastAsia="en-AU"/>
        </w:rPr>
        <w:t xml:space="preserve">greater </w:t>
      </w:r>
      <w:r w:rsidR="00321DEE">
        <w:rPr>
          <w:lang w:eastAsia="en-AU"/>
        </w:rPr>
        <w:t>proportion of polar lipids</w:t>
      </w:r>
      <w:r w:rsidR="006D5C9C">
        <w:rPr>
          <w:lang w:eastAsia="en-AU"/>
        </w:rPr>
        <w:t xml:space="preserve">, which </w:t>
      </w:r>
      <w:r w:rsidR="00571D3D">
        <w:rPr>
          <w:lang w:eastAsia="en-AU"/>
        </w:rPr>
        <w:t xml:space="preserve">align at the interface of gas cells and help </w:t>
      </w:r>
      <w:r w:rsidR="00064481">
        <w:rPr>
          <w:lang w:eastAsia="en-AU"/>
        </w:rPr>
        <w:t xml:space="preserve">increase </w:t>
      </w:r>
      <w:r w:rsidR="00571D3D">
        <w:rPr>
          <w:lang w:eastAsia="en-AU"/>
        </w:rPr>
        <w:t>their stability</w:t>
      </w:r>
      <w:r w:rsidR="006D5C9C">
        <w:rPr>
          <w:lang w:eastAsia="en-AU"/>
        </w:rPr>
        <w:t xml:space="preserve">. This </w:t>
      </w:r>
      <w:r w:rsidR="00F201D2">
        <w:rPr>
          <w:lang w:eastAsia="en-AU"/>
        </w:rPr>
        <w:t>assists with</w:t>
      </w:r>
      <w:r w:rsidR="00571D3D">
        <w:rPr>
          <w:lang w:eastAsia="en-AU"/>
        </w:rPr>
        <w:t xml:space="preserve"> gas retention</w:t>
      </w:r>
      <w:r w:rsidR="00064481">
        <w:rPr>
          <w:lang w:eastAsia="en-AU"/>
        </w:rPr>
        <w:t xml:space="preserve"> and </w:t>
      </w:r>
      <w:r w:rsidR="00571D3D">
        <w:rPr>
          <w:lang w:eastAsia="en-AU"/>
        </w:rPr>
        <w:t>volume of the baked product</w:t>
      </w:r>
    </w:p>
    <w:p w14:paraId="3E699E59" w14:textId="77777777" w:rsidR="00064481" w:rsidRDefault="00064481" w:rsidP="00064481">
      <w:pPr>
        <w:pStyle w:val="ListParagraph"/>
        <w:rPr>
          <w:lang w:eastAsia="en-AU"/>
        </w:rPr>
      </w:pPr>
    </w:p>
    <w:p w14:paraId="0D81365D" w14:textId="4A3FED0F" w:rsidR="00064481" w:rsidRPr="00164BD8" w:rsidRDefault="006D5C9C" w:rsidP="00CD762C">
      <w:pPr>
        <w:pStyle w:val="FSBullet1"/>
        <w:rPr>
          <w:lang w:eastAsia="en-AU"/>
        </w:rPr>
      </w:pPr>
      <w:r>
        <w:rPr>
          <w:lang w:eastAsia="en-AU"/>
        </w:rPr>
        <w:t>creating</w:t>
      </w:r>
      <w:r w:rsidR="00064481">
        <w:rPr>
          <w:lang w:eastAsia="en-AU"/>
        </w:rPr>
        <w:t xml:space="preserve"> monoacyl-glycerol, </w:t>
      </w:r>
      <w:r w:rsidR="00164BD8">
        <w:rPr>
          <w:lang w:eastAsia="en-AU"/>
        </w:rPr>
        <w:t xml:space="preserve">which </w:t>
      </w:r>
      <w:r w:rsidR="00064481">
        <w:rPr>
          <w:lang w:eastAsia="en-AU"/>
        </w:rPr>
        <w:t>interact</w:t>
      </w:r>
      <w:r w:rsidR="00164BD8">
        <w:rPr>
          <w:lang w:eastAsia="en-AU"/>
        </w:rPr>
        <w:t>s</w:t>
      </w:r>
      <w:r w:rsidR="00064481">
        <w:rPr>
          <w:lang w:eastAsia="en-AU"/>
        </w:rPr>
        <w:t xml:space="preserve"> with amylose</w:t>
      </w:r>
      <w:r w:rsidR="004E2590">
        <w:rPr>
          <w:rStyle w:val="FootnoteReference"/>
          <w:lang w:eastAsia="en-AU"/>
        </w:rPr>
        <w:footnoteReference w:id="5"/>
      </w:r>
      <w:r w:rsidR="00064481">
        <w:rPr>
          <w:lang w:eastAsia="en-AU"/>
        </w:rPr>
        <w:t xml:space="preserve"> to form complexes that enhance the </w:t>
      </w:r>
      <w:r w:rsidR="00064481" w:rsidRPr="00164BD8">
        <w:rPr>
          <w:lang w:eastAsia="en-AU"/>
        </w:rPr>
        <w:t>dough’s structure and behaviour</w:t>
      </w:r>
      <w:r w:rsidR="00164BD8">
        <w:rPr>
          <w:lang w:eastAsia="en-AU"/>
        </w:rPr>
        <w:t xml:space="preserve"> during baking</w:t>
      </w:r>
      <w:r w:rsidR="00064481" w:rsidRPr="00164BD8">
        <w:rPr>
          <w:lang w:eastAsia="en-AU"/>
        </w:rPr>
        <w:t xml:space="preserve">. </w:t>
      </w:r>
    </w:p>
    <w:p w14:paraId="75F3E764" w14:textId="77777777" w:rsidR="00164BD8" w:rsidRDefault="00164BD8" w:rsidP="00164BD8">
      <w:pPr>
        <w:pStyle w:val="ListParagraph"/>
        <w:rPr>
          <w:lang w:eastAsia="en-AU"/>
        </w:rPr>
      </w:pPr>
    </w:p>
    <w:p w14:paraId="2E1D5370" w14:textId="67A4EAC7" w:rsidR="004E2590" w:rsidRDefault="006D5C9C" w:rsidP="004E2590">
      <w:pPr>
        <w:rPr>
          <w:lang w:eastAsia="en-AU"/>
        </w:rPr>
      </w:pPr>
      <w:r>
        <w:rPr>
          <w:lang w:eastAsia="en-AU" w:bidi="ar-SA"/>
        </w:rPr>
        <w:t xml:space="preserve">For other </w:t>
      </w:r>
      <w:r w:rsidR="00064481">
        <w:rPr>
          <w:lang w:eastAsia="en-AU" w:bidi="ar-SA"/>
        </w:rPr>
        <w:t xml:space="preserve">cereal-based </w:t>
      </w:r>
      <w:r>
        <w:rPr>
          <w:lang w:eastAsia="en-AU" w:bidi="ar-SA"/>
        </w:rPr>
        <w:t xml:space="preserve">processes including the production of </w:t>
      </w:r>
      <w:r w:rsidR="00064481">
        <w:rPr>
          <w:lang w:eastAsia="en-AU" w:bidi="ar-SA"/>
        </w:rPr>
        <w:t>pasta and noodles</w:t>
      </w:r>
      <w:r>
        <w:rPr>
          <w:lang w:eastAsia="en-AU" w:bidi="ar-SA"/>
        </w:rPr>
        <w:t xml:space="preserve">, the action of the enzyme </w:t>
      </w:r>
      <w:r w:rsidR="006025B8">
        <w:rPr>
          <w:lang w:eastAsia="en-AU" w:bidi="ar-SA"/>
        </w:rPr>
        <w:t xml:space="preserve">assists </w:t>
      </w:r>
      <w:r w:rsidR="004E2590">
        <w:rPr>
          <w:lang w:eastAsia="en-AU" w:bidi="ar-SA"/>
        </w:rPr>
        <w:t xml:space="preserve">primarily </w:t>
      </w:r>
      <w:r w:rsidR="00D21932">
        <w:rPr>
          <w:lang w:eastAsia="en-AU" w:bidi="ar-SA"/>
        </w:rPr>
        <w:t xml:space="preserve">by creating </w:t>
      </w:r>
      <w:r>
        <w:rPr>
          <w:lang w:eastAsia="en-AU"/>
        </w:rPr>
        <w:t xml:space="preserve">hydrolysis products that </w:t>
      </w:r>
      <w:r w:rsidR="004E2590">
        <w:rPr>
          <w:lang w:eastAsia="en-AU"/>
        </w:rPr>
        <w:t>form complexes with amylose which:</w:t>
      </w:r>
    </w:p>
    <w:p w14:paraId="7CAA3BBC" w14:textId="77777777" w:rsidR="004E2590" w:rsidRDefault="004E2590" w:rsidP="004E2590">
      <w:pPr>
        <w:rPr>
          <w:lang w:eastAsia="en-AU"/>
        </w:rPr>
      </w:pPr>
    </w:p>
    <w:p w14:paraId="3B7C2B0E" w14:textId="07A0E781" w:rsidR="004E2590" w:rsidRDefault="006D5C9C" w:rsidP="00CD762C">
      <w:pPr>
        <w:pStyle w:val="FSBullet1"/>
        <w:rPr>
          <w:lang w:eastAsia="en-AU"/>
        </w:rPr>
      </w:pPr>
      <w:r>
        <w:rPr>
          <w:lang w:eastAsia="en-AU"/>
        </w:rPr>
        <w:t>help maintain the protein network of the pasta</w:t>
      </w:r>
      <w:r w:rsidR="004E2590">
        <w:rPr>
          <w:lang w:eastAsia="en-AU"/>
        </w:rPr>
        <w:t xml:space="preserve"> during cooking. This </w:t>
      </w:r>
      <w:r w:rsidR="00D21932">
        <w:rPr>
          <w:lang w:eastAsia="en-AU"/>
        </w:rPr>
        <w:t xml:space="preserve">also </w:t>
      </w:r>
      <w:r w:rsidR="004E2590">
        <w:rPr>
          <w:lang w:eastAsia="en-AU"/>
        </w:rPr>
        <w:t>plays a</w:t>
      </w:r>
      <w:r w:rsidR="00D21932">
        <w:rPr>
          <w:lang w:eastAsia="en-AU"/>
        </w:rPr>
        <w:t xml:space="preserve">n important </w:t>
      </w:r>
      <w:r w:rsidR="004E2590">
        <w:rPr>
          <w:lang w:eastAsia="en-AU"/>
        </w:rPr>
        <w:t xml:space="preserve">role in reducing the porosity </w:t>
      </w:r>
      <w:r w:rsidR="00AD628B">
        <w:rPr>
          <w:lang w:eastAsia="en-AU"/>
        </w:rPr>
        <w:t xml:space="preserve">of noodles </w:t>
      </w:r>
      <w:r w:rsidR="004E2590">
        <w:rPr>
          <w:lang w:eastAsia="en-AU"/>
        </w:rPr>
        <w:t xml:space="preserve">and oil uptake during frying </w:t>
      </w:r>
    </w:p>
    <w:p w14:paraId="3F804CFC" w14:textId="77777777" w:rsidR="00D21932" w:rsidRDefault="00D21932" w:rsidP="00AD628B">
      <w:pPr>
        <w:pStyle w:val="ListParagraph"/>
        <w:ind w:left="780"/>
        <w:rPr>
          <w:lang w:eastAsia="en-AU"/>
        </w:rPr>
      </w:pPr>
    </w:p>
    <w:p w14:paraId="141C9B5B" w14:textId="369630D2" w:rsidR="00064481" w:rsidRDefault="006D5C9C" w:rsidP="00CD762C">
      <w:pPr>
        <w:pStyle w:val="FSBullet1"/>
        <w:rPr>
          <w:lang w:eastAsia="en-AU"/>
        </w:rPr>
      </w:pPr>
      <w:r>
        <w:rPr>
          <w:lang w:eastAsia="en-AU"/>
        </w:rPr>
        <w:t xml:space="preserve">inhibit the swelling of starch and leakage </w:t>
      </w:r>
      <w:r w:rsidR="004E2590">
        <w:rPr>
          <w:lang w:eastAsia="en-AU"/>
        </w:rPr>
        <w:t xml:space="preserve">of amylose </w:t>
      </w:r>
      <w:r>
        <w:rPr>
          <w:lang w:eastAsia="en-AU"/>
        </w:rPr>
        <w:t xml:space="preserve">during cooking, resulting in a pasta product </w:t>
      </w:r>
      <w:r w:rsidR="004E2590">
        <w:rPr>
          <w:lang w:eastAsia="en-AU"/>
        </w:rPr>
        <w:t xml:space="preserve">which has a firmer texture and smoother surface, and </w:t>
      </w:r>
      <w:r>
        <w:rPr>
          <w:lang w:eastAsia="en-AU"/>
        </w:rPr>
        <w:t>is less sticky and more elastic</w:t>
      </w:r>
      <w:r w:rsidR="00D21932">
        <w:rPr>
          <w:lang w:eastAsia="en-AU"/>
        </w:rPr>
        <w:t>.</w:t>
      </w:r>
    </w:p>
    <w:p w14:paraId="0EAD658C" w14:textId="3C6AABC8" w:rsidR="00064481" w:rsidRDefault="00064481" w:rsidP="004E1EF7">
      <w:pPr>
        <w:rPr>
          <w:lang w:eastAsia="en-AU" w:bidi="ar-SA"/>
        </w:rPr>
      </w:pPr>
    </w:p>
    <w:p w14:paraId="6A15E31A" w14:textId="7A48EEDF" w:rsidR="00D21932" w:rsidRDefault="00D21932" w:rsidP="004E1EF7">
      <w:pPr>
        <w:rPr>
          <w:lang w:eastAsia="en-AU" w:bidi="ar-SA"/>
        </w:rPr>
      </w:pPr>
      <w:r>
        <w:rPr>
          <w:lang w:eastAsia="en-AU" w:bidi="ar-SA"/>
        </w:rPr>
        <w:t xml:space="preserve">The </w:t>
      </w:r>
      <w:r w:rsidR="008516AB">
        <w:rPr>
          <w:lang w:eastAsia="en-AU" w:bidi="ar-SA"/>
        </w:rPr>
        <w:t xml:space="preserve">enzyme </w:t>
      </w:r>
      <w:r>
        <w:rPr>
          <w:lang w:eastAsia="en-AU" w:bidi="ar-SA"/>
        </w:rPr>
        <w:t xml:space="preserve">manufacturing process results in a concentrated triacylglycerol lipase solution, which is formulated, packaged and sold as a powdered enzyme preparation. The composition and physical properties of the triacylglycerol lipase enzyme preparation, sold under the commercial name of </w:t>
      </w:r>
      <w:r w:rsidRPr="00D21932">
        <w:rPr>
          <w:lang w:eastAsia="en-AU" w:bidi="ar-SA"/>
        </w:rPr>
        <w:t>Veron® Hyperbake ST</w:t>
      </w:r>
      <w:r>
        <w:rPr>
          <w:lang w:eastAsia="en-AU" w:bidi="ar-SA"/>
        </w:rPr>
        <w:t>, are presented below in Table 1 and Table 2 respectively</w:t>
      </w:r>
      <w:r w:rsidRPr="00D21932">
        <w:rPr>
          <w:lang w:eastAsia="en-AU" w:bidi="ar-SA"/>
        </w:rPr>
        <w:t>.</w:t>
      </w:r>
    </w:p>
    <w:p w14:paraId="1F41D2F1" w14:textId="2A6AEFCD" w:rsidR="00D21932" w:rsidRDefault="00D21932" w:rsidP="004E1EF7">
      <w:pPr>
        <w:rPr>
          <w:lang w:eastAsia="en-AU" w:bidi="ar-SA"/>
        </w:rPr>
      </w:pPr>
    </w:p>
    <w:p w14:paraId="02D19F6D" w14:textId="42A95A16" w:rsidR="00D21932" w:rsidRPr="00656647" w:rsidRDefault="00D21932" w:rsidP="00D21932">
      <w:pPr>
        <w:pStyle w:val="Caption"/>
        <w:rPr>
          <w:color w:val="auto"/>
          <w:sz w:val="22"/>
        </w:rPr>
      </w:pPr>
      <w:r w:rsidRPr="00D21932">
        <w:rPr>
          <w:b/>
          <w:color w:val="auto"/>
          <w:sz w:val="22"/>
        </w:rPr>
        <w:t xml:space="preserve">Table </w:t>
      </w:r>
      <w:r w:rsidRPr="00D21932">
        <w:rPr>
          <w:b/>
          <w:color w:val="auto"/>
          <w:sz w:val="22"/>
        </w:rPr>
        <w:fldChar w:fldCharType="begin"/>
      </w:r>
      <w:r w:rsidRPr="00D21932">
        <w:rPr>
          <w:b/>
          <w:color w:val="auto"/>
          <w:sz w:val="22"/>
        </w:rPr>
        <w:instrText xml:space="preserve"> SEQ Table \* ARABIC </w:instrText>
      </w:r>
      <w:r w:rsidRPr="00D21932">
        <w:rPr>
          <w:b/>
          <w:color w:val="auto"/>
          <w:sz w:val="22"/>
        </w:rPr>
        <w:fldChar w:fldCharType="separate"/>
      </w:r>
      <w:r w:rsidRPr="00D21932">
        <w:rPr>
          <w:b/>
          <w:noProof/>
          <w:color w:val="auto"/>
          <w:sz w:val="22"/>
        </w:rPr>
        <w:t>1</w:t>
      </w:r>
      <w:r w:rsidRPr="00D21932">
        <w:rPr>
          <w:b/>
          <w:noProof/>
          <w:color w:val="auto"/>
          <w:sz w:val="22"/>
        </w:rPr>
        <w:fldChar w:fldCharType="end"/>
      </w:r>
      <w:r w:rsidRPr="00656647">
        <w:rPr>
          <w:color w:val="auto"/>
          <w:sz w:val="22"/>
        </w:rPr>
        <w:t xml:space="preserve"> </w:t>
      </w:r>
      <w:r>
        <w:rPr>
          <w:color w:val="auto"/>
          <w:sz w:val="22"/>
        </w:rPr>
        <w:tab/>
        <w:t>Triacylglycerol lipase e</w:t>
      </w:r>
      <w:r w:rsidRPr="00656647">
        <w:rPr>
          <w:color w:val="auto"/>
          <w:sz w:val="22"/>
        </w:rPr>
        <w:t xml:space="preserve">nzyme </w:t>
      </w:r>
      <w:r>
        <w:rPr>
          <w:color w:val="auto"/>
          <w:sz w:val="22"/>
        </w:rPr>
        <w:t>p</w:t>
      </w:r>
      <w:r w:rsidRPr="00656647">
        <w:rPr>
          <w:color w:val="auto"/>
          <w:sz w:val="22"/>
        </w:rPr>
        <w:t xml:space="preserve">reparation </w:t>
      </w:r>
      <w:r>
        <w:rPr>
          <w:color w:val="auto"/>
          <w:sz w:val="22"/>
        </w:rPr>
        <w:t>c</w:t>
      </w:r>
      <w:r w:rsidRPr="00656647">
        <w:rPr>
          <w:color w:val="auto"/>
          <w:sz w:val="22"/>
        </w:rPr>
        <w:t>omposition</w:t>
      </w:r>
    </w:p>
    <w:tbl>
      <w:tblPr>
        <w:tblW w:w="0" w:type="auto"/>
        <w:tblInd w:w="-108" w:type="dxa"/>
        <w:tblLayout w:type="fixed"/>
        <w:tblLook w:val="0000" w:firstRow="0" w:lastRow="0" w:firstColumn="0" w:lastColumn="0" w:noHBand="0" w:noVBand="0"/>
      </w:tblPr>
      <w:tblGrid>
        <w:gridCol w:w="5353"/>
        <w:gridCol w:w="1843"/>
      </w:tblGrid>
      <w:tr w:rsidR="00D21932" w:rsidRPr="00BE336F" w14:paraId="70B79A15" w14:textId="77777777" w:rsidTr="00287888">
        <w:trPr>
          <w:trHeight w:val="92"/>
        </w:trPr>
        <w:tc>
          <w:tcPr>
            <w:tcW w:w="7196" w:type="dxa"/>
            <w:gridSpan w:val="2"/>
            <w:shd w:val="clear" w:color="auto" w:fill="616571"/>
            <w:vAlign w:val="center"/>
          </w:tcPr>
          <w:p w14:paraId="29BDC83D" w14:textId="2B8DF059" w:rsidR="00D21932" w:rsidRPr="00D21932" w:rsidRDefault="00D21932" w:rsidP="00D21932">
            <w:pPr>
              <w:widowControl/>
              <w:spacing w:before="120" w:after="120"/>
              <w:ind w:left="170" w:right="284"/>
              <w:jc w:val="center"/>
              <w:rPr>
                <w:rFonts w:eastAsia="Calibri" w:cs="Arial"/>
                <w:b/>
                <w:color w:val="FFFFFF" w:themeColor="background1"/>
                <w:sz w:val="20"/>
                <w:szCs w:val="20"/>
                <w:lang w:eastAsia="en-GB" w:bidi="ar-SA"/>
              </w:rPr>
            </w:pPr>
            <w:r w:rsidRPr="00D21932">
              <w:rPr>
                <w:rFonts w:eastAsia="Calibri" w:cs="Arial"/>
                <w:b/>
                <w:color w:val="FFFFFF" w:themeColor="background1"/>
                <w:sz w:val="20"/>
                <w:szCs w:val="20"/>
                <w:lang w:eastAsia="en-GB" w:bidi="ar-SA"/>
              </w:rPr>
              <w:t xml:space="preserve">Composition of </w:t>
            </w:r>
            <w:r w:rsidRPr="00D21932">
              <w:rPr>
                <w:rFonts w:cs="Arial"/>
                <w:b/>
                <w:color w:val="FFFFFF" w:themeColor="background1"/>
                <w:sz w:val="20"/>
                <w:szCs w:val="20"/>
                <w:lang w:eastAsia="en-AU" w:bidi="ar-SA"/>
              </w:rPr>
              <w:t>Veron® Hyperbake ST</w:t>
            </w:r>
          </w:p>
        </w:tc>
      </w:tr>
      <w:tr w:rsidR="00D21932" w:rsidRPr="00BE336F" w14:paraId="4910893B" w14:textId="77777777" w:rsidTr="00287888">
        <w:trPr>
          <w:trHeight w:val="396"/>
        </w:trPr>
        <w:tc>
          <w:tcPr>
            <w:tcW w:w="5353" w:type="dxa"/>
            <w:shd w:val="clear" w:color="auto" w:fill="ECECEC"/>
            <w:vAlign w:val="center"/>
          </w:tcPr>
          <w:p w14:paraId="4E9F143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Lipase</w:t>
            </w:r>
          </w:p>
        </w:tc>
        <w:tc>
          <w:tcPr>
            <w:tcW w:w="1843" w:type="dxa"/>
            <w:shd w:val="clear" w:color="auto" w:fill="ECECEC"/>
            <w:vAlign w:val="center"/>
          </w:tcPr>
          <w:p w14:paraId="47D81E55"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8.8%</w:t>
            </w:r>
          </w:p>
        </w:tc>
      </w:tr>
      <w:tr w:rsidR="00D21932" w:rsidRPr="00BE336F" w14:paraId="375FBD0F" w14:textId="77777777" w:rsidTr="00287888">
        <w:trPr>
          <w:trHeight w:val="396"/>
        </w:trPr>
        <w:tc>
          <w:tcPr>
            <w:tcW w:w="5353" w:type="dxa"/>
            <w:vAlign w:val="center"/>
          </w:tcPr>
          <w:p w14:paraId="1A6D7AE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Sunflower oil</w:t>
            </w:r>
          </w:p>
        </w:tc>
        <w:tc>
          <w:tcPr>
            <w:tcW w:w="1843" w:type="dxa"/>
            <w:vAlign w:val="center"/>
          </w:tcPr>
          <w:p w14:paraId="75116515"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0.4%</w:t>
            </w:r>
          </w:p>
        </w:tc>
      </w:tr>
      <w:tr w:rsidR="00D21932" w:rsidRPr="00BE336F" w14:paraId="582C7A0C" w14:textId="77777777" w:rsidTr="00287888">
        <w:trPr>
          <w:trHeight w:val="396"/>
        </w:trPr>
        <w:tc>
          <w:tcPr>
            <w:tcW w:w="5353" w:type="dxa"/>
            <w:shd w:val="clear" w:color="auto" w:fill="ECECEC"/>
            <w:vAlign w:val="center"/>
          </w:tcPr>
          <w:p w14:paraId="6EE4A79C" w14:textId="77777777" w:rsidR="00D21932" w:rsidRPr="00D21932" w:rsidRDefault="00D21932" w:rsidP="00287888">
            <w:pPr>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Wheat flour</w:t>
            </w:r>
          </w:p>
        </w:tc>
        <w:tc>
          <w:tcPr>
            <w:tcW w:w="1843" w:type="dxa"/>
            <w:shd w:val="clear" w:color="auto" w:fill="ECECEC"/>
            <w:vAlign w:val="center"/>
          </w:tcPr>
          <w:p w14:paraId="54FF1098" w14:textId="77777777" w:rsidR="00D21932" w:rsidRPr="00D21932" w:rsidRDefault="00D21932" w:rsidP="00287888">
            <w:pPr>
              <w:keepNext/>
              <w:widowControl/>
              <w:autoSpaceDE w:val="0"/>
              <w:autoSpaceDN w:val="0"/>
              <w:adjustRightInd w:val="0"/>
              <w:rPr>
                <w:rFonts w:eastAsia="Calibri" w:cs="Arial"/>
                <w:color w:val="000000"/>
                <w:sz w:val="20"/>
                <w:szCs w:val="20"/>
                <w:lang w:bidi="ar-SA"/>
              </w:rPr>
            </w:pPr>
            <w:r w:rsidRPr="00D21932">
              <w:rPr>
                <w:rFonts w:eastAsia="Calibri" w:cs="Arial"/>
                <w:color w:val="000000"/>
                <w:sz w:val="20"/>
                <w:szCs w:val="20"/>
                <w:lang w:bidi="ar-SA"/>
              </w:rPr>
              <w:t>90.8%</w:t>
            </w:r>
          </w:p>
        </w:tc>
      </w:tr>
    </w:tbl>
    <w:p w14:paraId="107DBDF6" w14:textId="77777777" w:rsidR="00287888" w:rsidRDefault="00287888" w:rsidP="00287888">
      <w:pPr>
        <w:pStyle w:val="Caption"/>
        <w:rPr>
          <w:i w:val="0"/>
          <w:iCs w:val="0"/>
          <w:color w:val="auto"/>
          <w:sz w:val="22"/>
          <w:szCs w:val="24"/>
        </w:rPr>
      </w:pPr>
    </w:p>
    <w:p w14:paraId="3681C13A" w14:textId="34E2917E" w:rsidR="00D21932" w:rsidRPr="00287888" w:rsidRDefault="00287888" w:rsidP="00287888">
      <w:pPr>
        <w:pStyle w:val="Caption"/>
        <w:rPr>
          <w:noProof/>
          <w:color w:val="auto"/>
          <w:sz w:val="22"/>
        </w:rPr>
      </w:pPr>
      <w:r w:rsidRPr="00287888">
        <w:rPr>
          <w:b/>
          <w:color w:val="auto"/>
          <w:sz w:val="22"/>
        </w:rPr>
        <w:t xml:space="preserve">Table </w:t>
      </w:r>
      <w:r w:rsidRPr="00287888">
        <w:rPr>
          <w:b/>
          <w:color w:val="auto"/>
          <w:sz w:val="22"/>
        </w:rPr>
        <w:fldChar w:fldCharType="begin"/>
      </w:r>
      <w:r w:rsidRPr="00287888">
        <w:rPr>
          <w:b/>
          <w:color w:val="auto"/>
          <w:sz w:val="22"/>
        </w:rPr>
        <w:instrText xml:space="preserve"> SEQ Table \* ARABIC </w:instrText>
      </w:r>
      <w:r w:rsidRPr="00287888">
        <w:rPr>
          <w:b/>
          <w:color w:val="auto"/>
          <w:sz w:val="22"/>
        </w:rPr>
        <w:fldChar w:fldCharType="separate"/>
      </w:r>
      <w:r w:rsidRPr="00287888">
        <w:rPr>
          <w:b/>
          <w:noProof/>
          <w:color w:val="auto"/>
          <w:sz w:val="22"/>
        </w:rPr>
        <w:t>2</w:t>
      </w:r>
      <w:r w:rsidRPr="00287888">
        <w:rPr>
          <w:b/>
          <w:noProof/>
          <w:color w:val="auto"/>
          <w:sz w:val="22"/>
        </w:rPr>
        <w:fldChar w:fldCharType="end"/>
      </w:r>
      <w:r>
        <w:rPr>
          <w:b/>
          <w:noProof/>
          <w:color w:val="auto"/>
          <w:sz w:val="22"/>
        </w:rPr>
        <w:tab/>
      </w:r>
      <w:r>
        <w:rPr>
          <w:noProof/>
          <w:color w:val="auto"/>
          <w:sz w:val="22"/>
        </w:rPr>
        <w:t>Triacylglycerol lipase e</w:t>
      </w:r>
      <w:r w:rsidRPr="00656647">
        <w:rPr>
          <w:noProof/>
          <w:color w:val="auto"/>
          <w:sz w:val="22"/>
        </w:rPr>
        <w:t xml:space="preserve">nzyme </w:t>
      </w:r>
      <w:r>
        <w:rPr>
          <w:noProof/>
          <w:color w:val="auto"/>
          <w:sz w:val="22"/>
        </w:rPr>
        <w:t>p</w:t>
      </w:r>
      <w:r w:rsidRPr="00656647">
        <w:rPr>
          <w:noProof/>
          <w:color w:val="auto"/>
          <w:sz w:val="22"/>
        </w:rPr>
        <w:t xml:space="preserve">reparation </w:t>
      </w:r>
      <w:r>
        <w:rPr>
          <w:noProof/>
          <w:color w:val="auto"/>
          <w:sz w:val="22"/>
        </w:rPr>
        <w:t>p</w:t>
      </w:r>
      <w:r w:rsidRPr="00656647">
        <w:rPr>
          <w:noProof/>
          <w:color w:val="auto"/>
          <w:sz w:val="22"/>
        </w:rPr>
        <w:t xml:space="preserve">hysical </w:t>
      </w:r>
      <w:r>
        <w:rPr>
          <w:noProof/>
          <w:color w:val="auto"/>
          <w:sz w:val="22"/>
        </w:rPr>
        <w:t>p</w:t>
      </w:r>
      <w:r w:rsidRPr="00656647">
        <w:rPr>
          <w:noProof/>
          <w:color w:val="auto"/>
          <w:sz w:val="22"/>
        </w:rPr>
        <w:t>roperties</w:t>
      </w:r>
    </w:p>
    <w:tbl>
      <w:tblPr>
        <w:tblW w:w="0" w:type="auto"/>
        <w:tblInd w:w="-108" w:type="dxa"/>
        <w:tblLayout w:type="fixed"/>
        <w:tblLook w:val="0000" w:firstRow="0" w:lastRow="0" w:firstColumn="0" w:lastColumn="0" w:noHBand="0" w:noVBand="0"/>
      </w:tblPr>
      <w:tblGrid>
        <w:gridCol w:w="3227"/>
        <w:gridCol w:w="3969"/>
      </w:tblGrid>
      <w:tr w:rsidR="00D21932" w:rsidRPr="00287888" w14:paraId="38A900AA" w14:textId="77777777" w:rsidTr="00287888">
        <w:trPr>
          <w:trHeight w:val="99"/>
        </w:trPr>
        <w:tc>
          <w:tcPr>
            <w:tcW w:w="7196" w:type="dxa"/>
            <w:gridSpan w:val="2"/>
            <w:shd w:val="clear" w:color="auto" w:fill="616571"/>
            <w:vAlign w:val="center"/>
          </w:tcPr>
          <w:p w14:paraId="2ADE993A" w14:textId="20596570" w:rsidR="00D21932" w:rsidRPr="00287888" w:rsidRDefault="00287888" w:rsidP="00944C14">
            <w:pPr>
              <w:widowControl/>
              <w:spacing w:before="120" w:after="120"/>
              <w:ind w:left="170" w:right="284"/>
              <w:jc w:val="center"/>
              <w:rPr>
                <w:rFonts w:eastAsia="Calibri" w:cs="Arial"/>
                <w:b/>
                <w:color w:val="FFFFFF"/>
                <w:sz w:val="20"/>
                <w:szCs w:val="20"/>
                <w:lang w:eastAsia="en-GB" w:bidi="ar-SA"/>
              </w:rPr>
            </w:pPr>
            <w:r>
              <w:rPr>
                <w:rFonts w:eastAsia="Calibri" w:cs="Arial"/>
                <w:b/>
                <w:color w:val="FFFFFF" w:themeColor="background1"/>
                <w:sz w:val="20"/>
                <w:szCs w:val="20"/>
                <w:lang w:eastAsia="en-GB" w:bidi="ar-SA"/>
              </w:rPr>
              <w:t>P</w:t>
            </w:r>
            <w:r w:rsidR="00D21932" w:rsidRPr="00287888">
              <w:rPr>
                <w:rFonts w:eastAsia="Calibri" w:cs="Arial"/>
                <w:b/>
                <w:color w:val="FFFFFF" w:themeColor="background1"/>
                <w:sz w:val="20"/>
                <w:szCs w:val="20"/>
                <w:lang w:eastAsia="en-GB" w:bidi="ar-SA"/>
              </w:rPr>
              <w:t xml:space="preserve">hysical </w:t>
            </w:r>
            <w:r>
              <w:rPr>
                <w:rFonts w:eastAsia="Calibri" w:cs="Arial"/>
                <w:b/>
                <w:color w:val="FFFFFF" w:themeColor="background1"/>
                <w:sz w:val="20"/>
                <w:szCs w:val="20"/>
                <w:lang w:eastAsia="en-GB" w:bidi="ar-SA"/>
              </w:rPr>
              <w:t>p</w:t>
            </w:r>
            <w:r w:rsidR="00D21932" w:rsidRPr="00287888">
              <w:rPr>
                <w:rFonts w:eastAsia="Calibri" w:cs="Arial"/>
                <w:b/>
                <w:color w:val="FFFFFF" w:themeColor="background1"/>
                <w:sz w:val="20"/>
                <w:szCs w:val="20"/>
                <w:lang w:eastAsia="en-GB" w:bidi="ar-SA"/>
              </w:rPr>
              <w:t xml:space="preserve">roperties </w:t>
            </w:r>
            <w:r>
              <w:rPr>
                <w:rFonts w:eastAsia="Calibri" w:cs="Arial"/>
                <w:b/>
                <w:color w:val="FFFFFF" w:themeColor="background1"/>
                <w:sz w:val="20"/>
                <w:szCs w:val="20"/>
                <w:lang w:eastAsia="en-GB" w:bidi="ar-SA"/>
              </w:rPr>
              <w:t>of</w:t>
            </w:r>
            <w:r w:rsidR="00D21932" w:rsidRPr="00287888">
              <w:rPr>
                <w:rFonts w:eastAsia="Calibri" w:cs="Arial"/>
                <w:b/>
                <w:color w:val="FFFFFF" w:themeColor="background1"/>
                <w:sz w:val="20"/>
                <w:szCs w:val="20"/>
                <w:lang w:eastAsia="en-GB" w:bidi="ar-SA"/>
              </w:rPr>
              <w:t xml:space="preserve"> </w:t>
            </w:r>
            <w:r w:rsidR="00D21932" w:rsidRPr="00287888">
              <w:rPr>
                <w:rFonts w:cs="Arial"/>
                <w:b/>
                <w:color w:val="FFFFFF" w:themeColor="background1"/>
                <w:sz w:val="20"/>
                <w:szCs w:val="20"/>
                <w:lang w:eastAsia="en-AU" w:bidi="ar-SA"/>
              </w:rPr>
              <w:t>Veron® Hyperbake ST</w:t>
            </w:r>
          </w:p>
        </w:tc>
      </w:tr>
      <w:tr w:rsidR="00D21932" w:rsidRPr="00287888" w14:paraId="6C253E98" w14:textId="77777777" w:rsidTr="00287888">
        <w:trPr>
          <w:trHeight w:val="426"/>
        </w:trPr>
        <w:tc>
          <w:tcPr>
            <w:tcW w:w="3227" w:type="dxa"/>
            <w:shd w:val="clear" w:color="auto" w:fill="ECECEC"/>
            <w:vAlign w:val="center"/>
          </w:tcPr>
          <w:p w14:paraId="468B553F"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pH value</w:t>
            </w:r>
          </w:p>
        </w:tc>
        <w:tc>
          <w:tcPr>
            <w:tcW w:w="3969" w:type="dxa"/>
            <w:shd w:val="clear" w:color="auto" w:fill="ECECEC"/>
            <w:vAlign w:val="center"/>
          </w:tcPr>
          <w:p w14:paraId="6A522368"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7-9</w:t>
            </w:r>
          </w:p>
        </w:tc>
      </w:tr>
      <w:tr w:rsidR="00D21932" w:rsidRPr="00287888" w14:paraId="618A3568" w14:textId="77777777" w:rsidTr="008A4EF1">
        <w:trPr>
          <w:trHeight w:val="426"/>
        </w:trPr>
        <w:tc>
          <w:tcPr>
            <w:tcW w:w="3227" w:type="dxa"/>
            <w:vAlign w:val="center"/>
          </w:tcPr>
          <w:p w14:paraId="6BDF4A0C"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Density</w:t>
            </w:r>
          </w:p>
        </w:tc>
        <w:tc>
          <w:tcPr>
            <w:tcW w:w="3969" w:type="dxa"/>
            <w:vAlign w:val="center"/>
          </w:tcPr>
          <w:p w14:paraId="70289FE0" w14:textId="7B0D1C49"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1.00-1.10</w:t>
            </w:r>
            <w:r w:rsidR="00287888">
              <w:rPr>
                <w:sz w:val="20"/>
                <w:szCs w:val="20"/>
                <w:lang w:eastAsia="en-AU" w:bidi="ar-SA"/>
              </w:rPr>
              <w:t xml:space="preserve"> </w:t>
            </w:r>
            <w:r w:rsidRPr="00287888">
              <w:rPr>
                <w:sz w:val="20"/>
                <w:szCs w:val="20"/>
                <w:lang w:eastAsia="en-AU" w:bidi="ar-SA"/>
              </w:rPr>
              <w:t>g/ml</w:t>
            </w:r>
          </w:p>
        </w:tc>
      </w:tr>
      <w:tr w:rsidR="00D21932" w:rsidRPr="00287888" w14:paraId="08349809" w14:textId="77777777" w:rsidTr="008A4EF1">
        <w:trPr>
          <w:trHeight w:val="426"/>
        </w:trPr>
        <w:tc>
          <w:tcPr>
            <w:tcW w:w="3227" w:type="dxa"/>
            <w:shd w:val="clear" w:color="auto" w:fill="ECECEC"/>
            <w:vAlign w:val="center"/>
          </w:tcPr>
          <w:p w14:paraId="0E2FB951" w14:textId="77777777"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lastRenderedPageBreak/>
              <w:t>Appearance</w:t>
            </w:r>
          </w:p>
        </w:tc>
        <w:tc>
          <w:tcPr>
            <w:tcW w:w="3969" w:type="dxa"/>
            <w:shd w:val="clear" w:color="auto" w:fill="ECECEC"/>
            <w:vAlign w:val="center"/>
          </w:tcPr>
          <w:p w14:paraId="57E5066E" w14:textId="6730F51F" w:rsidR="00D21932" w:rsidRPr="00287888" w:rsidRDefault="00D21932" w:rsidP="00287888">
            <w:pPr>
              <w:widowControl/>
              <w:autoSpaceDE w:val="0"/>
              <w:autoSpaceDN w:val="0"/>
              <w:adjustRightInd w:val="0"/>
              <w:rPr>
                <w:rFonts w:eastAsia="Calibri" w:cs="Arial"/>
                <w:color w:val="000000"/>
                <w:sz w:val="20"/>
                <w:szCs w:val="20"/>
                <w:lang w:bidi="ar-SA"/>
              </w:rPr>
            </w:pPr>
            <w:r w:rsidRPr="00287888">
              <w:rPr>
                <w:sz w:val="20"/>
                <w:szCs w:val="20"/>
                <w:lang w:eastAsia="en-AU" w:bidi="ar-SA"/>
              </w:rPr>
              <w:t>Light beige colour with characteristic</w:t>
            </w:r>
            <w:r w:rsidR="006025B8">
              <w:rPr>
                <w:sz w:val="20"/>
                <w:szCs w:val="20"/>
                <w:lang w:eastAsia="en-AU" w:bidi="ar-SA"/>
              </w:rPr>
              <w:t>, aromatic</w:t>
            </w:r>
            <w:r w:rsidRPr="00287888">
              <w:rPr>
                <w:sz w:val="20"/>
                <w:szCs w:val="20"/>
                <w:lang w:eastAsia="en-AU" w:bidi="ar-SA"/>
              </w:rPr>
              <w:t xml:space="preserve"> odour</w:t>
            </w:r>
          </w:p>
        </w:tc>
      </w:tr>
      <w:tr w:rsidR="008A4EF1" w:rsidRPr="00287888" w14:paraId="296B4FEB" w14:textId="77777777" w:rsidTr="008A4EF1">
        <w:trPr>
          <w:trHeight w:val="426"/>
        </w:trPr>
        <w:tc>
          <w:tcPr>
            <w:tcW w:w="3227" w:type="dxa"/>
            <w:tcBorders>
              <w:bottom w:val="single" w:sz="4" w:space="0" w:color="ECECEC"/>
            </w:tcBorders>
            <w:shd w:val="clear" w:color="auto" w:fill="auto"/>
            <w:vAlign w:val="center"/>
          </w:tcPr>
          <w:p w14:paraId="34AEAD29" w14:textId="277D1E41" w:rsidR="008A4EF1" w:rsidRPr="009D5AD7" w:rsidRDefault="008A4EF1" w:rsidP="00287888">
            <w:pPr>
              <w:widowControl/>
              <w:autoSpaceDE w:val="0"/>
              <w:autoSpaceDN w:val="0"/>
              <w:adjustRightInd w:val="0"/>
              <w:rPr>
                <w:sz w:val="20"/>
                <w:szCs w:val="20"/>
                <w:lang w:eastAsia="en-AU" w:bidi="ar-SA"/>
              </w:rPr>
            </w:pPr>
            <w:r w:rsidRPr="009D5AD7">
              <w:rPr>
                <w:sz w:val="20"/>
                <w:szCs w:val="20"/>
                <w:lang w:eastAsia="en-AU" w:bidi="ar-SA"/>
              </w:rPr>
              <w:t>Min. enzyme activity</w:t>
            </w:r>
          </w:p>
        </w:tc>
        <w:tc>
          <w:tcPr>
            <w:tcW w:w="3969" w:type="dxa"/>
            <w:tcBorders>
              <w:bottom w:val="single" w:sz="4" w:space="0" w:color="ECECEC"/>
            </w:tcBorders>
            <w:shd w:val="clear" w:color="auto" w:fill="auto"/>
            <w:vAlign w:val="center"/>
          </w:tcPr>
          <w:p w14:paraId="2C35DCFB" w14:textId="21EB8518" w:rsidR="008A4EF1" w:rsidRPr="009D5AD7" w:rsidRDefault="000E3083" w:rsidP="00287888">
            <w:pPr>
              <w:widowControl/>
              <w:autoSpaceDE w:val="0"/>
              <w:autoSpaceDN w:val="0"/>
              <w:adjustRightInd w:val="0"/>
              <w:rPr>
                <w:sz w:val="20"/>
                <w:szCs w:val="20"/>
                <w:lang w:eastAsia="en-AU" w:bidi="ar-SA"/>
              </w:rPr>
            </w:pPr>
            <w:r w:rsidRPr="009D5AD7">
              <w:rPr>
                <w:sz w:val="20"/>
                <w:szCs w:val="20"/>
                <w:lang w:eastAsia="en-AU" w:bidi="ar-SA"/>
              </w:rPr>
              <w:t>22 500 activity units</w:t>
            </w:r>
          </w:p>
        </w:tc>
      </w:tr>
    </w:tbl>
    <w:p w14:paraId="637E6157" w14:textId="1BB0FA76" w:rsidR="00D21932" w:rsidRDefault="00D21932" w:rsidP="004E1EF7">
      <w:pPr>
        <w:rPr>
          <w:lang w:eastAsia="en-AU" w:bidi="ar-SA"/>
        </w:rPr>
      </w:pPr>
    </w:p>
    <w:p w14:paraId="0FC1D4D4" w14:textId="07779E9B" w:rsidR="008A4EF1" w:rsidRDefault="008A4EF1" w:rsidP="008A4EF1">
      <w:pPr>
        <w:tabs>
          <w:tab w:val="left" w:pos="1134"/>
        </w:tabs>
      </w:pPr>
      <w:r>
        <w:rPr>
          <w:lang w:eastAsia="en-AU" w:bidi="ar-SA"/>
        </w:rPr>
        <w:t xml:space="preserve">Whilst the </w:t>
      </w:r>
      <w:r>
        <w:t xml:space="preserve">enzyme preparation contains predominantly </w:t>
      </w:r>
      <w:r w:rsidR="00EA63CC">
        <w:t>triacylglycerol lipase</w:t>
      </w:r>
      <w:r>
        <w:t xml:space="preserve"> activity, there are also small amount</w:t>
      </w:r>
      <w:r w:rsidR="00EA63CC">
        <w:t>s</w:t>
      </w:r>
      <w:r>
        <w:t xml:space="preserve"> of other enzymatic side activities, </w:t>
      </w:r>
      <w:r w:rsidRPr="00AA657A">
        <w:t xml:space="preserve">which are </w:t>
      </w:r>
      <w:r>
        <w:t xml:space="preserve">known to be produced by </w:t>
      </w:r>
      <w:r w:rsidR="00CD762C">
        <w:t xml:space="preserve">all microorganisms including </w:t>
      </w:r>
      <w:r>
        <w:rPr>
          <w:i/>
        </w:rPr>
        <w:t>T. reesei</w:t>
      </w:r>
      <w:r w:rsidR="00EA63CC">
        <w:t xml:space="preserve"> </w:t>
      </w:r>
      <w:r w:rsidR="00DC4DAB">
        <w:t>which</w:t>
      </w:r>
      <w:r w:rsidR="00B415A4">
        <w:t>,</w:t>
      </w:r>
      <w:r w:rsidR="00DC4DAB">
        <w:t xml:space="preserve"> for this source</w:t>
      </w:r>
      <w:r w:rsidR="00B415A4">
        <w:t>,</w:t>
      </w:r>
      <w:r w:rsidR="00DC4DAB">
        <w:t xml:space="preserve"> </w:t>
      </w:r>
      <w:r w:rsidR="008911C3">
        <w:t>are</w:t>
      </w:r>
      <w:r w:rsidR="00DC4DAB">
        <w:t xml:space="preserve"> </w:t>
      </w:r>
      <w:r w:rsidR="00EA63CC">
        <w:t>mainly</w:t>
      </w:r>
      <w:r w:rsidRPr="00B87E23">
        <w:t xml:space="preserve"> </w:t>
      </w:r>
      <w:r w:rsidR="00DC4DAB">
        <w:t>endo</w:t>
      </w:r>
      <w:r w:rsidRPr="00B87E23">
        <w:t xml:space="preserve">glucanase and </w:t>
      </w:r>
      <w:r w:rsidR="00DC4DAB">
        <w:t>xylan</w:t>
      </w:r>
      <w:r w:rsidR="00EA63CC">
        <w:t>a</w:t>
      </w:r>
      <w:r>
        <w:t xml:space="preserve">se. </w:t>
      </w:r>
      <w:r w:rsidRPr="007603F1">
        <w:t>Supporting documentation show</w:t>
      </w:r>
      <w:r w:rsidR="00B415A4">
        <w:t>s</w:t>
      </w:r>
      <w:r w:rsidRPr="007603F1">
        <w:t xml:space="preserve"> the levels of these side activities</w:t>
      </w:r>
      <w:r w:rsidR="00FE1DEE" w:rsidRPr="007603F1">
        <w:t xml:space="preserve"> </w:t>
      </w:r>
      <w:r w:rsidR="00DC4DAB" w:rsidRPr="007603F1">
        <w:t>is small</w:t>
      </w:r>
      <w:r w:rsidRPr="007603F1">
        <w:t xml:space="preserve">, and the assays used to measure them </w:t>
      </w:r>
      <w:r w:rsidR="00B415A4">
        <w:t>were</w:t>
      </w:r>
      <w:r w:rsidRPr="007603F1">
        <w:t xml:space="preserve"> provided with the application. The documentation provided sufficient evidence that the side activities present in the </w:t>
      </w:r>
      <w:r w:rsidR="004A48FC" w:rsidRPr="007603F1">
        <w:t>triacylglycerol lipase</w:t>
      </w:r>
      <w:r w:rsidRPr="007603F1">
        <w:t xml:space="preserve"> </w:t>
      </w:r>
      <w:r w:rsidR="004A48FC" w:rsidRPr="007603F1">
        <w:t xml:space="preserve">solution </w:t>
      </w:r>
      <w:r w:rsidRPr="007603F1">
        <w:t xml:space="preserve">are not relevant to this application, mainly due to the small quantities involved, </w:t>
      </w:r>
      <w:r w:rsidR="009C6683">
        <w:t>especially</w:t>
      </w:r>
      <w:r w:rsidRPr="007603F1">
        <w:t xml:space="preserve"> when compared to enzyme preparations that have been standardi</w:t>
      </w:r>
      <w:r w:rsidR="008C22F9">
        <w:t>s</w:t>
      </w:r>
      <w:r w:rsidRPr="007603F1">
        <w:t>ed for those specific activities.</w:t>
      </w:r>
      <w:r w:rsidRPr="00DC4DAB">
        <w:t xml:space="preserve"> </w:t>
      </w:r>
    </w:p>
    <w:p w14:paraId="1A0E729A" w14:textId="77777777" w:rsidR="008A4EF1" w:rsidRDefault="008A4EF1" w:rsidP="008A4EF1">
      <w:pPr>
        <w:tabs>
          <w:tab w:val="left" w:pos="1134"/>
        </w:tabs>
      </w:pPr>
    </w:p>
    <w:p w14:paraId="374F5084" w14:textId="09775911" w:rsidR="008A4EF1" w:rsidRDefault="008A4EF1" w:rsidP="008A4EF1">
      <w:pPr>
        <w:tabs>
          <w:tab w:val="left" w:pos="1134"/>
        </w:tabs>
      </w:pPr>
      <w:r>
        <w:t xml:space="preserve">Use of commercial enzyme preparations are typically in accordance </w:t>
      </w:r>
      <w:r w:rsidR="00F02599">
        <w:t xml:space="preserve">with </w:t>
      </w:r>
      <w:r w:rsidR="00587C24">
        <w:t>Good Manufacturing Practice (</w:t>
      </w:r>
      <w:r w:rsidR="00F02599">
        <w:t>GMP</w:t>
      </w:r>
      <w:r w:rsidR="00587C24">
        <w:t>)</w:t>
      </w:r>
      <w:r>
        <w:t xml:space="preserve">, whereby use is at a level that is not higher than </w:t>
      </w:r>
      <w:r w:rsidR="00592007">
        <w:t>that</w:t>
      </w:r>
      <w:r>
        <w:t xml:space="preserve"> necessary to achieve</w:t>
      </w:r>
      <w:r w:rsidR="008F21BE">
        <w:t xml:space="preserve"> the desired enzymatic reaction</w:t>
      </w:r>
      <w:r>
        <w:t>.</w:t>
      </w:r>
      <w:r w:rsidRPr="00C90A79">
        <w:t xml:space="preserve"> </w:t>
      </w:r>
      <w:r w:rsidRPr="0059240A">
        <w:t>The recomme</w:t>
      </w:r>
      <w:r>
        <w:t>n</w:t>
      </w:r>
      <w:r w:rsidRPr="0059240A">
        <w:t xml:space="preserve">ded </w:t>
      </w:r>
      <w:r w:rsidR="00592007">
        <w:t>use level</w:t>
      </w:r>
      <w:r w:rsidR="00592007" w:rsidRPr="0059240A">
        <w:t xml:space="preserve"> </w:t>
      </w:r>
      <w:r>
        <w:t xml:space="preserve">of </w:t>
      </w:r>
      <w:r w:rsidR="00F24FFD">
        <w:t>Veron</w:t>
      </w:r>
      <w:r>
        <w:rPr>
          <w:rFonts w:cs="Arial"/>
        </w:rPr>
        <w:t>®</w:t>
      </w:r>
      <w:r>
        <w:t xml:space="preserve"> </w:t>
      </w:r>
      <w:r w:rsidR="00F24FFD" w:rsidRPr="00F24FFD">
        <w:t xml:space="preserve">Hyperbake ST </w:t>
      </w:r>
      <w:r w:rsidR="00F24FFD">
        <w:t xml:space="preserve">is 0.5-3 g/100 kg of flour. The </w:t>
      </w:r>
      <w:r w:rsidR="009E07C0">
        <w:t>technical information</w:t>
      </w:r>
      <w:r w:rsidR="00F24FFD">
        <w:t xml:space="preserve"> sheet </w:t>
      </w:r>
      <w:r w:rsidR="001C17F2">
        <w:t xml:space="preserve">provided with the application </w:t>
      </w:r>
      <w:r w:rsidR="009C6683">
        <w:t>provides advice</w:t>
      </w:r>
      <w:r w:rsidR="00F24FFD">
        <w:t xml:space="preserve"> that the optimum </w:t>
      </w:r>
      <w:r w:rsidR="001C17F2">
        <w:t xml:space="preserve">use level </w:t>
      </w:r>
      <w:r w:rsidR="00F24FFD">
        <w:t>should be determined by means of baking tests.</w:t>
      </w:r>
      <w:r>
        <w:t xml:space="preserve"> F</w:t>
      </w:r>
      <w:r w:rsidRPr="00924FEB">
        <w:t xml:space="preserve">ood manufacturers will </w:t>
      </w:r>
      <w:r w:rsidR="00F24FFD">
        <w:t xml:space="preserve">thus </w:t>
      </w:r>
      <w:r w:rsidRPr="00924FEB">
        <w:t xml:space="preserve">fine-tune the </w:t>
      </w:r>
      <w:r w:rsidR="001C17F2">
        <w:t xml:space="preserve">level of </w:t>
      </w:r>
      <w:r w:rsidRPr="00924FEB">
        <w:t xml:space="preserve">enzyme </w:t>
      </w:r>
      <w:r w:rsidR="001C17F2">
        <w:t xml:space="preserve">used </w:t>
      </w:r>
      <w:r w:rsidR="00F24FFD">
        <w:t xml:space="preserve">on a case-by-case basis, </w:t>
      </w:r>
      <w:r w:rsidR="001C17F2">
        <w:t xml:space="preserve">founded </w:t>
      </w:r>
      <w:r w:rsidR="00F24FFD">
        <w:t>on the desired effect and their individual process conditions.</w:t>
      </w:r>
      <w:r w:rsidRPr="00924FEB">
        <w:t xml:space="preserve"> </w:t>
      </w:r>
    </w:p>
    <w:p w14:paraId="3600B732" w14:textId="757DBDBB" w:rsidR="0092216C" w:rsidRDefault="0092216C" w:rsidP="0092216C">
      <w:pPr>
        <w:pStyle w:val="Heading3"/>
      </w:pPr>
      <w:bookmarkStart w:id="12" w:name="_Toc528243327"/>
      <w:r>
        <w:t>2.1.3</w:t>
      </w:r>
      <w:r>
        <w:tab/>
        <w:t>Technological justification for the enzyme</w:t>
      </w:r>
      <w:bookmarkEnd w:id="12"/>
    </w:p>
    <w:p w14:paraId="020612A7" w14:textId="2B5565A6" w:rsidR="004C3BA6" w:rsidRDefault="0092216C" w:rsidP="00F210E2">
      <w:pPr>
        <w:rPr>
          <w:lang w:eastAsia="en-AU" w:bidi="ar-SA"/>
        </w:rPr>
      </w:pPr>
      <w:r>
        <w:rPr>
          <w:lang w:eastAsia="en-AU" w:bidi="ar-SA"/>
        </w:rPr>
        <w:t xml:space="preserve">As mentioned above, triacylglycerol lipase present in baking and other </w:t>
      </w:r>
      <w:r w:rsidR="005B54D2">
        <w:rPr>
          <w:lang w:eastAsia="en-AU" w:bidi="ar-SA"/>
        </w:rPr>
        <w:t xml:space="preserve">cereal-based </w:t>
      </w:r>
      <w:r>
        <w:rPr>
          <w:lang w:eastAsia="en-AU" w:bidi="ar-SA"/>
        </w:rPr>
        <w:t xml:space="preserve">processes can have a positive </w:t>
      </w:r>
      <w:r w:rsidR="000F7F6B">
        <w:rPr>
          <w:lang w:eastAsia="en-AU" w:bidi="ar-SA"/>
        </w:rPr>
        <w:t xml:space="preserve">effect </w:t>
      </w:r>
      <w:r>
        <w:rPr>
          <w:lang w:eastAsia="en-AU" w:bidi="ar-SA"/>
        </w:rPr>
        <w:t xml:space="preserve">on the interactions </w:t>
      </w:r>
      <w:r w:rsidR="005B54D2">
        <w:rPr>
          <w:lang w:eastAsia="en-AU" w:bidi="ar-SA"/>
        </w:rPr>
        <w:t>between the constituents of the dough, i.e. gluten proteins a</w:t>
      </w:r>
      <w:r>
        <w:rPr>
          <w:lang w:eastAsia="en-AU" w:bidi="ar-SA"/>
        </w:rPr>
        <w:t xml:space="preserve">nd lipids, starch and lipids as well as </w:t>
      </w:r>
      <w:r w:rsidR="005B54D2">
        <w:rPr>
          <w:lang w:eastAsia="en-AU" w:bidi="ar-SA"/>
        </w:rPr>
        <w:t xml:space="preserve">gluten and starch. </w:t>
      </w:r>
      <w:r w:rsidR="00D75556">
        <w:rPr>
          <w:lang w:eastAsia="en-AU" w:bidi="ar-SA"/>
        </w:rPr>
        <w:t>T</w:t>
      </w:r>
      <w:r w:rsidR="00D75556" w:rsidRPr="00D75556">
        <w:rPr>
          <w:lang w:eastAsia="en-AU" w:bidi="ar-SA"/>
        </w:rPr>
        <w:t>riacylglycerol lipase</w:t>
      </w:r>
      <w:r w:rsidR="00D75556">
        <w:rPr>
          <w:lang w:eastAsia="en-AU" w:bidi="ar-SA"/>
        </w:rPr>
        <w:t xml:space="preserve"> supplements endogenous cereal grain lipases and </w:t>
      </w:r>
      <w:r w:rsidR="004C3BA6">
        <w:rPr>
          <w:lang w:eastAsia="en-AU" w:bidi="ar-SA"/>
        </w:rPr>
        <w:t>is</w:t>
      </w:r>
      <w:r w:rsidR="00D75556">
        <w:rPr>
          <w:lang w:eastAsia="en-AU" w:bidi="ar-SA"/>
        </w:rPr>
        <w:t xml:space="preserve"> added as </w:t>
      </w:r>
      <w:r w:rsidR="004C3BA6">
        <w:rPr>
          <w:lang w:eastAsia="en-AU" w:bidi="ar-SA"/>
        </w:rPr>
        <w:t xml:space="preserve">a </w:t>
      </w:r>
      <w:r w:rsidR="00D75556">
        <w:rPr>
          <w:lang w:eastAsia="en-AU" w:bidi="ar-SA"/>
        </w:rPr>
        <w:t>dough improver, which manifests as increased bread volume, more uniform crumb mixture and air cell size and lesser tendency to stale, without influencing rheological (mixing) properties of the dough (</w:t>
      </w:r>
      <w:r w:rsidR="006F7787">
        <w:rPr>
          <w:lang w:eastAsia="en-AU" w:bidi="ar-SA"/>
        </w:rPr>
        <w:t xml:space="preserve">Damodaran et al, </w:t>
      </w:r>
      <w:r w:rsidR="006F7787" w:rsidRPr="006F7787">
        <w:rPr>
          <w:lang w:eastAsia="en-AU" w:bidi="ar-SA"/>
        </w:rPr>
        <w:t>2008).</w:t>
      </w:r>
      <w:r w:rsidR="00D75556">
        <w:rPr>
          <w:lang w:eastAsia="en-AU" w:bidi="ar-SA"/>
        </w:rPr>
        <w:t xml:space="preserve"> </w:t>
      </w:r>
      <w:r w:rsidR="00D75556" w:rsidRPr="00D75556">
        <w:rPr>
          <w:lang w:eastAsia="en-AU" w:bidi="ar-SA"/>
        </w:rPr>
        <w:t xml:space="preserve"> </w:t>
      </w:r>
    </w:p>
    <w:p w14:paraId="075FA819" w14:textId="77777777" w:rsidR="004C3BA6" w:rsidRDefault="004C3BA6" w:rsidP="00F210E2">
      <w:pPr>
        <w:rPr>
          <w:lang w:eastAsia="en-AU" w:bidi="ar-SA"/>
        </w:rPr>
      </w:pPr>
    </w:p>
    <w:p w14:paraId="51314D17" w14:textId="0C0BE9DF" w:rsidR="00F210E2" w:rsidRDefault="00F210E2" w:rsidP="00F210E2">
      <w:pPr>
        <w:rPr>
          <w:lang w:eastAsia="en-AU" w:bidi="ar-SA"/>
        </w:rPr>
      </w:pPr>
      <w:r>
        <w:rPr>
          <w:lang w:eastAsia="en-AU" w:bidi="ar-SA"/>
        </w:rPr>
        <w:t>T</w:t>
      </w:r>
      <w:r w:rsidR="0092216C">
        <w:rPr>
          <w:lang w:eastAsia="en-AU" w:bidi="ar-SA"/>
        </w:rPr>
        <w:t xml:space="preserve">he technological justification for using </w:t>
      </w:r>
      <w:r>
        <w:rPr>
          <w:lang w:eastAsia="en-AU" w:bidi="ar-SA"/>
        </w:rPr>
        <w:t>t</w:t>
      </w:r>
      <w:r w:rsidR="004C3BA6">
        <w:rPr>
          <w:lang w:eastAsia="en-AU" w:bidi="ar-SA"/>
        </w:rPr>
        <w:t xml:space="preserve">riacylglycerol lipase in baking, as indicated by the application, </w:t>
      </w:r>
      <w:r>
        <w:rPr>
          <w:lang w:eastAsia="en-AU" w:bidi="ar-SA"/>
        </w:rPr>
        <w:t>is that it breaks down triglycerides to</w:t>
      </w:r>
      <w:r w:rsidR="000F7F6B">
        <w:rPr>
          <w:lang w:eastAsia="en-AU" w:bidi="ar-SA"/>
        </w:rPr>
        <w:t xml:space="preserve"> </w:t>
      </w:r>
      <w:r>
        <w:rPr>
          <w:lang w:eastAsia="en-AU" w:bidi="ar-SA"/>
        </w:rPr>
        <w:t xml:space="preserve">produce </w:t>
      </w:r>
      <w:r w:rsidR="00D55D41">
        <w:rPr>
          <w:lang w:eastAsia="en-AU" w:bidi="ar-SA"/>
        </w:rPr>
        <w:t>benefits</w:t>
      </w:r>
      <w:r w:rsidR="00A10DFF">
        <w:rPr>
          <w:lang w:eastAsia="en-AU" w:bidi="ar-SA"/>
        </w:rPr>
        <w:t xml:space="preserve"> </w:t>
      </w:r>
      <w:r w:rsidR="00D75556">
        <w:rPr>
          <w:lang w:eastAsia="en-AU" w:bidi="ar-SA"/>
        </w:rPr>
        <w:t>such as</w:t>
      </w:r>
      <w:r>
        <w:rPr>
          <w:lang w:eastAsia="en-AU" w:bidi="ar-SA"/>
        </w:rPr>
        <w:t xml:space="preserve">: </w:t>
      </w:r>
    </w:p>
    <w:p w14:paraId="1CEB03EA" w14:textId="77777777" w:rsidR="00F210E2" w:rsidRDefault="00F210E2" w:rsidP="00F210E2">
      <w:pPr>
        <w:rPr>
          <w:lang w:eastAsia="en-AU" w:bidi="ar-SA"/>
        </w:rPr>
      </w:pPr>
    </w:p>
    <w:p w14:paraId="5513596B" w14:textId="7C09D987" w:rsidR="0057318E" w:rsidRDefault="00F210E2" w:rsidP="00F02599">
      <w:pPr>
        <w:pStyle w:val="FSBullet1"/>
      </w:pPr>
      <w:r>
        <w:t xml:space="preserve">facilitating </w:t>
      </w:r>
      <w:r w:rsidR="0057318E">
        <w:t>the handling of the dough</w:t>
      </w:r>
      <w:r w:rsidR="00E50E7F">
        <w:t>, through its positive influence on the interactions of the dough’s various constituents</w:t>
      </w:r>
    </w:p>
    <w:p w14:paraId="625A30F7" w14:textId="0F60C7F4" w:rsidR="0057318E" w:rsidRDefault="00F210E2" w:rsidP="00F02599">
      <w:pPr>
        <w:pStyle w:val="FSBullet1"/>
      </w:pPr>
      <w:r>
        <w:t xml:space="preserve">improving </w:t>
      </w:r>
      <w:r w:rsidR="0057318E" w:rsidRPr="00FD0469">
        <w:t xml:space="preserve">dough stability and strength which </w:t>
      </w:r>
      <w:r w:rsidR="0057318E">
        <w:t xml:space="preserve">results in </w:t>
      </w:r>
      <w:r>
        <w:t xml:space="preserve">an increase in </w:t>
      </w:r>
      <w:r w:rsidR="0057318E">
        <w:t>processing tolerance</w:t>
      </w:r>
    </w:p>
    <w:p w14:paraId="39155E6E" w14:textId="50D7A2D9" w:rsidR="0057318E" w:rsidRDefault="00F210E2" w:rsidP="00F02599">
      <w:pPr>
        <w:pStyle w:val="FSBullet1"/>
      </w:pPr>
      <w:r>
        <w:t xml:space="preserve">improving </w:t>
      </w:r>
      <w:r w:rsidR="0057318E" w:rsidRPr="00FD0469">
        <w:t xml:space="preserve">the dough's structure and </w:t>
      </w:r>
      <w:r w:rsidR="000F7F6B">
        <w:t>performance</w:t>
      </w:r>
      <w:r w:rsidR="000F7F6B" w:rsidRPr="00FD0469">
        <w:t xml:space="preserve"> </w:t>
      </w:r>
      <w:r w:rsidR="0057318E" w:rsidRPr="00FD0469">
        <w:t>during the baking</w:t>
      </w:r>
      <w:r w:rsidR="0057318E">
        <w:t xml:space="preserve"> steps</w:t>
      </w:r>
      <w:r w:rsidR="00E50E7F">
        <w:t>, to increase bread volume</w:t>
      </w:r>
    </w:p>
    <w:p w14:paraId="03D46E9E" w14:textId="7F63F672" w:rsidR="0057318E" w:rsidRDefault="00F210E2" w:rsidP="00F02599">
      <w:pPr>
        <w:pStyle w:val="FSBullet1"/>
      </w:pPr>
      <w:r>
        <w:t>regulating batter viscosity, specifically in producing</w:t>
      </w:r>
      <w:r w:rsidR="0057318E">
        <w:t xml:space="preserve"> waffles, pancakes and biscuits.</w:t>
      </w:r>
    </w:p>
    <w:p w14:paraId="06B4FCC0" w14:textId="1D2F0CAE" w:rsidR="00F210E2" w:rsidRDefault="00F210E2" w:rsidP="00F210E2">
      <w:pPr>
        <w:tabs>
          <w:tab w:val="left" w:pos="993"/>
        </w:tabs>
      </w:pPr>
    </w:p>
    <w:p w14:paraId="31062C0E" w14:textId="5B372D46" w:rsidR="00F210E2" w:rsidRDefault="00F210E2" w:rsidP="00F210E2">
      <w:pPr>
        <w:tabs>
          <w:tab w:val="left" w:pos="993"/>
        </w:tabs>
      </w:pPr>
      <w:r>
        <w:t>The technical justification for using triacylglycerol lipase in other cereal-</w:t>
      </w:r>
      <w:r>
        <w:lastRenderedPageBreak/>
        <w:t xml:space="preserve">based process is similar to that for baking. </w:t>
      </w:r>
      <w:r w:rsidR="004C3BA6">
        <w:t>In</w:t>
      </w:r>
      <w:r>
        <w:t xml:space="preserve"> addition to facilitating dough handling and improving dough stability/strength, other </w:t>
      </w:r>
      <w:r w:rsidR="00897C97">
        <w:t>benefits</w:t>
      </w:r>
      <w:r>
        <w:t xml:space="preserve"> include: </w:t>
      </w:r>
    </w:p>
    <w:p w14:paraId="72D9DDE7" w14:textId="77777777" w:rsidR="00F210E2" w:rsidRDefault="00F210E2" w:rsidP="00F210E2">
      <w:pPr>
        <w:tabs>
          <w:tab w:val="left" w:pos="993"/>
        </w:tabs>
      </w:pPr>
    </w:p>
    <w:p w14:paraId="7AEE837A" w14:textId="77777777" w:rsidR="004C3BA6" w:rsidRDefault="004C3BA6" w:rsidP="00F02599">
      <w:pPr>
        <w:pStyle w:val="FSBullet1"/>
      </w:pPr>
      <w:r>
        <w:t>reducing cracking in dried noodles</w:t>
      </w:r>
    </w:p>
    <w:p w14:paraId="5F939D7A" w14:textId="6590B14B" w:rsidR="004E1EF7" w:rsidRDefault="00F210E2" w:rsidP="00F02599">
      <w:pPr>
        <w:pStyle w:val="FSBullet1"/>
      </w:pPr>
      <w:r>
        <w:t>r</w:t>
      </w:r>
      <w:r w:rsidR="0057318E">
        <w:t>educ</w:t>
      </w:r>
      <w:r>
        <w:t>ing</w:t>
      </w:r>
      <w:r w:rsidR="0057318E">
        <w:t xml:space="preserve"> oil uptake during frying</w:t>
      </w:r>
    </w:p>
    <w:p w14:paraId="597E87E8" w14:textId="0654A2EA" w:rsidR="004E1EF7" w:rsidRDefault="00F210E2" w:rsidP="00F02599">
      <w:pPr>
        <w:pStyle w:val="FSBullet1"/>
      </w:pPr>
      <w:r>
        <w:t>improving dough emulsification (</w:t>
      </w:r>
      <w:r w:rsidRPr="00954CB7">
        <w:t xml:space="preserve">Fernandes </w:t>
      </w:r>
      <w:r w:rsidR="0057318E" w:rsidRPr="00954CB7">
        <w:t>2010)</w:t>
      </w:r>
    </w:p>
    <w:p w14:paraId="4B8BAAEB" w14:textId="734CB2D7" w:rsidR="0057318E" w:rsidRPr="00954CB7" w:rsidRDefault="00F210E2" w:rsidP="00F02599">
      <w:pPr>
        <w:pStyle w:val="FSBullet1"/>
      </w:pPr>
      <w:r>
        <w:t>r</w:t>
      </w:r>
      <w:r w:rsidR="0057318E">
        <w:t>educ</w:t>
      </w:r>
      <w:r>
        <w:t>ing</w:t>
      </w:r>
      <w:r w:rsidR="0057318E">
        <w:t xml:space="preserve"> surface stickiness and </w:t>
      </w:r>
      <w:r>
        <w:t>increasing</w:t>
      </w:r>
      <w:r w:rsidR="0057318E">
        <w:t xml:space="preserve"> firmness of cooked noodles </w:t>
      </w:r>
      <w:r w:rsidR="004C3BA6">
        <w:t xml:space="preserve">, which is associated with reduced leakage of starch, perhaps through complexing with fatty acids and lysoglycerolipids </w:t>
      </w:r>
      <w:r w:rsidR="0057318E" w:rsidRPr="00954CB7">
        <w:t>(Gulia</w:t>
      </w:r>
      <w:r w:rsidR="00CC42F4" w:rsidRPr="00954CB7">
        <w:t xml:space="preserve"> </w:t>
      </w:r>
      <w:r w:rsidR="0057318E" w:rsidRPr="00954CB7">
        <w:t>et al</w:t>
      </w:r>
      <w:r w:rsidR="00954CB7">
        <w:t>,</w:t>
      </w:r>
      <w:r w:rsidR="0057318E" w:rsidRPr="00954CB7">
        <w:t xml:space="preserve"> 2013</w:t>
      </w:r>
      <w:r w:rsidR="004C3BA6">
        <w:t>; Damodaran et al, 2008</w:t>
      </w:r>
      <w:r w:rsidR="0057318E" w:rsidRPr="00954CB7">
        <w:t>)</w:t>
      </w:r>
      <w:r w:rsidR="009E07C0">
        <w:t>.</w:t>
      </w:r>
    </w:p>
    <w:p w14:paraId="4828CB1E" w14:textId="77777777" w:rsidR="0057318E" w:rsidRDefault="0057318E" w:rsidP="00F02599">
      <w:pPr>
        <w:pStyle w:val="FSBullet1"/>
        <w:numPr>
          <w:ilvl w:val="0"/>
          <w:numId w:val="0"/>
        </w:numPr>
        <w:ind w:left="567"/>
      </w:pPr>
    </w:p>
    <w:p w14:paraId="62BD5E76" w14:textId="2A6EE603" w:rsidR="009D2159" w:rsidRDefault="00CC42F4" w:rsidP="003B68EE">
      <w:pPr>
        <w:tabs>
          <w:tab w:val="left" w:pos="993"/>
        </w:tabs>
      </w:pPr>
      <w:r>
        <w:t xml:space="preserve">Moreover, the triacylglycerol lipase that is the subject of this application is further technologically justified because it has </w:t>
      </w:r>
      <w:r w:rsidR="000E3083">
        <w:t xml:space="preserve">been found to have an increased </w:t>
      </w:r>
      <w:r w:rsidR="0057318E">
        <w:t xml:space="preserve">tolerance to </w:t>
      </w:r>
      <w:r>
        <w:t xml:space="preserve">mechanical </w:t>
      </w:r>
      <w:r w:rsidR="0057318E">
        <w:t xml:space="preserve">shock </w:t>
      </w:r>
      <w:r>
        <w:t xml:space="preserve">during </w:t>
      </w:r>
      <w:r w:rsidR="0057318E">
        <w:t>processing.</w:t>
      </w:r>
      <w:r>
        <w:t xml:space="preserve"> </w:t>
      </w:r>
      <w:r w:rsidRPr="003B68EE">
        <w:t xml:space="preserve">Specifically, the </w:t>
      </w:r>
      <w:r w:rsidR="000E3083" w:rsidRPr="003B68EE">
        <w:t xml:space="preserve">applicant provided </w:t>
      </w:r>
      <w:r w:rsidRPr="003B68EE">
        <w:t xml:space="preserve">information regarding a benchmarking exercise </w:t>
      </w:r>
      <w:r w:rsidR="000E3083" w:rsidRPr="003B68EE">
        <w:t xml:space="preserve">(baking test) </w:t>
      </w:r>
      <w:r w:rsidRPr="003B68EE">
        <w:t xml:space="preserve">against two competitors’ products. The results of </w:t>
      </w:r>
      <w:r w:rsidR="000E3083" w:rsidRPr="003B68EE">
        <w:t xml:space="preserve">the </w:t>
      </w:r>
      <w:r w:rsidRPr="003B68EE">
        <w:t xml:space="preserve">baking test </w:t>
      </w:r>
      <w:r w:rsidR="000E3083" w:rsidRPr="003B68EE">
        <w:t xml:space="preserve">indicated that the product in which the enzyme was used showed </w:t>
      </w:r>
      <w:r w:rsidRPr="003B68EE">
        <w:t>improved structural dough stability.</w:t>
      </w:r>
      <w:r w:rsidR="000E3083" w:rsidRPr="003B68EE">
        <w:t xml:space="preserve"> It </w:t>
      </w:r>
      <w:r w:rsidR="003B68EE">
        <w:t>was</w:t>
      </w:r>
      <w:r w:rsidR="000E3083" w:rsidRPr="003B68EE">
        <w:t xml:space="preserve"> assumed that this is because</w:t>
      </w:r>
      <w:r w:rsidR="003B68EE">
        <w:t xml:space="preserve"> of </w:t>
      </w:r>
      <w:r w:rsidR="000E3083" w:rsidRPr="003B68EE">
        <w:t>the created ratio of converted polar lipids in the dough in which this enzyme was used</w:t>
      </w:r>
      <w:r w:rsidRPr="003B68EE">
        <w:t xml:space="preserve"> </w:t>
      </w:r>
      <w:r w:rsidR="003B68EE" w:rsidRPr="003B68EE">
        <w:t xml:space="preserve">is different and beneficial towards dough stability. </w:t>
      </w:r>
    </w:p>
    <w:p w14:paraId="2E2E9ACF" w14:textId="77777777" w:rsidR="0040727A" w:rsidRDefault="0040727A" w:rsidP="0040727A">
      <w:pPr>
        <w:pStyle w:val="Heading2"/>
      </w:pPr>
      <w:bookmarkStart w:id="13" w:name="_Toc521683418"/>
      <w:bookmarkStart w:id="14" w:name="_Toc528243328"/>
      <w:r>
        <w:t>2.2</w:t>
      </w:r>
      <w:r>
        <w:tab/>
        <w:t>Manufacturing process</w:t>
      </w:r>
      <w:bookmarkEnd w:id="13"/>
      <w:bookmarkEnd w:id="14"/>
    </w:p>
    <w:p w14:paraId="37B25064" w14:textId="77777777" w:rsidR="003B68EE" w:rsidRDefault="003B68EE" w:rsidP="003B68EE">
      <w:pPr>
        <w:pStyle w:val="Heading3"/>
      </w:pPr>
      <w:bookmarkStart w:id="15" w:name="_Toc521683419"/>
      <w:bookmarkStart w:id="16" w:name="_Toc528243329"/>
      <w:r>
        <w:t>2.2.1</w:t>
      </w:r>
      <w:r>
        <w:tab/>
        <w:t>Production of the enzyme</w:t>
      </w:r>
      <w:bookmarkEnd w:id="15"/>
      <w:bookmarkEnd w:id="16"/>
    </w:p>
    <w:p w14:paraId="4EC2DD7A" w14:textId="2F16131F" w:rsidR="003B68EE" w:rsidRDefault="003B68EE" w:rsidP="003B68EE">
      <w:pPr>
        <w:rPr>
          <w:lang w:eastAsia="en-AU"/>
        </w:rPr>
      </w:pPr>
      <w:r>
        <w:rPr>
          <w:lang w:eastAsia="en-AU"/>
        </w:rPr>
        <w:t xml:space="preserve">The enzyme is produced by controlled submerged fermentation of the </w:t>
      </w:r>
      <w:r w:rsidRPr="00323B37">
        <w:rPr>
          <w:lang w:eastAsia="en-AU"/>
        </w:rPr>
        <w:t xml:space="preserve">genetically modified </w:t>
      </w:r>
      <w:r>
        <w:rPr>
          <w:lang w:eastAsia="en-AU"/>
        </w:rPr>
        <w:t xml:space="preserve">production </w:t>
      </w:r>
      <w:r w:rsidRPr="00323B37">
        <w:rPr>
          <w:lang w:eastAsia="en-AU"/>
        </w:rPr>
        <w:t xml:space="preserve">strain of </w:t>
      </w:r>
      <w:r w:rsidRPr="00323B37">
        <w:rPr>
          <w:i/>
          <w:lang w:eastAsia="en-AU"/>
        </w:rPr>
        <w:t>T. reesei</w:t>
      </w:r>
      <w:r>
        <w:rPr>
          <w:lang w:eastAsia="en-AU"/>
        </w:rPr>
        <w:t xml:space="preserve">.  </w:t>
      </w:r>
    </w:p>
    <w:p w14:paraId="24B7604C" w14:textId="77777777" w:rsidR="003B68EE" w:rsidRDefault="003B68EE" w:rsidP="003B68EE">
      <w:pPr>
        <w:rPr>
          <w:lang w:eastAsia="en-AU"/>
        </w:rPr>
      </w:pPr>
    </w:p>
    <w:p w14:paraId="29F60852" w14:textId="19D1518A" w:rsidR="003B68EE" w:rsidRDefault="003B68EE" w:rsidP="003B68EE">
      <w:pPr>
        <w:rPr>
          <w:lang w:eastAsia="en-AU"/>
        </w:rPr>
      </w:pPr>
      <w:r>
        <w:rPr>
          <w:lang w:eastAsia="en-AU"/>
        </w:rPr>
        <w:t xml:space="preserve">The production process comprises three main process steps: fermentation, recovery and preparation of the final product. Production begins with a pure culture of </w:t>
      </w:r>
      <w:r w:rsidRPr="00323B37">
        <w:rPr>
          <w:i/>
          <w:lang w:eastAsia="en-AU"/>
        </w:rPr>
        <w:t>T. reesei</w:t>
      </w:r>
      <w:r>
        <w:rPr>
          <w:lang w:eastAsia="en-AU"/>
        </w:rPr>
        <w:t xml:space="preserve">, which is added to a shake flask containing fermentation medium. When sufficient biomass is obtained, the contents of the shake flasks are used to inoculate the seed fermentor. At the end of fermentation, the inoculum is then transferred to the main fermenter containing fermentation medium. Biosynthesis of </w:t>
      </w:r>
      <w:r w:rsidR="003D0358">
        <w:rPr>
          <w:lang w:eastAsia="en-AU"/>
        </w:rPr>
        <w:t>triacylglycerol lipase</w:t>
      </w:r>
      <w:r>
        <w:rPr>
          <w:lang w:eastAsia="en-AU"/>
        </w:rPr>
        <w:t xml:space="preserve"> occurs in the main fermenter under well-defined process conditions governing the pH, temperature, time and mixing. </w:t>
      </w:r>
    </w:p>
    <w:p w14:paraId="5EA9FAEB" w14:textId="77777777" w:rsidR="003B68EE" w:rsidRDefault="003B68EE" w:rsidP="003B68EE">
      <w:pPr>
        <w:rPr>
          <w:lang w:eastAsia="en-AU"/>
        </w:rPr>
      </w:pPr>
    </w:p>
    <w:p w14:paraId="3A0BEE00" w14:textId="57AC636D" w:rsidR="003B68EE" w:rsidRDefault="003B68EE" w:rsidP="003B68EE">
      <w:pPr>
        <w:rPr>
          <w:lang w:eastAsia="en-AU"/>
        </w:rPr>
      </w:pPr>
      <w:r>
        <w:rPr>
          <w:lang w:eastAsia="en-AU"/>
        </w:rPr>
        <w:t xml:space="preserve">Once the fermentation is complete, the recovery process is initiated. The fermentation broth undergoes separation and concentration steps. The separation step involves removing the biomass from the fermentation </w:t>
      </w:r>
      <w:r w:rsidRPr="008C7D4C">
        <w:rPr>
          <w:lang w:eastAsia="en-AU"/>
        </w:rPr>
        <w:t>medium containing the desired enzyme protein</w:t>
      </w:r>
      <w:r>
        <w:rPr>
          <w:lang w:eastAsia="en-AU"/>
        </w:rPr>
        <w:t xml:space="preserve">. </w:t>
      </w:r>
      <w:r w:rsidR="00471C99">
        <w:rPr>
          <w:lang w:eastAsia="en-AU"/>
        </w:rPr>
        <w:t>T</w:t>
      </w:r>
      <w:r>
        <w:rPr>
          <w:lang w:eastAsia="en-AU"/>
        </w:rPr>
        <w:t>his process is performed at defined pH and temperatures to minimise loss of enzyme activity. The concentration step ensures that the enzyme solution achieves the desired enzyme activity prior to formulation.</w:t>
      </w:r>
    </w:p>
    <w:p w14:paraId="76B64DAA" w14:textId="77777777" w:rsidR="003B68EE" w:rsidRDefault="003B68EE" w:rsidP="003B68EE">
      <w:pPr>
        <w:rPr>
          <w:lang w:eastAsia="en-AU"/>
        </w:rPr>
      </w:pPr>
    </w:p>
    <w:p w14:paraId="4ACE6087" w14:textId="33292DB1" w:rsidR="003B68EE" w:rsidRDefault="003B68EE" w:rsidP="003B68EE">
      <w:r>
        <w:rPr>
          <w:lang w:eastAsia="en-AU"/>
        </w:rPr>
        <w:t xml:space="preserve">After concentration, the enzyme is </w:t>
      </w:r>
      <w:r w:rsidRPr="00323B37">
        <w:rPr>
          <w:lang w:eastAsia="en-AU"/>
        </w:rPr>
        <w:t>run through polish and germ filtration</w:t>
      </w:r>
      <w:r>
        <w:rPr>
          <w:lang w:eastAsia="en-AU"/>
        </w:rPr>
        <w:t>, to remove residual cells of the production strain, eliminate any microbial con</w:t>
      </w:r>
      <w:r>
        <w:rPr>
          <w:lang w:eastAsia="en-AU"/>
        </w:rPr>
        <w:lastRenderedPageBreak/>
        <w:t>tamination, and remove any other insoluble substances that may still be present</w:t>
      </w:r>
      <w:r w:rsidRPr="00323B37">
        <w:rPr>
          <w:lang w:eastAsia="en-AU"/>
        </w:rPr>
        <w:t xml:space="preserve">. The resultant concentrated enzyme solution </w:t>
      </w:r>
      <w:r>
        <w:rPr>
          <w:lang w:eastAsia="en-AU"/>
        </w:rPr>
        <w:t xml:space="preserve">is ready for formulating into a </w:t>
      </w:r>
      <w:r w:rsidR="003D0358">
        <w:rPr>
          <w:lang w:eastAsia="en-AU"/>
        </w:rPr>
        <w:t xml:space="preserve">dry </w:t>
      </w:r>
      <w:r>
        <w:rPr>
          <w:lang w:eastAsia="en-AU"/>
        </w:rPr>
        <w:t>food enzyme preparation (</w:t>
      </w:r>
      <w:r w:rsidR="005C47A0">
        <w:rPr>
          <w:lang w:eastAsia="en-AU"/>
        </w:rPr>
        <w:t>see</w:t>
      </w:r>
      <w:r>
        <w:rPr>
          <w:lang w:eastAsia="en-AU"/>
        </w:rPr>
        <w:t xml:space="preserve"> section </w:t>
      </w:r>
      <w:r w:rsidRPr="007603F1">
        <w:rPr>
          <w:lang w:eastAsia="en-AU"/>
        </w:rPr>
        <w:t>2.1.2)</w:t>
      </w:r>
      <w:r>
        <w:rPr>
          <w:lang w:eastAsia="en-AU"/>
        </w:rPr>
        <w:t xml:space="preserve"> and then packaged and sold commercially</w:t>
      </w:r>
      <w:r>
        <w:t>.</w:t>
      </w:r>
    </w:p>
    <w:p w14:paraId="6A59F8ED" w14:textId="77777777" w:rsidR="003B68EE" w:rsidRDefault="003B68EE" w:rsidP="003B68EE"/>
    <w:p w14:paraId="18AF8CCB" w14:textId="0F2C9936" w:rsidR="003B68EE" w:rsidRDefault="003B68EE" w:rsidP="003B68EE">
      <w:pPr>
        <w:rPr>
          <w:lang w:eastAsia="en-AU"/>
        </w:rPr>
      </w:pPr>
      <w:r>
        <w:rPr>
          <w:lang w:eastAsia="en-AU"/>
        </w:rPr>
        <w:t xml:space="preserve">Materials used in the fermentation and recovery process are standard, food grade quality materials that meet quality standards and relevant specifications, including those outlined in </w:t>
      </w:r>
      <w:r w:rsidRPr="00AA7751">
        <w:rPr>
          <w:lang w:eastAsia="en-AU"/>
        </w:rPr>
        <w:t>Food Chemicals Codex</w:t>
      </w:r>
      <w:r w:rsidR="00463C4D">
        <w:rPr>
          <w:lang w:eastAsia="en-AU"/>
        </w:rPr>
        <w:t xml:space="preserve"> </w:t>
      </w:r>
      <w:r w:rsidR="009067EE">
        <w:rPr>
          <w:lang w:eastAsia="en-AU"/>
        </w:rPr>
        <w:t>(10</w:t>
      </w:r>
      <w:r w:rsidR="009067EE" w:rsidRPr="009067EE">
        <w:rPr>
          <w:vertAlign w:val="superscript"/>
          <w:lang w:eastAsia="en-AU"/>
        </w:rPr>
        <w:t>th</w:t>
      </w:r>
      <w:r w:rsidR="009067EE">
        <w:rPr>
          <w:lang w:eastAsia="en-AU"/>
        </w:rPr>
        <w:t xml:space="preserve"> </w:t>
      </w:r>
      <w:r w:rsidR="00463C4D" w:rsidRPr="00AA7751">
        <w:rPr>
          <w:lang w:eastAsia="en-AU"/>
        </w:rPr>
        <w:t>edition)</w:t>
      </w:r>
      <w:r w:rsidRPr="00AA7751">
        <w:rPr>
          <w:lang w:eastAsia="en-AU"/>
        </w:rPr>
        <w:t xml:space="preserve"> (</w:t>
      </w:r>
      <w:r w:rsidR="0014213D">
        <w:rPr>
          <w:lang w:eastAsia="en-AU"/>
        </w:rPr>
        <w:t>2016)</w:t>
      </w:r>
      <w:r w:rsidRPr="00AA7751">
        <w:rPr>
          <w:lang w:eastAsia="en-AU"/>
        </w:rPr>
        <w:t xml:space="preserve"> </w:t>
      </w:r>
      <w:r>
        <w:rPr>
          <w:lang w:eastAsia="en-AU"/>
        </w:rPr>
        <w:t xml:space="preserve">that require that substances such as processing aids used to produce enzyme preparations be acceptable for general use in foods. Furthermore, production of the enzyme is in accordance with current GMP and </w:t>
      </w:r>
      <w:r w:rsidRPr="00281C47">
        <w:rPr>
          <w:lang w:eastAsia="en-AU"/>
        </w:rPr>
        <w:t xml:space="preserve">Hazard Analysis </w:t>
      </w:r>
      <w:r>
        <w:rPr>
          <w:lang w:eastAsia="en-AU"/>
        </w:rPr>
        <w:t>and</w:t>
      </w:r>
      <w:r w:rsidRPr="00281C47">
        <w:rPr>
          <w:lang w:eastAsia="en-AU"/>
        </w:rPr>
        <w:t xml:space="preserve"> Critical Control Points</w:t>
      </w:r>
      <w:r>
        <w:rPr>
          <w:lang w:eastAsia="en-AU"/>
        </w:rPr>
        <w:t xml:space="preserve"> (HACCP) principles, and in compliance with </w:t>
      </w:r>
      <w:r w:rsidR="00E50E7F">
        <w:rPr>
          <w:lang w:eastAsia="en-AU"/>
        </w:rPr>
        <w:t xml:space="preserve">the </w:t>
      </w:r>
      <w:r>
        <w:rPr>
          <w:lang w:eastAsia="en-AU"/>
        </w:rPr>
        <w:t>food hygiene regulations</w:t>
      </w:r>
      <w:r w:rsidR="00E50E7F">
        <w:rPr>
          <w:lang w:eastAsia="en-AU"/>
        </w:rPr>
        <w:t xml:space="preserve"> that apply </w:t>
      </w:r>
      <w:r w:rsidR="00674C96">
        <w:rPr>
          <w:lang w:eastAsia="en-AU"/>
        </w:rPr>
        <w:t xml:space="preserve">in the country of manufacture (e.g. </w:t>
      </w:r>
      <w:hyperlink r:id="rId21" w:history="1">
        <w:r w:rsidR="00674C96" w:rsidRPr="00674C96">
          <w:rPr>
            <w:rStyle w:val="Hyperlink"/>
            <w:lang w:eastAsia="en-AU"/>
          </w:rPr>
          <w:t>Regulation (EC) No. 852/2004</w:t>
        </w:r>
      </w:hyperlink>
      <w:r w:rsidR="00674C96">
        <w:rPr>
          <w:lang w:eastAsia="en-AU"/>
        </w:rPr>
        <w:t xml:space="preserve"> on the hygiene of foodstuffs</w:t>
      </w:r>
      <w:r w:rsidR="00674C96">
        <w:rPr>
          <w:rStyle w:val="FootnoteReference"/>
          <w:lang w:eastAsia="en-AU"/>
        </w:rPr>
        <w:footnoteReference w:id="6"/>
      </w:r>
      <w:r w:rsidR="00674C96">
        <w:rPr>
          <w:lang w:eastAsia="en-AU"/>
        </w:rPr>
        <w:t>)</w:t>
      </w:r>
      <w:r>
        <w:rPr>
          <w:lang w:eastAsia="en-AU"/>
        </w:rPr>
        <w:t>. The applicant has provided quality certificates demonstrating their adherence to these practices and principles.</w:t>
      </w:r>
    </w:p>
    <w:p w14:paraId="21B9026B" w14:textId="77777777" w:rsidR="003B68EE" w:rsidRDefault="003B68EE" w:rsidP="003B68EE">
      <w:pPr>
        <w:tabs>
          <w:tab w:val="left" w:pos="5505"/>
        </w:tabs>
      </w:pPr>
      <w:r>
        <w:tab/>
      </w:r>
    </w:p>
    <w:p w14:paraId="1E6B53D9" w14:textId="08F47276" w:rsidR="003346D4" w:rsidRDefault="003B68EE" w:rsidP="003D0358">
      <w:pPr>
        <w:rPr>
          <w:lang w:eastAsia="en-AU"/>
        </w:rPr>
      </w:pPr>
      <w:r>
        <w:rPr>
          <w:lang w:eastAsia="en-AU"/>
        </w:rPr>
        <w:t>The main steps of the manufacturing process are shown in Figure 2 below taken from the application.</w:t>
      </w:r>
    </w:p>
    <w:p w14:paraId="24D7D38A" w14:textId="77777777" w:rsidR="003D0358" w:rsidRPr="00A953D9" w:rsidRDefault="003D0358" w:rsidP="003D0358"/>
    <w:p w14:paraId="1C6A1306" w14:textId="77777777" w:rsidR="004418CD" w:rsidRDefault="00EA63CC">
      <w:pPr>
        <w:widowControl/>
        <w:rPr>
          <w:lang w:eastAsia="en-AU" w:bidi="ar-SA"/>
        </w:rPr>
      </w:pPr>
      <w:r>
        <w:rPr>
          <w:noProof/>
          <w:lang w:eastAsia="en-GB" w:bidi="ar-SA"/>
        </w:rPr>
        <w:lastRenderedPageBreak/>
        <w:drawing>
          <wp:inline distT="0" distB="0" distL="0" distR="0" wp14:anchorId="178DE941" wp14:editId="6435A998">
            <wp:extent cx="3505200" cy="632381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21277" cy="6352820"/>
                    </a:xfrm>
                    <a:prstGeom prst="rect">
                      <a:avLst/>
                    </a:prstGeom>
                  </pic:spPr>
                </pic:pic>
              </a:graphicData>
            </a:graphic>
          </wp:inline>
        </w:drawing>
      </w:r>
    </w:p>
    <w:p w14:paraId="5638C950" w14:textId="77777777" w:rsidR="004418CD" w:rsidRDefault="004418CD">
      <w:pPr>
        <w:widowControl/>
        <w:rPr>
          <w:lang w:eastAsia="en-AU" w:bidi="ar-SA"/>
        </w:rPr>
      </w:pPr>
    </w:p>
    <w:p w14:paraId="7C8E072C" w14:textId="0C213836" w:rsidR="004418CD" w:rsidRPr="00FE66B7" w:rsidRDefault="004418CD" w:rsidP="004418CD">
      <w:pPr>
        <w:rPr>
          <w:i/>
        </w:rPr>
      </w:pPr>
      <w:r w:rsidRPr="00FE66B7">
        <w:rPr>
          <w:b/>
          <w:i/>
        </w:rPr>
        <w:t xml:space="preserve">Figure </w:t>
      </w:r>
      <w:r>
        <w:rPr>
          <w:b/>
          <w:i/>
        </w:rPr>
        <w:t>2</w:t>
      </w:r>
      <w:r>
        <w:rPr>
          <w:i/>
        </w:rPr>
        <w:tab/>
        <w:t>Production process of triacylglycerol lipase food enzyme from fermentation</w:t>
      </w:r>
    </w:p>
    <w:p w14:paraId="0294B0DB" w14:textId="4F201247" w:rsidR="005B4C2A" w:rsidRPr="008F5278" w:rsidRDefault="005B4C2A" w:rsidP="008F5278">
      <w:pPr>
        <w:rPr>
          <w:lang w:eastAsia="en-AU" w:bidi="ar-SA"/>
        </w:rPr>
      </w:pPr>
    </w:p>
    <w:p w14:paraId="7D071AC0" w14:textId="31F147AB" w:rsidR="004F3184" w:rsidRDefault="003346D4" w:rsidP="0040727A">
      <w:pPr>
        <w:pStyle w:val="Heading3"/>
      </w:pPr>
      <w:bookmarkStart w:id="17" w:name="_Toc528243330"/>
      <w:r>
        <w:t>2.</w:t>
      </w:r>
      <w:r w:rsidR="0040727A">
        <w:t>2.</w:t>
      </w:r>
      <w:r w:rsidR="005E0228">
        <w:t>2</w:t>
      </w:r>
      <w:r w:rsidR="0040727A">
        <w:tab/>
      </w:r>
      <w:r w:rsidR="004F3184">
        <w:t>Specifications</w:t>
      </w:r>
      <w:bookmarkEnd w:id="17"/>
    </w:p>
    <w:p w14:paraId="401DFE10" w14:textId="610C30AE" w:rsidR="005B4C2A" w:rsidRDefault="005B4C2A" w:rsidP="005B4C2A">
      <w:r w:rsidRPr="006014F1">
        <w:t>There are international specifications for enzyme</w:t>
      </w:r>
      <w:r>
        <w:t>s</w:t>
      </w:r>
      <w:r w:rsidRPr="006014F1">
        <w:t xml:space="preserve"> used in the production of food. These have been </w:t>
      </w:r>
      <w:r>
        <w:t xml:space="preserve">detailed in </w:t>
      </w:r>
      <w:r w:rsidRPr="006014F1">
        <w:t>the Joint FAO/WHO Expert Committee on Food Additives</w:t>
      </w:r>
      <w:r>
        <w:t xml:space="preserve"> (JECFA) Compendium of Food Additive Specifications </w:t>
      </w:r>
      <w:r w:rsidRPr="006014F1">
        <w:t>(</w:t>
      </w:r>
      <w:r>
        <w:t xml:space="preserve">FAO/WHO </w:t>
      </w:r>
      <w:r w:rsidRPr="00312F00">
        <w:t>2016</w:t>
      </w:r>
      <w:r w:rsidRPr="006014F1">
        <w:t xml:space="preserve">) and the </w:t>
      </w:r>
      <w:r w:rsidR="005E0228">
        <w:t xml:space="preserve">United States Pharmacopeial Convention (2016) </w:t>
      </w:r>
      <w:r w:rsidRPr="006014F1">
        <w:t>Food Chemicals C</w:t>
      </w:r>
      <w:r>
        <w:t xml:space="preserve">odex </w:t>
      </w:r>
      <w:r w:rsidR="00484C76">
        <w:t>(</w:t>
      </w:r>
      <w:r w:rsidR="005E0228">
        <w:t>10</w:t>
      </w:r>
      <w:r w:rsidR="005E0228" w:rsidRPr="005E0228">
        <w:rPr>
          <w:vertAlign w:val="superscript"/>
        </w:rPr>
        <w:t>th</w:t>
      </w:r>
      <w:r w:rsidR="005E0228">
        <w:t xml:space="preserve"> edition)</w:t>
      </w:r>
      <w:r w:rsidRPr="006014F1">
        <w:t xml:space="preserve">. These primary sources of specifications are listed in </w:t>
      </w:r>
      <w:r w:rsidR="00556D1C">
        <w:t>section</w:t>
      </w:r>
      <w:r w:rsidRPr="006014F1">
        <w:t xml:space="preserve"> S3—2 of the Code. Enzyme</w:t>
      </w:r>
      <w:r>
        <w:t>s</w:t>
      </w:r>
      <w:r w:rsidRPr="006014F1">
        <w:t xml:space="preserve"> need to meet these enzyme specifications. </w:t>
      </w:r>
    </w:p>
    <w:p w14:paraId="0085B026" w14:textId="53719924" w:rsidR="001007ED" w:rsidRDefault="001007ED" w:rsidP="005B4C2A"/>
    <w:p w14:paraId="4E09A2F2" w14:textId="4B8B5F29" w:rsidR="001007ED" w:rsidRPr="006014F1" w:rsidRDefault="001007ED" w:rsidP="001007ED">
      <w:r w:rsidRPr="00312F00">
        <w:t xml:space="preserve">Table </w:t>
      </w:r>
      <w:r>
        <w:t>3</w:t>
      </w:r>
      <w:r w:rsidRPr="006014F1">
        <w:t xml:space="preserve"> provides a comparison of </w:t>
      </w:r>
      <w:r>
        <w:t>batch analysis of</w:t>
      </w:r>
      <w:r w:rsidRPr="00EC06FE">
        <w:t xml:space="preserve"> </w:t>
      </w:r>
      <w:r>
        <w:t>three dry enzyme concentrates of triacylglycerol</w:t>
      </w:r>
      <w:r w:rsidR="00F36C86">
        <w:t xml:space="preserve"> lipase</w:t>
      </w:r>
      <w:r>
        <w:t xml:space="preserve"> from the genetically modified </w:t>
      </w:r>
      <w:r>
        <w:rPr>
          <w:i/>
        </w:rPr>
        <w:t xml:space="preserve">T. reesei </w:t>
      </w:r>
      <w:r w:rsidRPr="006014F1">
        <w:t>with the international specifications established by JECFA</w:t>
      </w:r>
      <w:r>
        <w:t xml:space="preserve"> and Food Chemicals Codex</w:t>
      </w:r>
      <w:r w:rsidR="003329A2">
        <w:t>, as well as those in the Code, as applicable</w:t>
      </w:r>
      <w:r w:rsidRPr="006014F1">
        <w:t xml:space="preserve">. </w:t>
      </w:r>
    </w:p>
    <w:p w14:paraId="638D507F" w14:textId="00C779E6" w:rsidR="005E0228" w:rsidRDefault="005E0228">
      <w:pPr>
        <w:widowControl/>
      </w:pPr>
    </w:p>
    <w:p w14:paraId="59A887AC" w14:textId="6DD589B6" w:rsidR="005E0228" w:rsidRDefault="005E0228" w:rsidP="001007ED">
      <w:pPr>
        <w:pStyle w:val="FSTableTitle"/>
        <w:keepNext/>
        <w:keepLines/>
        <w:spacing w:after="240"/>
        <w:ind w:left="1134" w:hanging="1134"/>
        <w:rPr>
          <w:b w:val="0"/>
          <w:i/>
        </w:rPr>
      </w:pPr>
      <w:r>
        <w:rPr>
          <w:i/>
        </w:rPr>
        <w:t>Table 3</w:t>
      </w:r>
      <w:r>
        <w:rPr>
          <w:i/>
          <w:szCs w:val="20"/>
        </w:rPr>
        <w:tab/>
      </w:r>
      <w:r>
        <w:rPr>
          <w:b w:val="0"/>
          <w:i/>
        </w:rPr>
        <w:t xml:space="preserve">Analysis of </w:t>
      </w:r>
      <w:r w:rsidR="005C47A0">
        <w:rPr>
          <w:b w:val="0"/>
          <w:i/>
        </w:rPr>
        <w:t xml:space="preserve">AB Enzymes </w:t>
      </w:r>
      <w:r w:rsidR="001007ED">
        <w:rPr>
          <w:b w:val="0"/>
          <w:i/>
        </w:rPr>
        <w:t>triacylglycerol lipase</w:t>
      </w:r>
      <w:r w:rsidRPr="00234B7E">
        <w:rPr>
          <w:b w:val="0"/>
          <w:i/>
        </w:rPr>
        <w:t xml:space="preserve"> compared to JECFA</w:t>
      </w:r>
      <w:r w:rsidR="003329A2">
        <w:rPr>
          <w:b w:val="0"/>
          <w:i/>
        </w:rPr>
        <w:t>,</w:t>
      </w:r>
      <w:r w:rsidRPr="00234B7E">
        <w:rPr>
          <w:b w:val="0"/>
          <w:i/>
        </w:rPr>
        <w:t xml:space="preserve"> Food Chemicals Codex</w:t>
      </w:r>
      <w:r w:rsidR="003329A2">
        <w:rPr>
          <w:b w:val="0"/>
          <w:i/>
        </w:rPr>
        <w:t>, and Code</w:t>
      </w:r>
      <w:r w:rsidR="00F36C86">
        <w:rPr>
          <w:b w:val="0"/>
          <w:i/>
        </w:rPr>
        <w:t xml:space="preserve"> specifications</w:t>
      </w:r>
      <w:r w:rsidRPr="00234B7E">
        <w:rPr>
          <w:b w:val="0"/>
          <w:i/>
        </w:rPr>
        <w:t xml:space="preserve"> for enzymes</w:t>
      </w:r>
    </w:p>
    <w:tbl>
      <w:tblPr>
        <w:tblStyle w:val="TableClassic4"/>
        <w:tblW w:w="9072"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2367"/>
        <w:gridCol w:w="1632"/>
        <w:gridCol w:w="1813"/>
        <w:gridCol w:w="1452"/>
        <w:gridCol w:w="1808"/>
      </w:tblGrid>
      <w:tr w:rsidR="00847F3B" w:rsidRPr="006F559C" w14:paraId="1C83F678" w14:textId="77777777" w:rsidTr="001C17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67" w:type="dxa"/>
            <w:vMerge w:val="restart"/>
            <w:tcBorders>
              <w:bottom w:val="none" w:sz="0" w:space="0" w:color="auto"/>
            </w:tcBorders>
            <w:shd w:val="clear" w:color="99CCFF" w:fill="616571"/>
            <w:vAlign w:val="center"/>
          </w:tcPr>
          <w:p w14:paraId="7CC346FE" w14:textId="77777777" w:rsidR="00847F3B" w:rsidRPr="006F559C" w:rsidRDefault="00847F3B" w:rsidP="001C17F2">
            <w:pPr>
              <w:keepNext/>
              <w:keepLines/>
              <w:spacing w:before="60" w:after="60"/>
              <w:rPr>
                <w:rFonts w:asciiTheme="minorHAnsi" w:hAnsiTheme="minorHAnsi" w:cstheme="minorHAnsi"/>
                <w:i w:val="0"/>
                <w:color w:val="FFFFFF" w:themeColor="background1"/>
                <w:sz w:val="20"/>
                <w:szCs w:val="20"/>
              </w:rPr>
            </w:pPr>
            <w:r w:rsidRPr="006F559C">
              <w:rPr>
                <w:rFonts w:asciiTheme="minorHAnsi" w:hAnsiTheme="minorHAnsi" w:cstheme="minorHAnsi"/>
                <w:i w:val="0"/>
                <w:color w:val="FFFFFF" w:themeColor="background1"/>
                <w:sz w:val="20"/>
                <w:szCs w:val="20"/>
              </w:rPr>
              <w:t>Analysis</w:t>
            </w:r>
          </w:p>
        </w:tc>
        <w:tc>
          <w:tcPr>
            <w:tcW w:w="1632" w:type="dxa"/>
            <w:vMerge w:val="restart"/>
            <w:tcBorders>
              <w:bottom w:val="none" w:sz="0" w:space="0" w:color="auto"/>
            </w:tcBorders>
            <w:shd w:val="clear" w:color="99CCFF" w:fill="616571"/>
            <w:vAlign w:val="center"/>
          </w:tcPr>
          <w:p w14:paraId="6A87722F" w14:textId="77777777" w:rsidR="00847F3B" w:rsidRPr="006F559C" w:rsidRDefault="00847F3B" w:rsidP="001C17F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i w:val="0"/>
                <w:iCs w:val="0"/>
                <w:color w:val="FFFFFF" w:themeColor="background1"/>
                <w:sz w:val="20"/>
                <w:szCs w:val="20"/>
              </w:rPr>
            </w:pPr>
            <w:r w:rsidRPr="006F559C">
              <w:rPr>
                <w:rFonts w:asciiTheme="minorHAnsi" w:hAnsiTheme="minorHAnsi" w:cstheme="minorHAnsi"/>
                <w:i w:val="0"/>
                <w:color w:val="FFFFFF" w:themeColor="background1"/>
                <w:sz w:val="20"/>
                <w:szCs w:val="20"/>
              </w:rPr>
              <w:t>AB Enzymes batch analysis (3 different batches)</w:t>
            </w:r>
          </w:p>
        </w:tc>
        <w:tc>
          <w:tcPr>
            <w:tcW w:w="5073" w:type="dxa"/>
            <w:gridSpan w:val="3"/>
            <w:tcBorders>
              <w:bottom w:val="none" w:sz="0" w:space="0" w:color="auto"/>
            </w:tcBorders>
            <w:shd w:val="clear" w:color="99CCFF" w:fill="616571"/>
            <w:vAlign w:val="center"/>
          </w:tcPr>
          <w:p w14:paraId="69347546" w14:textId="77777777" w:rsidR="00847F3B" w:rsidRPr="006F559C" w:rsidRDefault="00847F3B" w:rsidP="001C17F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color w:val="FFFFFF" w:themeColor="background1"/>
                <w:sz w:val="20"/>
                <w:szCs w:val="20"/>
              </w:rPr>
            </w:pPr>
            <w:r w:rsidRPr="006F559C">
              <w:rPr>
                <w:rFonts w:asciiTheme="minorHAnsi" w:hAnsiTheme="minorHAnsi" w:cstheme="minorHAnsi"/>
                <w:i w:val="0"/>
                <w:color w:val="FFFFFF" w:themeColor="background1"/>
                <w:sz w:val="20"/>
                <w:szCs w:val="20"/>
              </w:rPr>
              <w:t>Specifications</w:t>
            </w:r>
          </w:p>
        </w:tc>
      </w:tr>
      <w:tr w:rsidR="00847F3B" w:rsidRPr="006F559C" w14:paraId="39AB6E14" w14:textId="77777777" w:rsidTr="001C17F2">
        <w:tc>
          <w:tcPr>
            <w:cnfStyle w:val="001000000000" w:firstRow="0" w:lastRow="0" w:firstColumn="1" w:lastColumn="0" w:oddVBand="0" w:evenVBand="0" w:oddHBand="0" w:evenHBand="0" w:firstRowFirstColumn="0" w:firstRowLastColumn="0" w:lastRowFirstColumn="0" w:lastRowLastColumn="0"/>
            <w:tcW w:w="2367" w:type="dxa"/>
            <w:vMerge/>
            <w:tcBorders>
              <w:bottom w:val="nil"/>
            </w:tcBorders>
            <w:shd w:val="clear" w:color="99CCFF" w:fill="616571"/>
          </w:tcPr>
          <w:p w14:paraId="0D930CA0" w14:textId="77777777" w:rsidR="00847F3B" w:rsidRPr="006F559C" w:rsidRDefault="00847F3B" w:rsidP="001C17F2">
            <w:pPr>
              <w:keepNext/>
              <w:keepLines/>
              <w:spacing w:before="60" w:after="60"/>
              <w:rPr>
                <w:rFonts w:asciiTheme="minorHAnsi" w:hAnsiTheme="minorHAnsi" w:cstheme="minorHAnsi"/>
                <w:color w:val="FFFFFF" w:themeColor="background1"/>
                <w:sz w:val="20"/>
                <w:szCs w:val="20"/>
              </w:rPr>
            </w:pPr>
          </w:p>
        </w:tc>
        <w:tc>
          <w:tcPr>
            <w:tcW w:w="1632" w:type="dxa"/>
            <w:vMerge/>
            <w:tcBorders>
              <w:bottom w:val="nil"/>
            </w:tcBorders>
            <w:shd w:val="clear" w:color="99CCFF" w:fill="616571"/>
          </w:tcPr>
          <w:p w14:paraId="5D57FDFC"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p>
        </w:tc>
        <w:tc>
          <w:tcPr>
            <w:tcW w:w="1813" w:type="dxa"/>
            <w:tcBorders>
              <w:bottom w:val="nil"/>
            </w:tcBorders>
            <w:shd w:val="clear" w:color="99CCFF" w:fill="616571"/>
            <w:vAlign w:val="center"/>
          </w:tcPr>
          <w:p w14:paraId="13B79EAA"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JECFA</w:t>
            </w:r>
          </w:p>
        </w:tc>
        <w:tc>
          <w:tcPr>
            <w:tcW w:w="1452" w:type="dxa"/>
            <w:tcBorders>
              <w:bottom w:val="nil"/>
            </w:tcBorders>
            <w:shd w:val="clear" w:color="99CCFF" w:fill="616571"/>
            <w:vAlign w:val="center"/>
          </w:tcPr>
          <w:p w14:paraId="064EABBD"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Food Chemicals Codex</w:t>
            </w:r>
          </w:p>
        </w:tc>
        <w:tc>
          <w:tcPr>
            <w:tcW w:w="1808" w:type="dxa"/>
            <w:tcBorders>
              <w:bottom w:val="nil"/>
            </w:tcBorders>
            <w:shd w:val="clear" w:color="99CCFF" w:fill="616571"/>
            <w:vAlign w:val="center"/>
          </w:tcPr>
          <w:p w14:paraId="131F2C2F"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0"/>
                <w:szCs w:val="20"/>
              </w:rPr>
            </w:pPr>
            <w:r w:rsidRPr="006F559C">
              <w:rPr>
                <w:rFonts w:asciiTheme="minorHAnsi" w:hAnsiTheme="minorHAnsi" w:cstheme="minorHAnsi"/>
                <w:b/>
                <w:color w:val="FFFFFF" w:themeColor="background1"/>
                <w:sz w:val="20"/>
                <w:szCs w:val="20"/>
              </w:rPr>
              <w:t>Australia New Zealand Food Standards Code</w:t>
            </w:r>
          </w:p>
          <w:p w14:paraId="2DEEB53B" w14:textId="77777777" w:rsidR="00847F3B" w:rsidRPr="006F559C" w:rsidRDefault="00847F3B" w:rsidP="001C17F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FFFFFF" w:themeColor="background1"/>
                <w:sz w:val="20"/>
                <w:szCs w:val="20"/>
              </w:rPr>
            </w:pPr>
            <w:r w:rsidRPr="006F559C">
              <w:rPr>
                <w:rFonts w:asciiTheme="minorHAnsi" w:hAnsiTheme="minorHAnsi" w:cstheme="minorHAnsi"/>
                <w:b/>
                <w:color w:val="FFFFFF" w:themeColor="background1"/>
                <w:sz w:val="20"/>
                <w:szCs w:val="20"/>
              </w:rPr>
              <w:t>(section S3—4)</w:t>
            </w:r>
          </w:p>
        </w:tc>
      </w:tr>
      <w:tr w:rsidR="00847F3B" w:rsidRPr="006F559C" w14:paraId="7D9A5C09"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00AAC059"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Lead (mg/kg)</w:t>
            </w:r>
          </w:p>
        </w:tc>
        <w:tc>
          <w:tcPr>
            <w:tcW w:w="1632" w:type="dxa"/>
            <w:tcBorders>
              <w:bottom w:val="nil"/>
            </w:tcBorders>
            <w:shd w:val="clear" w:color="auto" w:fill="ECECEC"/>
          </w:tcPr>
          <w:p w14:paraId="31A1C9F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&lt;0.05</w:t>
            </w:r>
          </w:p>
          <w:p w14:paraId="26CD9B9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0.06</w:t>
            </w:r>
          </w:p>
          <w:p w14:paraId="38D7B2A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&lt;0.05</w:t>
            </w:r>
          </w:p>
        </w:tc>
        <w:tc>
          <w:tcPr>
            <w:tcW w:w="1813" w:type="dxa"/>
            <w:tcBorders>
              <w:bottom w:val="nil"/>
            </w:tcBorders>
            <w:shd w:val="clear" w:color="auto" w:fill="ECECEC"/>
          </w:tcPr>
          <w:p w14:paraId="45EEC13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5</w:t>
            </w:r>
          </w:p>
        </w:tc>
        <w:tc>
          <w:tcPr>
            <w:tcW w:w="1452" w:type="dxa"/>
            <w:tcBorders>
              <w:bottom w:val="nil"/>
            </w:tcBorders>
            <w:shd w:val="clear" w:color="auto" w:fill="ECECEC"/>
          </w:tcPr>
          <w:p w14:paraId="7376869C"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5</w:t>
            </w:r>
          </w:p>
        </w:tc>
        <w:tc>
          <w:tcPr>
            <w:tcW w:w="1808" w:type="dxa"/>
            <w:tcBorders>
              <w:bottom w:val="nil"/>
            </w:tcBorders>
            <w:shd w:val="clear" w:color="auto" w:fill="ECECEC"/>
          </w:tcPr>
          <w:p w14:paraId="2516FAA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≤2</w:t>
            </w:r>
          </w:p>
        </w:tc>
      </w:tr>
      <w:tr w:rsidR="00847F3B" w:rsidRPr="006F559C" w14:paraId="55761EC2"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25C9CC24"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Arsenic (mg/kg)</w:t>
            </w:r>
          </w:p>
        </w:tc>
        <w:tc>
          <w:tcPr>
            <w:tcW w:w="1632" w:type="dxa"/>
            <w:tcBorders>
              <w:top w:val="nil"/>
              <w:bottom w:val="nil"/>
            </w:tcBorders>
          </w:tcPr>
          <w:p w14:paraId="49A9591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&lt;0.5</w:t>
            </w:r>
          </w:p>
          <w:p w14:paraId="00CCBE27"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&lt;0.5</w:t>
            </w:r>
          </w:p>
          <w:p w14:paraId="49A7810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&lt;0.5</w:t>
            </w:r>
          </w:p>
        </w:tc>
        <w:tc>
          <w:tcPr>
            <w:tcW w:w="1813" w:type="dxa"/>
            <w:tcBorders>
              <w:top w:val="nil"/>
              <w:bottom w:val="nil"/>
            </w:tcBorders>
          </w:tcPr>
          <w:p w14:paraId="3A0D1553" w14:textId="2008E5C0"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452" w:type="dxa"/>
            <w:tcBorders>
              <w:top w:val="nil"/>
              <w:bottom w:val="nil"/>
            </w:tcBorders>
          </w:tcPr>
          <w:p w14:paraId="22F7F02A" w14:textId="457F0AA4"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p>
        </w:tc>
        <w:tc>
          <w:tcPr>
            <w:tcW w:w="1808" w:type="dxa"/>
            <w:tcBorders>
              <w:top w:val="nil"/>
              <w:bottom w:val="nil"/>
            </w:tcBorders>
          </w:tcPr>
          <w:p w14:paraId="1CC53B0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≤1</w:t>
            </w:r>
          </w:p>
        </w:tc>
      </w:tr>
      <w:tr w:rsidR="00847F3B" w:rsidRPr="006F559C" w14:paraId="3208C471"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2F86E08E"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Cadmium (mg/kg)</w:t>
            </w:r>
          </w:p>
        </w:tc>
        <w:tc>
          <w:tcPr>
            <w:tcW w:w="1632" w:type="dxa"/>
            <w:tcBorders>
              <w:bottom w:val="nil"/>
            </w:tcBorders>
            <w:shd w:val="clear" w:color="auto" w:fill="ECECEC"/>
          </w:tcPr>
          <w:p w14:paraId="6461668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p w14:paraId="07A712B4"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0.05</w:t>
            </w:r>
          </w:p>
          <w:p w14:paraId="2F8525B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tc>
        <w:tc>
          <w:tcPr>
            <w:tcW w:w="1813" w:type="dxa"/>
            <w:tcBorders>
              <w:bottom w:val="nil"/>
            </w:tcBorders>
            <w:shd w:val="clear" w:color="auto" w:fill="ECECEC"/>
          </w:tcPr>
          <w:p w14:paraId="220471F0" w14:textId="026A98DD"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452" w:type="dxa"/>
            <w:tcBorders>
              <w:bottom w:val="nil"/>
            </w:tcBorders>
            <w:shd w:val="clear" w:color="auto" w:fill="ECECEC"/>
          </w:tcPr>
          <w:p w14:paraId="1F93CE38" w14:textId="0503B523"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808" w:type="dxa"/>
            <w:tcBorders>
              <w:bottom w:val="nil"/>
            </w:tcBorders>
            <w:shd w:val="clear" w:color="auto" w:fill="ECECEC"/>
          </w:tcPr>
          <w:p w14:paraId="045AFF8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sz w:val="20"/>
                <w:szCs w:val="20"/>
              </w:rPr>
              <w:t>≤1</w:t>
            </w:r>
          </w:p>
        </w:tc>
      </w:tr>
      <w:tr w:rsidR="00847F3B" w:rsidRPr="006F559C" w14:paraId="31DFA46A"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tcPr>
          <w:p w14:paraId="1564EEF5"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Mercury (mg/kg)</w:t>
            </w:r>
          </w:p>
        </w:tc>
        <w:tc>
          <w:tcPr>
            <w:tcW w:w="1632" w:type="dxa"/>
            <w:tcBorders>
              <w:bottom w:val="nil"/>
            </w:tcBorders>
          </w:tcPr>
          <w:p w14:paraId="5C2FE08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&lt;0.1</w:t>
            </w:r>
          </w:p>
          <w:p w14:paraId="33C6803A"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&lt;0.1</w:t>
            </w:r>
          </w:p>
          <w:p w14:paraId="6132065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bCs/>
                <w:sz w:val="20"/>
                <w:szCs w:val="20"/>
              </w:rPr>
              <w:t>&lt;0.05</w:t>
            </w:r>
          </w:p>
        </w:tc>
        <w:tc>
          <w:tcPr>
            <w:tcW w:w="1813" w:type="dxa"/>
            <w:tcBorders>
              <w:bottom w:val="nil"/>
            </w:tcBorders>
          </w:tcPr>
          <w:p w14:paraId="572A0634" w14:textId="71604442"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452" w:type="dxa"/>
            <w:tcBorders>
              <w:bottom w:val="nil"/>
            </w:tcBorders>
          </w:tcPr>
          <w:p w14:paraId="023CE77D" w14:textId="19654942" w:rsidR="00847F3B" w:rsidRPr="006F559C" w:rsidRDefault="00B26732"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Pr>
                <w:rFonts w:asciiTheme="minorHAnsi" w:hAnsiTheme="minorHAnsi" w:cstheme="minorHAnsi"/>
                <w:bCs/>
                <w:sz w:val="20"/>
                <w:szCs w:val="20"/>
              </w:rPr>
              <w:t>-</w:t>
            </w:r>
          </w:p>
        </w:tc>
        <w:tc>
          <w:tcPr>
            <w:tcW w:w="1808" w:type="dxa"/>
            <w:tcBorders>
              <w:bottom w:val="nil"/>
            </w:tcBorders>
          </w:tcPr>
          <w:p w14:paraId="75895DC7"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6F559C">
              <w:rPr>
                <w:rFonts w:asciiTheme="minorHAnsi" w:hAnsiTheme="minorHAnsi" w:cstheme="minorHAnsi"/>
                <w:sz w:val="20"/>
                <w:szCs w:val="20"/>
              </w:rPr>
              <w:t>≤1</w:t>
            </w:r>
          </w:p>
        </w:tc>
      </w:tr>
      <w:tr w:rsidR="00847F3B" w:rsidRPr="006F559C" w14:paraId="7756FF71"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6BB3507F" w14:textId="77777777" w:rsidR="00847F3B" w:rsidRPr="006F559C" w:rsidRDefault="00847F3B" w:rsidP="001C17F2">
            <w:pPr>
              <w:spacing w:before="60" w:after="60"/>
              <w:rPr>
                <w:rFonts w:asciiTheme="minorHAnsi" w:hAnsiTheme="minorHAnsi" w:cstheme="minorHAnsi"/>
                <w:sz w:val="20"/>
                <w:szCs w:val="20"/>
              </w:rPr>
            </w:pPr>
            <w:r w:rsidRPr="006F559C">
              <w:rPr>
                <w:rFonts w:asciiTheme="minorHAnsi" w:hAnsiTheme="minorHAnsi" w:cstheme="minorHAnsi"/>
                <w:b w:val="0"/>
                <w:sz w:val="20"/>
                <w:szCs w:val="20"/>
              </w:rPr>
              <w:t>Coliforms (cfu/g)</w:t>
            </w:r>
          </w:p>
        </w:tc>
        <w:tc>
          <w:tcPr>
            <w:tcW w:w="1632" w:type="dxa"/>
            <w:tcBorders>
              <w:bottom w:val="nil"/>
            </w:tcBorders>
            <w:shd w:val="clear" w:color="auto" w:fill="ECECEC"/>
          </w:tcPr>
          <w:p w14:paraId="5923F7B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53E42B88"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7366F5B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tc>
        <w:tc>
          <w:tcPr>
            <w:tcW w:w="1813" w:type="dxa"/>
            <w:tcBorders>
              <w:bottom w:val="nil"/>
            </w:tcBorders>
            <w:shd w:val="clear" w:color="auto" w:fill="ECECEC"/>
          </w:tcPr>
          <w:p w14:paraId="4FEE6518"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≤30</w:t>
            </w:r>
          </w:p>
        </w:tc>
        <w:tc>
          <w:tcPr>
            <w:tcW w:w="1452" w:type="dxa"/>
            <w:tcBorders>
              <w:bottom w:val="nil"/>
            </w:tcBorders>
            <w:shd w:val="clear" w:color="auto" w:fill="ECECEC"/>
          </w:tcPr>
          <w:p w14:paraId="07A9394A"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≤30</w:t>
            </w:r>
          </w:p>
        </w:tc>
        <w:tc>
          <w:tcPr>
            <w:tcW w:w="1808" w:type="dxa"/>
            <w:tcBorders>
              <w:bottom w:val="nil"/>
            </w:tcBorders>
            <w:shd w:val="clear" w:color="auto" w:fill="ECECEC"/>
          </w:tcPr>
          <w:p w14:paraId="0207911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6F559C" w:rsidRPr="006F559C" w14:paraId="60CDA0D7"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5F928032"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i/>
                <w:sz w:val="20"/>
                <w:szCs w:val="20"/>
              </w:rPr>
              <w:t>Salmonella</w:t>
            </w:r>
            <w:r w:rsidRPr="006F559C">
              <w:rPr>
                <w:rFonts w:asciiTheme="minorHAnsi" w:hAnsiTheme="minorHAnsi" w:cstheme="minorHAnsi"/>
                <w:b w:val="0"/>
                <w:sz w:val="20"/>
                <w:szCs w:val="20"/>
              </w:rPr>
              <w:t xml:space="preserve"> (in 25 g)</w:t>
            </w:r>
          </w:p>
        </w:tc>
        <w:tc>
          <w:tcPr>
            <w:tcW w:w="1632" w:type="dxa"/>
            <w:tcBorders>
              <w:top w:val="nil"/>
              <w:bottom w:val="nil"/>
            </w:tcBorders>
          </w:tcPr>
          <w:p w14:paraId="124CEF8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2C8E076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5FBFC453"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top w:val="nil"/>
              <w:bottom w:val="nil"/>
            </w:tcBorders>
          </w:tcPr>
          <w:p w14:paraId="5ADB9B4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Absent</w:t>
            </w:r>
          </w:p>
        </w:tc>
        <w:tc>
          <w:tcPr>
            <w:tcW w:w="1452" w:type="dxa"/>
            <w:tcBorders>
              <w:top w:val="nil"/>
              <w:bottom w:val="nil"/>
            </w:tcBorders>
          </w:tcPr>
          <w:p w14:paraId="35E1386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Negative</w:t>
            </w:r>
          </w:p>
        </w:tc>
        <w:tc>
          <w:tcPr>
            <w:tcW w:w="1808" w:type="dxa"/>
            <w:tcBorders>
              <w:top w:val="nil"/>
              <w:bottom w:val="nil"/>
            </w:tcBorders>
          </w:tcPr>
          <w:p w14:paraId="1C3CBA8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847F3B" w:rsidRPr="006F559C" w14:paraId="58B2F61D"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4BA04E58" w14:textId="77777777" w:rsidR="00847F3B" w:rsidRPr="006F559C" w:rsidRDefault="00847F3B" w:rsidP="001C17F2">
            <w:pPr>
              <w:spacing w:before="60" w:after="60"/>
              <w:rPr>
                <w:rFonts w:asciiTheme="minorHAnsi" w:hAnsiTheme="minorHAnsi" w:cstheme="minorHAnsi"/>
                <w:b w:val="0"/>
                <w:i/>
                <w:sz w:val="20"/>
                <w:szCs w:val="20"/>
              </w:rPr>
            </w:pPr>
            <w:r w:rsidRPr="006F559C">
              <w:rPr>
                <w:rFonts w:asciiTheme="minorHAnsi" w:hAnsiTheme="minorHAnsi" w:cstheme="minorHAnsi"/>
                <w:b w:val="0"/>
                <w:i/>
                <w:sz w:val="20"/>
                <w:szCs w:val="20"/>
              </w:rPr>
              <w:t xml:space="preserve">E. coli </w:t>
            </w:r>
            <w:r w:rsidRPr="006F559C">
              <w:rPr>
                <w:rFonts w:asciiTheme="minorHAnsi" w:hAnsiTheme="minorHAnsi" w:cstheme="minorHAnsi"/>
                <w:b w:val="0"/>
                <w:sz w:val="20"/>
                <w:szCs w:val="20"/>
              </w:rPr>
              <w:t>(in 25 g)</w:t>
            </w:r>
          </w:p>
        </w:tc>
        <w:tc>
          <w:tcPr>
            <w:tcW w:w="1632" w:type="dxa"/>
            <w:tcBorders>
              <w:bottom w:val="nil"/>
            </w:tcBorders>
            <w:shd w:val="clear" w:color="auto" w:fill="ECECEC"/>
          </w:tcPr>
          <w:p w14:paraId="5FEA519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3B48327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5BC4022C"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bottom w:val="nil"/>
            </w:tcBorders>
            <w:shd w:val="clear" w:color="auto" w:fill="ECECEC"/>
          </w:tcPr>
          <w:p w14:paraId="09944C1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 xml:space="preserve">Absent </w:t>
            </w:r>
          </w:p>
        </w:tc>
        <w:tc>
          <w:tcPr>
            <w:tcW w:w="1452" w:type="dxa"/>
            <w:tcBorders>
              <w:bottom w:val="nil"/>
            </w:tcBorders>
            <w:shd w:val="clear" w:color="auto" w:fill="ECECEC"/>
          </w:tcPr>
          <w:p w14:paraId="1938F796"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bottom w:val="nil"/>
            </w:tcBorders>
            <w:shd w:val="clear" w:color="auto" w:fill="ECECEC"/>
          </w:tcPr>
          <w:p w14:paraId="397F036B" w14:textId="5668E00B" w:rsidR="00847F3B" w:rsidRPr="006F559C" w:rsidRDefault="00847F3B" w:rsidP="00B2673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6F559C" w:rsidRPr="006F559C" w14:paraId="5EB31D85"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649892FF"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Antimicrobial activity</w:t>
            </w:r>
          </w:p>
        </w:tc>
        <w:tc>
          <w:tcPr>
            <w:tcW w:w="1632" w:type="dxa"/>
            <w:tcBorders>
              <w:top w:val="nil"/>
              <w:bottom w:val="nil"/>
            </w:tcBorders>
          </w:tcPr>
          <w:p w14:paraId="4C4C200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1F75426D"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ND</w:t>
            </w:r>
          </w:p>
          <w:p w14:paraId="70820492"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r w:rsidRPr="006F559C">
              <w:rPr>
                <w:rFonts w:asciiTheme="minorHAnsi" w:hAnsiTheme="minorHAnsi" w:cstheme="minorHAnsi"/>
                <w:sz w:val="20"/>
                <w:szCs w:val="20"/>
              </w:rPr>
              <w:t>ND</w:t>
            </w:r>
          </w:p>
        </w:tc>
        <w:tc>
          <w:tcPr>
            <w:tcW w:w="1813" w:type="dxa"/>
            <w:tcBorders>
              <w:top w:val="nil"/>
              <w:bottom w:val="nil"/>
            </w:tcBorders>
          </w:tcPr>
          <w:p w14:paraId="46F63EFD"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Absent</w:t>
            </w:r>
          </w:p>
        </w:tc>
        <w:tc>
          <w:tcPr>
            <w:tcW w:w="1452" w:type="dxa"/>
            <w:tcBorders>
              <w:top w:val="nil"/>
              <w:bottom w:val="nil"/>
            </w:tcBorders>
          </w:tcPr>
          <w:p w14:paraId="6FDB43C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top w:val="nil"/>
              <w:bottom w:val="nil"/>
            </w:tcBorders>
          </w:tcPr>
          <w:p w14:paraId="49C326C5"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r w:rsidR="00847F3B" w:rsidRPr="006F559C" w14:paraId="22C13D65" w14:textId="77777777" w:rsidTr="001C17F2">
        <w:tc>
          <w:tcPr>
            <w:cnfStyle w:val="001000000000" w:firstRow="0" w:lastRow="0" w:firstColumn="1" w:lastColumn="0" w:oddVBand="0" w:evenVBand="0" w:oddHBand="0" w:evenHBand="0" w:firstRowFirstColumn="0" w:firstRowLastColumn="0" w:lastRowFirstColumn="0" w:lastRowLastColumn="0"/>
            <w:tcW w:w="2367" w:type="dxa"/>
            <w:tcBorders>
              <w:bottom w:val="single" w:sz="6" w:space="0" w:color="ECECEC"/>
            </w:tcBorders>
            <w:shd w:val="clear" w:color="auto" w:fill="ECECEC"/>
          </w:tcPr>
          <w:p w14:paraId="18805BDF"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Mycotoxins</w:t>
            </w:r>
          </w:p>
          <w:p w14:paraId="0F514AB6"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 xml:space="preserve"> T2-toxin</w:t>
            </w:r>
          </w:p>
          <w:p w14:paraId="3CABF3A5" w14:textId="77777777" w:rsidR="00847F3B" w:rsidRPr="006F559C" w:rsidRDefault="00847F3B" w:rsidP="001C17F2">
            <w:pPr>
              <w:spacing w:before="60" w:after="60"/>
              <w:rPr>
                <w:rFonts w:asciiTheme="minorHAnsi" w:hAnsiTheme="minorHAnsi" w:cstheme="minorHAnsi"/>
                <w:b w:val="0"/>
                <w:sz w:val="20"/>
                <w:szCs w:val="20"/>
              </w:rPr>
            </w:pPr>
            <w:r w:rsidRPr="006F559C">
              <w:rPr>
                <w:rFonts w:asciiTheme="minorHAnsi" w:hAnsiTheme="minorHAnsi" w:cstheme="minorHAnsi"/>
                <w:b w:val="0"/>
                <w:sz w:val="20"/>
                <w:szCs w:val="20"/>
              </w:rPr>
              <w:t xml:space="preserve"> HT-2-toxin</w:t>
            </w:r>
          </w:p>
        </w:tc>
        <w:tc>
          <w:tcPr>
            <w:tcW w:w="1632" w:type="dxa"/>
            <w:tcBorders>
              <w:bottom w:val="single" w:sz="6" w:space="0" w:color="ECECEC"/>
            </w:tcBorders>
            <w:shd w:val="clear" w:color="auto" w:fill="ECECEC"/>
          </w:tcPr>
          <w:p w14:paraId="2BAEDE6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p w14:paraId="6E95F61E"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&lt;20</w:t>
            </w:r>
          </w:p>
          <w:p w14:paraId="0A0FD6A9"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&lt;10</w:t>
            </w:r>
          </w:p>
        </w:tc>
        <w:tc>
          <w:tcPr>
            <w:tcW w:w="1813" w:type="dxa"/>
            <w:tcBorders>
              <w:bottom w:val="single" w:sz="6" w:space="0" w:color="ECECEC"/>
            </w:tcBorders>
            <w:shd w:val="clear" w:color="auto" w:fill="ECECEC"/>
          </w:tcPr>
          <w:p w14:paraId="1CAACB51"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No toxicologically significant amounts</w:t>
            </w:r>
          </w:p>
        </w:tc>
        <w:tc>
          <w:tcPr>
            <w:tcW w:w="1452" w:type="dxa"/>
            <w:tcBorders>
              <w:bottom w:val="single" w:sz="6" w:space="0" w:color="ECECEC"/>
            </w:tcBorders>
            <w:shd w:val="clear" w:color="auto" w:fill="ECECEC"/>
          </w:tcPr>
          <w:p w14:paraId="5F46A58F"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c>
          <w:tcPr>
            <w:tcW w:w="1808" w:type="dxa"/>
            <w:tcBorders>
              <w:bottom w:val="single" w:sz="6" w:space="0" w:color="ECECEC"/>
            </w:tcBorders>
            <w:shd w:val="clear" w:color="auto" w:fill="ECECEC"/>
          </w:tcPr>
          <w:p w14:paraId="344A5590" w14:textId="77777777" w:rsidR="00847F3B" w:rsidRPr="006F559C" w:rsidRDefault="00847F3B" w:rsidP="001C17F2">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F559C">
              <w:rPr>
                <w:rFonts w:asciiTheme="minorHAnsi" w:hAnsiTheme="minorHAnsi" w:cstheme="minorHAnsi"/>
                <w:sz w:val="20"/>
                <w:szCs w:val="20"/>
              </w:rPr>
              <w:t>-</w:t>
            </w:r>
          </w:p>
        </w:tc>
      </w:tr>
    </w:tbl>
    <w:p w14:paraId="0DE7F8B6" w14:textId="77777777" w:rsidR="001007ED" w:rsidRPr="00B414E8" w:rsidRDefault="001007ED" w:rsidP="001007ED">
      <w:pPr>
        <w:rPr>
          <w:sz w:val="18"/>
          <w:szCs w:val="18"/>
        </w:rPr>
      </w:pPr>
      <w:r w:rsidRPr="00B414E8">
        <w:rPr>
          <w:sz w:val="18"/>
          <w:szCs w:val="18"/>
        </w:rPr>
        <w:t>*ND – not detected</w:t>
      </w:r>
    </w:p>
    <w:p w14:paraId="478012AF" w14:textId="5F74DA72" w:rsidR="001007ED" w:rsidRDefault="001007ED" w:rsidP="001007ED">
      <w:pPr>
        <w:rPr>
          <w:b/>
          <w:i/>
        </w:rPr>
      </w:pPr>
    </w:p>
    <w:p w14:paraId="1641102E" w14:textId="082CC6EF" w:rsidR="005B4C2A" w:rsidRDefault="005B4C2A" w:rsidP="005B4C2A">
      <w:r>
        <w:t xml:space="preserve">Based on the comparison to the above specifications, the </w:t>
      </w:r>
      <w:r w:rsidR="00434AAA">
        <w:t>dry enzyme concentrate</w:t>
      </w:r>
      <w:r>
        <w:t xml:space="preserve"> meets international </w:t>
      </w:r>
      <w:r w:rsidR="00434AAA">
        <w:t xml:space="preserve">specifications for enzymes </w:t>
      </w:r>
      <w:r>
        <w:t>used in the production of food.</w:t>
      </w:r>
    </w:p>
    <w:p w14:paraId="1E2D6C46" w14:textId="531414D5" w:rsidR="004F3184" w:rsidRDefault="003346D4" w:rsidP="0040727A">
      <w:pPr>
        <w:pStyle w:val="Heading3"/>
      </w:pPr>
      <w:bookmarkStart w:id="18" w:name="_Toc528243331"/>
      <w:r>
        <w:t>2.</w:t>
      </w:r>
      <w:r w:rsidR="0040727A">
        <w:t>2.</w:t>
      </w:r>
      <w:r w:rsidR="0063288E">
        <w:t>3</w:t>
      </w:r>
      <w:r w:rsidR="0040727A">
        <w:tab/>
      </w:r>
      <w:r w:rsidR="004F3184">
        <w:t>Stability</w:t>
      </w:r>
      <w:bookmarkEnd w:id="18"/>
    </w:p>
    <w:p w14:paraId="2D1EC029" w14:textId="408353F7" w:rsidR="005B4C2A" w:rsidRPr="009E7238" w:rsidRDefault="005B4C2A" w:rsidP="005B4C2A">
      <w:r w:rsidRPr="009E7238">
        <w:t>Triacylglycerol lipase has</w:t>
      </w:r>
      <w:r w:rsidR="00434AAA" w:rsidRPr="009E7238">
        <w:t xml:space="preserve"> optimal activity between pH </w:t>
      </w:r>
      <w:r w:rsidR="00F02599">
        <w:t>7-8</w:t>
      </w:r>
      <w:r w:rsidRPr="009E7238">
        <w:t xml:space="preserve">. Its optimum activity is achieved around </w:t>
      </w:r>
      <w:r w:rsidR="00F02599">
        <w:t>3</w:t>
      </w:r>
      <w:r w:rsidRPr="009E7238">
        <w:t>0</w:t>
      </w:r>
      <w:r w:rsidRPr="009E7238">
        <w:rPr>
          <w:rFonts w:cs="Arial"/>
        </w:rPr>
        <w:t>°</w:t>
      </w:r>
      <w:r w:rsidRPr="009E7238">
        <w:t>C</w:t>
      </w:r>
      <w:r w:rsidR="00F02599">
        <w:t>, with its activity dropping above 30</w:t>
      </w:r>
      <w:r w:rsidR="00F02599">
        <w:rPr>
          <w:rFonts w:cs="Arial"/>
        </w:rPr>
        <w:t>°</w:t>
      </w:r>
      <w:r w:rsidR="00F02599">
        <w:t>C</w:t>
      </w:r>
      <w:r w:rsidRPr="009E7238">
        <w:t xml:space="preserve">. The enzyme is inactivated at </w:t>
      </w:r>
      <w:r w:rsidR="00F02599">
        <w:t>85</w:t>
      </w:r>
      <w:r w:rsidRPr="009E7238">
        <w:rPr>
          <w:rFonts w:cs="Arial"/>
        </w:rPr>
        <w:t>°</w:t>
      </w:r>
      <w:r w:rsidRPr="009E7238">
        <w:t>C</w:t>
      </w:r>
      <w:r w:rsidR="00F36C86">
        <w:t xml:space="preserve"> (after one</w:t>
      </w:r>
      <w:r w:rsidR="00F02599">
        <w:t xml:space="preserve"> minute)</w:t>
      </w:r>
      <w:r w:rsidRPr="009E7238">
        <w:t xml:space="preserve">. </w:t>
      </w:r>
      <w:r w:rsidR="00292FAB" w:rsidRPr="009E7238">
        <w:rPr>
          <w:rFonts w:cs="Arial"/>
        </w:rPr>
        <w:t>The enzyme is denatured by heat</w:t>
      </w:r>
      <w:r w:rsidR="009E7238" w:rsidRPr="009E7238">
        <w:rPr>
          <w:rFonts w:cs="Arial"/>
        </w:rPr>
        <w:t xml:space="preserve"> </w:t>
      </w:r>
      <w:r w:rsidR="00292FAB" w:rsidRPr="009E7238">
        <w:rPr>
          <w:rFonts w:cs="Arial"/>
        </w:rPr>
        <w:t xml:space="preserve">during </w:t>
      </w:r>
      <w:r w:rsidR="00944C14">
        <w:rPr>
          <w:rFonts w:cs="Arial"/>
        </w:rPr>
        <w:t>a</w:t>
      </w:r>
      <w:r w:rsidR="00292FAB" w:rsidRPr="009E7238">
        <w:rPr>
          <w:rFonts w:cs="Arial"/>
        </w:rPr>
        <w:t xml:space="preserve"> </w:t>
      </w:r>
      <w:r w:rsidR="009E7238" w:rsidRPr="009E7238">
        <w:rPr>
          <w:rFonts w:cs="Arial"/>
        </w:rPr>
        <w:t xml:space="preserve">boiling/steaming or baking </w:t>
      </w:r>
      <w:r w:rsidR="00292FAB" w:rsidRPr="009E7238">
        <w:rPr>
          <w:rFonts w:cs="Arial"/>
        </w:rPr>
        <w:t>step.</w:t>
      </w:r>
    </w:p>
    <w:p w14:paraId="7D798545" w14:textId="77777777" w:rsidR="005B4C2A" w:rsidRPr="009E7238" w:rsidRDefault="005B4C2A" w:rsidP="008F5278">
      <w:pPr>
        <w:ind w:firstLine="3"/>
        <w:rPr>
          <w:rFonts w:cs="Arial"/>
        </w:rPr>
      </w:pPr>
    </w:p>
    <w:p w14:paraId="0294E9F4" w14:textId="16EC6A5B" w:rsidR="008F5278" w:rsidRPr="001A14E8" w:rsidRDefault="0063288E" w:rsidP="009E7238">
      <w:pPr>
        <w:rPr>
          <w:rFonts w:cs="Arial"/>
        </w:rPr>
      </w:pPr>
      <w:r>
        <w:rPr>
          <w:rFonts w:cs="Arial"/>
        </w:rPr>
        <w:t xml:space="preserve">The </w:t>
      </w:r>
      <w:r w:rsidR="008F5278">
        <w:rPr>
          <w:rFonts w:cs="Arial"/>
        </w:rPr>
        <w:t xml:space="preserve">powdered enzyme preparation </w:t>
      </w:r>
      <w:r>
        <w:rPr>
          <w:rFonts w:cs="Arial"/>
        </w:rPr>
        <w:t xml:space="preserve">will lose less than 10% of enzyme activity </w:t>
      </w:r>
      <w:r>
        <w:rPr>
          <w:rFonts w:cs="Arial"/>
        </w:rPr>
        <w:lastRenderedPageBreak/>
        <w:t>within one year, when stored in a dry place at room temperature.</w:t>
      </w:r>
    </w:p>
    <w:p w14:paraId="5A365728" w14:textId="58C6F394" w:rsidR="004F3184" w:rsidRDefault="0040727A" w:rsidP="0040727A">
      <w:pPr>
        <w:pStyle w:val="Heading2"/>
      </w:pPr>
      <w:bookmarkStart w:id="19" w:name="_Toc528243332"/>
      <w:r>
        <w:t>2.3</w:t>
      </w:r>
      <w:r>
        <w:tab/>
      </w:r>
      <w:r w:rsidR="0063288E">
        <w:t>Food t</w:t>
      </w:r>
      <w:r w:rsidR="004F3184">
        <w:t>echnology conclusion</w:t>
      </w:r>
      <w:bookmarkEnd w:id="19"/>
    </w:p>
    <w:p w14:paraId="7607BC72" w14:textId="70ADE732" w:rsidR="0036610F" w:rsidRDefault="0063288E" w:rsidP="0063288E">
      <w:r w:rsidRPr="006014F1">
        <w:t xml:space="preserve">The stated purpose of this </w:t>
      </w:r>
      <w:r>
        <w:t>triacylglycerol lipase</w:t>
      </w:r>
      <w:r w:rsidRPr="00F418CA">
        <w:rPr>
          <w:szCs w:val="20"/>
        </w:rPr>
        <w:t xml:space="preserve"> </w:t>
      </w:r>
      <w:r>
        <w:rPr>
          <w:szCs w:val="20"/>
        </w:rPr>
        <w:t>enzyme, namely</w:t>
      </w:r>
      <w:r w:rsidRPr="006014F1">
        <w:t xml:space="preserve">, for use as a processing aid </w:t>
      </w:r>
      <w:r>
        <w:t xml:space="preserve">for baking and other cereal-based processes, is </w:t>
      </w:r>
      <w:r w:rsidRPr="006014F1">
        <w:t xml:space="preserve">clearly articulated in the </w:t>
      </w:r>
      <w:r>
        <w:t>a</w:t>
      </w:r>
      <w:r w:rsidRPr="006014F1">
        <w:t xml:space="preserve">pplication. </w:t>
      </w:r>
      <w:r>
        <w:t>T</w:t>
      </w:r>
      <w:r w:rsidRPr="006014F1">
        <w:t xml:space="preserve">his enzyme will be used </w:t>
      </w:r>
      <w:r>
        <w:t xml:space="preserve">to </w:t>
      </w:r>
      <w:r w:rsidR="009E7238">
        <w:t>h</w:t>
      </w:r>
      <w:r>
        <w:t>ydrolys</w:t>
      </w:r>
      <w:r w:rsidR="00292FAB">
        <w:t>e</w:t>
      </w:r>
      <w:r>
        <w:t xml:space="preserve"> </w:t>
      </w:r>
      <w:r w:rsidR="0036610F">
        <w:t>triacylglycerols into mono- and diacylglycerols, free fatty acids, and glycerol, resulting in dough</w:t>
      </w:r>
      <w:r w:rsidR="00292FAB">
        <w:t xml:space="preserve">s and </w:t>
      </w:r>
      <w:r w:rsidR="0036610F">
        <w:t>batter</w:t>
      </w:r>
      <w:r w:rsidR="009E7238">
        <w:t>s</w:t>
      </w:r>
      <w:r w:rsidR="00292FAB">
        <w:t xml:space="preserve"> </w:t>
      </w:r>
      <w:r w:rsidR="009E7238">
        <w:t>that have improved properties</w:t>
      </w:r>
      <w:r w:rsidR="0036610F">
        <w:t xml:space="preserve"> and</w:t>
      </w:r>
      <w:r w:rsidR="00B3093C">
        <w:t>, as such,</w:t>
      </w:r>
      <w:r w:rsidR="0036610F">
        <w:t xml:space="preserve"> </w:t>
      </w:r>
      <w:r w:rsidR="009E7238">
        <w:t>high</w:t>
      </w:r>
      <w:r w:rsidR="00B3093C">
        <w:t>er</w:t>
      </w:r>
      <w:r w:rsidR="009E7238">
        <w:t xml:space="preserve"> quality </w:t>
      </w:r>
      <w:r w:rsidR="0036610F">
        <w:t>baked</w:t>
      </w:r>
      <w:r w:rsidR="009E7238">
        <w:t xml:space="preserve"> products</w:t>
      </w:r>
      <w:r w:rsidR="0036610F">
        <w:t>.</w:t>
      </w:r>
    </w:p>
    <w:p w14:paraId="36DCAB43" w14:textId="61FB176C" w:rsidR="0063288E" w:rsidRDefault="0063288E" w:rsidP="0063288E">
      <w:r>
        <w:t xml:space="preserve"> </w:t>
      </w:r>
    </w:p>
    <w:p w14:paraId="4AA30859" w14:textId="5E4DF05A" w:rsidR="0063288E" w:rsidRDefault="00D55D41" w:rsidP="0063288E">
      <w:r>
        <w:t>AB Enzymes</w:t>
      </w:r>
      <w:r w:rsidR="009E7238">
        <w:t>’</w:t>
      </w:r>
      <w:r>
        <w:t xml:space="preserve"> </w:t>
      </w:r>
      <w:r w:rsidR="0036610F">
        <w:t xml:space="preserve">triacylglycerol lipase </w:t>
      </w:r>
      <w:r w:rsidR="0063288E">
        <w:rPr>
          <w:szCs w:val="20"/>
        </w:rPr>
        <w:t xml:space="preserve">is sourced from a </w:t>
      </w:r>
      <w:r w:rsidR="0063288E">
        <w:t xml:space="preserve">genetically modified strain of </w:t>
      </w:r>
      <w:r w:rsidR="0063288E">
        <w:rPr>
          <w:i/>
        </w:rPr>
        <w:t>T. reesei</w:t>
      </w:r>
      <w:r w:rsidR="0063288E">
        <w:t>. C</w:t>
      </w:r>
      <w:r w:rsidR="0063288E">
        <w:rPr>
          <w:szCs w:val="20"/>
        </w:rPr>
        <w:t xml:space="preserve">ompared with </w:t>
      </w:r>
      <w:r w:rsidR="0063288E">
        <w:t>other enzyme product</w:t>
      </w:r>
      <w:r w:rsidR="0036610F">
        <w:t>s</w:t>
      </w:r>
      <w:r w:rsidR="0063288E">
        <w:t xml:space="preserve"> on the market, this enzyme has been found to </w:t>
      </w:r>
      <w:r w:rsidR="0036610F">
        <w:t>have an increased tolerance mechanical shock during processing</w:t>
      </w:r>
      <w:r w:rsidR="0063288E">
        <w:t xml:space="preserve">. </w:t>
      </w:r>
    </w:p>
    <w:p w14:paraId="6B842475" w14:textId="77777777" w:rsidR="0063288E" w:rsidRDefault="0063288E" w:rsidP="0063288E"/>
    <w:p w14:paraId="47778C72" w14:textId="51179AC6" w:rsidR="0063288E" w:rsidRDefault="0063288E" w:rsidP="0063288E">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is technologically justified and has been demonstrated to be effective in achieving its stated purpose. The enzyme meets international purity specifications</w:t>
      </w:r>
      <w:r>
        <w:t>.</w:t>
      </w:r>
    </w:p>
    <w:p w14:paraId="759618F0" w14:textId="744838EF" w:rsidR="00F83E70" w:rsidRDefault="00F83E70" w:rsidP="0040727A">
      <w:pPr>
        <w:pStyle w:val="Heading1"/>
      </w:pPr>
      <w:bookmarkStart w:id="20" w:name="_Toc528243333"/>
      <w:r>
        <w:t>3 Safety assessment</w:t>
      </w:r>
      <w:bookmarkStart w:id="21" w:name="_Toc471740081"/>
      <w:bookmarkStart w:id="22" w:name="_Toc499282437"/>
      <w:bookmarkEnd w:id="5"/>
      <w:bookmarkEnd w:id="20"/>
    </w:p>
    <w:p w14:paraId="54DBC289" w14:textId="39C1B4BF" w:rsidR="0040727A" w:rsidRPr="006C2969" w:rsidRDefault="0040727A" w:rsidP="0040727A">
      <w:pPr>
        <w:pStyle w:val="Heading2"/>
      </w:pPr>
      <w:bookmarkStart w:id="23" w:name="_Toc471740085"/>
      <w:bookmarkStart w:id="24" w:name="_Toc499282440"/>
      <w:bookmarkStart w:id="25" w:name="_Toc505255639"/>
      <w:bookmarkStart w:id="26" w:name="_Toc521683425"/>
      <w:bookmarkStart w:id="27" w:name="_Toc528243334"/>
      <w:bookmarkStart w:id="28" w:name="_Toc498940968"/>
      <w:bookmarkStart w:id="29" w:name="_Toc499282441"/>
      <w:bookmarkEnd w:id="21"/>
      <w:bookmarkEnd w:id="22"/>
      <w:r w:rsidRPr="006C2969">
        <w:t>3.</w:t>
      </w:r>
      <w:bookmarkEnd w:id="23"/>
      <w:r w:rsidR="00B950F0">
        <w:t>1</w:t>
      </w:r>
      <w:r>
        <w:tab/>
      </w:r>
      <w:r w:rsidRPr="006C2969">
        <w:t>History of use</w:t>
      </w:r>
      <w:bookmarkEnd w:id="24"/>
      <w:bookmarkEnd w:id="25"/>
      <w:bookmarkEnd w:id="26"/>
      <w:bookmarkEnd w:id="27"/>
      <w:r w:rsidRPr="006C2969">
        <w:t xml:space="preserve"> </w:t>
      </w:r>
    </w:p>
    <w:p w14:paraId="41F755DB" w14:textId="6A4AD988" w:rsidR="0040727A" w:rsidRPr="00D67005" w:rsidRDefault="0040727A" w:rsidP="0040727A">
      <w:pPr>
        <w:pStyle w:val="Heading3"/>
      </w:pPr>
      <w:bookmarkStart w:id="30" w:name="_Toc521683426"/>
      <w:bookmarkStart w:id="31" w:name="_Toc528243335"/>
      <w:bookmarkEnd w:id="28"/>
      <w:bookmarkEnd w:id="29"/>
      <w:r>
        <w:t>3.</w:t>
      </w:r>
      <w:r w:rsidR="00B950F0">
        <w:t>1</w:t>
      </w:r>
      <w:r>
        <w:t>.1</w:t>
      </w:r>
      <w:r>
        <w:tab/>
        <w:t>Host organism</w:t>
      </w:r>
      <w:bookmarkEnd w:id="30"/>
      <w:bookmarkEnd w:id="31"/>
      <w:r>
        <w:t xml:space="preserve"> </w:t>
      </w:r>
    </w:p>
    <w:p w14:paraId="4F1C1A34" w14:textId="5BAC8D87" w:rsidR="00F83E70" w:rsidRDefault="00F83E70" w:rsidP="00F83E70">
      <w:pPr>
        <w:spacing w:line="20" w:lineRule="atLeast"/>
        <w:rPr>
          <w:rFonts w:cs="Arial"/>
          <w:color w:val="000000" w:themeColor="text1"/>
        </w:rPr>
      </w:pPr>
      <w:r w:rsidRPr="008D41F2">
        <w:rPr>
          <w:i/>
        </w:rPr>
        <w:t>T</w:t>
      </w:r>
      <w:r>
        <w:rPr>
          <w:i/>
        </w:rPr>
        <w:t>.</w:t>
      </w:r>
      <w:r w:rsidRPr="0075550B">
        <w:rPr>
          <w:rFonts w:cs="Arial"/>
          <w:i/>
          <w:color w:val="000000" w:themeColor="text1"/>
        </w:rPr>
        <w:t xml:space="preserve"> reesei</w:t>
      </w:r>
      <w:r>
        <w:rPr>
          <w:rFonts w:cs="Arial"/>
          <w:color w:val="000000" w:themeColor="text1"/>
        </w:rPr>
        <w:t xml:space="preserve"> is a hypercellulolytic fungus commonly found in soil. The initial isolate came from deteriorating clothing and tent material found in the Solomon</w:t>
      </w:r>
      <w:r w:rsidR="003507BC">
        <w:rPr>
          <w:rFonts w:cs="Arial"/>
          <w:color w:val="000000" w:themeColor="text1"/>
        </w:rPr>
        <w:t xml:space="preserve"> </w:t>
      </w:r>
      <w:r w:rsidR="008D2956">
        <w:rPr>
          <w:rFonts w:cs="Arial"/>
          <w:color w:val="000000" w:themeColor="text1"/>
        </w:rPr>
        <w:t>Islands after World War II. The</w:t>
      </w:r>
      <w:r>
        <w:rPr>
          <w:rFonts w:cs="Arial"/>
          <w:color w:val="000000" w:themeColor="text1"/>
        </w:rPr>
        <w:t xml:space="preserve"> isolate QM6a has been registered with the </w:t>
      </w:r>
      <w:r w:rsidRPr="009C4B43">
        <w:rPr>
          <w:rFonts w:cs="Arial"/>
          <w:color w:val="000000" w:themeColor="text1"/>
        </w:rPr>
        <w:t>American Type Culture</w:t>
      </w:r>
      <w:r>
        <w:rPr>
          <w:rFonts w:cs="Arial"/>
          <w:color w:val="000000" w:themeColor="text1"/>
        </w:rPr>
        <w:t xml:space="preserve"> </w:t>
      </w:r>
      <w:r w:rsidRPr="009C4B43">
        <w:rPr>
          <w:rFonts w:cs="Arial"/>
          <w:color w:val="000000" w:themeColor="text1"/>
        </w:rPr>
        <w:t>Collection</w:t>
      </w:r>
      <w:r>
        <w:rPr>
          <w:rFonts w:cs="Arial"/>
          <w:color w:val="000000" w:themeColor="text1"/>
        </w:rPr>
        <w:t xml:space="preserve"> (ATCC 13631) and has been classed as a Biosafety Level 1 organism, based on the </w:t>
      </w:r>
      <w:hyperlink r:id="rId23" w:history="1">
        <w:r w:rsidRPr="001065CC">
          <w:rPr>
            <w:rStyle w:val="Hyperlink"/>
            <w:rFonts w:cs="Arial"/>
          </w:rPr>
          <w:t>United States Public Health Service Guidelines</w:t>
        </w:r>
      </w:hyperlink>
      <w:r>
        <w:rPr>
          <w:rStyle w:val="FootnoteReference"/>
          <w:rFonts w:cs="Arial"/>
          <w:color w:val="000000" w:themeColor="text1"/>
        </w:rPr>
        <w:footnoteReference w:id="7"/>
      </w:r>
      <w:r w:rsidR="00B75BBE">
        <w:rPr>
          <w:rFonts w:cs="Arial"/>
          <w:color w:val="000000" w:themeColor="text1"/>
        </w:rPr>
        <w:t>.</w:t>
      </w:r>
      <w:r>
        <w:rPr>
          <w:rFonts w:cs="Arial"/>
          <w:color w:val="000000" w:themeColor="text1"/>
        </w:rPr>
        <w:t xml:space="preserve"> </w:t>
      </w:r>
      <w:r w:rsidR="00B75BBE">
        <w:rPr>
          <w:rFonts w:cs="Arial"/>
          <w:color w:val="000000" w:themeColor="text1"/>
        </w:rPr>
        <w:t>This fungus</w:t>
      </w:r>
      <w:r>
        <w:rPr>
          <w:rFonts w:cs="Arial"/>
          <w:color w:val="000000" w:themeColor="text1"/>
        </w:rPr>
        <w:t xml:space="preserve"> is not considered pathogenic to humans.</w:t>
      </w:r>
    </w:p>
    <w:p w14:paraId="0426171C" w14:textId="77777777" w:rsidR="00F83E70" w:rsidRDefault="00F83E70" w:rsidP="00F83E70">
      <w:pPr>
        <w:spacing w:line="20" w:lineRule="atLeast"/>
        <w:rPr>
          <w:rFonts w:cs="Arial"/>
          <w:color w:val="000000" w:themeColor="text1"/>
        </w:rPr>
      </w:pPr>
    </w:p>
    <w:p w14:paraId="445134F5" w14:textId="359FCD6C" w:rsidR="00F83E70" w:rsidRDefault="00F83E70" w:rsidP="00F83E70">
      <w:pPr>
        <w:spacing w:line="20" w:lineRule="atLeast"/>
        <w:rPr>
          <w:rFonts w:cs="Arial"/>
          <w:i/>
          <w:color w:val="000000" w:themeColor="text1"/>
        </w:rPr>
      </w:pPr>
      <w:r>
        <w:rPr>
          <w:rFonts w:cs="Arial"/>
          <w:color w:val="000000" w:themeColor="text1"/>
        </w:rPr>
        <w:t>Due to the secretion of a range of cellulolytic enzymes, this fungus has been used since the 1980s for the industrial production of cellulase, hemicellulase, beta-glucanase, pectinase and xylanase for a range of industries including food (Nevalainen and Peterson, 2014; Palohei</w:t>
      </w:r>
      <w:r w:rsidR="008D2956">
        <w:rPr>
          <w:rFonts w:cs="Arial"/>
          <w:color w:val="000000" w:themeColor="text1"/>
        </w:rPr>
        <w:t>mo et al, 2016; FSANZ 2016). This organism</w:t>
      </w:r>
      <w:r>
        <w:rPr>
          <w:rFonts w:cs="Arial"/>
          <w:color w:val="000000" w:themeColor="text1"/>
        </w:rPr>
        <w:t xml:space="preserve"> therefore </w:t>
      </w:r>
      <w:r w:rsidR="008D2956">
        <w:rPr>
          <w:rFonts w:cs="Arial"/>
          <w:color w:val="000000" w:themeColor="text1"/>
        </w:rPr>
        <w:t xml:space="preserve">has </w:t>
      </w:r>
      <w:r>
        <w:rPr>
          <w:rFonts w:cs="Arial"/>
          <w:color w:val="000000" w:themeColor="text1"/>
        </w:rPr>
        <w:t>a long history of safe use for the production of food grade enzymes.</w:t>
      </w:r>
    </w:p>
    <w:p w14:paraId="39F6A338" w14:textId="661EB697" w:rsidR="00DD06A7" w:rsidRDefault="00DD06A7" w:rsidP="00F83E70">
      <w:pPr>
        <w:spacing w:line="20" w:lineRule="atLeast"/>
        <w:rPr>
          <w:rFonts w:cs="Arial"/>
          <w:color w:val="000000" w:themeColor="text1"/>
        </w:rPr>
      </w:pPr>
    </w:p>
    <w:p w14:paraId="3D4C5644" w14:textId="02CBE6D4" w:rsidR="00976395" w:rsidRDefault="00F83E70" w:rsidP="00F83E70">
      <w:pPr>
        <w:spacing w:line="20" w:lineRule="atLeast"/>
        <w:rPr>
          <w:rFonts w:cs="Arial"/>
          <w:color w:val="000000" w:themeColor="text1"/>
        </w:rPr>
      </w:pPr>
      <w:r w:rsidRPr="00B75BBE">
        <w:rPr>
          <w:rFonts w:cs="Arial"/>
          <w:color w:val="000000" w:themeColor="text1"/>
        </w:rPr>
        <w:t>Prior to generation of the final production strain</w:t>
      </w:r>
      <w:r w:rsidR="00492FBF">
        <w:rPr>
          <w:rFonts w:cs="Arial"/>
          <w:color w:val="000000" w:themeColor="text1"/>
        </w:rPr>
        <w:t xml:space="preserve"> (RF10625) outlined in Figure </w:t>
      </w:r>
      <w:r w:rsidR="008279E9">
        <w:rPr>
          <w:rFonts w:cs="Arial"/>
          <w:color w:val="000000" w:themeColor="text1"/>
        </w:rPr>
        <w:t>3</w:t>
      </w:r>
      <w:r w:rsidRPr="00B75BBE">
        <w:rPr>
          <w:rFonts w:cs="Arial"/>
          <w:color w:val="000000" w:themeColor="text1"/>
        </w:rPr>
        <w:t xml:space="preserve">, the host organism was modified using a range of conventional mutagenesis </w:t>
      </w:r>
      <w:r w:rsidR="00492FBF">
        <w:rPr>
          <w:rFonts w:cs="Arial"/>
          <w:color w:val="000000" w:themeColor="text1"/>
        </w:rPr>
        <w:t>(A) and genetic</w:t>
      </w:r>
      <w:r w:rsidRPr="00B75BBE">
        <w:rPr>
          <w:rFonts w:cs="Arial"/>
          <w:color w:val="000000" w:themeColor="text1"/>
        </w:rPr>
        <w:t xml:space="preserve"> </w:t>
      </w:r>
      <w:r w:rsidR="008D2956">
        <w:rPr>
          <w:rFonts w:cs="Arial"/>
          <w:color w:val="000000" w:themeColor="text1"/>
        </w:rPr>
        <w:t>modification</w:t>
      </w:r>
      <w:r w:rsidR="00492FBF">
        <w:rPr>
          <w:rFonts w:cs="Arial"/>
          <w:color w:val="000000" w:themeColor="text1"/>
        </w:rPr>
        <w:t xml:space="preserve"> (B)</w:t>
      </w:r>
      <w:r w:rsidR="008D2956">
        <w:rPr>
          <w:rFonts w:cs="Arial"/>
          <w:color w:val="000000" w:themeColor="text1"/>
        </w:rPr>
        <w:t xml:space="preserve"> steps</w:t>
      </w:r>
      <w:r w:rsidRPr="00B75BBE">
        <w:rPr>
          <w:rFonts w:cs="Arial"/>
          <w:color w:val="000000" w:themeColor="text1"/>
        </w:rPr>
        <w:t xml:space="preserve"> that are routinely used to optimise organisms for industrial use. These changes have </w:t>
      </w:r>
      <w:r w:rsidR="00B75BBE">
        <w:rPr>
          <w:rFonts w:cs="Arial"/>
          <w:color w:val="000000" w:themeColor="text1"/>
        </w:rPr>
        <w:t xml:space="preserve">been characterised and </w:t>
      </w:r>
      <w:r w:rsidRPr="00B75BBE">
        <w:rPr>
          <w:rFonts w:cs="Arial"/>
          <w:color w:val="000000" w:themeColor="text1"/>
        </w:rPr>
        <w:t>include silencing of unnecessary proteins that would impact the yield and pu</w:t>
      </w:r>
      <w:r w:rsidRPr="00B75BBE">
        <w:rPr>
          <w:rFonts w:cs="Arial"/>
          <w:color w:val="000000" w:themeColor="text1"/>
        </w:rPr>
        <w:lastRenderedPageBreak/>
        <w:t>rity of a protein-of-interest and to increase the ability and efficiency to transform the host.</w:t>
      </w:r>
      <w:r w:rsidR="00A33AB5" w:rsidRPr="00A33AB5">
        <w:rPr>
          <w:rFonts w:cs="Arial"/>
          <w:color w:val="000000" w:themeColor="text1"/>
        </w:rPr>
        <w:t xml:space="preserve"> </w:t>
      </w:r>
      <w:r w:rsidR="00A33AB5">
        <w:rPr>
          <w:rFonts w:cs="Arial"/>
          <w:color w:val="000000" w:themeColor="text1"/>
        </w:rPr>
        <w:t>In the process of optimisation, two intermediate organisms were generated, which FSANZ has called IO-1 an IO-2.</w:t>
      </w:r>
    </w:p>
    <w:p w14:paraId="63630178" w14:textId="77777777" w:rsidR="00976395" w:rsidRDefault="00976395">
      <w:pPr>
        <w:widowControl/>
        <w:rPr>
          <w:rFonts w:cs="Arial"/>
          <w:color w:val="000000" w:themeColor="text1"/>
        </w:rPr>
      </w:pPr>
      <w:r>
        <w:rPr>
          <w:rFonts w:cs="Arial"/>
          <w:color w:val="000000" w:themeColor="text1"/>
        </w:rPr>
        <w:br w:type="page"/>
      </w:r>
    </w:p>
    <w:p w14:paraId="7EA51010" w14:textId="2208A037" w:rsidR="00065165" w:rsidRDefault="00065165" w:rsidP="00F83E70">
      <w:pPr>
        <w:spacing w:line="20" w:lineRule="atLeast"/>
        <w:rPr>
          <w:i/>
        </w:rPr>
      </w:pPr>
      <w:r>
        <w:rPr>
          <w:i/>
          <w:noProof/>
          <w:lang w:eastAsia="en-GB" w:bidi="ar-SA"/>
        </w:rPr>
        <w:lastRenderedPageBreak/>
        <mc:AlternateContent>
          <mc:Choice Requires="wps">
            <w:drawing>
              <wp:anchor distT="0" distB="0" distL="114300" distR="114300" simplePos="0" relativeHeight="251658242" behindDoc="0" locked="0" layoutInCell="1" allowOverlap="1" wp14:anchorId="36D31728" wp14:editId="79B82959">
                <wp:simplePos x="0" y="0"/>
                <wp:positionH relativeFrom="column">
                  <wp:posOffset>128270</wp:posOffset>
                </wp:positionH>
                <wp:positionV relativeFrom="paragraph">
                  <wp:posOffset>141605</wp:posOffset>
                </wp:positionV>
                <wp:extent cx="1086424" cy="765454"/>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24" cy="765454"/>
                        </a:xfrm>
                        <a:prstGeom prst="rect">
                          <a:avLst/>
                        </a:prstGeom>
                        <a:solidFill>
                          <a:srgbClr val="FFFFFF"/>
                        </a:solidFill>
                        <a:ln w="9525">
                          <a:noFill/>
                          <a:miter lim="800000"/>
                          <a:headEnd/>
                          <a:tailEnd/>
                        </a:ln>
                      </wps:spPr>
                      <wps:txbx>
                        <w:txbxContent>
                          <w:p w14:paraId="793CA01F" w14:textId="77777777" w:rsidR="0074425D" w:rsidRDefault="0074425D" w:rsidP="00065165">
                            <w:pPr>
                              <w:jc w:val="center"/>
                            </w:pPr>
                            <w:r>
                              <w:t>HOST ORGANISM</w:t>
                            </w:r>
                          </w:p>
                          <w:p w14:paraId="25D7C385" w14:textId="1B15D1CD" w:rsidR="0074425D" w:rsidRPr="00D351A4" w:rsidRDefault="0074425D" w:rsidP="00065165">
                            <w:pPr>
                              <w:jc w:val="center"/>
                              <w:rPr>
                                <w:b/>
                              </w:rPr>
                            </w:pPr>
                            <w:r>
                              <w:rPr>
                                <w:b/>
                                <w:i/>
                              </w:rPr>
                              <w:t>T. reesei QM6a</w:t>
                            </w:r>
                          </w:p>
                          <w:p w14:paraId="61747B57" w14:textId="77777777" w:rsidR="0074425D" w:rsidRDefault="0074425D" w:rsidP="00065165">
                            <w:pPr>
                              <w:jc w:val="center"/>
                            </w:pPr>
                          </w:p>
                        </w:txbxContent>
                      </wps:txbx>
                      <wps:bodyPr rot="0" vert="horz" wrap="square" lIns="91440" tIns="45720" rIns="91440" bIns="45720" anchor="t" anchorCtr="0">
                        <a:noAutofit/>
                      </wps:bodyPr>
                    </wps:wsp>
                  </a:graphicData>
                </a:graphic>
              </wp:anchor>
            </w:drawing>
          </mc:Choice>
          <mc:Fallback>
            <w:pict>
              <v:shape w14:anchorId="36D31728" id="_x0000_s1027" type="#_x0000_t202" style="position:absolute;margin-left:10.1pt;margin-top:11.15pt;width:85.55pt;height:60.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" stroked="f">
                <v:textbox>
                  <w:txbxContent>
                    <w:p w14:paraId="793CA01F" w14:textId="77777777" w:rsidR="0074425D" w:rsidRDefault="0074425D" w:rsidP="00065165">
                      <w:pPr>
                        <w:jc w:val="center"/>
                      </w:pPr>
                      <w:r>
                        <w:t>HOST ORGANISM</w:t>
                      </w:r>
                    </w:p>
                    <w:p w14:paraId="25D7C385" w14:textId="1B15D1CD" w:rsidR="0074425D" w:rsidRPr="00D351A4" w:rsidRDefault="0074425D" w:rsidP="00065165">
                      <w:pPr>
                        <w:jc w:val="center"/>
                        <w:rPr>
                          <w:b/>
                        </w:rPr>
                      </w:pPr>
                      <w:r>
                        <w:rPr>
                          <w:b/>
                          <w:i/>
                        </w:rPr>
                        <w:t>T. reesei QM6a</w:t>
                      </w:r>
                    </w:p>
                    <w:p w14:paraId="61747B57" w14:textId="77777777" w:rsidR="0074425D" w:rsidRDefault="0074425D" w:rsidP="00065165">
                      <w:pPr>
                        <w:jc w:val="center"/>
                      </w:pPr>
                    </w:p>
                  </w:txbxContent>
                </v:textbox>
              </v:shape>
            </w:pict>
          </mc:Fallback>
        </mc:AlternateContent>
      </w:r>
    </w:p>
    <w:p w14:paraId="3B632DE9" w14:textId="1ECB8B63" w:rsidR="00065165" w:rsidRDefault="00DD06A7" w:rsidP="00F83E70">
      <w:pPr>
        <w:spacing w:line="20" w:lineRule="atLeast"/>
        <w:rPr>
          <w:rFonts w:cs="Arial"/>
          <w:color w:val="000000" w:themeColor="text1"/>
        </w:rPr>
      </w:pPr>
      <w:r w:rsidRPr="00DD06A7">
        <w:rPr>
          <w:rFonts w:cs="Arial"/>
          <w:noProof/>
          <w:color w:val="000000" w:themeColor="text1"/>
          <w:lang w:eastAsia="en-GB" w:bidi="ar-SA"/>
        </w:rPr>
        <mc:AlternateContent>
          <mc:Choice Requires="wps">
            <w:drawing>
              <wp:anchor distT="45720" distB="45720" distL="114300" distR="114300" simplePos="0" relativeHeight="251658250" behindDoc="0" locked="0" layoutInCell="1" allowOverlap="1" wp14:anchorId="53CAF899" wp14:editId="29172236">
                <wp:simplePos x="0" y="0"/>
                <wp:positionH relativeFrom="column">
                  <wp:posOffset>3257550</wp:posOffset>
                </wp:positionH>
                <wp:positionV relativeFrom="paragraph">
                  <wp:posOffset>74295</wp:posOffset>
                </wp:positionV>
                <wp:extent cx="342900" cy="2381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noFill/>
                        <a:ln w="9525">
                          <a:noFill/>
                          <a:miter lim="800000"/>
                          <a:headEnd/>
                          <a:tailEnd/>
                        </a:ln>
                      </wps:spPr>
                      <wps:txbx>
                        <w:txbxContent>
                          <w:p w14:paraId="0D6B353B" w14:textId="07521BE1" w:rsidR="0074425D" w:rsidRPr="00DD06A7" w:rsidRDefault="0074425D" w:rsidP="00DD06A7">
                            <w:pPr>
                              <w:jc w:val="center"/>
                              <w:rPr>
                                <w:b/>
                              </w:rPr>
                            </w:pP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AF899" id="_x0000_s1028" type="#_x0000_t202" style="position:absolute;margin-left:256.5pt;margin-top:5.85pt;width:27pt;height:18.7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" filled="f" stroked="f">
                <v:textbox>
                  <w:txbxContent>
                    <w:p w14:paraId="0D6B353B" w14:textId="07521BE1" w:rsidR="0074425D" w:rsidRPr="00DD06A7" w:rsidRDefault="0074425D" w:rsidP="00DD06A7">
                      <w:pPr>
                        <w:jc w:val="center"/>
                        <w:rPr>
                          <w:b/>
                        </w:rPr>
                      </w:pPr>
                      <w:r>
                        <w:rPr>
                          <w:b/>
                        </w:rPr>
                        <w:t>B</w:t>
                      </w:r>
                    </w:p>
                  </w:txbxContent>
                </v:textbox>
              </v:shape>
            </w:pict>
          </mc:Fallback>
        </mc:AlternateContent>
      </w:r>
      <w:r w:rsidRPr="00DD06A7">
        <w:rPr>
          <w:rFonts w:cs="Arial"/>
          <w:noProof/>
          <w:color w:val="000000" w:themeColor="text1"/>
          <w:lang w:eastAsia="en-GB" w:bidi="ar-SA"/>
        </w:rPr>
        <mc:AlternateContent>
          <mc:Choice Requires="wps">
            <w:drawing>
              <wp:anchor distT="45720" distB="45720" distL="114300" distR="114300" simplePos="0" relativeHeight="251658249" behindDoc="0" locked="0" layoutInCell="1" allowOverlap="1" wp14:anchorId="505D377A" wp14:editId="7788343A">
                <wp:simplePos x="0" y="0"/>
                <wp:positionH relativeFrom="column">
                  <wp:posOffset>1318895</wp:posOffset>
                </wp:positionH>
                <wp:positionV relativeFrom="paragraph">
                  <wp:posOffset>74295</wp:posOffset>
                </wp:positionV>
                <wp:extent cx="342900" cy="2381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8125"/>
                        </a:xfrm>
                        <a:prstGeom prst="rect">
                          <a:avLst/>
                        </a:prstGeom>
                        <a:noFill/>
                        <a:ln w="9525">
                          <a:noFill/>
                          <a:miter lim="800000"/>
                          <a:headEnd/>
                          <a:tailEnd/>
                        </a:ln>
                      </wps:spPr>
                      <wps:txbx>
                        <w:txbxContent>
                          <w:p w14:paraId="37F31C77" w14:textId="4BB3F11A" w:rsidR="0074425D" w:rsidRPr="00DD06A7" w:rsidRDefault="0074425D" w:rsidP="00DD06A7">
                            <w:pPr>
                              <w:jc w:val="center"/>
                              <w:rPr>
                                <w:b/>
                              </w:rPr>
                            </w:pPr>
                            <w:r>
                              <w:rPr>
                                <w:b/>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D377A" id="_x0000_s1029" type="#_x0000_t202" style="position:absolute;margin-left:103.85pt;margin-top:5.85pt;width:27pt;height:18.7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" filled="f" stroked="f">
                <v:textbox>
                  <w:txbxContent>
                    <w:p w14:paraId="37F31C77" w14:textId="4BB3F11A" w:rsidR="0074425D" w:rsidRPr="00DD06A7" w:rsidRDefault="0074425D" w:rsidP="00DD06A7">
                      <w:pPr>
                        <w:jc w:val="center"/>
                        <w:rPr>
                          <w:b/>
                        </w:rPr>
                      </w:pPr>
                      <w:r>
                        <w:rPr>
                          <w:b/>
                        </w:rPr>
                        <w:t>A</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6" behindDoc="0" locked="0" layoutInCell="1" allowOverlap="1" wp14:anchorId="22BABF7C" wp14:editId="3F488144">
                <wp:simplePos x="0" y="0"/>
                <wp:positionH relativeFrom="column">
                  <wp:posOffset>3676650</wp:posOffset>
                </wp:positionH>
                <wp:positionV relativeFrom="paragraph">
                  <wp:posOffset>60960</wp:posOffset>
                </wp:positionV>
                <wp:extent cx="1379220" cy="605155"/>
                <wp:effectExtent l="0" t="0" r="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605155"/>
                        </a:xfrm>
                        <a:prstGeom prst="rect">
                          <a:avLst/>
                        </a:prstGeom>
                        <a:solidFill>
                          <a:srgbClr val="FFFFFF"/>
                        </a:solidFill>
                        <a:ln w="9525">
                          <a:noFill/>
                          <a:miter lim="800000"/>
                          <a:headEnd/>
                          <a:tailEnd/>
                        </a:ln>
                      </wps:spPr>
                      <wps:txbx>
                        <w:txbxContent>
                          <w:p w14:paraId="4E1F8938" w14:textId="65C61734" w:rsidR="0074425D" w:rsidRDefault="0074425D" w:rsidP="00065165">
                            <w:pPr>
                              <w:jc w:val="center"/>
                            </w:pPr>
                            <w:r>
                              <w:t>INTERMEDIATE ORGANISM</w:t>
                            </w:r>
                          </w:p>
                          <w:p w14:paraId="2ADFFFF6" w14:textId="709A18C1" w:rsidR="0074425D" w:rsidRPr="00D351A4" w:rsidRDefault="0074425D" w:rsidP="00065165">
                            <w:pPr>
                              <w:jc w:val="center"/>
                              <w:rPr>
                                <w:b/>
                              </w:rPr>
                            </w:pPr>
                            <w:r>
                              <w:rPr>
                                <w:b/>
                              </w:rPr>
                              <w:t>I</w:t>
                            </w:r>
                            <w:r w:rsidRPr="00D351A4">
                              <w:rPr>
                                <w:b/>
                              </w:rPr>
                              <w:t>O-2</w:t>
                            </w:r>
                          </w:p>
                        </w:txbxContent>
                      </wps:txbx>
                      <wps:bodyPr rot="0" vert="horz" wrap="square" lIns="91440" tIns="45720" rIns="91440" bIns="45720" anchor="t" anchorCtr="0">
                        <a:noAutofit/>
                      </wps:bodyPr>
                    </wps:wsp>
                  </a:graphicData>
                </a:graphic>
              </wp:anchor>
            </w:drawing>
          </mc:Choice>
          <mc:Fallback>
            <w:pict>
              <v:shape w14:anchorId="22BABF7C" id="_x0000_s1030" type="#_x0000_t202" style="position:absolute;margin-left:289.5pt;margin-top:4.8pt;width:108.6pt;height:47.6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" stroked="f">
                <v:textbox>
                  <w:txbxContent>
                    <w:p w14:paraId="4E1F8938" w14:textId="65C61734" w:rsidR="0074425D" w:rsidRDefault="0074425D" w:rsidP="00065165">
                      <w:pPr>
                        <w:jc w:val="center"/>
                      </w:pPr>
                      <w:r>
                        <w:t>INTERMEDIATE ORGANISM</w:t>
                      </w:r>
                    </w:p>
                    <w:p w14:paraId="2ADFFFF6" w14:textId="709A18C1" w:rsidR="0074425D" w:rsidRPr="00D351A4" w:rsidRDefault="0074425D" w:rsidP="00065165">
                      <w:pPr>
                        <w:jc w:val="center"/>
                        <w:rPr>
                          <w:b/>
                        </w:rPr>
                      </w:pPr>
                      <w:r>
                        <w:rPr>
                          <w:b/>
                        </w:rPr>
                        <w:t>I</w:t>
                      </w:r>
                      <w:r w:rsidRPr="00D351A4">
                        <w:rPr>
                          <w:b/>
                        </w:rPr>
                        <w:t>O-2</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7" behindDoc="0" locked="0" layoutInCell="1" allowOverlap="1" wp14:anchorId="0835808B" wp14:editId="5B93F2A1">
                <wp:simplePos x="0" y="0"/>
                <wp:positionH relativeFrom="column">
                  <wp:posOffset>3182620</wp:posOffset>
                </wp:positionH>
                <wp:positionV relativeFrom="paragraph">
                  <wp:posOffset>314325</wp:posOffset>
                </wp:positionV>
                <wp:extent cx="542925" cy="0"/>
                <wp:effectExtent l="0" t="95250" r="0" b="95250"/>
                <wp:wrapNone/>
                <wp:docPr id="15" name="Straight Arrow Connector 15"/>
                <wp:cNvGraphicFramePr/>
                <a:graphic xmlns:a="http://schemas.openxmlformats.org/drawingml/2006/main">
                  <a:graphicData uri="http://schemas.microsoft.com/office/word/2010/wordprocessingShape">
                    <wps:wsp>
                      <wps:cNvCnPr/>
                      <wps:spPr>
                        <a:xfrm>
                          <a:off x="0" y="0"/>
                          <a:ext cx="54292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B7924B" id="_x0000_t32" coordsize="21600,21600" o:spt="32" o:oned="t" path="m,l21600,21600e" filled="f">
                <v:path arrowok="t" fillok="f" o:connecttype="none"/>
                <o:lock v:ext="edit" shapetype="t"/>
              </v:shapetype>
              <v:shape id="Straight Arrow Connector 15" o:spid="_x0000_s1026" type="#_x0000_t32" style="position:absolute;margin-left:250.6pt;margin-top:24.75pt;width:42.75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" strokecolor="black [3040]" strokeweight="2.25pt">
                <v:stroke endarrow="block"/>
              </v:shape>
            </w:pict>
          </mc:Fallback>
        </mc:AlternateContent>
      </w:r>
      <w:r w:rsidR="00065165">
        <w:rPr>
          <w:rFonts w:cs="Arial"/>
          <w:noProof/>
          <w:color w:val="000000" w:themeColor="text1"/>
          <w:lang w:eastAsia="en-GB" w:bidi="ar-SA"/>
        </w:rPr>
        <mc:AlternateContent>
          <mc:Choice Requires="wps">
            <w:drawing>
              <wp:anchor distT="0" distB="0" distL="114300" distR="114300" simplePos="0" relativeHeight="251658245" behindDoc="0" locked="0" layoutInCell="1" allowOverlap="1" wp14:anchorId="0BB1380C" wp14:editId="55CFFE07">
                <wp:simplePos x="0" y="0"/>
                <wp:positionH relativeFrom="column">
                  <wp:posOffset>1804670</wp:posOffset>
                </wp:positionH>
                <wp:positionV relativeFrom="paragraph">
                  <wp:posOffset>60960</wp:posOffset>
                </wp:positionV>
                <wp:extent cx="1379142" cy="605083"/>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142" cy="605083"/>
                        </a:xfrm>
                        <a:prstGeom prst="rect">
                          <a:avLst/>
                        </a:prstGeom>
                        <a:solidFill>
                          <a:srgbClr val="FFFFFF"/>
                        </a:solidFill>
                        <a:ln w="9525">
                          <a:noFill/>
                          <a:miter lim="800000"/>
                          <a:headEnd/>
                          <a:tailEnd/>
                        </a:ln>
                      </wps:spPr>
                      <wps:txbx>
                        <w:txbxContent>
                          <w:p w14:paraId="4CAC9105" w14:textId="3CFAB7B4" w:rsidR="0074425D" w:rsidRDefault="0074425D" w:rsidP="00065165">
                            <w:pPr>
                              <w:jc w:val="center"/>
                            </w:pPr>
                            <w:r>
                              <w:t>INTERMEDIATE ORGANISM</w:t>
                            </w:r>
                          </w:p>
                          <w:p w14:paraId="1344538C" w14:textId="3E564339" w:rsidR="0074425D" w:rsidRPr="00D351A4" w:rsidRDefault="0074425D" w:rsidP="00065165">
                            <w:pPr>
                              <w:jc w:val="center"/>
                              <w:rPr>
                                <w:b/>
                              </w:rPr>
                            </w:pPr>
                            <w:r>
                              <w:rPr>
                                <w:b/>
                              </w:rPr>
                              <w:t>I</w:t>
                            </w:r>
                            <w:r w:rsidRPr="00D351A4">
                              <w:rPr>
                                <w:b/>
                              </w:rPr>
                              <w:t>O-1</w:t>
                            </w:r>
                          </w:p>
                        </w:txbxContent>
                      </wps:txbx>
                      <wps:bodyPr rot="0" vert="horz" wrap="square" lIns="91440" tIns="45720" rIns="91440" bIns="45720" anchor="t" anchorCtr="0">
                        <a:noAutofit/>
                      </wps:bodyPr>
                    </wps:wsp>
                  </a:graphicData>
                </a:graphic>
              </wp:anchor>
            </w:drawing>
          </mc:Choice>
          <mc:Fallback>
            <w:pict>
              <v:shape w14:anchorId="0BB1380C" id="_x0000_s1031" type="#_x0000_t202" style="position:absolute;margin-left:142.1pt;margin-top:4.8pt;width:108.6pt;height:47.6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" stroked="f">
                <v:textbox>
                  <w:txbxContent>
                    <w:p w14:paraId="4CAC9105" w14:textId="3CFAB7B4" w:rsidR="0074425D" w:rsidRDefault="0074425D" w:rsidP="00065165">
                      <w:pPr>
                        <w:jc w:val="center"/>
                      </w:pPr>
                      <w:r>
                        <w:t>INTERMEDIATE ORGANISM</w:t>
                      </w:r>
                    </w:p>
                    <w:p w14:paraId="1344538C" w14:textId="3E564339" w:rsidR="0074425D" w:rsidRPr="00D351A4" w:rsidRDefault="0074425D" w:rsidP="00065165">
                      <w:pPr>
                        <w:jc w:val="center"/>
                        <w:rPr>
                          <w:b/>
                        </w:rPr>
                      </w:pPr>
                      <w:r>
                        <w:rPr>
                          <w:b/>
                        </w:rPr>
                        <w:t>I</w:t>
                      </w:r>
                      <w:r w:rsidRPr="00D351A4">
                        <w:rPr>
                          <w:b/>
                        </w:rPr>
                        <w:t>O-1</w:t>
                      </w:r>
                    </w:p>
                  </w:txbxContent>
                </v:textbox>
              </v:shape>
            </w:pict>
          </mc:Fallback>
        </mc:AlternateContent>
      </w:r>
    </w:p>
    <w:p w14:paraId="4D3084A3" w14:textId="31226A9A" w:rsidR="00065165" w:rsidRDefault="00065165" w:rsidP="00F83E70">
      <w:pPr>
        <w:spacing w:line="20" w:lineRule="atLeast"/>
        <w:rPr>
          <w:rFonts w:cs="Arial"/>
          <w:color w:val="000000" w:themeColor="text1"/>
        </w:rPr>
      </w:pPr>
      <w:r>
        <w:rPr>
          <w:rFonts w:cs="Arial"/>
          <w:noProof/>
          <w:color w:val="000000" w:themeColor="text1"/>
          <w:lang w:eastAsia="en-GB" w:bidi="ar-SA"/>
        </w:rPr>
        <mc:AlternateContent>
          <mc:Choice Requires="wps">
            <w:drawing>
              <wp:anchor distT="0" distB="0" distL="114300" distR="114300" simplePos="0" relativeHeight="251658243" behindDoc="0" locked="0" layoutInCell="1" allowOverlap="1" wp14:anchorId="72327815" wp14:editId="27512FD5">
                <wp:simplePos x="0" y="0"/>
                <wp:positionH relativeFrom="column">
                  <wp:posOffset>1233170</wp:posOffset>
                </wp:positionH>
                <wp:positionV relativeFrom="paragraph">
                  <wp:posOffset>153670</wp:posOffset>
                </wp:positionV>
                <wp:extent cx="561975" cy="0"/>
                <wp:effectExtent l="0" t="95250" r="0" b="95250"/>
                <wp:wrapNone/>
                <wp:docPr id="10" name="Straight Arrow Connector 10"/>
                <wp:cNvGraphicFramePr/>
                <a:graphic xmlns:a="http://schemas.openxmlformats.org/drawingml/2006/main">
                  <a:graphicData uri="http://schemas.microsoft.com/office/word/2010/wordprocessingShape">
                    <wps:wsp>
                      <wps:cNvCnPr/>
                      <wps:spPr>
                        <a:xfrm flipV="1">
                          <a:off x="0" y="0"/>
                          <a:ext cx="561975"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200B52" id="Straight Arrow Connector 10" o:spid="_x0000_s1026" type="#_x0000_t32" style="position:absolute;margin-left:97.1pt;margin-top:12.1pt;width:44.25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" strokecolor="black [3040]" strokeweight="2.25pt">
                <v:stroke endarrow="block"/>
              </v:shape>
            </w:pict>
          </mc:Fallback>
        </mc:AlternateContent>
      </w:r>
    </w:p>
    <w:p w14:paraId="6B639839" w14:textId="3CF3DC86" w:rsidR="003507BC" w:rsidRDefault="003507BC" w:rsidP="00F83E70">
      <w:pPr>
        <w:spacing w:line="20" w:lineRule="atLeast"/>
        <w:rPr>
          <w:rFonts w:cs="Arial"/>
          <w:color w:val="000000" w:themeColor="text1"/>
        </w:rPr>
      </w:pPr>
    </w:p>
    <w:p w14:paraId="0518D598" w14:textId="44D2C8B6" w:rsidR="00065165" w:rsidRDefault="00065165" w:rsidP="00F83E70">
      <w:pPr>
        <w:spacing w:line="20" w:lineRule="atLeast"/>
        <w:rPr>
          <w:rFonts w:cs="Arial"/>
          <w:color w:val="000000" w:themeColor="text1"/>
        </w:rPr>
      </w:pPr>
    </w:p>
    <w:p w14:paraId="220CEB9F" w14:textId="10EBB510" w:rsidR="00065165" w:rsidRDefault="00492FBF" w:rsidP="00F83E70">
      <w:pPr>
        <w:spacing w:line="20" w:lineRule="atLeast"/>
        <w:rPr>
          <w:rFonts w:cs="Arial"/>
          <w:color w:val="000000" w:themeColor="text1"/>
        </w:rPr>
      </w:pPr>
      <w:r w:rsidRPr="00DD06A7">
        <w:rPr>
          <w:rFonts w:cs="Arial"/>
          <w:noProof/>
          <w:color w:val="000000" w:themeColor="text1"/>
          <w:lang w:eastAsia="en-GB" w:bidi="ar-SA"/>
        </w:rPr>
        <mc:AlternateContent>
          <mc:Choice Requires="wps">
            <w:drawing>
              <wp:anchor distT="45720" distB="45720" distL="114300" distR="114300" simplePos="0" relativeHeight="251658251" behindDoc="0" locked="0" layoutInCell="1" allowOverlap="1" wp14:anchorId="78036DB2" wp14:editId="70A4B752">
                <wp:simplePos x="0" y="0"/>
                <wp:positionH relativeFrom="column">
                  <wp:posOffset>1118870</wp:posOffset>
                </wp:positionH>
                <wp:positionV relativeFrom="paragraph">
                  <wp:posOffset>42545</wp:posOffset>
                </wp:positionV>
                <wp:extent cx="2771775" cy="92392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923925"/>
                        </a:xfrm>
                        <a:prstGeom prst="rect">
                          <a:avLst/>
                        </a:prstGeom>
                        <a:noFill/>
                        <a:ln w="9525">
                          <a:noFill/>
                          <a:miter lim="800000"/>
                          <a:headEnd/>
                          <a:tailEnd/>
                        </a:ln>
                      </wps:spPr>
                      <wps:txbx>
                        <w:txbxContent>
                          <w:p w14:paraId="0A1421EF" w14:textId="093AFB7F" w:rsidR="0074425D" w:rsidRDefault="0074425D" w:rsidP="00DD06A7">
                            <w:pPr>
                              <w:spacing w:after="40"/>
                              <w:rPr>
                                <w:b/>
                              </w:rPr>
                            </w:pPr>
                            <w:r>
                              <w:rPr>
                                <w:b/>
                              </w:rPr>
                              <w:t xml:space="preserve">A  </w:t>
                            </w:r>
                            <w:r w:rsidRPr="00DD06A7">
                              <w:t>conventional mutagenesis</w:t>
                            </w:r>
                          </w:p>
                          <w:p w14:paraId="6FB36CAA" w14:textId="73856792" w:rsidR="0074425D" w:rsidRDefault="0074425D" w:rsidP="00DD06A7">
                            <w:pPr>
                              <w:spacing w:after="40"/>
                              <w:rPr>
                                <w:b/>
                              </w:rPr>
                            </w:pPr>
                            <w:r>
                              <w:rPr>
                                <w:b/>
                              </w:rPr>
                              <w:t xml:space="preserve">B  </w:t>
                            </w:r>
                            <w:r w:rsidRPr="00DD06A7">
                              <w:t xml:space="preserve">genetic </w:t>
                            </w:r>
                            <w:r>
                              <w:t>modification</w:t>
                            </w:r>
                          </w:p>
                          <w:p w14:paraId="561D5A1C" w14:textId="072D7024" w:rsidR="0074425D" w:rsidRPr="00DD06A7" w:rsidRDefault="0074425D" w:rsidP="00DD06A7">
                            <w:pPr>
                              <w:spacing w:after="40"/>
                              <w:ind w:left="266" w:hanging="266"/>
                              <w:rPr>
                                <w:b/>
                              </w:rPr>
                            </w:pPr>
                            <w:r>
                              <w:rPr>
                                <w:b/>
                              </w:rPr>
                              <w:t xml:space="preserve">C  </w:t>
                            </w:r>
                            <w:r w:rsidRPr="00C03861">
                              <w:t>genetic modification to</w:t>
                            </w:r>
                            <w:r>
                              <w:rPr>
                                <w:b/>
                              </w:rPr>
                              <w:t xml:space="preserve"> </w:t>
                            </w:r>
                            <w:r>
                              <w:t>introduce the</w:t>
                            </w:r>
                            <w:r w:rsidRPr="00DD06A7">
                              <w:t xml:space="preserve"> lipase</w:t>
                            </w:r>
                            <w:r>
                              <w:t xml:space="preserve"> gene</w:t>
                            </w:r>
                            <w:r w:rsidRPr="00DD06A7">
                              <w:t xml:space="preserve"> from </w:t>
                            </w:r>
                            <w:r w:rsidRPr="00DD06A7">
                              <w:rPr>
                                <w:i/>
                              </w:rPr>
                              <w:t>F. oxysporum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36DB2" id="_x0000_s1032" type="#_x0000_t202" style="position:absolute;margin-left:88.1pt;margin-top:3.35pt;width:218.25pt;height:72.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" filled="f" stroked="f">
                <v:textbox>
                  <w:txbxContent>
                    <w:p w14:paraId="0A1421EF" w14:textId="093AFB7F" w:rsidR="0074425D" w:rsidRDefault="0074425D" w:rsidP="00DD06A7">
                      <w:pPr>
                        <w:spacing w:after="40"/>
                        <w:rPr>
                          <w:b/>
                        </w:rPr>
                      </w:pPr>
                      <w:r>
                        <w:rPr>
                          <w:b/>
                        </w:rPr>
                        <w:t xml:space="preserve">A  </w:t>
                      </w:r>
                      <w:r w:rsidRPr="00DD06A7">
                        <w:t>conventional mutagenesis</w:t>
                      </w:r>
                    </w:p>
                    <w:p w14:paraId="6FB36CAA" w14:textId="73856792" w:rsidR="0074425D" w:rsidRDefault="0074425D" w:rsidP="00DD06A7">
                      <w:pPr>
                        <w:spacing w:after="40"/>
                        <w:rPr>
                          <w:b/>
                        </w:rPr>
                      </w:pPr>
                      <w:r>
                        <w:rPr>
                          <w:b/>
                        </w:rPr>
                        <w:t xml:space="preserve">B  </w:t>
                      </w:r>
                      <w:r w:rsidRPr="00DD06A7">
                        <w:t xml:space="preserve">genetic </w:t>
                      </w:r>
                      <w:r>
                        <w:t>modification</w:t>
                      </w:r>
                    </w:p>
                    <w:p w14:paraId="561D5A1C" w14:textId="072D7024" w:rsidR="0074425D" w:rsidRPr="00DD06A7" w:rsidRDefault="0074425D" w:rsidP="00DD06A7">
                      <w:pPr>
                        <w:spacing w:after="40"/>
                        <w:ind w:left="266" w:hanging="266"/>
                        <w:rPr>
                          <w:b/>
                        </w:rPr>
                      </w:pPr>
                      <w:r>
                        <w:rPr>
                          <w:b/>
                        </w:rPr>
                        <w:t xml:space="preserve">C  </w:t>
                      </w:r>
                      <w:r w:rsidRPr="00C03861">
                        <w:t>genetic modification to</w:t>
                      </w:r>
                      <w:r>
                        <w:rPr>
                          <w:b/>
                        </w:rPr>
                        <w:t xml:space="preserve"> </w:t>
                      </w:r>
                      <w:r>
                        <w:t>introduce the</w:t>
                      </w:r>
                      <w:r w:rsidRPr="00DD06A7">
                        <w:t xml:space="preserve"> lipase</w:t>
                      </w:r>
                      <w:r>
                        <w:t xml:space="preserve"> gene</w:t>
                      </w:r>
                      <w:r w:rsidRPr="00DD06A7">
                        <w:t xml:space="preserve"> from </w:t>
                      </w:r>
                      <w:r w:rsidRPr="00DD06A7">
                        <w:rPr>
                          <w:i/>
                        </w:rPr>
                        <w:t>F. oxysporum</w:t>
                      </w:r>
                    </w:p>
                  </w:txbxContent>
                </v:textbox>
              </v:shape>
            </w:pict>
          </mc:Fallback>
        </mc:AlternateContent>
      </w:r>
      <w:r>
        <w:rPr>
          <w:rFonts w:cs="Arial"/>
          <w:noProof/>
          <w:color w:val="000000" w:themeColor="text1"/>
          <w:lang w:eastAsia="en-GB" w:bidi="ar-SA"/>
        </w:rPr>
        <mc:AlternateContent>
          <mc:Choice Requires="wps">
            <w:drawing>
              <wp:anchor distT="0" distB="0" distL="114300" distR="114300" simplePos="0" relativeHeight="251658248" behindDoc="0" locked="0" layoutInCell="1" allowOverlap="1" wp14:anchorId="39084748" wp14:editId="7A19C6C9">
                <wp:simplePos x="0" y="0"/>
                <wp:positionH relativeFrom="column">
                  <wp:posOffset>4424045</wp:posOffset>
                </wp:positionH>
                <wp:positionV relativeFrom="paragraph">
                  <wp:posOffset>19685</wp:posOffset>
                </wp:positionV>
                <wp:extent cx="381000" cy="385445"/>
                <wp:effectExtent l="19050" t="19050" r="38100" b="52705"/>
                <wp:wrapNone/>
                <wp:docPr id="14" name="Straight Arrow Connector 14"/>
                <wp:cNvGraphicFramePr/>
                <a:graphic xmlns:a="http://schemas.openxmlformats.org/drawingml/2006/main">
                  <a:graphicData uri="http://schemas.microsoft.com/office/word/2010/wordprocessingShape">
                    <wps:wsp>
                      <wps:cNvCnPr/>
                      <wps:spPr>
                        <a:xfrm rot="10800000" flipH="1" flipV="1">
                          <a:off x="0" y="0"/>
                          <a:ext cx="381000" cy="38544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38FDB" id="Straight Arrow Connector 14" o:spid="_x0000_s1026" type="#_x0000_t32" style="position:absolute;margin-left:348.35pt;margin-top:1.55pt;width:30pt;height:30.35pt;rotation:180;flip:x 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" strokecolor="black [3040]" strokeweight="2.25pt">
                <v:stroke endarrow="block"/>
              </v:shape>
            </w:pict>
          </mc:Fallback>
        </mc:AlternateContent>
      </w:r>
      <w:r w:rsidRPr="00DD06A7">
        <w:rPr>
          <w:rFonts w:cs="Arial"/>
          <w:noProof/>
          <w:color w:val="000000" w:themeColor="text1"/>
          <w:lang w:eastAsia="en-GB" w:bidi="ar-SA"/>
        </w:rPr>
        <mc:AlternateContent>
          <mc:Choice Requires="wps">
            <w:drawing>
              <wp:anchor distT="45720" distB="45720" distL="114300" distR="114300" simplePos="0" relativeHeight="251658252" behindDoc="0" locked="0" layoutInCell="1" allowOverlap="1" wp14:anchorId="191A0164" wp14:editId="49EC12EB">
                <wp:simplePos x="0" y="0"/>
                <wp:positionH relativeFrom="column">
                  <wp:posOffset>4478020</wp:posOffset>
                </wp:positionH>
                <wp:positionV relativeFrom="paragraph">
                  <wp:posOffset>5080</wp:posOffset>
                </wp:positionV>
                <wp:extent cx="447675" cy="27622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76225"/>
                        </a:xfrm>
                        <a:prstGeom prst="rect">
                          <a:avLst/>
                        </a:prstGeom>
                        <a:noFill/>
                        <a:ln w="9525">
                          <a:noFill/>
                          <a:miter lim="800000"/>
                          <a:headEnd/>
                          <a:tailEnd/>
                        </a:ln>
                      </wps:spPr>
                      <wps:txbx>
                        <w:txbxContent>
                          <w:p w14:paraId="408A1605" w14:textId="5E0DFA74" w:rsidR="0074425D" w:rsidRPr="00DD06A7" w:rsidRDefault="0074425D" w:rsidP="00DD06A7">
                            <w:pPr>
                              <w:jc w:val="center"/>
                              <w:rPr>
                                <w:b/>
                              </w:rPr>
                            </w:pPr>
                            <w:r>
                              <w:rPr>
                                <w:b/>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0164" id="_x0000_s1033" type="#_x0000_t202" style="position:absolute;margin-left:352.6pt;margin-top:.4pt;width:35.25pt;height:21.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" filled="f" stroked="f">
                <v:textbox>
                  <w:txbxContent>
                    <w:p w14:paraId="408A1605" w14:textId="5E0DFA74" w:rsidR="0074425D" w:rsidRPr="00DD06A7" w:rsidRDefault="0074425D" w:rsidP="00DD06A7">
                      <w:pPr>
                        <w:jc w:val="center"/>
                        <w:rPr>
                          <w:b/>
                        </w:rPr>
                      </w:pPr>
                      <w:r>
                        <w:rPr>
                          <w:b/>
                        </w:rPr>
                        <w:t>C</w:t>
                      </w:r>
                    </w:p>
                  </w:txbxContent>
                </v:textbox>
              </v:shape>
            </w:pict>
          </mc:Fallback>
        </mc:AlternateContent>
      </w:r>
    </w:p>
    <w:p w14:paraId="0E5816CC" w14:textId="62206C68" w:rsidR="00065165" w:rsidRDefault="00065165" w:rsidP="00F83E70">
      <w:pPr>
        <w:spacing w:line="20" w:lineRule="atLeast"/>
        <w:rPr>
          <w:rFonts w:cs="Arial"/>
          <w:color w:val="000000" w:themeColor="text1"/>
        </w:rPr>
      </w:pPr>
    </w:p>
    <w:p w14:paraId="7A5A7A9E" w14:textId="6A7ADF34" w:rsidR="00065165" w:rsidRDefault="00DD06A7" w:rsidP="00F83E70">
      <w:pPr>
        <w:spacing w:line="20" w:lineRule="atLeast"/>
        <w:rPr>
          <w:rFonts w:cs="Arial"/>
          <w:color w:val="000000" w:themeColor="text1"/>
        </w:rPr>
      </w:pPr>
      <w:r>
        <w:rPr>
          <w:rFonts w:cs="Arial"/>
          <w:noProof/>
          <w:color w:val="000000" w:themeColor="text1"/>
          <w:lang w:eastAsia="en-GB" w:bidi="ar-SA"/>
        </w:rPr>
        <mc:AlternateContent>
          <mc:Choice Requires="wps">
            <w:drawing>
              <wp:anchor distT="0" distB="0" distL="114300" distR="114300" simplePos="0" relativeHeight="251658244" behindDoc="0" locked="0" layoutInCell="1" allowOverlap="1" wp14:anchorId="14566F6F" wp14:editId="009E8BA1">
                <wp:simplePos x="0" y="0"/>
                <wp:positionH relativeFrom="column">
                  <wp:posOffset>4178300</wp:posOffset>
                </wp:positionH>
                <wp:positionV relativeFrom="paragraph">
                  <wp:posOffset>164465</wp:posOffset>
                </wp:positionV>
                <wp:extent cx="1378585" cy="5943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594360"/>
                        </a:xfrm>
                        <a:prstGeom prst="rect">
                          <a:avLst/>
                        </a:prstGeom>
                        <a:solidFill>
                          <a:srgbClr val="FFFFFF"/>
                        </a:solidFill>
                        <a:ln w="9525">
                          <a:noFill/>
                          <a:miter lim="800000"/>
                          <a:headEnd/>
                          <a:tailEnd/>
                        </a:ln>
                      </wps:spPr>
                      <wps:txbx>
                        <w:txbxContent>
                          <w:p w14:paraId="6173BFC1" w14:textId="77777777" w:rsidR="0074425D" w:rsidRDefault="0074425D" w:rsidP="00065165">
                            <w:pPr>
                              <w:jc w:val="center"/>
                            </w:pPr>
                            <w:r>
                              <w:t xml:space="preserve">PRODUCTION STRAIN </w:t>
                            </w:r>
                          </w:p>
                          <w:p w14:paraId="30904953" w14:textId="6F8169EC" w:rsidR="0074425D" w:rsidRPr="00D351A4" w:rsidRDefault="0074425D" w:rsidP="00065165">
                            <w:pPr>
                              <w:jc w:val="center"/>
                              <w:rPr>
                                <w:b/>
                              </w:rPr>
                            </w:pPr>
                            <w:r>
                              <w:rPr>
                                <w:b/>
                              </w:rPr>
                              <w:t>RF10625</w:t>
                            </w:r>
                          </w:p>
                        </w:txbxContent>
                      </wps:txbx>
                      <wps:bodyPr rot="0" vert="horz" wrap="square" lIns="91440" tIns="45720" rIns="91440" bIns="45720" anchor="t" anchorCtr="0">
                        <a:noAutofit/>
                      </wps:bodyPr>
                    </wps:wsp>
                  </a:graphicData>
                </a:graphic>
              </wp:anchor>
            </w:drawing>
          </mc:Choice>
          <mc:Fallback>
            <w:pict>
              <v:shape w14:anchorId="14566F6F" id="Text Box 12" o:spid="_x0000_s1034" type="#_x0000_t202" style="position:absolute;margin-left:329pt;margin-top:12.95pt;width:108.55pt;height:46.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" stroked="f">
                <v:textbox>
                  <w:txbxContent>
                    <w:p w14:paraId="6173BFC1" w14:textId="77777777" w:rsidR="0074425D" w:rsidRDefault="0074425D" w:rsidP="00065165">
                      <w:pPr>
                        <w:jc w:val="center"/>
                      </w:pPr>
                      <w:r>
                        <w:t xml:space="preserve">PRODUCTION STRAIN </w:t>
                      </w:r>
                    </w:p>
                    <w:p w14:paraId="30904953" w14:textId="6F8169EC" w:rsidR="0074425D" w:rsidRPr="00D351A4" w:rsidRDefault="0074425D" w:rsidP="00065165">
                      <w:pPr>
                        <w:jc w:val="center"/>
                        <w:rPr>
                          <w:b/>
                        </w:rPr>
                      </w:pPr>
                      <w:r>
                        <w:rPr>
                          <w:b/>
                        </w:rPr>
                        <w:t>RF10625</w:t>
                      </w:r>
                    </w:p>
                  </w:txbxContent>
                </v:textbox>
              </v:shape>
            </w:pict>
          </mc:Fallback>
        </mc:AlternateContent>
      </w:r>
    </w:p>
    <w:p w14:paraId="22D97631" w14:textId="59E5AE70" w:rsidR="00065165" w:rsidRDefault="00065165" w:rsidP="00F83E70">
      <w:pPr>
        <w:spacing w:line="20" w:lineRule="atLeast"/>
        <w:rPr>
          <w:rFonts w:cs="Arial"/>
          <w:color w:val="000000" w:themeColor="text1"/>
        </w:rPr>
      </w:pPr>
    </w:p>
    <w:p w14:paraId="3F98A3A5" w14:textId="6A5D3DD6" w:rsidR="00065165" w:rsidRDefault="00065165" w:rsidP="00F83E70">
      <w:pPr>
        <w:spacing w:line="20" w:lineRule="atLeast"/>
        <w:rPr>
          <w:rFonts w:cs="Arial"/>
          <w:color w:val="000000" w:themeColor="text1"/>
        </w:rPr>
      </w:pPr>
    </w:p>
    <w:p w14:paraId="19CF9727" w14:textId="6EF7473C" w:rsidR="00065165" w:rsidRDefault="00065165" w:rsidP="00F83E70">
      <w:pPr>
        <w:spacing w:line="20" w:lineRule="atLeast"/>
        <w:rPr>
          <w:rFonts w:cs="Arial"/>
          <w:color w:val="000000" w:themeColor="text1"/>
        </w:rPr>
      </w:pPr>
    </w:p>
    <w:p w14:paraId="7DFDE6DF" w14:textId="77777777" w:rsidR="00492FBF" w:rsidRDefault="00492FBF" w:rsidP="00492FBF">
      <w:pPr>
        <w:pStyle w:val="FSFigureTitle"/>
      </w:pPr>
    </w:p>
    <w:p w14:paraId="2E5A178E" w14:textId="49FC2A11" w:rsidR="00C03861" w:rsidRDefault="00DD06A7" w:rsidP="00492FBF">
      <w:pPr>
        <w:pStyle w:val="FSFigureTitle"/>
      </w:pPr>
      <w:r w:rsidRPr="008279E9">
        <w:rPr>
          <w:b/>
        </w:rPr>
        <w:t xml:space="preserve">Figure </w:t>
      </w:r>
      <w:r w:rsidR="008279E9">
        <w:rPr>
          <w:b/>
        </w:rPr>
        <w:t>3</w:t>
      </w:r>
      <w:r w:rsidR="008279E9">
        <w:rPr>
          <w:b/>
        </w:rPr>
        <w:tab/>
      </w:r>
      <w:r>
        <w:t xml:space="preserve">Outline of the </w:t>
      </w:r>
      <w:r w:rsidR="00492FBF">
        <w:t xml:space="preserve">production strain development pathway </w:t>
      </w:r>
    </w:p>
    <w:p w14:paraId="130E976F" w14:textId="71370E43" w:rsidR="006109D9" w:rsidRDefault="006109D9">
      <w:pPr>
        <w:widowControl/>
        <w:rPr>
          <w:rFonts w:cs="Arial"/>
          <w:color w:val="000000" w:themeColor="text1"/>
        </w:rPr>
      </w:pPr>
    </w:p>
    <w:p w14:paraId="69CEE5C5" w14:textId="334ACBAD" w:rsidR="003507BC" w:rsidRDefault="003507BC" w:rsidP="00F83E70">
      <w:pPr>
        <w:spacing w:line="20" w:lineRule="atLeast"/>
        <w:rPr>
          <w:rFonts w:cs="Arial"/>
          <w:color w:val="000000" w:themeColor="text1"/>
        </w:rPr>
      </w:pPr>
      <w:r>
        <w:rPr>
          <w:rFonts w:cs="Arial"/>
          <w:color w:val="000000" w:themeColor="text1"/>
        </w:rPr>
        <w:t xml:space="preserve">The </w:t>
      </w:r>
      <w:r w:rsidR="00DD06A7">
        <w:rPr>
          <w:rFonts w:cs="Arial"/>
          <w:color w:val="000000" w:themeColor="text1"/>
        </w:rPr>
        <w:t xml:space="preserve">intermediate </w:t>
      </w:r>
      <w:r>
        <w:rPr>
          <w:rFonts w:cs="Arial"/>
          <w:color w:val="000000" w:themeColor="text1"/>
        </w:rPr>
        <w:t xml:space="preserve">strain </w:t>
      </w:r>
      <w:r w:rsidR="00DD06A7">
        <w:rPr>
          <w:rFonts w:cs="Arial"/>
          <w:color w:val="000000" w:themeColor="text1"/>
        </w:rPr>
        <w:t xml:space="preserve">IO-1 </w:t>
      </w:r>
      <w:r>
        <w:rPr>
          <w:rFonts w:cs="Arial"/>
          <w:color w:val="000000" w:themeColor="text1"/>
        </w:rPr>
        <w:t xml:space="preserve">derived from QM6a has been characterised by the </w:t>
      </w:r>
      <w:r w:rsidR="00BE22D0" w:rsidRPr="00BE22D0">
        <w:rPr>
          <w:rFonts w:cs="Arial"/>
          <w:color w:val="000000" w:themeColor="text1"/>
        </w:rPr>
        <w:t xml:space="preserve">Westerdijk Fungal Biodiversity Institute </w:t>
      </w:r>
      <w:r>
        <w:rPr>
          <w:rFonts w:cs="Arial"/>
          <w:color w:val="000000" w:themeColor="text1"/>
        </w:rPr>
        <w:t xml:space="preserve">(CBS) in the Netherlands. The characterisation was based on DNA sequence analysis </w:t>
      </w:r>
      <w:r w:rsidR="00065165">
        <w:rPr>
          <w:rFonts w:cs="Arial"/>
          <w:color w:val="000000" w:themeColor="text1"/>
        </w:rPr>
        <w:t>and</w:t>
      </w:r>
      <w:r>
        <w:rPr>
          <w:rFonts w:cs="Arial"/>
          <w:color w:val="000000" w:themeColor="text1"/>
        </w:rPr>
        <w:t xml:space="preserve"> confirmed the </w:t>
      </w:r>
      <w:r w:rsidR="00065165">
        <w:rPr>
          <w:rFonts w:cs="Arial"/>
          <w:color w:val="000000" w:themeColor="text1"/>
        </w:rPr>
        <w:t xml:space="preserve">taxonomy of the </w:t>
      </w:r>
      <w:r>
        <w:rPr>
          <w:rFonts w:cs="Arial"/>
          <w:color w:val="000000" w:themeColor="text1"/>
        </w:rPr>
        <w:t xml:space="preserve">organism as </w:t>
      </w:r>
      <w:r w:rsidRPr="003507BC">
        <w:rPr>
          <w:rFonts w:cs="Arial"/>
          <w:i/>
          <w:color w:val="000000" w:themeColor="text1"/>
        </w:rPr>
        <w:t>T. reesei</w:t>
      </w:r>
      <w:r>
        <w:rPr>
          <w:rFonts w:cs="Arial"/>
          <w:color w:val="000000" w:themeColor="text1"/>
        </w:rPr>
        <w:t xml:space="preserve">.  </w:t>
      </w:r>
    </w:p>
    <w:p w14:paraId="18AB754A" w14:textId="0BE79D08" w:rsidR="002C6004" w:rsidRDefault="002C6004" w:rsidP="002C6004">
      <w:pPr>
        <w:pStyle w:val="Heading3"/>
      </w:pPr>
      <w:bookmarkStart w:id="32" w:name="_Toc498940969"/>
      <w:bookmarkStart w:id="33" w:name="_Toc499282442"/>
      <w:bookmarkStart w:id="34" w:name="_Toc521683427"/>
      <w:bookmarkStart w:id="35" w:name="_Toc528243336"/>
      <w:r>
        <w:t>3.</w:t>
      </w:r>
      <w:r w:rsidR="00B950F0">
        <w:t>1</w:t>
      </w:r>
      <w:r>
        <w:t>.2</w:t>
      </w:r>
      <w:r>
        <w:tab/>
        <w:t>Gene donor organism(s)</w:t>
      </w:r>
      <w:bookmarkEnd w:id="32"/>
      <w:bookmarkEnd w:id="33"/>
      <w:bookmarkEnd w:id="34"/>
      <w:bookmarkEnd w:id="35"/>
      <w:r>
        <w:t xml:space="preserve"> </w:t>
      </w:r>
    </w:p>
    <w:p w14:paraId="056C8288" w14:textId="77777777" w:rsidR="00F83E70" w:rsidRDefault="00F83E70" w:rsidP="00F83E70">
      <w:pPr>
        <w:spacing w:line="20" w:lineRule="atLeast"/>
        <w:rPr>
          <w:i/>
          <w:lang w:eastAsia="en-AU" w:bidi="ar-SA"/>
        </w:rPr>
      </w:pPr>
      <w:r>
        <w:rPr>
          <w:i/>
          <w:lang w:eastAsia="en-AU" w:bidi="ar-SA"/>
        </w:rPr>
        <w:t>Fusarium oxysporum</w:t>
      </w:r>
    </w:p>
    <w:p w14:paraId="2ED85B2C" w14:textId="77777777" w:rsidR="00F83E70" w:rsidRDefault="00F83E70" w:rsidP="00F83E70">
      <w:pPr>
        <w:spacing w:line="20" w:lineRule="atLeast"/>
        <w:rPr>
          <w:rFonts w:cs="Arial"/>
          <w:color w:val="000000" w:themeColor="text1"/>
        </w:rPr>
      </w:pPr>
    </w:p>
    <w:p w14:paraId="3D2E7091" w14:textId="02A33D5A" w:rsidR="00F83E70" w:rsidRPr="003062EE" w:rsidRDefault="00B75BBE" w:rsidP="00F83E70">
      <w:pPr>
        <w:spacing w:line="20" w:lineRule="atLeast"/>
        <w:rPr>
          <w:rFonts w:cs="Arial"/>
          <w:color w:val="000000" w:themeColor="text1"/>
        </w:rPr>
      </w:pPr>
      <w:r>
        <w:rPr>
          <w:i/>
          <w:lang w:eastAsia="en-AU" w:bidi="ar-SA"/>
        </w:rPr>
        <w:t>F. oxysporum</w:t>
      </w:r>
      <w:r w:rsidRPr="002C3BF4">
        <w:rPr>
          <w:lang w:eastAsia="en-AU" w:bidi="ar-SA"/>
        </w:rPr>
        <w:t xml:space="preserve"> </w:t>
      </w:r>
      <w:r w:rsidRPr="00A83ECA">
        <w:rPr>
          <w:rFonts w:cs="Arial"/>
          <w:color w:val="000000" w:themeColor="text1"/>
        </w:rPr>
        <w:t xml:space="preserve">are </w:t>
      </w:r>
      <w:r>
        <w:rPr>
          <w:rFonts w:cs="Arial"/>
          <w:color w:val="000000" w:themeColor="text1"/>
        </w:rPr>
        <w:t>filamentous fungi</w:t>
      </w:r>
      <w:r w:rsidRPr="00A83ECA">
        <w:rPr>
          <w:rFonts w:cs="Arial"/>
          <w:color w:val="000000" w:themeColor="text1"/>
        </w:rPr>
        <w:t>, commonly found in soil</w:t>
      </w:r>
      <w:r>
        <w:rPr>
          <w:rFonts w:cs="Arial"/>
          <w:color w:val="000000" w:themeColor="text1"/>
        </w:rPr>
        <w:t xml:space="preserve">. Although many strains have been classed as Biosafety Level 1 organisms, there are several phyto-pathogenic strains that have been associated with opportunist infections in immunocompromised individuals (Nucci and Anaissie, 2007). </w:t>
      </w:r>
      <w:r w:rsidR="00F83E70">
        <w:rPr>
          <w:rFonts w:cs="Arial"/>
          <w:color w:val="000000" w:themeColor="text1"/>
        </w:rPr>
        <w:t xml:space="preserve">The gene sequence for the </w:t>
      </w:r>
      <w:r w:rsidR="00F83E70">
        <w:rPr>
          <w:rFonts w:cs="Arial"/>
        </w:rPr>
        <w:t>t</w:t>
      </w:r>
      <w:r w:rsidR="00F83E70" w:rsidRPr="00F83E70">
        <w:rPr>
          <w:rFonts w:cs="Arial"/>
        </w:rPr>
        <w:t>riacylglycerol lipase</w:t>
      </w:r>
      <w:r w:rsidR="00F83E70">
        <w:rPr>
          <w:rFonts w:cs="Arial"/>
          <w:color w:val="000000" w:themeColor="text1"/>
        </w:rPr>
        <w:t xml:space="preserve"> enzyme was </w:t>
      </w:r>
      <w:r w:rsidR="00736D5D">
        <w:rPr>
          <w:rFonts w:cs="Arial"/>
          <w:color w:val="000000" w:themeColor="text1"/>
        </w:rPr>
        <w:t>based on the gene from</w:t>
      </w:r>
      <w:r w:rsidR="00F83E70">
        <w:rPr>
          <w:rFonts w:cs="Arial"/>
          <w:color w:val="000000" w:themeColor="text1"/>
        </w:rPr>
        <w:t xml:space="preserve"> </w:t>
      </w:r>
      <w:r w:rsidR="00F83E70">
        <w:rPr>
          <w:i/>
          <w:lang w:eastAsia="en-AU" w:bidi="ar-SA"/>
        </w:rPr>
        <w:t>F. oxysporum</w:t>
      </w:r>
      <w:r w:rsidR="00F83E70" w:rsidRPr="002C3BF4">
        <w:rPr>
          <w:lang w:eastAsia="en-AU" w:bidi="ar-SA"/>
        </w:rPr>
        <w:t xml:space="preserve"> </w:t>
      </w:r>
      <w:r w:rsidR="00F83E70">
        <w:rPr>
          <w:lang w:eastAsia="en-AU" w:bidi="ar-SA"/>
        </w:rPr>
        <w:t>(</w:t>
      </w:r>
      <w:r w:rsidR="003507BC">
        <w:rPr>
          <w:lang w:eastAsia="en-AU" w:bidi="ar-SA"/>
        </w:rPr>
        <w:t>accession number CAB69359</w:t>
      </w:r>
      <w:r w:rsidR="00F83E70" w:rsidRPr="00A83ECA">
        <w:rPr>
          <w:lang w:eastAsia="en-AU" w:bidi="ar-SA"/>
        </w:rPr>
        <w:t>).</w:t>
      </w:r>
      <w:r w:rsidR="00F83E70" w:rsidRPr="00A83ECA">
        <w:rPr>
          <w:rFonts w:cs="Arial"/>
          <w:color w:val="000000" w:themeColor="text1"/>
        </w:rPr>
        <w:t xml:space="preserve"> </w:t>
      </w:r>
      <w:r w:rsidR="00736D5D">
        <w:t>The g</w:t>
      </w:r>
      <w:r w:rsidR="00736D5D">
        <w:rPr>
          <w:rFonts w:cs="Arial"/>
          <w:color w:val="000000" w:themeColor="text1"/>
        </w:rPr>
        <w:t xml:space="preserve">ene was chemically synthesised, to allow modification of the </w:t>
      </w:r>
      <w:r w:rsidR="008D2956">
        <w:rPr>
          <w:rFonts w:cs="Arial"/>
          <w:color w:val="000000" w:themeColor="text1"/>
        </w:rPr>
        <w:t xml:space="preserve">nucleotide </w:t>
      </w:r>
      <w:r w:rsidR="00736D5D">
        <w:rPr>
          <w:rFonts w:cs="Arial"/>
          <w:color w:val="000000" w:themeColor="text1"/>
        </w:rPr>
        <w:t>sequence to allow codon optimisation</w:t>
      </w:r>
      <w:r>
        <w:rPr>
          <w:rFonts w:cs="Arial"/>
          <w:color w:val="000000" w:themeColor="text1"/>
        </w:rPr>
        <w:t>. These modifications</w:t>
      </w:r>
      <w:r w:rsidR="00736D5D">
        <w:rPr>
          <w:rFonts w:cs="Arial"/>
          <w:color w:val="000000" w:themeColor="text1"/>
        </w:rPr>
        <w:t xml:space="preserve"> d</w:t>
      </w:r>
      <w:r>
        <w:rPr>
          <w:rFonts w:cs="Arial"/>
          <w:color w:val="000000" w:themeColor="text1"/>
        </w:rPr>
        <w:t>o</w:t>
      </w:r>
      <w:r w:rsidR="00736D5D">
        <w:rPr>
          <w:rFonts w:cs="Arial"/>
          <w:color w:val="000000" w:themeColor="text1"/>
        </w:rPr>
        <w:t xml:space="preserve"> not result in changes to the </w:t>
      </w:r>
      <w:r>
        <w:rPr>
          <w:rFonts w:cs="Arial"/>
          <w:color w:val="000000" w:themeColor="text1"/>
        </w:rPr>
        <w:t>encoded peptide</w:t>
      </w:r>
      <w:r w:rsidR="00736D5D">
        <w:rPr>
          <w:rFonts w:cs="Arial"/>
          <w:color w:val="000000" w:themeColor="text1"/>
        </w:rPr>
        <w:t xml:space="preserve"> sequence.</w:t>
      </w:r>
    </w:p>
    <w:p w14:paraId="39A12C63" w14:textId="77777777" w:rsidR="00F83E70" w:rsidRPr="003062EE" w:rsidRDefault="00F83E70" w:rsidP="00F83E70">
      <w:pPr>
        <w:spacing w:line="20" w:lineRule="atLeast"/>
        <w:rPr>
          <w:rFonts w:cs="Arial"/>
          <w:color w:val="000000" w:themeColor="text1"/>
        </w:rPr>
      </w:pPr>
    </w:p>
    <w:p w14:paraId="7730B744" w14:textId="77777777" w:rsidR="00F83E70" w:rsidRDefault="00F83E70" w:rsidP="00F83E70">
      <w:pPr>
        <w:spacing w:line="20" w:lineRule="atLeast"/>
        <w:rPr>
          <w:rFonts w:cs="Arial"/>
          <w:color w:val="000000" w:themeColor="text1"/>
        </w:rPr>
      </w:pPr>
      <w:r w:rsidRPr="004F42CE">
        <w:rPr>
          <w:rFonts w:cs="Arial"/>
          <w:i/>
          <w:color w:val="000000" w:themeColor="text1"/>
        </w:rPr>
        <w:t>Aspergillus nidulans</w:t>
      </w:r>
    </w:p>
    <w:p w14:paraId="22F39BB9" w14:textId="77777777" w:rsidR="00F83E70" w:rsidRDefault="00F83E70" w:rsidP="00F83E70">
      <w:pPr>
        <w:spacing w:line="20" w:lineRule="atLeast"/>
        <w:rPr>
          <w:rFonts w:cs="Arial"/>
          <w:color w:val="000000" w:themeColor="text1"/>
        </w:rPr>
      </w:pPr>
    </w:p>
    <w:p w14:paraId="76A9D0F6" w14:textId="718B1C17" w:rsidR="00F83E70" w:rsidRDefault="00F83E70" w:rsidP="00F83E70">
      <w:pPr>
        <w:spacing w:line="20" w:lineRule="atLeast"/>
        <w:rPr>
          <w:rFonts w:cs="Arial"/>
          <w:color w:val="000000" w:themeColor="text1"/>
        </w:rPr>
      </w:pPr>
      <w:r>
        <w:rPr>
          <w:rFonts w:cs="Arial"/>
          <w:color w:val="000000" w:themeColor="text1"/>
        </w:rPr>
        <w:t xml:space="preserve">The gene sequence for acetamidase, used as the selection marker for positive transformants, was initially isolated from </w:t>
      </w:r>
      <w:r w:rsidRPr="008156E7">
        <w:rPr>
          <w:rFonts w:cs="Arial"/>
          <w:i/>
          <w:color w:val="000000" w:themeColor="text1"/>
        </w:rPr>
        <w:t>Aspergillus nidulans</w:t>
      </w:r>
      <w:r>
        <w:rPr>
          <w:rFonts w:cs="Arial"/>
          <w:color w:val="000000" w:themeColor="text1"/>
        </w:rPr>
        <w:t xml:space="preserve"> VH1-TRSX6 (Kelly and Hynes, 1985; Pentilla et al, 1987). The majority of </w:t>
      </w:r>
      <w:r w:rsidRPr="008156E7">
        <w:rPr>
          <w:rFonts w:cs="Arial"/>
          <w:i/>
          <w:color w:val="000000" w:themeColor="text1"/>
        </w:rPr>
        <w:t>A. nidulans</w:t>
      </w:r>
      <w:r>
        <w:rPr>
          <w:rFonts w:cs="Arial"/>
          <w:color w:val="000000" w:themeColor="text1"/>
        </w:rPr>
        <w:t xml:space="preserve"> strains have been classed at the Biosafety Level 1, however some strains have been associated with opportunistic infections in immunocompromised individuals (Gabrielli et al, 2014; Sadarangani et al, 2015). As the gene sequence has been manipulated through standard DNA cloning methods subsequent to the original isolation from the donor organism, extraneous material from </w:t>
      </w:r>
      <w:r w:rsidRPr="008156E7">
        <w:rPr>
          <w:rFonts w:cs="Arial"/>
          <w:i/>
          <w:color w:val="000000" w:themeColor="text1"/>
        </w:rPr>
        <w:t>A. nidulans</w:t>
      </w:r>
      <w:r>
        <w:rPr>
          <w:rFonts w:cs="Arial"/>
          <w:color w:val="000000" w:themeColor="text1"/>
        </w:rPr>
        <w:t xml:space="preserve"> would not be carried across to the enzyme production organism.</w:t>
      </w:r>
    </w:p>
    <w:p w14:paraId="32C50EF2" w14:textId="3A06A82A" w:rsidR="002C6004" w:rsidRPr="00D67005" w:rsidRDefault="002C6004" w:rsidP="002C6004">
      <w:pPr>
        <w:pStyle w:val="Heading2"/>
      </w:pPr>
      <w:bookmarkStart w:id="36" w:name="_Toc499282443"/>
      <w:bookmarkStart w:id="37" w:name="_Toc505255640"/>
      <w:bookmarkStart w:id="38" w:name="_Toc521683428"/>
      <w:bookmarkStart w:id="39" w:name="_Toc528243337"/>
      <w:bookmarkStart w:id="40" w:name="_Toc498940971"/>
      <w:bookmarkStart w:id="41" w:name="_Toc499282444"/>
      <w:r>
        <w:t>3.</w:t>
      </w:r>
      <w:r w:rsidR="00B950F0">
        <w:t>2</w:t>
      </w:r>
      <w:r>
        <w:tab/>
        <w:t>Characterisation of the genetic modification(s)</w:t>
      </w:r>
      <w:bookmarkEnd w:id="36"/>
      <w:bookmarkEnd w:id="37"/>
      <w:bookmarkEnd w:id="38"/>
      <w:bookmarkEnd w:id="39"/>
    </w:p>
    <w:p w14:paraId="5E5D509E" w14:textId="4D75ACBE" w:rsidR="002C6004" w:rsidRDefault="00B950F0" w:rsidP="002C6004">
      <w:pPr>
        <w:pStyle w:val="Heading3"/>
      </w:pPr>
      <w:bookmarkStart w:id="42" w:name="_Toc521683429"/>
      <w:bookmarkStart w:id="43" w:name="_Toc528243338"/>
      <w:bookmarkEnd w:id="40"/>
      <w:bookmarkEnd w:id="41"/>
      <w:r>
        <w:t>3.2</w:t>
      </w:r>
      <w:r w:rsidR="002C6004">
        <w:t>.1</w:t>
      </w:r>
      <w:r w:rsidR="002C6004">
        <w:tab/>
        <w:t xml:space="preserve">Description of DNA to be introduced and method of </w:t>
      </w:r>
      <w:r w:rsidR="002C6004">
        <w:lastRenderedPageBreak/>
        <w:t>transformation</w:t>
      </w:r>
      <w:bookmarkEnd w:id="42"/>
      <w:bookmarkEnd w:id="43"/>
      <w:r w:rsidR="002C6004">
        <w:t xml:space="preserve"> </w:t>
      </w:r>
    </w:p>
    <w:p w14:paraId="37C89204" w14:textId="7CC909AB" w:rsidR="00F83E70" w:rsidRPr="00F83E70" w:rsidRDefault="00F83E70" w:rsidP="00F83E70">
      <w:pPr>
        <w:autoSpaceDE w:val="0"/>
        <w:autoSpaceDN w:val="0"/>
        <w:adjustRightInd w:val="0"/>
        <w:rPr>
          <w:rFonts w:cs="Arial"/>
          <w:color w:val="000000" w:themeColor="text1"/>
          <w:highlight w:val="lightGray"/>
        </w:rPr>
      </w:pPr>
      <w:r w:rsidRPr="00492FBF">
        <w:rPr>
          <w:rFonts w:cs="Arial"/>
          <w:color w:val="000000" w:themeColor="text1"/>
        </w:rPr>
        <w:t xml:space="preserve">A </w:t>
      </w:r>
      <w:r w:rsidRPr="00492FBF">
        <w:rPr>
          <w:rFonts w:cs="Arial"/>
          <w:i/>
          <w:color w:val="000000" w:themeColor="text1"/>
        </w:rPr>
        <w:t>T. reesei</w:t>
      </w:r>
      <w:r w:rsidRPr="00492FBF">
        <w:rPr>
          <w:rFonts w:cs="Arial"/>
          <w:color w:val="000000" w:themeColor="text1"/>
        </w:rPr>
        <w:t xml:space="preserve"> strain </w:t>
      </w:r>
      <w:r w:rsidR="00A33AB5">
        <w:rPr>
          <w:rFonts w:cs="Arial"/>
          <w:color w:val="000000" w:themeColor="text1"/>
        </w:rPr>
        <w:t xml:space="preserve">IO-2 </w:t>
      </w:r>
      <w:r w:rsidRPr="00492FBF">
        <w:rPr>
          <w:rFonts w:cs="Arial"/>
          <w:color w:val="000000" w:themeColor="text1"/>
        </w:rPr>
        <w:t xml:space="preserve">was transformed by a protoplast-mediated transformation procedure, using protoplasts prepared from hyphae (Penttila et al, </w:t>
      </w:r>
      <w:r w:rsidR="00D709CE" w:rsidRPr="00492FBF">
        <w:rPr>
          <w:rFonts w:cs="Arial"/>
          <w:color w:val="000000" w:themeColor="text1"/>
        </w:rPr>
        <w:t>1987</w:t>
      </w:r>
      <w:r w:rsidRPr="00492FBF">
        <w:rPr>
          <w:rFonts w:cs="Arial"/>
          <w:color w:val="000000" w:themeColor="text1"/>
        </w:rPr>
        <w:t>; Karhunen et al, 1993; Li et al, 2017). A purified linear DNA fragment encompassing two gene cassettes was included in the transformation mix to create the production strain. The ma</w:t>
      </w:r>
      <w:r w:rsidR="008279E9">
        <w:rPr>
          <w:rFonts w:cs="Arial"/>
          <w:color w:val="000000" w:themeColor="text1"/>
        </w:rPr>
        <w:t>in expression cassette (Figure 4</w:t>
      </w:r>
      <w:r w:rsidRPr="00492FBF">
        <w:rPr>
          <w:rFonts w:cs="Arial"/>
          <w:color w:val="000000" w:themeColor="text1"/>
        </w:rPr>
        <w:t xml:space="preserve">) contained </w:t>
      </w:r>
      <w:r w:rsidR="008D2956">
        <w:rPr>
          <w:rFonts w:cs="Arial"/>
          <w:color w:val="000000" w:themeColor="text1"/>
        </w:rPr>
        <w:t>t</w:t>
      </w:r>
      <w:r w:rsidR="00286391">
        <w:rPr>
          <w:rFonts w:cs="Arial"/>
          <w:color w:val="000000" w:themeColor="text1"/>
        </w:rPr>
        <w:t>he</w:t>
      </w:r>
      <w:r w:rsidRPr="00492FBF">
        <w:rPr>
          <w:rFonts w:cs="Arial"/>
          <w:color w:val="000000" w:themeColor="text1"/>
        </w:rPr>
        <w:t xml:space="preserve"> gene for </w:t>
      </w:r>
      <w:r w:rsidR="00286391">
        <w:rPr>
          <w:rFonts w:cs="Arial"/>
          <w:color w:val="000000" w:themeColor="text1"/>
        </w:rPr>
        <w:t>triacylglycerol lipase</w:t>
      </w:r>
      <w:r w:rsidRPr="00492FBF">
        <w:rPr>
          <w:rFonts w:cs="Arial"/>
          <w:color w:val="000000" w:themeColor="text1"/>
        </w:rPr>
        <w:t xml:space="preserve"> from </w:t>
      </w:r>
      <w:r w:rsidR="00286391">
        <w:rPr>
          <w:i/>
          <w:lang w:eastAsia="en-AU" w:bidi="ar-SA"/>
        </w:rPr>
        <w:t>F. oxysporum</w:t>
      </w:r>
      <w:r w:rsidRPr="00492FBF">
        <w:rPr>
          <w:rFonts w:cs="Arial"/>
          <w:color w:val="000000" w:themeColor="text1"/>
        </w:rPr>
        <w:t xml:space="preserve"> under the control of the well characterised promoter and terminator sequences from </w:t>
      </w:r>
      <w:r w:rsidRPr="00492FBF">
        <w:rPr>
          <w:rFonts w:cs="Arial"/>
          <w:i/>
          <w:color w:val="000000" w:themeColor="text1"/>
        </w:rPr>
        <w:t>T. reesei</w:t>
      </w:r>
      <w:r w:rsidRPr="00492FBF">
        <w:rPr>
          <w:rFonts w:cs="Arial"/>
          <w:color w:val="000000" w:themeColor="text1"/>
        </w:rPr>
        <w:t xml:space="preserve">. </w:t>
      </w:r>
      <w:r w:rsidR="00B535A0">
        <w:rPr>
          <w:rFonts w:cs="Arial"/>
          <w:color w:val="000000" w:themeColor="text1"/>
        </w:rPr>
        <w:t xml:space="preserve">Within the lipase gene sequence there is the natural signal peptide sequence, which ensures the enzyme is secreted. </w:t>
      </w:r>
      <w:r w:rsidR="008D2956">
        <w:rPr>
          <w:rFonts w:cs="Arial"/>
          <w:color w:val="000000" w:themeColor="text1"/>
        </w:rPr>
        <w:t>No backbone vector sequences were included in the transformation reaction.</w:t>
      </w:r>
    </w:p>
    <w:p w14:paraId="24967DBE" w14:textId="77777777" w:rsidR="00F83E70" w:rsidRPr="00F83E70" w:rsidRDefault="00F83E70" w:rsidP="00F83E70">
      <w:pPr>
        <w:autoSpaceDE w:val="0"/>
        <w:autoSpaceDN w:val="0"/>
        <w:adjustRightInd w:val="0"/>
        <w:rPr>
          <w:rFonts w:cs="Arial"/>
          <w:color w:val="000000" w:themeColor="text1"/>
          <w:highlight w:val="lightGray"/>
        </w:rPr>
      </w:pPr>
    </w:p>
    <w:p w14:paraId="3C62B724" w14:textId="37FE1C94" w:rsidR="00F83E70" w:rsidRPr="00F83E70" w:rsidRDefault="00A16B67" w:rsidP="007603F1">
      <w:pPr>
        <w:keepNext/>
        <w:keepLines/>
        <w:widowControl/>
        <w:autoSpaceDE w:val="0"/>
        <w:autoSpaceDN w:val="0"/>
        <w:adjustRightInd w:val="0"/>
        <w:rPr>
          <w:rFonts w:cs="Arial"/>
          <w:color w:val="000000" w:themeColor="text1"/>
          <w:highlight w:val="lightGray"/>
        </w:rPr>
      </w:pPr>
      <w:r>
        <w:rPr>
          <w:rFonts w:cs="Arial"/>
          <w:noProof/>
          <w:color w:val="000000" w:themeColor="text1"/>
          <w:lang w:eastAsia="en-GB" w:bidi="ar-SA"/>
        </w:rPr>
        <mc:AlternateContent>
          <mc:Choice Requires="wpg">
            <w:drawing>
              <wp:anchor distT="0" distB="0" distL="114300" distR="114300" simplePos="0" relativeHeight="251658241" behindDoc="0" locked="0" layoutInCell="1" allowOverlap="1" wp14:anchorId="2A9B3255" wp14:editId="58B84241">
                <wp:simplePos x="0" y="0"/>
                <wp:positionH relativeFrom="column">
                  <wp:posOffset>356870</wp:posOffset>
                </wp:positionH>
                <wp:positionV relativeFrom="paragraph">
                  <wp:posOffset>80645</wp:posOffset>
                </wp:positionV>
                <wp:extent cx="4175760" cy="238125"/>
                <wp:effectExtent l="0" t="0" r="34290" b="28575"/>
                <wp:wrapNone/>
                <wp:docPr id="4" name="Group 4"/>
                <wp:cNvGraphicFramePr/>
                <a:graphic xmlns:a="http://schemas.openxmlformats.org/drawingml/2006/main">
                  <a:graphicData uri="http://schemas.microsoft.com/office/word/2010/wordprocessingGroup">
                    <wpg:wgp>
                      <wpg:cNvGrpSpPr/>
                      <wpg:grpSpPr>
                        <a:xfrm>
                          <a:off x="0" y="0"/>
                          <a:ext cx="4175760" cy="238125"/>
                          <a:chOff x="0" y="0"/>
                          <a:chExt cx="4175760" cy="238125"/>
                        </a:xfrm>
                      </wpg:grpSpPr>
                      <wps:wsp>
                        <wps:cNvPr id="20" name="Straight Connector 20"/>
                        <wps:cNvCnPr/>
                        <wps:spPr>
                          <a:xfrm flipV="1">
                            <a:off x="0" y="133350"/>
                            <a:ext cx="41757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Pentagon 21"/>
                        <wps:cNvSpPr/>
                        <wps:spPr>
                          <a:xfrm>
                            <a:off x="104775" y="0"/>
                            <a:ext cx="1583690" cy="238125"/>
                          </a:xfrm>
                          <a:prstGeom prst="homePlate">
                            <a:avLst/>
                          </a:prstGeom>
                          <a:solidFill>
                            <a:schemeClr val="bg1">
                              <a:lumMod val="65000"/>
                            </a:schemeClr>
                          </a:solid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B5DD1" w14:textId="77777777" w:rsidR="0074425D" w:rsidRPr="003D77CE" w:rsidRDefault="0074425D" w:rsidP="00F83E70">
                              <w:pPr>
                                <w:jc w:val="center"/>
                                <w:rPr>
                                  <w:b/>
                                  <w:sz w:val="18"/>
                                  <w:lang w:val="en-AU"/>
                                </w:rPr>
                              </w:pPr>
                              <w:r w:rsidRPr="003D77CE">
                                <w:rPr>
                                  <w:b/>
                                  <w:sz w:val="18"/>
                                  <w:lang w:val="en-AU"/>
                                </w:rPr>
                                <w:t>Promoter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743075" y="0"/>
                            <a:ext cx="1115695" cy="237490"/>
                          </a:xfrm>
                          <a:prstGeom prst="rect">
                            <a:avLst/>
                          </a:prstGeom>
                          <a:solidFill>
                            <a:schemeClr val="tx1">
                              <a:lumMod val="95000"/>
                              <a:lumOff val="5000"/>
                            </a:schemeClr>
                          </a:solid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E7E33" w14:textId="5BFBEF92" w:rsidR="0074425D" w:rsidRPr="003D77CE" w:rsidRDefault="0074425D" w:rsidP="00F83E70">
                              <w:pPr>
                                <w:jc w:val="center"/>
                                <w:rPr>
                                  <w:b/>
                                  <w:i/>
                                  <w:sz w:val="18"/>
                                  <w:lang w:val="en-AU"/>
                                </w:rPr>
                              </w:pPr>
                              <w:r>
                                <w:rPr>
                                  <w:b/>
                                  <w:i/>
                                  <w:sz w:val="18"/>
                                  <w:lang w:val="en-AU"/>
                                </w:rPr>
                                <w:t>Lipase gene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876550" y="0"/>
                            <a:ext cx="1184275" cy="237490"/>
                          </a:xfrm>
                          <a:prstGeom prst="rect">
                            <a:avLst/>
                          </a:prstGeom>
                          <a:solidFill>
                            <a:schemeClr val="bg1">
                              <a:lumMod val="6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B6674" w14:textId="77777777" w:rsidR="0074425D" w:rsidRPr="003D77CE" w:rsidRDefault="0074425D" w:rsidP="00F83E70">
                              <w:pPr>
                                <w:jc w:val="center"/>
                                <w:rPr>
                                  <w:b/>
                                  <w:sz w:val="18"/>
                                  <w:lang w:val="en-AU"/>
                                </w:rPr>
                              </w:pPr>
                              <w:r w:rsidRPr="003D77CE">
                                <w:rPr>
                                  <w:b/>
                                  <w:sz w:val="18"/>
                                  <w:lang w:val="en-AU"/>
                                </w:rPr>
                                <w:t>Terminator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9B3255" id="Group 4" o:spid="_x0000_s1035" style="position:absolute;margin-left:28.1pt;margin-top:6.35pt;width:328.8pt;height:18.75pt;z-index:251658241" coordsize="41757,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">
                <v:line id="Straight Connector 20" o:spid="_x0000_s1036" style="position:absolute;flip:y;visibility:visible;mso-wrap-style:square" from="0,1333" to="41757,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" strokecolor="black [3213]" strokeweight="3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1" o:spid="_x0000_s1037" type="#_x0000_t15" style="position:absolute;left:1047;width:1583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" adj="19976" fillcolor="#a5a5a5 [2092]" strokecolor="#404040 [2429]" strokeweight=".25pt">
                  <v:textbox>
                    <w:txbxContent>
                      <w:p w14:paraId="6E6B5DD1" w14:textId="77777777" w:rsidR="0074425D" w:rsidRPr="003D77CE" w:rsidRDefault="0074425D" w:rsidP="00F83E70">
                        <w:pPr>
                          <w:jc w:val="center"/>
                          <w:rPr>
                            <w:b/>
                            <w:sz w:val="18"/>
                            <w:lang w:val="en-AU"/>
                          </w:rPr>
                        </w:pPr>
                        <w:r w:rsidRPr="003D77CE">
                          <w:rPr>
                            <w:b/>
                            <w:sz w:val="18"/>
                            <w:lang w:val="en-AU"/>
                          </w:rPr>
                          <w:t>Promoter</w:t>
                        </w:r>
                      </w:p>
                    </w:txbxContent>
                  </v:textbox>
                </v:shape>
                <v:rect id="Rectangle 22" o:spid="_x0000_s1038" style="position:absolute;left:17430;width:11157;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" fillcolor="#0d0d0d [3069]" strokecolor="#0d0d0d [3069]" strokeweight=".25pt">
                  <v:textbox>
                    <w:txbxContent>
                      <w:p w14:paraId="796E7E33" w14:textId="5BFBEF92" w:rsidR="0074425D" w:rsidRPr="003D77CE" w:rsidRDefault="0074425D" w:rsidP="00F83E70">
                        <w:pPr>
                          <w:jc w:val="center"/>
                          <w:rPr>
                            <w:b/>
                            <w:i/>
                            <w:sz w:val="18"/>
                            <w:lang w:val="en-AU"/>
                          </w:rPr>
                        </w:pPr>
                        <w:r>
                          <w:rPr>
                            <w:b/>
                            <w:i/>
                            <w:sz w:val="18"/>
                            <w:lang w:val="en-AU"/>
                          </w:rPr>
                          <w:t>Lipase gene</w:t>
                        </w:r>
                      </w:p>
                    </w:txbxContent>
                  </v:textbox>
                </v:rect>
                <v:rect id="Rectangle 26" o:spid="_x0000_s1039" style="position:absolute;left:28765;width:1184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" fillcolor="#a5a5a5 [2092]" strokecolor="#7f7f7f [1612]" strokeweight=".25pt">
                  <v:textbox>
                    <w:txbxContent>
                      <w:p w14:paraId="3F5B6674" w14:textId="77777777" w:rsidR="0074425D" w:rsidRPr="003D77CE" w:rsidRDefault="0074425D" w:rsidP="00F83E70">
                        <w:pPr>
                          <w:jc w:val="center"/>
                          <w:rPr>
                            <w:b/>
                            <w:sz w:val="18"/>
                            <w:lang w:val="en-AU"/>
                          </w:rPr>
                        </w:pPr>
                        <w:r w:rsidRPr="003D77CE">
                          <w:rPr>
                            <w:b/>
                            <w:sz w:val="18"/>
                            <w:lang w:val="en-AU"/>
                          </w:rPr>
                          <w:t>Terminator</w:t>
                        </w:r>
                      </w:p>
                    </w:txbxContent>
                  </v:textbox>
                </v:rect>
              </v:group>
            </w:pict>
          </mc:Fallback>
        </mc:AlternateContent>
      </w:r>
    </w:p>
    <w:p w14:paraId="3218C71B" w14:textId="4C92C3B8" w:rsidR="00F83E70" w:rsidRPr="00F83E70" w:rsidRDefault="00F83E70" w:rsidP="007603F1">
      <w:pPr>
        <w:keepNext/>
        <w:keepLines/>
        <w:widowControl/>
        <w:autoSpaceDE w:val="0"/>
        <w:autoSpaceDN w:val="0"/>
        <w:adjustRightInd w:val="0"/>
        <w:rPr>
          <w:rFonts w:cs="Arial"/>
          <w:color w:val="000000" w:themeColor="text1"/>
          <w:highlight w:val="lightGray"/>
        </w:rPr>
      </w:pPr>
    </w:p>
    <w:p w14:paraId="7B9B2747" w14:textId="77777777" w:rsidR="00F83E70" w:rsidRPr="00F83E70" w:rsidRDefault="00F83E70" w:rsidP="007603F1">
      <w:pPr>
        <w:keepNext/>
        <w:keepLines/>
        <w:widowControl/>
        <w:autoSpaceDE w:val="0"/>
        <w:autoSpaceDN w:val="0"/>
        <w:adjustRightInd w:val="0"/>
        <w:rPr>
          <w:rFonts w:cs="Arial"/>
          <w:color w:val="000000" w:themeColor="text1"/>
          <w:highlight w:val="lightGray"/>
        </w:rPr>
      </w:pPr>
    </w:p>
    <w:p w14:paraId="0A3ED225" w14:textId="614F1FF0" w:rsidR="00F83E70" w:rsidRPr="008D2956" w:rsidRDefault="008279E9" w:rsidP="007603F1">
      <w:pPr>
        <w:pStyle w:val="FSFigureTitle"/>
        <w:keepNext/>
        <w:keepLines/>
        <w:widowControl/>
      </w:pPr>
      <w:r>
        <w:rPr>
          <w:b/>
        </w:rPr>
        <w:t>Figure 4</w:t>
      </w:r>
      <w:r>
        <w:rPr>
          <w:b/>
        </w:rPr>
        <w:tab/>
      </w:r>
      <w:r w:rsidR="00F83E70" w:rsidRPr="008D2956">
        <w:t xml:space="preserve">The </w:t>
      </w:r>
      <w:r w:rsidR="008D2956" w:rsidRPr="008D2956">
        <w:t xml:space="preserve">triacylglycerol lipase </w:t>
      </w:r>
      <w:r w:rsidR="00F83E70" w:rsidRPr="008D2956">
        <w:t>gene cassette</w:t>
      </w:r>
    </w:p>
    <w:p w14:paraId="271098F4" w14:textId="77777777" w:rsidR="00F83E70" w:rsidRPr="00F83E70" w:rsidRDefault="00F83E70" w:rsidP="00F83E70">
      <w:pPr>
        <w:autoSpaceDE w:val="0"/>
        <w:autoSpaceDN w:val="0"/>
        <w:adjustRightInd w:val="0"/>
        <w:rPr>
          <w:rFonts w:cs="Arial"/>
          <w:color w:val="000000" w:themeColor="text1"/>
          <w:highlight w:val="lightGray"/>
        </w:rPr>
      </w:pPr>
    </w:p>
    <w:p w14:paraId="42C8955E" w14:textId="37D8399E" w:rsidR="00F83E70" w:rsidRDefault="00F83E70" w:rsidP="00F83E70">
      <w:pPr>
        <w:autoSpaceDE w:val="0"/>
        <w:autoSpaceDN w:val="0"/>
        <w:adjustRightInd w:val="0"/>
        <w:rPr>
          <w:rFonts w:cs="Arial"/>
          <w:color w:val="000000" w:themeColor="text1"/>
        </w:rPr>
      </w:pPr>
      <w:r w:rsidRPr="00492FBF">
        <w:rPr>
          <w:rFonts w:cs="Arial"/>
          <w:color w:val="000000" w:themeColor="text1"/>
        </w:rPr>
        <w:t>A second gene cassette was also located in</w:t>
      </w:r>
      <w:r>
        <w:rPr>
          <w:rFonts w:cs="Arial"/>
          <w:color w:val="000000" w:themeColor="text1"/>
        </w:rPr>
        <w:t xml:space="preserve"> the DNA fragment, encoding for the acetamidase gene (</w:t>
      </w:r>
      <w:r w:rsidRPr="004F42CE">
        <w:rPr>
          <w:rFonts w:cs="Arial"/>
          <w:i/>
          <w:color w:val="000000" w:themeColor="text1"/>
        </w:rPr>
        <w:t>amdS</w:t>
      </w:r>
      <w:r>
        <w:rPr>
          <w:rFonts w:cs="Arial"/>
          <w:i/>
          <w:color w:val="000000" w:themeColor="text1"/>
        </w:rPr>
        <w:t>)</w:t>
      </w:r>
      <w:r>
        <w:rPr>
          <w:rFonts w:cs="Arial"/>
          <w:color w:val="000000" w:themeColor="text1"/>
        </w:rPr>
        <w:t xml:space="preserve"> </w:t>
      </w:r>
      <w:r w:rsidRPr="004F42CE">
        <w:rPr>
          <w:rFonts w:cs="Arial"/>
          <w:color w:val="000000" w:themeColor="text1"/>
        </w:rPr>
        <w:t>from</w:t>
      </w:r>
      <w:r w:rsidRPr="004F42CE">
        <w:rPr>
          <w:rFonts w:cs="Arial"/>
          <w:i/>
          <w:color w:val="000000" w:themeColor="text1"/>
        </w:rPr>
        <w:t xml:space="preserve"> A</w:t>
      </w:r>
      <w:r>
        <w:rPr>
          <w:rFonts w:cs="Arial"/>
          <w:i/>
          <w:color w:val="000000" w:themeColor="text1"/>
        </w:rPr>
        <w:t>. </w:t>
      </w:r>
      <w:r w:rsidRPr="004F42CE">
        <w:rPr>
          <w:rFonts w:cs="Arial"/>
          <w:i/>
          <w:color w:val="000000" w:themeColor="text1"/>
        </w:rPr>
        <w:t>nidulans</w:t>
      </w:r>
      <w:r>
        <w:rPr>
          <w:rFonts w:cs="Arial"/>
          <w:color w:val="000000" w:themeColor="text1"/>
        </w:rPr>
        <w:t xml:space="preserve">. This gene </w:t>
      </w:r>
      <w:r w:rsidR="00955C49">
        <w:rPr>
          <w:rFonts w:cs="Arial"/>
          <w:color w:val="000000" w:themeColor="text1"/>
        </w:rPr>
        <w:t xml:space="preserve">is </w:t>
      </w:r>
      <w:r w:rsidR="00535785">
        <w:rPr>
          <w:rFonts w:cs="Arial"/>
          <w:color w:val="000000" w:themeColor="text1"/>
        </w:rPr>
        <w:t>not an antibiotic resistance gene</w:t>
      </w:r>
      <w:r w:rsidR="00955C49">
        <w:rPr>
          <w:rFonts w:cs="Arial"/>
          <w:color w:val="000000" w:themeColor="text1"/>
        </w:rPr>
        <w:t xml:space="preserve"> but</w:t>
      </w:r>
      <w:r>
        <w:rPr>
          <w:rFonts w:cs="Arial"/>
          <w:color w:val="000000" w:themeColor="text1"/>
        </w:rPr>
        <w:t xml:space="preserve"> allows for selection of transformants on acetamide-containing media.</w:t>
      </w:r>
    </w:p>
    <w:p w14:paraId="7ECD3481" w14:textId="59DDB201" w:rsidR="002C6004" w:rsidRDefault="002C6004" w:rsidP="002C6004">
      <w:pPr>
        <w:pStyle w:val="Heading3"/>
      </w:pPr>
      <w:bookmarkStart w:id="44" w:name="_Toc498940972"/>
      <w:bookmarkStart w:id="45" w:name="_Toc499282445"/>
      <w:bookmarkStart w:id="46" w:name="_Toc521683430"/>
      <w:bookmarkStart w:id="47" w:name="_Toc528243339"/>
      <w:bookmarkStart w:id="48" w:name="_Toc498940973"/>
      <w:r>
        <w:t>3.</w:t>
      </w:r>
      <w:r w:rsidR="00B950F0">
        <w:t>2</w:t>
      </w:r>
      <w:r>
        <w:t>.2</w:t>
      </w:r>
      <w:r>
        <w:tab/>
        <w:t>Characterisation of inserted DNA</w:t>
      </w:r>
      <w:bookmarkEnd w:id="44"/>
      <w:bookmarkEnd w:id="45"/>
      <w:bookmarkEnd w:id="46"/>
      <w:bookmarkEnd w:id="47"/>
    </w:p>
    <w:p w14:paraId="23F38B96" w14:textId="074741F5" w:rsidR="00F83E70" w:rsidRDefault="00F83E70" w:rsidP="00F83E70">
      <w:pPr>
        <w:rPr>
          <w:rFonts w:cs="Arial"/>
          <w:color w:val="000000" w:themeColor="text1"/>
        </w:rPr>
      </w:pPr>
      <w:r w:rsidRPr="00D52D3B">
        <w:rPr>
          <w:rFonts w:cs="Arial"/>
          <w:color w:val="000000" w:themeColor="text1"/>
        </w:rPr>
        <w:t>Southern blotting was performed on genomic DNA extracted from the production and parental host strain</w:t>
      </w:r>
      <w:r w:rsidR="00DA2940">
        <w:rPr>
          <w:rFonts w:cs="Arial"/>
          <w:color w:val="000000" w:themeColor="text1"/>
        </w:rPr>
        <w:t xml:space="preserve"> and digested with various restriction enzymes</w:t>
      </w:r>
      <w:r w:rsidRPr="00D52D3B">
        <w:rPr>
          <w:rFonts w:cs="Arial"/>
          <w:color w:val="000000" w:themeColor="text1"/>
        </w:rPr>
        <w:t xml:space="preserve">. </w:t>
      </w:r>
      <w:r w:rsidR="00DA2940">
        <w:rPr>
          <w:rFonts w:cs="Arial"/>
          <w:color w:val="000000" w:themeColor="text1"/>
        </w:rPr>
        <w:t>H</w:t>
      </w:r>
      <w:r w:rsidRPr="00D52D3B">
        <w:rPr>
          <w:rFonts w:cs="Arial"/>
          <w:color w:val="000000" w:themeColor="text1"/>
        </w:rPr>
        <w:t>ybridis</w:t>
      </w:r>
      <w:r w:rsidR="00DA2940">
        <w:rPr>
          <w:rFonts w:cs="Arial"/>
          <w:color w:val="000000" w:themeColor="text1"/>
        </w:rPr>
        <w:t>ation</w:t>
      </w:r>
      <w:r w:rsidRPr="00D52D3B">
        <w:rPr>
          <w:rFonts w:cs="Arial"/>
          <w:color w:val="000000" w:themeColor="text1"/>
        </w:rPr>
        <w:t xml:space="preserve"> with a probe that encompassed the complete DNA fragment introduced into the production strain</w:t>
      </w:r>
      <w:r w:rsidR="00026FA5">
        <w:rPr>
          <w:rFonts w:cs="Arial"/>
          <w:color w:val="000000" w:themeColor="text1"/>
        </w:rPr>
        <w:t xml:space="preserve"> </w:t>
      </w:r>
      <w:r w:rsidRPr="00D52D3B">
        <w:rPr>
          <w:rFonts w:cs="Arial"/>
          <w:color w:val="000000" w:themeColor="text1"/>
        </w:rPr>
        <w:t xml:space="preserve">showed that </w:t>
      </w:r>
      <w:r w:rsidR="00401D59">
        <w:rPr>
          <w:rFonts w:cs="Arial"/>
          <w:color w:val="000000" w:themeColor="text1"/>
        </w:rPr>
        <w:t>more than one copy of the</w:t>
      </w:r>
      <w:r w:rsidRPr="00D52D3B">
        <w:rPr>
          <w:rFonts w:cs="Arial"/>
          <w:color w:val="000000" w:themeColor="text1"/>
        </w:rPr>
        <w:t xml:space="preserve"> complete insert has been </w:t>
      </w:r>
      <w:r w:rsidR="00237587">
        <w:rPr>
          <w:rFonts w:cs="Arial"/>
          <w:color w:val="000000" w:themeColor="text1"/>
        </w:rPr>
        <w:t xml:space="preserve">randomly </w:t>
      </w:r>
      <w:r w:rsidRPr="00D52D3B">
        <w:rPr>
          <w:rFonts w:cs="Arial"/>
          <w:color w:val="000000" w:themeColor="text1"/>
        </w:rPr>
        <w:t>integrated into the host’s genome</w:t>
      </w:r>
      <w:r w:rsidR="00237587">
        <w:rPr>
          <w:rFonts w:cs="Arial"/>
          <w:color w:val="000000" w:themeColor="text1"/>
        </w:rPr>
        <w:t xml:space="preserve">, </w:t>
      </w:r>
      <w:r w:rsidR="00F372CA">
        <w:rPr>
          <w:rFonts w:cs="Arial"/>
          <w:color w:val="000000" w:themeColor="text1"/>
        </w:rPr>
        <w:t>and</w:t>
      </w:r>
      <w:r w:rsidR="00237587">
        <w:rPr>
          <w:rFonts w:cs="Arial"/>
          <w:color w:val="000000" w:themeColor="text1"/>
        </w:rPr>
        <w:t xml:space="preserve"> one</w:t>
      </w:r>
      <w:r w:rsidR="00401D59">
        <w:rPr>
          <w:rFonts w:cs="Arial"/>
          <w:color w:val="000000" w:themeColor="text1"/>
        </w:rPr>
        <w:t xml:space="preserve"> tandem integration</w:t>
      </w:r>
      <w:r w:rsidR="00F372CA">
        <w:rPr>
          <w:rFonts w:cs="Arial"/>
          <w:color w:val="000000" w:themeColor="text1"/>
        </w:rPr>
        <w:t xml:space="preserve"> was identified</w:t>
      </w:r>
      <w:r w:rsidRPr="00D52D3B">
        <w:rPr>
          <w:rFonts w:cs="Arial"/>
          <w:color w:val="000000" w:themeColor="text1"/>
        </w:rPr>
        <w:t xml:space="preserve">. </w:t>
      </w:r>
      <w:r w:rsidR="00DA2940">
        <w:rPr>
          <w:rFonts w:cs="Arial"/>
          <w:color w:val="000000" w:themeColor="text1"/>
        </w:rPr>
        <w:t>H</w:t>
      </w:r>
      <w:r w:rsidR="00401D59" w:rsidRPr="00D52D3B">
        <w:rPr>
          <w:rFonts w:cs="Arial"/>
          <w:color w:val="000000" w:themeColor="text1"/>
        </w:rPr>
        <w:t>ybridis</w:t>
      </w:r>
      <w:r w:rsidR="00DA2940">
        <w:rPr>
          <w:rFonts w:cs="Arial"/>
          <w:color w:val="000000" w:themeColor="text1"/>
        </w:rPr>
        <w:t>ation</w:t>
      </w:r>
      <w:r w:rsidR="00401D59" w:rsidRPr="00D52D3B">
        <w:rPr>
          <w:rFonts w:cs="Arial"/>
          <w:color w:val="000000" w:themeColor="text1"/>
        </w:rPr>
        <w:t xml:space="preserve"> with a probe</w:t>
      </w:r>
      <w:r w:rsidRPr="00D52D3B">
        <w:rPr>
          <w:rFonts w:cs="Arial"/>
          <w:color w:val="000000" w:themeColor="text1"/>
        </w:rPr>
        <w:t xml:space="preserve"> that </w:t>
      </w:r>
      <w:r w:rsidR="00401D59" w:rsidRPr="00D52D3B">
        <w:rPr>
          <w:rFonts w:cs="Arial"/>
          <w:color w:val="000000" w:themeColor="text1"/>
        </w:rPr>
        <w:t xml:space="preserve">encompassed </w:t>
      </w:r>
      <w:r w:rsidR="00DA2940">
        <w:rPr>
          <w:rFonts w:cs="Arial"/>
          <w:color w:val="000000" w:themeColor="text1"/>
        </w:rPr>
        <w:t xml:space="preserve">just </w:t>
      </w:r>
      <w:r w:rsidR="00401D59">
        <w:rPr>
          <w:rFonts w:cs="Arial"/>
          <w:color w:val="000000" w:themeColor="text1"/>
        </w:rPr>
        <w:t>the lipase gene confirmed that there were multiple integration events and a tandem insertion.</w:t>
      </w:r>
      <w:r>
        <w:rPr>
          <w:rFonts w:cs="Arial"/>
          <w:color w:val="000000" w:themeColor="text1"/>
        </w:rPr>
        <w:t xml:space="preserve"> </w:t>
      </w:r>
      <w:r w:rsidRPr="00D52D3B">
        <w:rPr>
          <w:rFonts w:cs="Arial"/>
          <w:color w:val="000000" w:themeColor="text1"/>
        </w:rPr>
        <w:t xml:space="preserve">No hybridisation was observed in the </w:t>
      </w:r>
      <w:r w:rsidR="00D52D3B" w:rsidRPr="00D52D3B">
        <w:rPr>
          <w:rFonts w:cs="Arial"/>
          <w:color w:val="000000" w:themeColor="text1"/>
        </w:rPr>
        <w:t>host</w:t>
      </w:r>
      <w:r w:rsidRPr="00D52D3B">
        <w:rPr>
          <w:rFonts w:cs="Arial"/>
          <w:color w:val="000000" w:themeColor="text1"/>
        </w:rPr>
        <w:t xml:space="preserve"> strain</w:t>
      </w:r>
      <w:r w:rsidR="00D72E71">
        <w:rPr>
          <w:rFonts w:cs="Arial"/>
          <w:color w:val="000000" w:themeColor="text1"/>
        </w:rPr>
        <w:t xml:space="preserve"> for either the full-length insert probe or the lipase gene probe</w:t>
      </w:r>
      <w:r w:rsidRPr="00D52D3B">
        <w:rPr>
          <w:rFonts w:cs="Arial"/>
          <w:color w:val="000000" w:themeColor="text1"/>
        </w:rPr>
        <w:t>.</w:t>
      </w:r>
    </w:p>
    <w:p w14:paraId="0026BC94" w14:textId="6368A20B" w:rsidR="00A738DE" w:rsidRDefault="00A738DE" w:rsidP="00F83E70">
      <w:pPr>
        <w:rPr>
          <w:rFonts w:cs="Arial"/>
          <w:color w:val="000000" w:themeColor="text1"/>
        </w:rPr>
      </w:pPr>
    </w:p>
    <w:p w14:paraId="401D5F01" w14:textId="7AD16D70" w:rsidR="00D72E71" w:rsidRPr="00D52D3B" w:rsidRDefault="00D72E71" w:rsidP="00F83E70">
      <w:pPr>
        <w:rPr>
          <w:rFonts w:cs="Arial"/>
          <w:color w:val="000000" w:themeColor="text1"/>
        </w:rPr>
      </w:pPr>
      <w:bookmarkStart w:id="49" w:name="_Toc499282446"/>
      <w:r>
        <w:rPr>
          <w:rFonts w:cs="Arial"/>
          <w:color w:val="000000" w:themeColor="text1"/>
        </w:rPr>
        <w:t xml:space="preserve">In order to confirm absence of the plasmid backbone sequence, </w:t>
      </w:r>
      <w:r w:rsidR="00A62794">
        <w:rPr>
          <w:rFonts w:cs="Arial"/>
          <w:color w:val="000000" w:themeColor="text1"/>
        </w:rPr>
        <w:t>h</w:t>
      </w:r>
      <w:r>
        <w:rPr>
          <w:rFonts w:cs="Arial"/>
          <w:color w:val="000000" w:themeColor="text1"/>
        </w:rPr>
        <w:t>ybridis</w:t>
      </w:r>
      <w:r w:rsidR="00A62794">
        <w:rPr>
          <w:rFonts w:cs="Arial"/>
          <w:color w:val="000000" w:themeColor="text1"/>
        </w:rPr>
        <w:t>ation</w:t>
      </w:r>
      <w:r>
        <w:rPr>
          <w:rFonts w:cs="Arial"/>
          <w:color w:val="000000" w:themeColor="text1"/>
        </w:rPr>
        <w:t xml:space="preserve"> with a probe specific to the plasmid backbone sequence</w:t>
      </w:r>
      <w:r w:rsidR="00A62794">
        <w:rPr>
          <w:rFonts w:cs="Arial"/>
          <w:color w:val="000000" w:themeColor="text1"/>
        </w:rPr>
        <w:t xml:space="preserve"> showed no binding in either the production strain or host</w:t>
      </w:r>
      <w:r>
        <w:rPr>
          <w:rFonts w:cs="Arial"/>
          <w:color w:val="000000" w:themeColor="text1"/>
        </w:rPr>
        <w:t xml:space="preserve">. </w:t>
      </w:r>
      <w:r w:rsidR="00A62794">
        <w:rPr>
          <w:rFonts w:cs="Arial"/>
          <w:color w:val="000000" w:themeColor="text1"/>
        </w:rPr>
        <w:t>However</w:t>
      </w:r>
      <w:r>
        <w:rPr>
          <w:rFonts w:cs="Arial"/>
          <w:color w:val="000000" w:themeColor="text1"/>
        </w:rPr>
        <w:t xml:space="preserve"> binding </w:t>
      </w:r>
      <w:r w:rsidR="00A62794">
        <w:rPr>
          <w:rFonts w:cs="Arial"/>
          <w:color w:val="000000" w:themeColor="text1"/>
        </w:rPr>
        <w:t xml:space="preserve">was observed </w:t>
      </w:r>
      <w:r>
        <w:rPr>
          <w:rFonts w:cs="Arial"/>
          <w:color w:val="000000" w:themeColor="text1"/>
        </w:rPr>
        <w:t>to a vector</w:t>
      </w:r>
      <w:r w:rsidR="00116FB3">
        <w:rPr>
          <w:rFonts w:cs="Arial"/>
          <w:color w:val="000000" w:themeColor="text1"/>
        </w:rPr>
        <w:t>-</w:t>
      </w:r>
      <w:r>
        <w:rPr>
          <w:rFonts w:cs="Arial"/>
          <w:color w:val="000000" w:themeColor="text1"/>
        </w:rPr>
        <w:t>only control sample.</w:t>
      </w:r>
    </w:p>
    <w:p w14:paraId="5D97DB6A" w14:textId="30A8387F" w:rsidR="002C6004" w:rsidRDefault="00B950F0" w:rsidP="002C6004">
      <w:pPr>
        <w:pStyle w:val="Heading3"/>
      </w:pPr>
      <w:bookmarkStart w:id="50" w:name="_Toc521683431"/>
      <w:bookmarkStart w:id="51" w:name="_Toc528243340"/>
      <w:bookmarkEnd w:id="48"/>
      <w:bookmarkEnd w:id="49"/>
      <w:r>
        <w:t>3.2</w:t>
      </w:r>
      <w:r w:rsidR="002C6004">
        <w:t>.3</w:t>
      </w:r>
      <w:r w:rsidR="002C6004">
        <w:tab/>
        <w:t>Genetic stability of the inserted gene</w:t>
      </w:r>
      <w:bookmarkEnd w:id="50"/>
      <w:bookmarkEnd w:id="51"/>
    </w:p>
    <w:p w14:paraId="6C6D388A" w14:textId="75905343" w:rsidR="00F83E70" w:rsidRDefault="00F83E70" w:rsidP="00F83E70">
      <w:pPr>
        <w:rPr>
          <w:rFonts w:cs="Arial"/>
          <w:color w:val="000000" w:themeColor="text1"/>
        </w:rPr>
      </w:pPr>
      <w:r w:rsidRPr="00381E36">
        <w:rPr>
          <w:rFonts w:cs="Arial"/>
          <w:color w:val="000000" w:themeColor="text1"/>
        </w:rPr>
        <w:t>Southern blotting was performed on genomic DNA extracted fr</w:t>
      </w:r>
      <w:r w:rsidR="00381E36" w:rsidRPr="00381E36">
        <w:rPr>
          <w:rFonts w:cs="Arial"/>
          <w:color w:val="000000" w:themeColor="text1"/>
        </w:rPr>
        <w:t>om the production strain cultured for ten generations in media without acetamide</w:t>
      </w:r>
      <w:r w:rsidRPr="00381E36">
        <w:rPr>
          <w:rFonts w:cs="Arial"/>
          <w:color w:val="000000" w:themeColor="text1"/>
        </w:rPr>
        <w:t xml:space="preserve">. </w:t>
      </w:r>
      <w:r w:rsidR="00381E36" w:rsidRPr="00381E36">
        <w:rPr>
          <w:rFonts w:cs="Arial"/>
          <w:color w:val="000000" w:themeColor="text1"/>
        </w:rPr>
        <w:t>The</w:t>
      </w:r>
      <w:r w:rsidRPr="00381E36">
        <w:rPr>
          <w:rFonts w:cs="Arial"/>
          <w:color w:val="000000" w:themeColor="text1"/>
        </w:rPr>
        <w:t xml:space="preserve"> DNA </w:t>
      </w:r>
      <w:r w:rsidR="00381E36" w:rsidRPr="00381E36">
        <w:rPr>
          <w:rFonts w:cs="Arial"/>
          <w:color w:val="000000" w:themeColor="text1"/>
        </w:rPr>
        <w:t>was</w:t>
      </w:r>
      <w:r w:rsidRPr="00381E36">
        <w:rPr>
          <w:rFonts w:cs="Arial"/>
          <w:color w:val="000000" w:themeColor="text1"/>
        </w:rPr>
        <w:t xml:space="preserve"> digested with</w:t>
      </w:r>
      <w:r w:rsidR="00381E36" w:rsidRPr="00381E36">
        <w:rPr>
          <w:rFonts w:cs="Arial"/>
          <w:color w:val="000000" w:themeColor="text1"/>
        </w:rPr>
        <w:t xml:space="preserve"> </w:t>
      </w:r>
      <w:r w:rsidR="001136C4">
        <w:rPr>
          <w:rFonts w:cs="Arial"/>
          <w:color w:val="000000" w:themeColor="text1"/>
        </w:rPr>
        <w:t xml:space="preserve">various </w:t>
      </w:r>
      <w:r w:rsidR="00381E36" w:rsidRPr="00381E36">
        <w:rPr>
          <w:rFonts w:cs="Arial"/>
          <w:color w:val="000000" w:themeColor="text1"/>
        </w:rPr>
        <w:t>restriction enzymes</w:t>
      </w:r>
      <w:r w:rsidRPr="00381E36">
        <w:rPr>
          <w:rFonts w:cs="Arial"/>
          <w:color w:val="000000" w:themeColor="text1"/>
        </w:rPr>
        <w:t xml:space="preserve"> and hybridisation was performed with a probe that encompassed the complete DNA fragment introduced into the production strain. The results showed that expression of the </w:t>
      </w:r>
      <w:r w:rsidR="00381E36" w:rsidRPr="00381E36">
        <w:rPr>
          <w:rFonts w:cs="Arial"/>
          <w:color w:val="000000" w:themeColor="text1"/>
        </w:rPr>
        <w:t>lipase</w:t>
      </w:r>
      <w:r w:rsidRPr="00381E36">
        <w:rPr>
          <w:rFonts w:cs="Arial"/>
          <w:color w:val="000000" w:themeColor="text1"/>
        </w:rPr>
        <w:t xml:space="preserve"> gene was consistent across generations, indicating the </w:t>
      </w:r>
      <w:r w:rsidR="001136C4">
        <w:rPr>
          <w:rFonts w:cs="Arial"/>
          <w:color w:val="000000" w:themeColor="text1"/>
        </w:rPr>
        <w:t>lipase gene was</w:t>
      </w:r>
      <w:r w:rsidRPr="00381E36">
        <w:rPr>
          <w:rFonts w:cs="Arial"/>
          <w:color w:val="000000" w:themeColor="text1"/>
        </w:rPr>
        <w:t xml:space="preserve"> stabl</w:t>
      </w:r>
      <w:r w:rsidR="001136C4">
        <w:rPr>
          <w:rFonts w:cs="Arial"/>
          <w:color w:val="000000" w:themeColor="text1"/>
        </w:rPr>
        <w:t xml:space="preserve">y </w:t>
      </w:r>
      <w:r w:rsidR="00026FA5">
        <w:rPr>
          <w:rFonts w:cs="Arial"/>
          <w:color w:val="000000" w:themeColor="text1"/>
        </w:rPr>
        <w:t xml:space="preserve">incorporated </w:t>
      </w:r>
      <w:r w:rsidR="001136C4">
        <w:rPr>
          <w:rFonts w:cs="Arial"/>
          <w:color w:val="000000" w:themeColor="text1"/>
        </w:rPr>
        <w:t>in</w:t>
      </w:r>
      <w:r w:rsidR="00535785">
        <w:rPr>
          <w:rFonts w:cs="Arial"/>
          <w:color w:val="000000" w:themeColor="text1"/>
        </w:rPr>
        <w:t>to</w:t>
      </w:r>
      <w:r w:rsidR="001136C4">
        <w:rPr>
          <w:rFonts w:cs="Arial"/>
          <w:color w:val="000000" w:themeColor="text1"/>
        </w:rPr>
        <w:t xml:space="preserve"> the production strain.</w:t>
      </w:r>
    </w:p>
    <w:p w14:paraId="351EF840" w14:textId="0BA47A7D" w:rsidR="00F83E70" w:rsidRDefault="00F83E70" w:rsidP="002C6004">
      <w:pPr>
        <w:pStyle w:val="Heading2"/>
      </w:pPr>
      <w:bookmarkStart w:id="52" w:name="_Toc471740086"/>
      <w:bookmarkStart w:id="53" w:name="_Toc505255641"/>
      <w:bookmarkStart w:id="54" w:name="_Toc528243341"/>
      <w:bookmarkStart w:id="55" w:name="_Toc499282447"/>
      <w:r w:rsidRPr="00DD6B6A">
        <w:lastRenderedPageBreak/>
        <w:t>3.</w:t>
      </w:r>
      <w:r w:rsidR="00B950F0">
        <w:t>3</w:t>
      </w:r>
      <w:r w:rsidR="00292564">
        <w:tab/>
      </w:r>
      <w:r>
        <w:t xml:space="preserve">Safety of </w:t>
      </w:r>
      <w:bookmarkEnd w:id="52"/>
      <w:bookmarkEnd w:id="53"/>
      <w:r>
        <w:t>triacylglycerol lipase</w:t>
      </w:r>
      <w:bookmarkEnd w:id="54"/>
      <w:r>
        <w:t xml:space="preserve"> </w:t>
      </w:r>
      <w:bookmarkEnd w:id="55"/>
    </w:p>
    <w:p w14:paraId="00267B4E" w14:textId="77777777" w:rsidR="00F83E70" w:rsidRDefault="00F83E70" w:rsidP="00F83E70">
      <w:pPr>
        <w:rPr>
          <w:rFonts w:cs="Arial"/>
          <w:color w:val="000000" w:themeColor="text1"/>
          <w:szCs w:val="22"/>
        </w:rPr>
      </w:pPr>
      <w:r w:rsidRPr="006D1C1E">
        <w:rPr>
          <w:rFonts w:cs="Arial"/>
          <w:color w:val="000000" w:themeColor="text1"/>
          <w:szCs w:val="22"/>
        </w:rPr>
        <w:t>In considering the safety of novel proteins it is important to consider that a large and diverse range of proteins are ingested as part of the normal human diet without any adverse effects</w:t>
      </w:r>
      <w:r>
        <w:rPr>
          <w:rFonts w:cs="Arial"/>
          <w:color w:val="000000" w:themeColor="text1"/>
          <w:szCs w:val="22"/>
        </w:rPr>
        <w:t xml:space="preserve">. </w:t>
      </w:r>
    </w:p>
    <w:p w14:paraId="5F5520D2" w14:textId="77AEF13C" w:rsidR="00F83E70" w:rsidRPr="00585EA4" w:rsidRDefault="00F83E70" w:rsidP="00F83E70">
      <w:pPr>
        <w:rPr>
          <w:rFonts w:cs="Arial"/>
          <w:color w:val="000000" w:themeColor="text1"/>
          <w:szCs w:val="22"/>
        </w:rPr>
      </w:pPr>
      <w:r w:rsidRPr="006D1C1E">
        <w:rPr>
          <w:rFonts w:cs="Arial"/>
          <w:color w:val="000000" w:themeColor="text1"/>
          <w:szCs w:val="22"/>
        </w:rPr>
        <w:t xml:space="preserve">Only a small number of dietary proteins have the potential to </w:t>
      </w:r>
      <w:r>
        <w:rPr>
          <w:rFonts w:cs="Arial"/>
          <w:color w:val="000000" w:themeColor="text1"/>
          <w:szCs w:val="22"/>
        </w:rPr>
        <w:t>cause adverse</w:t>
      </w:r>
      <w:r w:rsidRPr="006D1C1E">
        <w:rPr>
          <w:rFonts w:cs="Arial"/>
          <w:color w:val="000000" w:themeColor="text1"/>
          <w:szCs w:val="22"/>
        </w:rPr>
        <w:t xml:space="preserve"> health</w:t>
      </w:r>
      <w:r>
        <w:rPr>
          <w:rFonts w:cs="Arial"/>
          <w:color w:val="000000" w:themeColor="text1"/>
          <w:szCs w:val="22"/>
        </w:rPr>
        <w:t xml:space="preserve"> effects</w:t>
      </w:r>
      <w:r w:rsidRPr="006D1C1E">
        <w:rPr>
          <w:rFonts w:cs="Arial"/>
          <w:color w:val="000000" w:themeColor="text1"/>
          <w:szCs w:val="22"/>
        </w:rPr>
        <w:t>, because they have anti-nutrient properties or they can cause allergies in some consumers (Delaney et al</w:t>
      </w:r>
      <w:r w:rsidR="008279E9">
        <w:rPr>
          <w:rFonts w:cs="Arial"/>
          <w:color w:val="000000" w:themeColor="text1"/>
          <w:szCs w:val="22"/>
        </w:rPr>
        <w:t>,</w:t>
      </w:r>
      <w:r w:rsidRPr="006D1C1E">
        <w:rPr>
          <w:rFonts w:cs="Arial"/>
          <w:color w:val="000000" w:themeColor="text1"/>
          <w:szCs w:val="22"/>
        </w:rPr>
        <w:t xml:space="preserve"> 2008). </w:t>
      </w:r>
      <w:r>
        <w:rPr>
          <w:rFonts w:cs="Arial"/>
          <w:color w:val="000000" w:themeColor="text1"/>
          <w:szCs w:val="22"/>
        </w:rPr>
        <w:t xml:space="preserve"> Furthermore, proteins perform a wide range of functions in humans. To encompass this range of type and function, the safety assessment of the novel protein must consider</w:t>
      </w:r>
      <w:r w:rsidRPr="008C6C40">
        <w:rPr>
          <w:rFonts w:cs="Arial"/>
          <w:color w:val="000000" w:themeColor="text1"/>
          <w:szCs w:val="22"/>
        </w:rPr>
        <w:t xml:space="preserve"> </w:t>
      </w:r>
      <w:r>
        <w:rPr>
          <w:rFonts w:cs="Arial"/>
          <w:color w:val="000000" w:themeColor="text1"/>
          <w:szCs w:val="22"/>
        </w:rPr>
        <w:t xml:space="preserve">if there is a history of safe use, are there any </w:t>
      </w:r>
      <w:r w:rsidRPr="006D1C1E">
        <w:rPr>
          <w:rFonts w:cs="Arial"/>
          <w:color w:val="000000" w:themeColor="text1"/>
          <w:szCs w:val="22"/>
        </w:rPr>
        <w:t>potential toxic, anti-nutrient or allergenic effects</w:t>
      </w:r>
      <w:r>
        <w:rPr>
          <w:rFonts w:cs="Arial"/>
          <w:color w:val="000000" w:themeColor="text1"/>
          <w:szCs w:val="22"/>
        </w:rPr>
        <w:t xml:space="preserve"> and is the protein </w:t>
      </w:r>
      <w:r w:rsidR="00DB0AB3">
        <w:rPr>
          <w:rFonts w:cs="Arial"/>
          <w:color w:val="000000" w:themeColor="text1"/>
          <w:szCs w:val="22"/>
        </w:rPr>
        <w:t xml:space="preserve">susceptible </w:t>
      </w:r>
      <w:r>
        <w:rPr>
          <w:rFonts w:cs="Arial"/>
          <w:color w:val="000000" w:themeColor="text1"/>
          <w:szCs w:val="22"/>
        </w:rPr>
        <w:t>to digestion.</w:t>
      </w:r>
    </w:p>
    <w:p w14:paraId="342D090C" w14:textId="43B5B024" w:rsidR="002C6004" w:rsidRDefault="00B950F0" w:rsidP="002C6004">
      <w:pPr>
        <w:pStyle w:val="Heading3"/>
      </w:pPr>
      <w:bookmarkStart w:id="56" w:name="_Toc521683433"/>
      <w:bookmarkStart w:id="57" w:name="_Toc528243342"/>
      <w:r>
        <w:t>3.3</w:t>
      </w:r>
      <w:r w:rsidR="002C6004" w:rsidRPr="00C15A6C">
        <w:t>.1</w:t>
      </w:r>
      <w:r w:rsidR="00292564">
        <w:tab/>
      </w:r>
      <w:r w:rsidR="002C6004" w:rsidRPr="00C15A6C">
        <w:t>History of safe use of the enzyme</w:t>
      </w:r>
      <w:bookmarkEnd w:id="56"/>
      <w:bookmarkEnd w:id="57"/>
    </w:p>
    <w:p w14:paraId="25234A21" w14:textId="242B7B21" w:rsidR="00976395" w:rsidRDefault="00C665B0" w:rsidP="00F83E70">
      <w:r w:rsidRPr="00C665B0">
        <w:t xml:space="preserve">FSANZ </w:t>
      </w:r>
      <w:r>
        <w:t xml:space="preserve">has approved the use of triacylglycerol lipase </w:t>
      </w:r>
      <w:r w:rsidR="00434F67">
        <w:t xml:space="preserve">as a processing aid, </w:t>
      </w:r>
      <w:r>
        <w:t xml:space="preserve">from </w:t>
      </w:r>
      <w:r w:rsidR="0056096E">
        <w:t xml:space="preserve">both </w:t>
      </w:r>
      <w:r>
        <w:t xml:space="preserve">animal origin (bovine, ovine and porcine) and </w:t>
      </w:r>
      <w:r w:rsidR="0056096E">
        <w:t xml:space="preserve">fungal </w:t>
      </w:r>
      <w:r w:rsidR="00A03C47">
        <w:t>sources</w:t>
      </w:r>
      <w:r w:rsidR="0056096E">
        <w:t xml:space="preserve"> (A264, A402, A435, A516, A517, A519, A569, A1036 and A1130)</w:t>
      </w:r>
      <w:r w:rsidR="00434F67">
        <w:t>.</w:t>
      </w:r>
      <w:r w:rsidR="0056096E">
        <w:t xml:space="preserve"> </w:t>
      </w:r>
      <w:r w:rsidR="00A03C47">
        <w:t xml:space="preserve">Some of the approvals pre-date the establishment of the current version of the Code, indicating that the use of this enzyme as a processing aid in food spans more than 30 years. </w:t>
      </w:r>
    </w:p>
    <w:p w14:paraId="331F633A" w14:textId="77777777" w:rsidR="00976395" w:rsidRDefault="00976395">
      <w:pPr>
        <w:widowControl/>
      </w:pPr>
      <w:r>
        <w:br w:type="page"/>
      </w:r>
    </w:p>
    <w:p w14:paraId="5A420FAD" w14:textId="5A5EDACF" w:rsidR="00C03861" w:rsidRPr="00DD6B6A" w:rsidRDefault="00E70328" w:rsidP="002C6004">
      <w:pPr>
        <w:pStyle w:val="Heading3"/>
      </w:pPr>
      <w:bookmarkStart w:id="58" w:name="_Toc528243343"/>
      <w:r>
        <w:lastRenderedPageBreak/>
        <w:t>3.</w:t>
      </w:r>
      <w:r w:rsidR="00B950F0">
        <w:t>3</w:t>
      </w:r>
      <w:r>
        <w:t>.2</w:t>
      </w:r>
      <w:r w:rsidR="00292564">
        <w:tab/>
      </w:r>
      <w:r w:rsidR="00C03861" w:rsidRPr="00DD6B6A">
        <w:t>Bioinformatic analysis for potential allergenicity</w:t>
      </w:r>
      <w:bookmarkEnd w:id="58"/>
      <w:r w:rsidR="00C03861" w:rsidRPr="00DD6B6A">
        <w:t xml:space="preserve"> </w:t>
      </w:r>
    </w:p>
    <w:p w14:paraId="33604AB2" w14:textId="77176B5F" w:rsidR="00C03861" w:rsidRDefault="008279E9" w:rsidP="00C03861">
      <w:r>
        <w:rPr>
          <w:lang w:eastAsia="en-AU" w:bidi="ar-SA"/>
        </w:rPr>
        <w:t>The a</w:t>
      </w:r>
      <w:r w:rsidR="00C03861">
        <w:rPr>
          <w:lang w:eastAsia="en-AU" w:bidi="ar-SA"/>
        </w:rPr>
        <w:t>pplicant has provided the results of an</w:t>
      </w:r>
      <w:r w:rsidR="00C03861" w:rsidRPr="00DD6B6A">
        <w:rPr>
          <w:lang w:eastAsia="en-AU" w:bidi="ar-SA"/>
        </w:rPr>
        <w:t xml:space="preserve"> </w:t>
      </w:r>
      <w:r w:rsidR="00C03861" w:rsidRPr="00DD6B6A">
        <w:rPr>
          <w:i/>
          <w:lang w:eastAsia="en-AU" w:bidi="ar-SA"/>
        </w:rPr>
        <w:t>in silico</w:t>
      </w:r>
      <w:r w:rsidR="00C03861" w:rsidRPr="00DD6B6A">
        <w:rPr>
          <w:lang w:eastAsia="en-AU" w:bidi="ar-SA"/>
        </w:rPr>
        <w:t xml:space="preserve"> analysis</w:t>
      </w:r>
      <w:r w:rsidR="00C03861">
        <w:rPr>
          <w:lang w:eastAsia="en-AU" w:bidi="ar-SA"/>
        </w:rPr>
        <w:t xml:space="preserve"> </w:t>
      </w:r>
      <w:r w:rsidR="00C03861">
        <w:t xml:space="preserve">comparing the mature </w:t>
      </w:r>
      <w:r w:rsidR="00C03861">
        <w:rPr>
          <w:rFonts w:cs="Arial"/>
        </w:rPr>
        <w:t>t</w:t>
      </w:r>
      <w:r w:rsidR="00C03861" w:rsidRPr="00F83E70">
        <w:rPr>
          <w:rFonts w:cs="Arial"/>
        </w:rPr>
        <w:t>riacylglycerol lipase</w:t>
      </w:r>
      <w:r w:rsidR="00C03861">
        <w:t xml:space="preserve"> amino acid sequence inserted into </w:t>
      </w:r>
      <w:r w:rsidR="00C03861" w:rsidRPr="002E2590">
        <w:rPr>
          <w:i/>
          <w:lang w:eastAsia="en-AU" w:bidi="ar-SA"/>
        </w:rPr>
        <w:t>T</w:t>
      </w:r>
      <w:r w:rsidR="00C03861">
        <w:rPr>
          <w:i/>
          <w:lang w:eastAsia="en-AU" w:bidi="ar-SA"/>
        </w:rPr>
        <w:t>.</w:t>
      </w:r>
      <w:r w:rsidR="00C03861" w:rsidRPr="002E2590">
        <w:rPr>
          <w:i/>
          <w:lang w:eastAsia="en-AU" w:bidi="ar-SA"/>
        </w:rPr>
        <w:t xml:space="preserve"> </w:t>
      </w:r>
      <w:r w:rsidR="00C03861">
        <w:rPr>
          <w:i/>
          <w:lang w:eastAsia="en-AU" w:bidi="ar-SA"/>
        </w:rPr>
        <w:t xml:space="preserve">reesei </w:t>
      </w:r>
      <w:r w:rsidR="00C03861">
        <w:t xml:space="preserve">to known allergenic proteins </w:t>
      </w:r>
      <w:r w:rsidR="00C03861" w:rsidRPr="00574389">
        <w:t xml:space="preserve">in the Food Allergy Research and Resource Program dataset, which is available through </w:t>
      </w:r>
      <w:hyperlink r:id="rId24" w:history="1">
        <w:r w:rsidR="00C03861" w:rsidRPr="00574389">
          <w:rPr>
            <w:rStyle w:val="Hyperlink"/>
          </w:rPr>
          <w:t>AllergenOnline</w:t>
        </w:r>
      </w:hyperlink>
      <w:r w:rsidR="00C03861">
        <w:rPr>
          <w:rStyle w:val="FootnoteReference"/>
        </w:rPr>
        <w:footnoteReference w:id="8"/>
      </w:r>
      <w:r w:rsidR="00C03861">
        <w:t xml:space="preserve">  (University of Nebraska) </w:t>
      </w:r>
      <w:r w:rsidR="00C03861" w:rsidRPr="00574389">
        <w:t xml:space="preserve">and the </w:t>
      </w:r>
      <w:hyperlink r:id="rId25" w:history="1">
        <w:r w:rsidR="00C03861" w:rsidRPr="00574389">
          <w:rPr>
            <w:rStyle w:val="Hyperlink"/>
          </w:rPr>
          <w:t>Allergen Database for Food Safety</w:t>
        </w:r>
      </w:hyperlink>
      <w:r w:rsidR="00C03861">
        <w:rPr>
          <w:rStyle w:val="FootnoteReference"/>
        </w:rPr>
        <w:footnoteReference w:id="9"/>
      </w:r>
      <w:r w:rsidR="00C03861">
        <w:t xml:space="preserve">, administered by the Japanese </w:t>
      </w:r>
      <w:r w:rsidR="00C03861" w:rsidRPr="00574389">
        <w:t>National Institute of Health Sciences.</w:t>
      </w:r>
      <w:r w:rsidR="00C03861">
        <w:t xml:space="preserve"> The searches were performed on 26 February 2015.</w:t>
      </w:r>
    </w:p>
    <w:p w14:paraId="101E6941" w14:textId="77777777" w:rsidR="00C03861" w:rsidRDefault="00C03861" w:rsidP="00C03861"/>
    <w:p w14:paraId="79B8AD3D" w14:textId="77777777" w:rsidR="00C03861" w:rsidRPr="00ED6752" w:rsidRDefault="00C03861" w:rsidP="00C03861">
      <w:pPr>
        <w:rPr>
          <w:rFonts w:cs="Arial"/>
          <w:color w:val="000000" w:themeColor="text1"/>
        </w:rPr>
      </w:pPr>
      <w:r>
        <w:rPr>
          <w:rFonts w:cs="Arial"/>
          <w:color w:val="000000" w:themeColor="text1"/>
        </w:rPr>
        <w:t xml:space="preserve">Four </w:t>
      </w:r>
      <w:r w:rsidRPr="00ED6752">
        <w:rPr>
          <w:rFonts w:cs="Arial"/>
          <w:color w:val="000000" w:themeColor="text1"/>
        </w:rPr>
        <w:t>types of analyses were performed for this comparison:</w:t>
      </w:r>
    </w:p>
    <w:p w14:paraId="3CDAFA11" w14:textId="77777777" w:rsidR="00C03861" w:rsidRPr="00ED6752" w:rsidRDefault="00C03861" w:rsidP="00C03861">
      <w:pPr>
        <w:rPr>
          <w:rFonts w:cs="Arial"/>
          <w:color w:val="000000" w:themeColor="text1"/>
        </w:rPr>
      </w:pPr>
    </w:p>
    <w:p w14:paraId="37B83039" w14:textId="77777777" w:rsidR="00C03861" w:rsidRPr="00ED6752" w:rsidRDefault="00C03861" w:rsidP="00C03861">
      <w:pPr>
        <w:pStyle w:val="ListParagraph"/>
        <w:numPr>
          <w:ilvl w:val="0"/>
          <w:numId w:val="4"/>
        </w:numPr>
        <w:spacing w:after="120"/>
        <w:ind w:left="567" w:hanging="567"/>
        <w:contextualSpacing w:val="0"/>
        <w:rPr>
          <w:rFonts w:cs="Arial"/>
          <w:color w:val="000000" w:themeColor="text1"/>
        </w:rPr>
      </w:pPr>
      <w:r w:rsidRPr="00ED6752">
        <w:t xml:space="preserve">80-mer sliding window search – a FASTA alignment was performed comparing all contiguous 80 amino acids within the </w:t>
      </w:r>
      <w:r>
        <w:rPr>
          <w:rFonts w:cs="Arial"/>
        </w:rPr>
        <w:t>t</w:t>
      </w:r>
      <w:r w:rsidRPr="00F83E70">
        <w:rPr>
          <w:rFonts w:cs="Arial"/>
        </w:rPr>
        <w:t>riacylglycerol lipase</w:t>
      </w:r>
      <w:r>
        <w:t xml:space="preserve"> </w:t>
      </w:r>
      <w:r w:rsidRPr="00ED6752">
        <w:t>sequence to the database entries. Matches were identified if there was greater than 35% homology</w:t>
      </w:r>
      <w:r>
        <w:t xml:space="preserve"> </w:t>
      </w:r>
      <w:r w:rsidRPr="00ED6752">
        <w:rPr>
          <w:rFonts w:cs="Arial"/>
          <w:color w:val="000000" w:themeColor="text1"/>
        </w:rPr>
        <w:t>(Pearson and Lipman, 1988).</w:t>
      </w:r>
    </w:p>
    <w:p w14:paraId="301ED093" w14:textId="77777777" w:rsidR="00C03861" w:rsidRPr="00A976EF" w:rsidRDefault="00C03861" w:rsidP="00C03861">
      <w:pPr>
        <w:pStyle w:val="ListParagraph"/>
        <w:numPr>
          <w:ilvl w:val="0"/>
          <w:numId w:val="4"/>
        </w:numPr>
        <w:spacing w:after="120"/>
        <w:ind w:left="567" w:hanging="567"/>
        <w:contextualSpacing w:val="0"/>
        <w:rPr>
          <w:rFonts w:cs="Arial"/>
        </w:rPr>
      </w:pPr>
      <w:r>
        <w:t>8-mer exact match search – A FASTA alignment was performed comparing contiguous 8 amino acids</w:t>
      </w:r>
      <w:r w:rsidRPr="00EB5D13">
        <w:t xml:space="preserve"> </w:t>
      </w:r>
      <w:r>
        <w:t xml:space="preserve">within the </w:t>
      </w:r>
      <w:r>
        <w:rPr>
          <w:rFonts w:cs="Arial"/>
        </w:rPr>
        <w:t>t</w:t>
      </w:r>
      <w:r w:rsidRPr="00F83E70">
        <w:rPr>
          <w:rFonts w:cs="Arial"/>
        </w:rPr>
        <w:t>riacylglycerol lipase</w:t>
      </w:r>
      <w:r>
        <w:t xml:space="preserve"> sequence to the database entries (FAO, 2001). Matches were identified if there was 100% homology.</w:t>
      </w:r>
    </w:p>
    <w:p w14:paraId="29347763" w14:textId="77777777" w:rsidR="00C03861" w:rsidRPr="00A976EF" w:rsidRDefault="00C03861" w:rsidP="00C03861">
      <w:pPr>
        <w:pStyle w:val="ListParagraph"/>
        <w:numPr>
          <w:ilvl w:val="0"/>
          <w:numId w:val="4"/>
        </w:numPr>
        <w:spacing w:after="120"/>
        <w:ind w:left="567" w:hanging="567"/>
        <w:contextualSpacing w:val="0"/>
        <w:rPr>
          <w:rFonts w:cs="Arial"/>
        </w:rPr>
      </w:pPr>
      <w:r w:rsidRPr="00A976EF">
        <w:t>Full length sequence search - a BLAST search was performed comparing the whole sequence to the database entries. Significant homology was determined when there was more than 50% similarity between the query protein and database entry, with the E-value threshold conservatively set at 1 x 10</w:t>
      </w:r>
      <w:r w:rsidRPr="00A976EF">
        <w:rPr>
          <w:vertAlign w:val="superscript"/>
        </w:rPr>
        <w:t>-1</w:t>
      </w:r>
      <w:r w:rsidRPr="00A976EF">
        <w:t xml:space="preserve"> (1e-1).</w:t>
      </w:r>
    </w:p>
    <w:p w14:paraId="5CD4DE97" w14:textId="77777777" w:rsidR="00C03861" w:rsidRPr="00A976EF" w:rsidRDefault="00C03861" w:rsidP="00C03861">
      <w:pPr>
        <w:pStyle w:val="ListParagraph"/>
        <w:numPr>
          <w:ilvl w:val="0"/>
          <w:numId w:val="4"/>
        </w:numPr>
        <w:ind w:left="567" w:hanging="567"/>
        <w:contextualSpacing w:val="0"/>
        <w:rPr>
          <w:rFonts w:cs="Arial"/>
        </w:rPr>
      </w:pPr>
      <w:r w:rsidRPr="00A976EF">
        <w:t>Motif-based search - a BLAST search was performed comparing the whole sequence to the database entries</w:t>
      </w:r>
      <w:r>
        <w:t xml:space="preserve"> (Stadler and Stadlre, 2003)</w:t>
      </w:r>
      <w:r w:rsidRPr="00A976EF">
        <w:t>. Significant homology was determined when a score greater than 8.5 was achieved or high similarity</w:t>
      </w:r>
      <w:r>
        <w:t xml:space="preserve"> was observed</w:t>
      </w:r>
      <w:r w:rsidRPr="00A976EF">
        <w:t xml:space="preserve"> with the E-value threshold conservatively set at 1 x 10</w:t>
      </w:r>
      <w:r w:rsidRPr="00A976EF">
        <w:rPr>
          <w:vertAlign w:val="superscript"/>
        </w:rPr>
        <w:t>-3</w:t>
      </w:r>
      <w:r w:rsidRPr="00A976EF">
        <w:t xml:space="preserve"> (1e-3)</w:t>
      </w:r>
      <w:r>
        <w:t>.</w:t>
      </w:r>
    </w:p>
    <w:p w14:paraId="6D6C2796" w14:textId="77777777" w:rsidR="00C03861" w:rsidRDefault="00C03861" w:rsidP="00C03861"/>
    <w:p w14:paraId="69379270" w14:textId="77777777" w:rsidR="00C03861" w:rsidRDefault="00C03861" w:rsidP="00C03861">
      <w:r w:rsidRPr="009B36EC">
        <w:t>No homology</w:t>
      </w:r>
      <w:r>
        <w:t xml:space="preserve"> was found between the </w:t>
      </w:r>
      <w:r>
        <w:rPr>
          <w:rFonts w:cs="Arial"/>
        </w:rPr>
        <w:t>t</w:t>
      </w:r>
      <w:r w:rsidRPr="00F83E70">
        <w:rPr>
          <w:rFonts w:cs="Arial"/>
        </w:rPr>
        <w:t>riacylglycerol lipase</w:t>
      </w:r>
      <w:r>
        <w:t xml:space="preserve"> protein sequence and any known allergenic proteins.</w:t>
      </w:r>
    </w:p>
    <w:p w14:paraId="61E2BF77" w14:textId="52FF1E61" w:rsidR="003C02FE" w:rsidRPr="003C02FE" w:rsidRDefault="00B950F0" w:rsidP="003C02FE">
      <w:pPr>
        <w:pStyle w:val="Heading3"/>
      </w:pPr>
      <w:bookmarkStart w:id="59" w:name="_Toc528243344"/>
      <w:r>
        <w:t>3.3</w:t>
      </w:r>
      <w:r w:rsidR="003C02FE" w:rsidRPr="003C02FE">
        <w:t>.3</w:t>
      </w:r>
      <w:r w:rsidR="00545514">
        <w:tab/>
      </w:r>
      <w:r w:rsidR="003C02FE" w:rsidRPr="003C02FE">
        <w:t>Other allergenic components</w:t>
      </w:r>
      <w:bookmarkEnd w:id="59"/>
    </w:p>
    <w:p w14:paraId="586EB442" w14:textId="463DB4BF" w:rsidR="003C02FE" w:rsidRPr="003C02FE" w:rsidRDefault="003C02FE" w:rsidP="00C03861">
      <w:r w:rsidRPr="003C02FE">
        <w:t xml:space="preserve">Wheat derived material is used in the fermentation medium, and the enzyme preparation contains wheat flour. </w:t>
      </w:r>
    </w:p>
    <w:p w14:paraId="13F9B0BA" w14:textId="40D167E7" w:rsidR="00C03861" w:rsidRDefault="00C03861" w:rsidP="002C6004">
      <w:pPr>
        <w:pStyle w:val="Heading3"/>
      </w:pPr>
      <w:bookmarkStart w:id="60" w:name="_Toc471740089"/>
      <w:bookmarkStart w:id="61" w:name="_Toc498940977"/>
      <w:bookmarkStart w:id="62" w:name="_Toc499282450"/>
      <w:bookmarkStart w:id="63" w:name="_Toc528243345"/>
      <w:r w:rsidRPr="00DD6B6A">
        <w:t>3.</w:t>
      </w:r>
      <w:r w:rsidR="00B950F0">
        <w:t>3</w:t>
      </w:r>
      <w:r w:rsidRPr="00DD6B6A">
        <w:t>.</w:t>
      </w:r>
      <w:r w:rsidR="003C02FE">
        <w:t>4</w:t>
      </w:r>
      <w:r w:rsidR="00292564">
        <w:tab/>
      </w:r>
      <w:r w:rsidRPr="00DD6B6A">
        <w:t xml:space="preserve">Bioinformatic analysis for potential </w:t>
      </w:r>
      <w:r>
        <w:t>toxicity</w:t>
      </w:r>
      <w:bookmarkEnd w:id="60"/>
      <w:bookmarkEnd w:id="61"/>
      <w:bookmarkEnd w:id="62"/>
      <w:bookmarkEnd w:id="63"/>
      <w:r w:rsidRPr="00DD6B6A">
        <w:t xml:space="preserve"> </w:t>
      </w:r>
    </w:p>
    <w:p w14:paraId="1D692154" w14:textId="3CAD63CD" w:rsidR="00C03861" w:rsidRDefault="008279E9" w:rsidP="00C03861">
      <w:r>
        <w:t>The a</w:t>
      </w:r>
      <w:r w:rsidR="00C03861">
        <w:t xml:space="preserve">pplicant provided results from </w:t>
      </w:r>
      <w:r w:rsidR="00C03861" w:rsidRPr="00EB5D13">
        <w:rPr>
          <w:i/>
        </w:rPr>
        <w:t>in silico</w:t>
      </w:r>
      <w:r w:rsidR="00C03861" w:rsidRPr="00F04AB9">
        <w:t xml:space="preserve"> </w:t>
      </w:r>
      <w:r w:rsidR="00C03861">
        <w:t xml:space="preserve">analyses comparing the amino acid sequence for the </w:t>
      </w:r>
      <w:r w:rsidR="00C03861">
        <w:rPr>
          <w:rFonts w:cs="Arial"/>
        </w:rPr>
        <w:t>t</w:t>
      </w:r>
      <w:r w:rsidR="00C03861" w:rsidRPr="00F83E70">
        <w:rPr>
          <w:rFonts w:cs="Arial"/>
        </w:rPr>
        <w:t>riacylglycerol lipase</w:t>
      </w:r>
      <w:r w:rsidR="00C03861">
        <w:t xml:space="preserve"> protein to</w:t>
      </w:r>
      <w:r w:rsidR="00C03861" w:rsidRPr="00F01809">
        <w:t xml:space="preserve"> </w:t>
      </w:r>
      <w:r w:rsidR="00C03861">
        <w:t>known</w:t>
      </w:r>
      <w:r w:rsidR="00C03861" w:rsidRPr="00F01809">
        <w:t xml:space="preserve"> </w:t>
      </w:r>
      <w:r w:rsidR="00C03861">
        <w:t xml:space="preserve">protein toxins identified in the NCBI protein database. Several lipase proteins from toxigenic organisms were identified, which is not unexpected and does not show that the lipase protein expressed in this system is toxigenic to humans. The </w:t>
      </w:r>
      <w:r w:rsidR="00C03861">
        <w:lastRenderedPageBreak/>
        <w:t xml:space="preserve">search did identify some hypothetical proteins and one identified toxin with similarity of sequence greater than 50% however the </w:t>
      </w:r>
      <w:r w:rsidR="00E814FB">
        <w:t>overlap of</w:t>
      </w:r>
      <w:r w:rsidR="00C03861">
        <w:t xml:space="preserve"> sequence was less than 30% and the e-value was greater than 0.1. Due to the low significance of these results, it can be concluded that the toxigenic potential of this protein is low.</w:t>
      </w:r>
    </w:p>
    <w:p w14:paraId="385693E9" w14:textId="7E344D89" w:rsidR="00E70328" w:rsidRDefault="00B950F0" w:rsidP="002C6004">
      <w:pPr>
        <w:pStyle w:val="Heading3"/>
      </w:pPr>
      <w:bookmarkStart w:id="64" w:name="_Toc528243346"/>
      <w:r>
        <w:t>3.3</w:t>
      </w:r>
      <w:r w:rsidR="003C02FE">
        <w:t>.5</w:t>
      </w:r>
      <w:r w:rsidR="00292564">
        <w:tab/>
      </w:r>
      <w:r w:rsidR="00E70328">
        <w:t>Toxicity studies of the enzyme</w:t>
      </w:r>
      <w:bookmarkEnd w:id="64"/>
    </w:p>
    <w:p w14:paraId="76AF4800" w14:textId="486D4AD7" w:rsidR="00E70328" w:rsidRDefault="00967C54" w:rsidP="00F83E70">
      <w:r>
        <w:t xml:space="preserve">Reports of two </w:t>
      </w:r>
      <w:r w:rsidRPr="00967C54">
        <w:rPr>
          <w:i/>
        </w:rPr>
        <w:t>in vitro</w:t>
      </w:r>
      <w:r>
        <w:t xml:space="preserve"> genotoxicity studies</w:t>
      </w:r>
      <w:r w:rsidR="00A84F18">
        <w:t xml:space="preserve"> with triacylglycerol lipase</w:t>
      </w:r>
      <w:r w:rsidR="008279E9">
        <w:t xml:space="preserve"> have been submitted by the a</w:t>
      </w:r>
      <w:r>
        <w:t>pplicant: a bacterial reverse mutation test (Ames test) and a chromosomal aberration test in mammalian cells.</w:t>
      </w:r>
      <w:r w:rsidR="008279E9">
        <w:t xml:space="preserve"> The a</w:t>
      </w:r>
      <w:r w:rsidR="00F11D78">
        <w:t xml:space="preserve">pplicant also provided </w:t>
      </w:r>
      <w:r>
        <w:t xml:space="preserve">a 90 day repeated dose oral toxicity study in rats. </w:t>
      </w:r>
      <w:r w:rsidR="00A84F18">
        <w:t>All studies were conducted with triacylglycerol lipase,</w:t>
      </w:r>
      <w:r w:rsidR="00AD1CD7">
        <w:t xml:space="preserve"> referred to in the study reports as ‘Lipase produced with </w:t>
      </w:r>
      <w:r w:rsidR="00AD1CD7" w:rsidRPr="00AD1CD7">
        <w:rPr>
          <w:i/>
        </w:rPr>
        <w:t>T. reesei</w:t>
      </w:r>
      <w:r w:rsidR="00AD1CD7" w:rsidRPr="00AB0593">
        <w:t>’</w:t>
      </w:r>
      <w:r w:rsidR="00AD1CD7">
        <w:t xml:space="preserve">, </w:t>
      </w:r>
      <w:r w:rsidR="00A84F18">
        <w:t>Batch number LP 12136B3</w:t>
      </w:r>
      <w:r w:rsidR="008F5BE2">
        <w:t>; RF</w:t>
      </w:r>
      <w:r w:rsidR="004F2EE4">
        <w:t>10625</w:t>
      </w:r>
      <w:r w:rsidR="00A84F18">
        <w:t>, with a total organic solid (TOS) content of 94.38</w:t>
      </w:r>
      <w:r w:rsidR="00852D78">
        <w:t>%</w:t>
      </w:r>
      <w:r w:rsidR="00A84F18">
        <w:t xml:space="preserve">. </w:t>
      </w:r>
    </w:p>
    <w:p w14:paraId="1953121C" w14:textId="710B25A8" w:rsidR="00A84F18" w:rsidRPr="002C6004" w:rsidRDefault="00B950F0" w:rsidP="002C6004">
      <w:pPr>
        <w:pStyle w:val="Heading4"/>
      </w:pPr>
      <w:r>
        <w:t>3.3</w:t>
      </w:r>
      <w:r w:rsidR="003C02FE">
        <w:t>.5</w:t>
      </w:r>
      <w:r w:rsidR="002C6004">
        <w:t>.1</w:t>
      </w:r>
      <w:r w:rsidR="002C6004">
        <w:tab/>
      </w:r>
      <w:r w:rsidR="00A84F18" w:rsidRPr="002C6004">
        <w:t>Genotoxicity</w:t>
      </w:r>
    </w:p>
    <w:p w14:paraId="11272AF0" w14:textId="0ACACCB5" w:rsidR="00A84F18" w:rsidRDefault="00A84F18" w:rsidP="00A84F18">
      <w:pPr>
        <w:pStyle w:val="Heading5"/>
      </w:pPr>
      <w:r>
        <w:t>Bacterial reverse mutation assay (</w:t>
      </w:r>
      <w:r w:rsidR="00287ACB">
        <w:t>Sokolowski</w:t>
      </w:r>
      <w:r>
        <w:t xml:space="preserve"> 2013) Regulatory status: GLP; </w:t>
      </w:r>
      <w:r w:rsidR="002C38A2">
        <w:t xml:space="preserve">Conducted according to </w:t>
      </w:r>
      <w:r>
        <w:t>OECD Test Guideline (TG) 471</w:t>
      </w:r>
    </w:p>
    <w:p w14:paraId="7E133D19" w14:textId="53F583B5" w:rsidR="00E70328" w:rsidRDefault="00BB3B19" w:rsidP="00F83E70">
      <w:r>
        <w:t xml:space="preserve">The mutagenic potential of </w:t>
      </w:r>
      <w:r w:rsidR="009653CC">
        <w:t xml:space="preserve">lipase produced with </w:t>
      </w:r>
      <w:r w:rsidR="009653CC" w:rsidRPr="00B94AC2">
        <w:rPr>
          <w:i/>
        </w:rPr>
        <w:t>T. reesei</w:t>
      </w:r>
      <w:r>
        <w:t xml:space="preserve"> was assessed using the </w:t>
      </w:r>
      <w:r w:rsidRPr="00B40553">
        <w:rPr>
          <w:i/>
        </w:rPr>
        <w:t>Salmonella typhimurium</w:t>
      </w:r>
      <w:r>
        <w:t xml:space="preserve"> strains TA 1535, TA 1537, TA 98, TA 100 and TA 102. The assay was performed in triplicate in two independent experiments, both with and without metabolic activation (S9 mix). The first experiment was conducted by the plate incorporation method and the second by the pre-incubation method. </w:t>
      </w:r>
      <w:r w:rsidR="00B40553">
        <w:t>The vehicle and solvent control was water. The positive control for all strains in the presence of metabolic activation was 2-aminoanthracene. In the absence of metabolic activation, positive controls were sodium azide (for TA</w:t>
      </w:r>
      <w:r w:rsidR="00D108F0">
        <w:t xml:space="preserve"> </w:t>
      </w:r>
      <w:r w:rsidR="00B40553">
        <w:t>153</w:t>
      </w:r>
      <w:r w:rsidR="00D108F0">
        <w:t>5</w:t>
      </w:r>
      <w:r w:rsidR="00B40553">
        <w:t xml:space="preserve"> and TA 100), </w:t>
      </w:r>
      <w:r w:rsidR="007B2012">
        <w:t>4-nitro-o-phenylene-diamine (TA</w:t>
      </w:r>
      <w:r w:rsidR="00D108F0">
        <w:t xml:space="preserve"> </w:t>
      </w:r>
      <w:r w:rsidR="007B2012">
        <w:t xml:space="preserve">1537 and TA 98) and methyl methane sulfonate (TA 102). Test item concentrations ranged from 3-5000 </w:t>
      </w:r>
      <w:r w:rsidR="007B2012">
        <w:rPr>
          <w:rFonts w:cs="Arial"/>
        </w:rPr>
        <w:t>µ</w:t>
      </w:r>
      <w:r w:rsidR="008B4E79">
        <w:t>g/plate in experiment I</w:t>
      </w:r>
      <w:r w:rsidR="007B2012">
        <w:t xml:space="preserve"> and 33-5000 </w:t>
      </w:r>
      <w:r w:rsidR="007B2012">
        <w:rPr>
          <w:rFonts w:cs="Arial"/>
        </w:rPr>
        <w:t>µ</w:t>
      </w:r>
      <w:r w:rsidR="007B2012">
        <w:t>g/plate</w:t>
      </w:r>
      <w:r w:rsidR="008B4E79">
        <w:t xml:space="preserve"> in experiment II</w:t>
      </w:r>
      <w:r w:rsidR="008A4E46">
        <w:t>, on a TOS basis</w:t>
      </w:r>
      <w:r w:rsidR="007B2012">
        <w:t xml:space="preserve">. </w:t>
      </w:r>
      <w:r w:rsidR="008B4E79">
        <w:t>To examine a minor increase in the number of revertant colonies in strain TA 98 in the absence of metabolic activation, two further experiments (IIa and IIb) were performed with TA 98 without S9 mix using the pre</w:t>
      </w:r>
      <w:r w:rsidR="006C6FC9">
        <w:t>-</w:t>
      </w:r>
      <w:r w:rsidR="008B4E79">
        <w:t xml:space="preserve">incubation method. Experiment IIa used concentrations of 2500 – 10,000 </w:t>
      </w:r>
      <w:r w:rsidR="008B4E79">
        <w:rPr>
          <w:rFonts w:cs="Arial"/>
        </w:rPr>
        <w:t>µ</w:t>
      </w:r>
      <w:r w:rsidR="008B4E79">
        <w:t>g/plate</w:t>
      </w:r>
      <w:r w:rsidR="00174F38">
        <w:t>. Due to issues with microbial contamination in experiment IIa, this experiment was repeated with and without sterile filtrated test item solution as experiment IIb. Concentrations in</w:t>
      </w:r>
      <w:r w:rsidR="008B4E79">
        <w:t xml:space="preserve"> experiment IIb </w:t>
      </w:r>
      <w:r w:rsidR="00174F38">
        <w:t xml:space="preserve">without filtration were 2500-10,000 </w:t>
      </w:r>
      <w:r w:rsidR="00174F38">
        <w:rPr>
          <w:rFonts w:cs="Arial"/>
        </w:rPr>
        <w:t>µ</w:t>
      </w:r>
      <w:r w:rsidR="00174F38">
        <w:t xml:space="preserve">g/plate, and </w:t>
      </w:r>
      <w:r w:rsidR="008B4E79">
        <w:t xml:space="preserve">with filtration concentrations </w:t>
      </w:r>
      <w:r w:rsidR="00174F38">
        <w:t>were</w:t>
      </w:r>
      <w:r w:rsidR="008B4E79">
        <w:t xml:space="preserve"> 2500 and 5000 </w:t>
      </w:r>
      <w:r w:rsidR="008B4E79">
        <w:rPr>
          <w:rFonts w:cs="Arial"/>
        </w:rPr>
        <w:t>µ</w:t>
      </w:r>
      <w:r w:rsidR="008B4E79">
        <w:t>g/plate</w:t>
      </w:r>
      <w:r w:rsidR="00174F38">
        <w:t xml:space="preserve">, as concentrations of 7500 and 10,000 </w:t>
      </w:r>
      <w:r w:rsidR="00174F38">
        <w:rPr>
          <w:rFonts w:cs="Arial"/>
        </w:rPr>
        <w:t>µ</w:t>
      </w:r>
      <w:r w:rsidR="00174F38">
        <w:t>g/plate could not be filt</w:t>
      </w:r>
      <w:r w:rsidR="006C6FC9">
        <w:t>e</w:t>
      </w:r>
      <w:r w:rsidR="00174F38">
        <w:t>red due to limited solubility</w:t>
      </w:r>
      <w:r w:rsidR="008B4E79">
        <w:t xml:space="preserve">. </w:t>
      </w:r>
    </w:p>
    <w:p w14:paraId="4CFB8E48" w14:textId="38FFB411" w:rsidR="008B4E79" w:rsidRDefault="008B4E79" w:rsidP="00F83E70"/>
    <w:p w14:paraId="0C86AAF5" w14:textId="6A3D8673" w:rsidR="004D3DFA" w:rsidRDefault="006C5765" w:rsidP="00F83E70">
      <w:r>
        <w:t xml:space="preserve">No precipitation of the test item occurred up to the highest dose, and plates incubated with the test item showed normal background growth up to 5000 </w:t>
      </w:r>
      <w:r>
        <w:rPr>
          <w:rFonts w:cs="Arial"/>
        </w:rPr>
        <w:t>µ</w:t>
      </w:r>
      <w:r>
        <w:t xml:space="preserve">g/plate with and without metabolic activation in all strains. No toxicity was observed in the test groups. </w:t>
      </w:r>
      <w:r w:rsidR="00174F38">
        <w:t xml:space="preserve">No </w:t>
      </w:r>
      <w:r w:rsidR="00FA7703">
        <w:t>significant</w:t>
      </w:r>
      <w:r w:rsidR="00174F38">
        <w:t xml:space="preserve"> increase in revertant colony numbers was observed in any strain following treatment with the test item, with or without S9 mix. </w:t>
      </w:r>
      <w:r w:rsidR="00D04CF6">
        <w:t>A minor increase in the number of revertant colonies was ob</w:t>
      </w:r>
      <w:r w:rsidR="00D04CF6">
        <w:lastRenderedPageBreak/>
        <w:t>served in experiments I and II in strain TA 98 in the absence of metabolic activation</w:t>
      </w:r>
      <w:r w:rsidR="004D3DFA">
        <w:t xml:space="preserve"> at the highest concentration of the test item</w:t>
      </w:r>
      <w:r w:rsidR="00D04CF6">
        <w:t xml:space="preserve">, although </w:t>
      </w:r>
      <w:r w:rsidR="00D47F2B">
        <w:t xml:space="preserve">the threshold of a 2-fold increase over the solvent control was not reached, and the mean value of revertant colonies was in the range of historical control data for the solvent control. </w:t>
      </w:r>
      <w:r w:rsidR="004D3DFA">
        <w:t>In experiments IIa and IIb without filtration, microbial contamination occurred preventing the use of these results. In experiment IIb with filtration, a two-fold increase in the number of revertant colonies was not observed following treatment with the test item. All positive controls produced the expected positive response, demonstrating the validity of the test system used in this study.</w:t>
      </w:r>
    </w:p>
    <w:p w14:paraId="616C440F" w14:textId="6FED26CD" w:rsidR="004D3DFA" w:rsidRDefault="004D3DFA" w:rsidP="00F83E70"/>
    <w:p w14:paraId="77F67656" w14:textId="5944094F" w:rsidR="004D3DFA" w:rsidRDefault="00C70160" w:rsidP="00F83E70">
      <w:r>
        <w:t xml:space="preserve">It was </w:t>
      </w:r>
      <w:r w:rsidR="004D3DFA">
        <w:t xml:space="preserve">concluded that </w:t>
      </w:r>
      <w:r w:rsidR="009653CC">
        <w:t xml:space="preserve">lipase produced with </w:t>
      </w:r>
      <w:r w:rsidR="009653CC" w:rsidRPr="00B94AC2">
        <w:rPr>
          <w:i/>
        </w:rPr>
        <w:t>T. reesei</w:t>
      </w:r>
      <w:r w:rsidR="004D3DFA">
        <w:t xml:space="preserve"> was not mutagenic under the conditions of this study. </w:t>
      </w:r>
    </w:p>
    <w:p w14:paraId="43659CC1" w14:textId="2FE3F5B1" w:rsidR="00577F3A" w:rsidRDefault="00577F3A" w:rsidP="00577F3A">
      <w:pPr>
        <w:pStyle w:val="Heading5"/>
      </w:pPr>
      <w:r>
        <w:t>Chromosomal aberration test in human lymphocytes (Bohnenberger 2013) Regulatory status: GLP; Conducted according to OECD TG 473</w:t>
      </w:r>
    </w:p>
    <w:p w14:paraId="5AAD9A20" w14:textId="266D52F8" w:rsidR="00577F3A" w:rsidRDefault="009653CC" w:rsidP="00F83E70">
      <w:r>
        <w:t xml:space="preserve">Lipase produced with </w:t>
      </w:r>
      <w:r w:rsidRPr="00B94AC2">
        <w:rPr>
          <w:i/>
        </w:rPr>
        <w:t>T. reesei</w:t>
      </w:r>
      <w:r w:rsidR="00AD1CD7">
        <w:t xml:space="preserve"> was evaluated for its potential to induce structural chromosomal aberrations in human lymphocytes </w:t>
      </w:r>
      <w:r w:rsidR="00AD1CD7" w:rsidRPr="00AD1CD7">
        <w:rPr>
          <w:i/>
        </w:rPr>
        <w:t>in vitro</w:t>
      </w:r>
      <w:r w:rsidR="00AD1CD7">
        <w:t xml:space="preserve">. Two experiments were performed. Experiment I was performed with and without metabolic activation (S9 mix) and the exposure period was 4 hours. In experiment II the exposure period was 22 hours, without S9 mix. Cells were treated 72 hours after mitogenic stimulation with </w:t>
      </w:r>
      <w:r w:rsidR="003A2BCF">
        <w:t xml:space="preserve">phytohaemagglutinine in all experiments, and chromosomes were prepared for analysis 22 hours after the start of treatment with the test items, and three hours after the addition of the metaphase arresting substance colcemid. </w:t>
      </w:r>
      <w:r w:rsidR="000B533C">
        <w:t xml:space="preserve">Each concentration was tested in two parallel cultures, and at least 100 metaphases per culture were scored for structural chromosomal aberrations, and 1000 cells per culture were counted for determination of the mitotic index. The highest concentration tested was 5300 </w:t>
      </w:r>
      <w:r w:rsidR="000B533C">
        <w:rPr>
          <w:rFonts w:cs="Arial"/>
        </w:rPr>
        <w:t>µ</w:t>
      </w:r>
      <w:r w:rsidR="000B533C">
        <w:t xml:space="preserve">g/mL, corresponding to 5000 </w:t>
      </w:r>
      <w:r w:rsidR="000B533C">
        <w:rPr>
          <w:rFonts w:cs="Arial"/>
        </w:rPr>
        <w:t>µ</w:t>
      </w:r>
      <w:r w:rsidR="000B533C">
        <w:t>g/mL TOS. Three test concentrations per experiment were used for cytogenetic analysis, based on cytotoxicity observations, the concen</w:t>
      </w:r>
      <w:r>
        <w:t>trations ranged from 1730.6-5300</w:t>
      </w:r>
      <w:r w:rsidR="000B533C">
        <w:t xml:space="preserve"> </w:t>
      </w:r>
      <w:r w:rsidR="000B533C">
        <w:rPr>
          <w:rFonts w:cs="Arial"/>
        </w:rPr>
        <w:t>µ</w:t>
      </w:r>
      <w:r w:rsidR="000B533C">
        <w:t>g/mL</w:t>
      </w:r>
      <w:r>
        <w:t xml:space="preserve"> (approximately 1633-5000 </w:t>
      </w:r>
      <w:r>
        <w:rPr>
          <w:rFonts w:cs="Arial"/>
        </w:rPr>
        <w:t>µ</w:t>
      </w:r>
      <w:r>
        <w:t>g/mL TOS)</w:t>
      </w:r>
      <w:r w:rsidR="000B533C">
        <w:t xml:space="preserve"> in experiment I without S9, 105.4-322.9 </w:t>
      </w:r>
      <w:r w:rsidR="000B533C">
        <w:rPr>
          <w:rFonts w:cs="Arial"/>
        </w:rPr>
        <w:t>µ</w:t>
      </w:r>
      <w:r w:rsidR="000B533C">
        <w:t>g/mL</w:t>
      </w:r>
      <w:r>
        <w:t xml:space="preserve"> (approximately 99-305 </w:t>
      </w:r>
      <w:r>
        <w:rPr>
          <w:rFonts w:cs="Arial"/>
        </w:rPr>
        <w:t>µg</w:t>
      </w:r>
      <w:r>
        <w:t>/mL TOS)</w:t>
      </w:r>
      <w:r w:rsidR="000B533C">
        <w:t xml:space="preserve"> in experiment I with S9 and 374.1-1145.8 </w:t>
      </w:r>
      <w:r w:rsidR="000B533C">
        <w:rPr>
          <w:rFonts w:cs="Arial"/>
        </w:rPr>
        <w:t>µ</w:t>
      </w:r>
      <w:r w:rsidR="000B533C">
        <w:t>g/mL</w:t>
      </w:r>
      <w:r>
        <w:t xml:space="preserve"> (approximately 353-1081 </w:t>
      </w:r>
      <w:r>
        <w:rPr>
          <w:rFonts w:cs="Arial"/>
        </w:rPr>
        <w:t>µg</w:t>
      </w:r>
      <w:r>
        <w:t>/mL TOS)</w:t>
      </w:r>
      <w:r w:rsidR="000B533C">
        <w:t xml:space="preserve"> in experiment II. The vehicle and solvent control was water, and positive controls were ethylmethane sulfon</w:t>
      </w:r>
      <w:r w:rsidR="00D108F0">
        <w:t>a</w:t>
      </w:r>
      <w:r w:rsidR="000B533C">
        <w:t xml:space="preserve">te and cyclophosphamide in the absence and presence of S9, respectively. </w:t>
      </w:r>
    </w:p>
    <w:p w14:paraId="2C82D3A7" w14:textId="2A6108D1" w:rsidR="000B533C" w:rsidRDefault="000B533C" w:rsidP="00F83E70"/>
    <w:p w14:paraId="679C0201" w14:textId="52A96CF0" w:rsidR="000B533C" w:rsidRDefault="000B533C" w:rsidP="00F83E70">
      <w:r>
        <w:t xml:space="preserve">No significant increases in chromosomal aberration rates were observed at any of the concentrations of lipase evaluated, with or without metabolic activation. </w:t>
      </w:r>
      <w:r w:rsidR="00C70160">
        <w:t xml:space="preserve">The positive controls produced distinct increases in cells with structural chromosomal aberrations, confirming the validity of the test system. </w:t>
      </w:r>
    </w:p>
    <w:p w14:paraId="17702F71" w14:textId="6043FF53" w:rsidR="00C70160" w:rsidRDefault="00C70160" w:rsidP="00F83E70"/>
    <w:p w14:paraId="2BA7051F" w14:textId="3EF2852A" w:rsidR="00C70160" w:rsidRDefault="00C70160" w:rsidP="00F83E70">
      <w:r>
        <w:t xml:space="preserve">It was concluded that </w:t>
      </w:r>
      <w:r w:rsidR="009653CC">
        <w:t xml:space="preserve">lipase produced with </w:t>
      </w:r>
      <w:r w:rsidR="009653CC" w:rsidRPr="00B94AC2">
        <w:rPr>
          <w:i/>
        </w:rPr>
        <w:t>T. reesei</w:t>
      </w:r>
      <w:r>
        <w:t xml:space="preserve"> did not induce structural chromosomal aberrations in cultured human lymphocytes under the conditions of this study. </w:t>
      </w:r>
    </w:p>
    <w:p w14:paraId="1B40A741" w14:textId="6B11603E" w:rsidR="00E74F6C" w:rsidRPr="002C6004" w:rsidRDefault="002C6004" w:rsidP="002C6004">
      <w:pPr>
        <w:pStyle w:val="Heading4"/>
      </w:pPr>
      <w:r w:rsidRPr="002C6004">
        <w:lastRenderedPageBreak/>
        <w:t>3.</w:t>
      </w:r>
      <w:r w:rsidR="00B950F0">
        <w:t>3</w:t>
      </w:r>
      <w:r w:rsidRPr="002C6004">
        <w:t>.</w:t>
      </w:r>
      <w:r w:rsidR="003C02FE">
        <w:t>5</w:t>
      </w:r>
      <w:r w:rsidRPr="002C6004">
        <w:t>.2</w:t>
      </w:r>
      <w:r w:rsidRPr="002C6004">
        <w:tab/>
      </w:r>
      <w:r w:rsidR="00E74F6C" w:rsidRPr="002C6004">
        <w:t>Short-term studies in animals</w:t>
      </w:r>
    </w:p>
    <w:p w14:paraId="28E20739" w14:textId="6CEE7312" w:rsidR="00E74F6C" w:rsidRDefault="00E74F6C" w:rsidP="00E74F6C">
      <w:pPr>
        <w:pStyle w:val="Heading5"/>
      </w:pPr>
      <w:r>
        <w:t>90-day repeated dose oral toxicity study in rats (Braun 2014) Regulatory status: GLP; Conducted according to OECD TG 408</w:t>
      </w:r>
    </w:p>
    <w:p w14:paraId="12C174B9" w14:textId="5C7F3D4A" w:rsidR="00E74F6C" w:rsidRDefault="00B94AC2" w:rsidP="00F83E70">
      <w:r>
        <w:t xml:space="preserve">Lipase produced with </w:t>
      </w:r>
      <w:r w:rsidRPr="00B94AC2">
        <w:rPr>
          <w:i/>
        </w:rPr>
        <w:t>T. reesei</w:t>
      </w:r>
      <w:r w:rsidR="00AB0593">
        <w:t xml:space="preserve"> was administered by oral gavage to Wistar </w:t>
      </w:r>
      <w:r w:rsidR="00DD2ED9">
        <w:t>rats (10/sex/group) at doses of 0, 50, 200 and 1000 mg/kg bw/day for a period of 92/93 days.</w:t>
      </w:r>
      <w:r w:rsidR="00612B5F">
        <w:t xml:space="preserve"> Doses were adjusted to account for the TOS content (94.38%).</w:t>
      </w:r>
      <w:r w:rsidR="00DD2ED9">
        <w:t xml:space="preserve"> The vehicle and control was water. Animals were observed for clinical signs before the start of administration and daily thereafter (twice daily on Days 1-3). Detailed behavioural observations were recorded we</w:t>
      </w:r>
      <w:r w:rsidR="00612B5F">
        <w:t>ekly, and a functional observational battery, grip strength and locomotor activity were evaluated in all animals during the final week of the study (Week 13). Food consumption and body weights were recorded weekly.</w:t>
      </w:r>
      <w:r w:rsidR="00BD1533">
        <w:t xml:space="preserve"> Ophthalmoscopy was performed on all animals during the acclimatisation period, and on animals in the control and high-dose animals during the final week of treatment.</w:t>
      </w:r>
      <w:r w:rsidR="00612B5F">
        <w:t xml:space="preserve"> </w:t>
      </w:r>
      <w:r w:rsidR="008E1674">
        <w:t xml:space="preserve">Blood samples were collected </w:t>
      </w:r>
      <w:r w:rsidR="00BD1533">
        <w:t xml:space="preserve">for analysis </w:t>
      </w:r>
      <w:r w:rsidR="008E1674">
        <w:t xml:space="preserve">after an 18 hour fasting period (with </w:t>
      </w:r>
      <w:r w:rsidR="008E1674" w:rsidRPr="00BD1533">
        <w:rPr>
          <w:i/>
        </w:rPr>
        <w:t>ad libitum</w:t>
      </w:r>
      <w:r w:rsidR="008E1674">
        <w:t xml:space="preserve"> access to water) on the day of study termination, and urine samples were collected during the fasting period. All animals were killed, necropsied and macroscopic observations were made for all animals. Histopathological observations were performed </w:t>
      </w:r>
      <w:r w:rsidR="00BD1533">
        <w:t>on</w:t>
      </w:r>
      <w:r w:rsidR="008E1674">
        <w:t xml:space="preserve"> organs and tissues from </w:t>
      </w:r>
      <w:r w:rsidR="00BD1533">
        <w:t xml:space="preserve">all </w:t>
      </w:r>
      <w:r w:rsidR="008E1674">
        <w:t xml:space="preserve">animals in the control and high-dose groups. </w:t>
      </w:r>
    </w:p>
    <w:p w14:paraId="565FD3DA" w14:textId="4BFD49B4" w:rsidR="00BD1533" w:rsidRDefault="00BD1533" w:rsidP="00F83E70"/>
    <w:p w14:paraId="4F01686A" w14:textId="7F9E6B7B" w:rsidR="00BD1533" w:rsidRDefault="003A52F0" w:rsidP="00F83E70">
      <w:r>
        <w:t xml:space="preserve">All animals survived until the end of the study and there were no clinical signs of toxicity observed. There were no test-item related findings in the functional observational battery, grip strength, and locomotor activity assessments. No test-item related effects on food consumption, body weight and body weight gain were observed. No ophthalmoscopic changes related to treatment were observed. </w:t>
      </w:r>
      <w:r w:rsidR="005D17E2">
        <w:t xml:space="preserve">In haematology, clinical chemistry and urinalysis analyses, no changes of </w:t>
      </w:r>
      <w:r w:rsidR="00B94AC2">
        <w:t xml:space="preserve">toxicological significance were observed. There were no treatment related changes in absolute or relative organ weights, and no test item related macroscopic or microscopic findings. </w:t>
      </w:r>
    </w:p>
    <w:p w14:paraId="6E2904B9" w14:textId="715B26BA" w:rsidR="00B94AC2" w:rsidRDefault="00B94AC2" w:rsidP="00F83E70"/>
    <w:p w14:paraId="3371F832" w14:textId="2BEA1BCD" w:rsidR="001569A2" w:rsidRDefault="00B94AC2" w:rsidP="00CB43A3">
      <w:r>
        <w:t xml:space="preserve">Based on the results of this study, it was concluded that the no observed adverse effect level of lipase produced with </w:t>
      </w:r>
      <w:r w:rsidRPr="00B94AC2">
        <w:rPr>
          <w:i/>
        </w:rPr>
        <w:t>T. reesei</w:t>
      </w:r>
      <w:r>
        <w:t xml:space="preserve"> was 1000 mg/kg bw/day, the highest dose tested. </w:t>
      </w:r>
      <w:bookmarkStart w:id="65" w:name="_Toc471740090"/>
    </w:p>
    <w:p w14:paraId="1962E1BF" w14:textId="77777777" w:rsidR="00976395" w:rsidRDefault="00976395">
      <w:pPr>
        <w:widowControl/>
        <w:rPr>
          <w:rFonts w:cs="Arial"/>
          <w:b/>
          <w:bCs/>
          <w:sz w:val="28"/>
          <w:szCs w:val="22"/>
          <w:lang w:bidi="ar-SA"/>
        </w:rPr>
      </w:pPr>
      <w:bookmarkStart w:id="66" w:name="_Toc471740094"/>
      <w:bookmarkStart w:id="67" w:name="_Toc499282453"/>
      <w:bookmarkStart w:id="68" w:name="_Toc505255642"/>
      <w:bookmarkEnd w:id="65"/>
      <w:r>
        <w:br w:type="page"/>
      </w:r>
    </w:p>
    <w:p w14:paraId="6973AA45" w14:textId="36CE0A03" w:rsidR="00CB43A3" w:rsidRPr="003F4D2E" w:rsidRDefault="00CB43A3" w:rsidP="002C6004">
      <w:pPr>
        <w:pStyle w:val="Heading2"/>
      </w:pPr>
      <w:bookmarkStart w:id="69" w:name="_Toc528243347"/>
      <w:r w:rsidRPr="00DD6B6A">
        <w:lastRenderedPageBreak/>
        <w:t>3.</w:t>
      </w:r>
      <w:r w:rsidR="00745DB7">
        <w:t>4</w:t>
      </w:r>
      <w:r w:rsidR="00292564">
        <w:tab/>
      </w:r>
      <w:r>
        <w:t>Safety</w:t>
      </w:r>
      <w:r w:rsidRPr="00DD6B6A">
        <w:t xml:space="preserve"> </w:t>
      </w:r>
      <w:r>
        <w:t>a</w:t>
      </w:r>
      <w:r w:rsidRPr="00DD6B6A">
        <w:t xml:space="preserve">ssessment </w:t>
      </w:r>
      <w:r>
        <w:t>c</w:t>
      </w:r>
      <w:r w:rsidRPr="00DD6B6A">
        <w:t>onclusions</w:t>
      </w:r>
      <w:bookmarkEnd w:id="66"/>
      <w:bookmarkEnd w:id="67"/>
      <w:bookmarkEnd w:id="68"/>
      <w:bookmarkEnd w:id="69"/>
    </w:p>
    <w:p w14:paraId="1E957E46" w14:textId="1D9CAEE1" w:rsidR="004B132D" w:rsidRDefault="00CB43A3" w:rsidP="004B132D">
      <w:r w:rsidRPr="00EE0B89">
        <w:t xml:space="preserve">There are no public health and safety </w:t>
      </w:r>
      <w:r w:rsidR="00C2601A">
        <w:t>issues</w:t>
      </w:r>
      <w:r w:rsidR="00C2601A" w:rsidRPr="00EE0B89">
        <w:t xml:space="preserve"> </w:t>
      </w:r>
      <w:r w:rsidRPr="00EE0B89">
        <w:t>associated with the use of</w:t>
      </w:r>
      <w:r w:rsidR="0095101E">
        <w:t xml:space="preserve"> </w:t>
      </w:r>
      <w:r w:rsidR="0095101E">
        <w:rPr>
          <w:rFonts w:cs="Arial"/>
        </w:rPr>
        <w:t>t</w:t>
      </w:r>
      <w:r w:rsidR="0095101E" w:rsidRPr="00F83E70">
        <w:rPr>
          <w:rFonts w:cs="Arial"/>
        </w:rPr>
        <w:t>riacylglycerol lipase</w:t>
      </w:r>
      <w:r w:rsidR="004B132D">
        <w:rPr>
          <w:rFonts w:cs="Arial"/>
        </w:rPr>
        <w:t xml:space="preserve"> from </w:t>
      </w:r>
      <w:r w:rsidR="004B132D" w:rsidRPr="008D41F2">
        <w:rPr>
          <w:i/>
        </w:rPr>
        <w:t>T</w:t>
      </w:r>
      <w:r w:rsidR="004B132D">
        <w:rPr>
          <w:i/>
        </w:rPr>
        <w:t>.</w:t>
      </w:r>
      <w:r w:rsidR="004B132D" w:rsidRPr="0075550B">
        <w:rPr>
          <w:rFonts w:cs="Arial"/>
          <w:i/>
          <w:color w:val="000000" w:themeColor="text1"/>
        </w:rPr>
        <w:t xml:space="preserve"> reesei</w:t>
      </w:r>
      <w:r w:rsidR="004B132D" w:rsidRPr="004B132D">
        <w:t xml:space="preserve"> </w:t>
      </w:r>
      <w:r w:rsidR="004B132D">
        <w:t xml:space="preserve">when used </w:t>
      </w:r>
      <w:r w:rsidR="004B132D" w:rsidRPr="009265D9">
        <w:t>as a food processing aid on the basis of the following considerations:</w:t>
      </w:r>
    </w:p>
    <w:p w14:paraId="35B58E7E" w14:textId="77777777" w:rsidR="00E814FB" w:rsidRPr="009265D9" w:rsidRDefault="00E814FB" w:rsidP="004B132D"/>
    <w:p w14:paraId="1557F59B" w14:textId="5313281F" w:rsidR="00CB43A3" w:rsidRDefault="004B132D" w:rsidP="005E48A1">
      <w:pPr>
        <w:pStyle w:val="FSBullet1"/>
      </w:pPr>
      <w:r>
        <w:t xml:space="preserve">The production organism </w:t>
      </w:r>
      <w:r w:rsidRPr="004B132D">
        <w:rPr>
          <w:i/>
        </w:rPr>
        <w:t>T</w:t>
      </w:r>
      <w:r w:rsidR="006464C0">
        <w:rPr>
          <w:i/>
        </w:rPr>
        <w:t>.</w:t>
      </w:r>
      <w:r w:rsidRPr="004B132D">
        <w:rPr>
          <w:i/>
        </w:rPr>
        <w:t xml:space="preserve"> reesei</w:t>
      </w:r>
      <w:r>
        <w:t xml:space="preserve"> is not pathogenic and is </w:t>
      </w:r>
      <w:r w:rsidRPr="009265D9">
        <w:t>absent in the final enzyme preparation proposed to be used as a food processing aid. Further</w:t>
      </w:r>
      <w:r w:rsidR="00127CDC">
        <w:t>more</w:t>
      </w:r>
      <w:r w:rsidRPr="009265D9">
        <w:t xml:space="preserve">, </w:t>
      </w:r>
      <w:r w:rsidRPr="004B132D">
        <w:rPr>
          <w:i/>
        </w:rPr>
        <w:t>T</w:t>
      </w:r>
      <w:r w:rsidR="004010AF">
        <w:rPr>
          <w:i/>
        </w:rPr>
        <w:t>.</w:t>
      </w:r>
      <w:r w:rsidRPr="004B132D">
        <w:rPr>
          <w:i/>
        </w:rPr>
        <w:t xml:space="preserve"> reesei</w:t>
      </w:r>
      <w:r>
        <w:t xml:space="preserve"> </w:t>
      </w:r>
      <w:r w:rsidRPr="009265D9">
        <w:t>has a history of safe use as the production organism for a number of enzyme processing aids that are already permitted in the Code.</w:t>
      </w:r>
    </w:p>
    <w:p w14:paraId="0E353BD2" w14:textId="77777777" w:rsidR="004B132D" w:rsidRPr="009265D9" w:rsidRDefault="004B132D" w:rsidP="004B132D">
      <w:pPr>
        <w:pStyle w:val="ListParagraph"/>
        <w:ind w:left="567" w:hanging="567"/>
        <w:rPr>
          <w:rFonts w:cs="Arial"/>
          <w:color w:val="000000" w:themeColor="text1"/>
        </w:rPr>
      </w:pPr>
    </w:p>
    <w:p w14:paraId="1722673E" w14:textId="5668DFEB" w:rsidR="00A16B67" w:rsidRPr="005E48A1" w:rsidRDefault="00A16B67" w:rsidP="005E48A1">
      <w:pPr>
        <w:pStyle w:val="FSBullet1"/>
      </w:pPr>
      <w:r w:rsidRPr="005E48A1">
        <w:t>Molecular characterisation of the production strain has confirmed the sequence of the inserted DNA is as expected and has not undergone any rearrangement, and the introduced DNA is stably inherited.</w:t>
      </w:r>
    </w:p>
    <w:p w14:paraId="14A20498" w14:textId="77777777" w:rsidR="00A16B67" w:rsidRPr="00A16B67" w:rsidRDefault="00A16B67" w:rsidP="00A16B67">
      <w:pPr>
        <w:rPr>
          <w:lang w:val="en-AU" w:bidi="ar-SA"/>
        </w:rPr>
      </w:pPr>
    </w:p>
    <w:p w14:paraId="2B44AA80" w14:textId="47E98491" w:rsidR="004B132D" w:rsidRPr="005E48A1" w:rsidRDefault="004B132D" w:rsidP="005E48A1">
      <w:pPr>
        <w:pStyle w:val="FSBullet1"/>
      </w:pPr>
      <w:r w:rsidRPr="005E48A1">
        <w:t>Residual enzyme is expected to be present in the final food product but would be inactivated by heat-treatment or non-active because of a lack of substrate.</w:t>
      </w:r>
    </w:p>
    <w:p w14:paraId="044DC7B8" w14:textId="77777777" w:rsidR="004B132D" w:rsidRPr="009265D9" w:rsidRDefault="004B132D" w:rsidP="005E48A1">
      <w:pPr>
        <w:pStyle w:val="ListParagraph"/>
        <w:ind w:left="0"/>
        <w:rPr>
          <w:rFonts w:cs="Arial"/>
          <w:color w:val="000000" w:themeColor="text1"/>
          <w:lang w:val="en-AU"/>
        </w:rPr>
      </w:pPr>
    </w:p>
    <w:p w14:paraId="36F3A1CE" w14:textId="2DBB3C64" w:rsidR="004B132D" w:rsidRPr="005E48A1" w:rsidRDefault="004B132D" w:rsidP="005E48A1">
      <w:pPr>
        <w:pStyle w:val="FSBullet1"/>
      </w:pPr>
      <w:r w:rsidRPr="005E48A1">
        <w:t>Bioinformatic analysis indicated that the enzyme has no biologically relevant homology to kn</w:t>
      </w:r>
      <w:r w:rsidR="00B7614C" w:rsidRPr="005E48A1">
        <w:t xml:space="preserve">own protein allergens or toxins and </w:t>
      </w:r>
      <w:r w:rsidR="00B7614C" w:rsidRPr="005E48A1">
        <w:rPr>
          <w:rFonts w:eastAsia="Calibri"/>
        </w:rPr>
        <w:t>is unlikely to pose an allergenicity or toxicity concern.</w:t>
      </w:r>
    </w:p>
    <w:p w14:paraId="6A75FB4C" w14:textId="77777777" w:rsidR="00CB43A3" w:rsidRDefault="00CB43A3" w:rsidP="00CB43A3"/>
    <w:p w14:paraId="4B367118" w14:textId="35896099" w:rsidR="00CB43A3" w:rsidRDefault="004B132D" w:rsidP="005E48A1">
      <w:pPr>
        <w:pStyle w:val="FSBullet1"/>
      </w:pPr>
      <w:r>
        <w:t>The enzyme preparation</w:t>
      </w:r>
      <w:r w:rsidR="004F6AFD">
        <w:t xml:space="preserve"> was not mutagenic or clastogenic </w:t>
      </w:r>
      <w:r w:rsidR="004F6AFD" w:rsidRPr="004F6AFD">
        <w:rPr>
          <w:i/>
        </w:rPr>
        <w:t>in vitro</w:t>
      </w:r>
      <w:r w:rsidR="004F6AFD">
        <w:t xml:space="preserve">. </w:t>
      </w:r>
      <w:r w:rsidR="004F6AFD" w:rsidRPr="004F6AFD">
        <w:t xml:space="preserve">The NOAEL in a </w:t>
      </w:r>
      <w:r w:rsidR="004F6AFD">
        <w:t>90-day</w:t>
      </w:r>
      <w:r w:rsidR="004F6AFD" w:rsidRPr="004F6AFD">
        <w:t xml:space="preserve"> repeated dose oral toxicity study in rats was the highest dose tested</w:t>
      </w:r>
      <w:r w:rsidR="004F6AFD">
        <w:t>,</w:t>
      </w:r>
      <w:r w:rsidR="004F6AFD" w:rsidRPr="004F6AFD">
        <w:t xml:space="preserve"> 1000 mg/kg bw/day </w:t>
      </w:r>
      <w:r w:rsidR="004F6AFD">
        <w:t>on a TOS basis. This is more than 11,</w:t>
      </w:r>
      <w:r w:rsidR="004010AF">
        <w:t>000-fold higher than the a</w:t>
      </w:r>
      <w:r w:rsidR="004F6AFD" w:rsidRPr="004F6AFD">
        <w:t>pplicant’s estimate of an individual’s theoretical max</w:t>
      </w:r>
      <w:r w:rsidR="004F6AFD">
        <w:t>imal daily intake (0.09</w:t>
      </w:r>
      <w:r w:rsidR="004F6AFD" w:rsidRPr="004F6AFD">
        <w:t xml:space="preserve"> mg TOS/kg bw/day) based on the p</w:t>
      </w:r>
      <w:r w:rsidR="004010AF">
        <w:t>roposed uses, as stated in the a</w:t>
      </w:r>
      <w:r w:rsidR="004F6AFD" w:rsidRPr="004F6AFD">
        <w:t>pplication.</w:t>
      </w:r>
    </w:p>
    <w:p w14:paraId="029D816F" w14:textId="7E790A20" w:rsidR="00CB43A3" w:rsidRDefault="00CB43A3" w:rsidP="00CB43A3"/>
    <w:p w14:paraId="43ADCFEF" w14:textId="3DFE0253" w:rsidR="003C02FE" w:rsidRDefault="0017222C" w:rsidP="0017222C">
      <w:pPr>
        <w:rPr>
          <w:lang w:eastAsia="en-AU" w:bidi="ar-SA"/>
        </w:rPr>
      </w:pPr>
      <w:r w:rsidRPr="00EE0B89">
        <w:rPr>
          <w:lang w:eastAsia="en-AU" w:bidi="ar-SA"/>
        </w:rPr>
        <w:t>Based on the reviewed toxicological data it is concluded that</w:t>
      </w:r>
      <w:r w:rsidR="00380F3C">
        <w:rPr>
          <w:lang w:eastAsia="en-AU" w:bidi="ar-SA"/>
        </w:rPr>
        <w:t>,</w:t>
      </w:r>
      <w:r w:rsidRPr="00EE0B89">
        <w:rPr>
          <w:lang w:eastAsia="en-AU" w:bidi="ar-SA"/>
        </w:rPr>
        <w:t xml:space="preserve"> in the absence of any identifiable hazard</w:t>
      </w:r>
      <w:r w:rsidR="00380F3C">
        <w:rPr>
          <w:lang w:eastAsia="en-AU" w:bidi="ar-SA"/>
        </w:rPr>
        <w:t>,</w:t>
      </w:r>
      <w:r w:rsidRPr="00EE0B89">
        <w:rPr>
          <w:lang w:eastAsia="en-AU" w:bidi="ar-SA"/>
        </w:rPr>
        <w:t xml:space="preserve"> an </w:t>
      </w:r>
      <w:r w:rsidR="00860917">
        <w:rPr>
          <w:lang w:eastAsia="en-AU" w:bidi="ar-SA"/>
        </w:rPr>
        <w:t>a</w:t>
      </w:r>
      <w:r w:rsidRPr="00EE0B89">
        <w:rPr>
          <w:lang w:eastAsia="en-AU" w:bidi="ar-SA"/>
        </w:rPr>
        <w:t xml:space="preserve">cceptable </w:t>
      </w:r>
      <w:r w:rsidR="00860917">
        <w:rPr>
          <w:lang w:eastAsia="en-AU" w:bidi="ar-SA"/>
        </w:rPr>
        <w:t>d</w:t>
      </w:r>
      <w:r w:rsidRPr="00EE0B89">
        <w:rPr>
          <w:lang w:eastAsia="en-AU" w:bidi="ar-SA"/>
        </w:rPr>
        <w:t xml:space="preserve">aily </w:t>
      </w:r>
      <w:r w:rsidR="00860917">
        <w:rPr>
          <w:lang w:eastAsia="en-AU" w:bidi="ar-SA"/>
        </w:rPr>
        <w:t>i</w:t>
      </w:r>
      <w:r w:rsidRPr="00EE0B89">
        <w:rPr>
          <w:lang w:eastAsia="en-AU" w:bidi="ar-SA"/>
        </w:rPr>
        <w:t xml:space="preserve">ntake (ADI) ‘not specified’ is appropriate. A dietary exposure assessment </w:t>
      </w:r>
      <w:r w:rsidR="00FB6DB1">
        <w:rPr>
          <w:lang w:eastAsia="en-AU" w:bidi="ar-SA"/>
        </w:rPr>
        <w:t>is</w:t>
      </w:r>
      <w:r w:rsidRPr="00EE0B89">
        <w:rPr>
          <w:lang w:eastAsia="en-AU" w:bidi="ar-SA"/>
        </w:rPr>
        <w:t xml:space="preserve"> therefore not required.</w:t>
      </w:r>
      <w:r w:rsidR="003C02FE">
        <w:rPr>
          <w:lang w:eastAsia="en-AU" w:bidi="ar-SA"/>
        </w:rPr>
        <w:t xml:space="preserve"> </w:t>
      </w:r>
    </w:p>
    <w:p w14:paraId="611801B8" w14:textId="77777777" w:rsidR="003C02FE" w:rsidRDefault="003C02FE" w:rsidP="0017222C">
      <w:pPr>
        <w:rPr>
          <w:lang w:eastAsia="en-AU" w:bidi="ar-SA"/>
        </w:rPr>
      </w:pPr>
    </w:p>
    <w:p w14:paraId="6D4EE1E6" w14:textId="513797D4" w:rsidR="0017222C" w:rsidRPr="00EE0B89" w:rsidRDefault="003C02FE" w:rsidP="0017222C">
      <w:pPr>
        <w:rPr>
          <w:lang w:eastAsia="en-AU" w:bidi="ar-SA"/>
        </w:rPr>
      </w:pPr>
      <w:r>
        <w:rPr>
          <w:lang w:eastAsia="en-AU" w:bidi="ar-SA"/>
        </w:rPr>
        <w:t>T</w:t>
      </w:r>
      <w:r w:rsidRPr="003C02FE">
        <w:t xml:space="preserve">he enzyme preparation contains wheat flour. </w:t>
      </w:r>
    </w:p>
    <w:p w14:paraId="6F7B3F63" w14:textId="06F6F104" w:rsidR="00CB43A3" w:rsidRPr="002C6004" w:rsidRDefault="002C6004" w:rsidP="002C6004">
      <w:pPr>
        <w:pStyle w:val="Heading1"/>
      </w:pPr>
      <w:bookmarkStart w:id="70" w:name="_Toc505255643"/>
      <w:bookmarkStart w:id="71" w:name="_Toc528243348"/>
      <w:r>
        <w:t xml:space="preserve">4 </w:t>
      </w:r>
      <w:r w:rsidR="00CB43A3" w:rsidRPr="002C6004">
        <w:t>References</w:t>
      </w:r>
      <w:bookmarkEnd w:id="70"/>
      <w:bookmarkEnd w:id="71"/>
    </w:p>
    <w:p w14:paraId="1AC7A795" w14:textId="09310169" w:rsidR="008D2BB9" w:rsidRPr="00AF2836" w:rsidRDefault="008D2BB9" w:rsidP="00CB43A3">
      <w:pPr>
        <w:rPr>
          <w:sz w:val="20"/>
          <w:szCs w:val="20"/>
        </w:rPr>
      </w:pPr>
      <w:r w:rsidRPr="00AF2836">
        <w:rPr>
          <w:sz w:val="20"/>
          <w:szCs w:val="20"/>
        </w:rPr>
        <w:t xml:space="preserve">Bohnenberger S (2013) Lipase produced with </w:t>
      </w:r>
      <w:r w:rsidRPr="00AF2836">
        <w:rPr>
          <w:i/>
          <w:sz w:val="20"/>
          <w:szCs w:val="20"/>
        </w:rPr>
        <w:t>Trichoderma reesei</w:t>
      </w:r>
      <w:r w:rsidRPr="00AF2836">
        <w:rPr>
          <w:sz w:val="20"/>
          <w:szCs w:val="20"/>
        </w:rPr>
        <w:t xml:space="preserve">: </w:t>
      </w:r>
      <w:r w:rsidRPr="00AF2836">
        <w:rPr>
          <w:i/>
          <w:sz w:val="20"/>
          <w:szCs w:val="20"/>
        </w:rPr>
        <w:t>In vitro</w:t>
      </w:r>
      <w:r w:rsidRPr="00AF2836">
        <w:rPr>
          <w:sz w:val="20"/>
          <w:szCs w:val="20"/>
        </w:rPr>
        <w:t xml:space="preserve"> chromosome aberration test in human lymphocytes. Harlan Cytotest Cell Research GmbH (Harlan CCR). In den Leppsteinswiesen 19, 64380 Rossdorf, Germany. Harlan Study Number: 1544901. </w:t>
      </w:r>
    </w:p>
    <w:p w14:paraId="41BDA0CD" w14:textId="77777777" w:rsidR="008D2BB9" w:rsidRPr="00AF2836" w:rsidRDefault="008D2BB9" w:rsidP="00CB43A3">
      <w:pPr>
        <w:rPr>
          <w:sz w:val="20"/>
          <w:szCs w:val="20"/>
        </w:rPr>
      </w:pPr>
    </w:p>
    <w:p w14:paraId="06E2E2E9" w14:textId="050C3E45" w:rsidR="008D2BB9" w:rsidRPr="00AF2836" w:rsidRDefault="008D2BB9" w:rsidP="00CB43A3">
      <w:pPr>
        <w:rPr>
          <w:sz w:val="20"/>
          <w:szCs w:val="20"/>
        </w:rPr>
      </w:pPr>
      <w:r w:rsidRPr="00AF2836">
        <w:rPr>
          <w:sz w:val="20"/>
          <w:szCs w:val="20"/>
        </w:rPr>
        <w:t xml:space="preserve">Braun WH (2014) Lipase produced with </w:t>
      </w:r>
      <w:r w:rsidRPr="00AF2836">
        <w:rPr>
          <w:i/>
          <w:sz w:val="20"/>
          <w:szCs w:val="20"/>
        </w:rPr>
        <w:t>Trichoderma reesei</w:t>
      </w:r>
      <w:r w:rsidRPr="00AF2836">
        <w:rPr>
          <w:sz w:val="20"/>
          <w:szCs w:val="20"/>
        </w:rPr>
        <w:t xml:space="preserve">: 90-day oral toxicity (gavage) study in the Wistar rat. Harlan Laboratories Ltd. Zelgiweg 1, 4452 Itingen, Switzerland. Harlan Study Number: D80691. </w:t>
      </w:r>
    </w:p>
    <w:p w14:paraId="7ACF3C89" w14:textId="77777777" w:rsidR="006F7787" w:rsidRDefault="006F7787" w:rsidP="006F7787">
      <w:pPr>
        <w:pStyle w:val="CitaviBibliography"/>
        <w:spacing w:after="0" w:line="240" w:lineRule="auto"/>
        <w:rPr>
          <w:sz w:val="20"/>
          <w:szCs w:val="20"/>
        </w:rPr>
      </w:pPr>
    </w:p>
    <w:p w14:paraId="410A02B4" w14:textId="13E2B1E4" w:rsidR="006F7787" w:rsidRDefault="006F7787" w:rsidP="006F7787">
      <w:pPr>
        <w:pStyle w:val="CitaviBibliography"/>
        <w:spacing w:after="0" w:line="240" w:lineRule="auto"/>
        <w:rPr>
          <w:sz w:val="20"/>
          <w:szCs w:val="20"/>
        </w:rPr>
      </w:pPr>
      <w:r w:rsidRPr="006F7787">
        <w:rPr>
          <w:sz w:val="20"/>
          <w:szCs w:val="20"/>
        </w:rPr>
        <w:lastRenderedPageBreak/>
        <w:t>Damodaran, S., Parkin, K. L., &amp; Fennema, O. R. (2008). Fennema's food chemistry</w:t>
      </w:r>
      <w:r>
        <w:rPr>
          <w:sz w:val="20"/>
          <w:szCs w:val="20"/>
        </w:rPr>
        <w:t xml:space="preserve"> (4</w:t>
      </w:r>
      <w:r w:rsidRPr="006F7787">
        <w:rPr>
          <w:sz w:val="20"/>
          <w:szCs w:val="20"/>
        </w:rPr>
        <w:t>th</w:t>
      </w:r>
      <w:r>
        <w:rPr>
          <w:sz w:val="20"/>
          <w:szCs w:val="20"/>
        </w:rPr>
        <w:t xml:space="preserve"> ed.)</w:t>
      </w:r>
      <w:r w:rsidRPr="006F7787">
        <w:rPr>
          <w:sz w:val="20"/>
          <w:szCs w:val="20"/>
        </w:rPr>
        <w:t>. Boca Raton: CRC Press/Taylor &amp; Francis</w:t>
      </w:r>
    </w:p>
    <w:p w14:paraId="38169C24" w14:textId="77777777" w:rsidR="006F7787" w:rsidRDefault="006F7787" w:rsidP="006F7787">
      <w:pPr>
        <w:pStyle w:val="CitaviBibliography"/>
        <w:spacing w:after="0" w:line="240" w:lineRule="auto"/>
        <w:rPr>
          <w:rFonts w:cs="Times New Roman"/>
          <w:sz w:val="20"/>
          <w:szCs w:val="20"/>
          <w:lang w:eastAsia="en-US" w:bidi="en-US"/>
        </w:rPr>
      </w:pPr>
    </w:p>
    <w:p w14:paraId="663B9E6B" w14:textId="2259B115" w:rsidR="00CB43A3" w:rsidRPr="00AF2836" w:rsidRDefault="00CB43A3" w:rsidP="00CB43A3">
      <w:pPr>
        <w:rPr>
          <w:sz w:val="20"/>
          <w:szCs w:val="20"/>
        </w:rPr>
      </w:pPr>
      <w:r w:rsidRPr="00AF2836">
        <w:rPr>
          <w:sz w:val="20"/>
          <w:szCs w:val="20"/>
        </w:rPr>
        <w:t>Delaney B, Astwood JD, Cunny H, Eichen Conn R, Herouet-Guicheney C, MacIntosh S, Meyer LS, Privalle LS, Gao Y, Mattsson J, Levine M, ILSI (2008) Evaluation of protein safety in the context of agricultural biotechnology. Food Chem Toxicol 46:S71-S97</w:t>
      </w:r>
    </w:p>
    <w:p w14:paraId="18395D8B" w14:textId="77777777" w:rsidR="00CB43A3" w:rsidRPr="00AF2836" w:rsidRDefault="00CB43A3" w:rsidP="00CB43A3">
      <w:pPr>
        <w:rPr>
          <w:sz w:val="20"/>
          <w:szCs w:val="20"/>
        </w:rPr>
      </w:pPr>
    </w:p>
    <w:p w14:paraId="4681F187" w14:textId="7E702E8B" w:rsidR="0007309F" w:rsidRPr="00AF2836" w:rsidRDefault="00CB43A3" w:rsidP="00CB43A3">
      <w:pPr>
        <w:rPr>
          <w:rStyle w:val="Hyperlink"/>
          <w:color w:val="auto"/>
          <w:sz w:val="20"/>
          <w:szCs w:val="20"/>
          <w:u w:val="none"/>
        </w:rPr>
      </w:pPr>
      <w:r w:rsidRPr="00AF2836">
        <w:rPr>
          <w:sz w:val="20"/>
          <w:szCs w:val="20"/>
        </w:rPr>
        <w:t xml:space="preserve">FAO (2001) </w:t>
      </w:r>
      <w:hyperlink r:id="rId26" w:history="1">
        <w:r w:rsidRPr="00AF2836">
          <w:rPr>
            <w:rStyle w:val="Hyperlink"/>
            <w:sz w:val="20"/>
            <w:szCs w:val="20"/>
          </w:rPr>
          <w:t>Evaluation of Allergenicity of Genetically Modified Foods. Report of a Joint FAO/WHO Expert Consultation on Allergenicity of Foods Derived from Biotechnology.</w:t>
        </w:r>
      </w:hyperlink>
      <w:r w:rsidRPr="00AF2836">
        <w:rPr>
          <w:sz w:val="20"/>
          <w:szCs w:val="20"/>
        </w:rPr>
        <w:t xml:space="preserve"> Food and Agriculture Organization of the United Nations. </w:t>
      </w:r>
      <w:r w:rsidRPr="00AF2836">
        <w:rPr>
          <w:rStyle w:val="Hyperlink"/>
          <w:color w:val="auto"/>
          <w:sz w:val="20"/>
          <w:szCs w:val="20"/>
          <w:u w:val="none"/>
        </w:rPr>
        <w:t xml:space="preserve">(Accessed </w:t>
      </w:r>
      <w:r w:rsidR="00261925" w:rsidRPr="00AF2836">
        <w:rPr>
          <w:rStyle w:val="Hyperlink"/>
          <w:color w:val="auto"/>
          <w:sz w:val="20"/>
          <w:szCs w:val="20"/>
          <w:u w:val="none"/>
        </w:rPr>
        <w:t>August</w:t>
      </w:r>
      <w:r w:rsidRPr="00AF2836">
        <w:rPr>
          <w:rStyle w:val="Hyperlink"/>
          <w:color w:val="auto"/>
          <w:sz w:val="20"/>
          <w:szCs w:val="20"/>
          <w:u w:val="none"/>
        </w:rPr>
        <w:t xml:space="preserve"> 201</w:t>
      </w:r>
      <w:r w:rsidR="00261925" w:rsidRPr="00AF2836">
        <w:rPr>
          <w:rStyle w:val="Hyperlink"/>
          <w:color w:val="auto"/>
          <w:sz w:val="20"/>
          <w:szCs w:val="20"/>
          <w:u w:val="none"/>
        </w:rPr>
        <w:t>8</w:t>
      </w:r>
      <w:r w:rsidR="00D709CE" w:rsidRPr="00AF2836">
        <w:rPr>
          <w:rStyle w:val="Hyperlink"/>
          <w:color w:val="auto"/>
          <w:sz w:val="20"/>
          <w:szCs w:val="20"/>
          <w:u w:val="none"/>
        </w:rPr>
        <w:t>)</w:t>
      </w:r>
    </w:p>
    <w:p w14:paraId="33BDFF61" w14:textId="77777777" w:rsidR="00CB43A3" w:rsidRPr="00AF2836" w:rsidRDefault="00CB43A3" w:rsidP="00CB43A3">
      <w:pPr>
        <w:rPr>
          <w:rStyle w:val="Hyperlink"/>
          <w:color w:val="auto"/>
          <w:sz w:val="20"/>
          <w:szCs w:val="20"/>
          <w:u w:val="none"/>
        </w:rPr>
      </w:pPr>
    </w:p>
    <w:p w14:paraId="66313EDF" w14:textId="7997E621" w:rsidR="00AF2836" w:rsidRPr="00AF2836" w:rsidRDefault="00AF2836" w:rsidP="00AF2836">
      <w:pPr>
        <w:rPr>
          <w:sz w:val="20"/>
          <w:szCs w:val="20"/>
        </w:rPr>
      </w:pPr>
      <w:r w:rsidRPr="00AF2836">
        <w:rPr>
          <w:sz w:val="20"/>
          <w:szCs w:val="20"/>
        </w:rPr>
        <w:t xml:space="preserve">FAO/WHO (2016) General specifications and considerations for enzyme preparations used in food processing. </w:t>
      </w:r>
      <w:hyperlink r:id="rId27" w:history="1">
        <w:r w:rsidRPr="00AF2836">
          <w:rPr>
            <w:rStyle w:val="Hyperlink"/>
            <w:sz w:val="20"/>
            <w:szCs w:val="20"/>
          </w:rPr>
          <w:t>http://www.fao.org/docrep/009/a0691e/A0691E03.htm</w:t>
        </w:r>
      </w:hyperlink>
      <w:r w:rsidRPr="00AF2836">
        <w:rPr>
          <w:sz w:val="20"/>
          <w:szCs w:val="20"/>
        </w:rPr>
        <w:t xml:space="preserve">  </w:t>
      </w:r>
      <w:r>
        <w:rPr>
          <w:sz w:val="20"/>
          <w:szCs w:val="20"/>
        </w:rPr>
        <w:t>(Accessed August 2018)</w:t>
      </w:r>
    </w:p>
    <w:p w14:paraId="0CF3EA70" w14:textId="54AEF656" w:rsidR="00954CB7" w:rsidRDefault="00954CB7" w:rsidP="00AF2836">
      <w:pPr>
        <w:rPr>
          <w:sz w:val="20"/>
          <w:szCs w:val="20"/>
        </w:rPr>
      </w:pPr>
    </w:p>
    <w:p w14:paraId="572D1AEE" w14:textId="51FB32DB" w:rsidR="00954CB7" w:rsidRPr="00AF2836" w:rsidRDefault="00954CB7" w:rsidP="00AF2836">
      <w:pPr>
        <w:rPr>
          <w:sz w:val="20"/>
          <w:szCs w:val="20"/>
        </w:rPr>
      </w:pPr>
      <w:r>
        <w:rPr>
          <w:sz w:val="20"/>
          <w:szCs w:val="20"/>
        </w:rPr>
        <w:t>Fernandes P (2010) Enzymes in food processing: A condensed overview on strategies for better biocatalysts. Enzyme Research Vol 2010.</w:t>
      </w:r>
    </w:p>
    <w:p w14:paraId="05D444B5" w14:textId="77777777" w:rsidR="00AF2836" w:rsidRDefault="00AF2836" w:rsidP="00CB43A3">
      <w:pPr>
        <w:rPr>
          <w:sz w:val="20"/>
          <w:szCs w:val="20"/>
        </w:rPr>
      </w:pPr>
    </w:p>
    <w:p w14:paraId="1AFAEF9A" w14:textId="2015086B" w:rsidR="00CB43A3" w:rsidRDefault="00CB43A3" w:rsidP="00CB43A3">
      <w:pPr>
        <w:rPr>
          <w:rStyle w:val="Hyperlink"/>
          <w:color w:val="auto"/>
          <w:sz w:val="20"/>
          <w:szCs w:val="20"/>
          <w:u w:val="none"/>
        </w:rPr>
      </w:pPr>
      <w:r w:rsidRPr="00AF2836">
        <w:rPr>
          <w:sz w:val="20"/>
          <w:szCs w:val="20"/>
        </w:rPr>
        <w:t xml:space="preserve">FSANZ (2016) </w:t>
      </w:r>
      <w:hyperlink r:id="rId28" w:history="1">
        <w:r w:rsidRPr="00AF2836">
          <w:rPr>
            <w:rStyle w:val="Hyperlink"/>
            <w:sz w:val="20"/>
            <w:szCs w:val="20"/>
          </w:rPr>
          <w:t>Finalised Applications to 30 June 2016.</w:t>
        </w:r>
      </w:hyperlink>
      <w:r w:rsidRPr="00AF2836">
        <w:rPr>
          <w:sz w:val="20"/>
          <w:szCs w:val="20"/>
        </w:rPr>
        <w:t xml:space="preserve"> Report prepared by Food Standards Australia New Zealand. </w:t>
      </w:r>
      <w:r w:rsidRPr="00AF2836">
        <w:rPr>
          <w:rStyle w:val="Hyperlink"/>
          <w:color w:val="auto"/>
          <w:sz w:val="20"/>
          <w:szCs w:val="20"/>
          <w:u w:val="none"/>
        </w:rPr>
        <w:t>(</w:t>
      </w:r>
      <w:r w:rsidR="00261925" w:rsidRPr="00AF2836">
        <w:rPr>
          <w:rStyle w:val="Hyperlink"/>
          <w:color w:val="auto"/>
          <w:sz w:val="20"/>
          <w:szCs w:val="20"/>
          <w:u w:val="none"/>
        </w:rPr>
        <w:t>Accessed August 2018</w:t>
      </w:r>
      <w:r w:rsidR="00D709CE" w:rsidRPr="00AF2836">
        <w:rPr>
          <w:rStyle w:val="Hyperlink"/>
          <w:color w:val="auto"/>
          <w:sz w:val="20"/>
          <w:szCs w:val="20"/>
          <w:u w:val="none"/>
        </w:rPr>
        <w:t>)</w:t>
      </w:r>
    </w:p>
    <w:p w14:paraId="61F0C1F1" w14:textId="35DD0B64" w:rsidR="00AF2836" w:rsidRDefault="00AF2836" w:rsidP="00CB43A3">
      <w:pPr>
        <w:rPr>
          <w:sz w:val="20"/>
          <w:szCs w:val="20"/>
        </w:rPr>
      </w:pPr>
    </w:p>
    <w:p w14:paraId="6E6B378F" w14:textId="73B7AB74" w:rsidR="00AF2836" w:rsidRPr="00D24609" w:rsidRDefault="00AF2836" w:rsidP="00AF2836">
      <w:pPr>
        <w:rPr>
          <w:sz w:val="20"/>
          <w:szCs w:val="20"/>
        </w:rPr>
      </w:pPr>
      <w:r w:rsidRPr="00F418CA">
        <w:rPr>
          <w:sz w:val="20"/>
          <w:szCs w:val="20"/>
        </w:rPr>
        <w:t>FSANZ (201</w:t>
      </w:r>
      <w:r>
        <w:rPr>
          <w:sz w:val="20"/>
          <w:szCs w:val="20"/>
        </w:rPr>
        <w:t>8</w:t>
      </w:r>
      <w:r w:rsidRPr="00F418CA">
        <w:rPr>
          <w:sz w:val="20"/>
          <w:szCs w:val="20"/>
        </w:rPr>
        <w:t xml:space="preserve">) </w:t>
      </w:r>
      <w:r w:rsidRPr="003F789C">
        <w:rPr>
          <w:iCs/>
          <w:sz w:val="20"/>
          <w:szCs w:val="20"/>
        </w:rPr>
        <w:t>Australia New Zealand Food Standards Code</w:t>
      </w:r>
      <w:r>
        <w:rPr>
          <w:sz w:val="20"/>
          <w:szCs w:val="20"/>
        </w:rPr>
        <w:t xml:space="preserve">. </w:t>
      </w:r>
      <w:hyperlink r:id="rId29" w:history="1">
        <w:r w:rsidRPr="00CB2CF3">
          <w:rPr>
            <w:rStyle w:val="Hyperlink"/>
            <w:sz w:val="20"/>
            <w:szCs w:val="20"/>
          </w:rPr>
          <w:t>http://www.foodstandards.gov.au/code/Pages/default.aspx</w:t>
        </w:r>
      </w:hyperlink>
      <w:r>
        <w:rPr>
          <w:rStyle w:val="Hyperlink"/>
          <w:sz w:val="20"/>
          <w:szCs w:val="20"/>
        </w:rPr>
        <w:t>.</w:t>
      </w:r>
    </w:p>
    <w:p w14:paraId="7C0AC6DA" w14:textId="66128759" w:rsidR="00AF2836" w:rsidRPr="00AF2836" w:rsidRDefault="00AF2836" w:rsidP="00CB43A3">
      <w:pPr>
        <w:rPr>
          <w:sz w:val="20"/>
          <w:szCs w:val="20"/>
        </w:rPr>
      </w:pPr>
      <w:r>
        <w:rPr>
          <w:sz w:val="20"/>
          <w:szCs w:val="20"/>
        </w:rPr>
        <w:t>(Accessed August 2018)</w:t>
      </w:r>
    </w:p>
    <w:p w14:paraId="27C6A5BD" w14:textId="77777777" w:rsidR="00CB43A3" w:rsidRPr="00AF2836" w:rsidRDefault="00CB43A3" w:rsidP="00CB43A3">
      <w:pPr>
        <w:rPr>
          <w:sz w:val="20"/>
          <w:szCs w:val="20"/>
        </w:rPr>
      </w:pPr>
    </w:p>
    <w:p w14:paraId="0AD0FF62" w14:textId="77777777" w:rsidR="00CB43A3" w:rsidRPr="00AF2836" w:rsidRDefault="00CB43A3" w:rsidP="00CB43A3">
      <w:pPr>
        <w:rPr>
          <w:sz w:val="20"/>
          <w:szCs w:val="20"/>
        </w:rPr>
      </w:pPr>
      <w:r w:rsidRPr="00AF2836">
        <w:rPr>
          <w:sz w:val="20"/>
          <w:szCs w:val="20"/>
        </w:rPr>
        <w:t>Gabrielli E, Fothergill AW, Brescini L, Sutton DA, Marchionni E, Orsetti E, Staffolani S, Castelli P, Gesuita R, Barchiesi F (2014) Osteomyelitis caused by Aspergillus species: A review of 310 reported cases. Clin Microbiol Infect 20:559-565</w:t>
      </w:r>
    </w:p>
    <w:p w14:paraId="128A7D66" w14:textId="712190A5" w:rsidR="00954CB7" w:rsidRDefault="00954CB7" w:rsidP="00CB43A3">
      <w:pPr>
        <w:rPr>
          <w:sz w:val="20"/>
          <w:szCs w:val="20"/>
        </w:rPr>
      </w:pPr>
    </w:p>
    <w:p w14:paraId="2FB6EDE6" w14:textId="05C2224B" w:rsidR="00954CB7" w:rsidRPr="00AF2836" w:rsidRDefault="00954CB7" w:rsidP="00CB43A3">
      <w:pPr>
        <w:rPr>
          <w:sz w:val="20"/>
          <w:szCs w:val="20"/>
        </w:rPr>
      </w:pPr>
      <w:r>
        <w:rPr>
          <w:sz w:val="20"/>
          <w:szCs w:val="20"/>
        </w:rPr>
        <w:t>Gulia N, Dhaka V, Khatkar BS (2014) Instant noodles: processing, quality and nutritional aspects. Crit Rev Food Sci Nutr 54:10 1386-1399</w:t>
      </w:r>
    </w:p>
    <w:p w14:paraId="0EE1FD2A" w14:textId="77777777" w:rsidR="00CB43A3" w:rsidRPr="00AF2836" w:rsidRDefault="00CB43A3" w:rsidP="00CB43A3">
      <w:pPr>
        <w:rPr>
          <w:rStyle w:val="Hyperlink"/>
          <w:color w:val="auto"/>
          <w:sz w:val="20"/>
          <w:szCs w:val="20"/>
          <w:u w:val="none"/>
        </w:rPr>
      </w:pPr>
    </w:p>
    <w:p w14:paraId="4588ED48" w14:textId="3AA6CC83" w:rsidR="00833730" w:rsidRPr="00AF2836" w:rsidRDefault="00833730" w:rsidP="00D709CE">
      <w:pPr>
        <w:rPr>
          <w:sz w:val="20"/>
          <w:szCs w:val="20"/>
        </w:rPr>
      </w:pPr>
      <w:r w:rsidRPr="00AF2836">
        <w:rPr>
          <w:sz w:val="20"/>
          <w:szCs w:val="20"/>
        </w:rPr>
        <w:t>IUBMB (201</w:t>
      </w:r>
      <w:r w:rsidR="0014213D">
        <w:rPr>
          <w:sz w:val="20"/>
          <w:szCs w:val="20"/>
        </w:rPr>
        <w:t>7</w:t>
      </w:r>
      <w:r w:rsidRPr="00AF2836">
        <w:rPr>
          <w:sz w:val="20"/>
          <w:szCs w:val="20"/>
        </w:rPr>
        <w:t xml:space="preserve">). EC 3.1.1.3 </w:t>
      </w:r>
      <w:hyperlink r:id="rId30" w:history="1">
        <w:r w:rsidRPr="00AF2836">
          <w:rPr>
            <w:rStyle w:val="Hyperlink"/>
            <w:sz w:val="20"/>
            <w:szCs w:val="20"/>
          </w:rPr>
          <w:t>http://www.sbcs.qmul.ac.uk/iubmb/enzyme/EC3/1/1/3.html</w:t>
        </w:r>
      </w:hyperlink>
      <w:r w:rsidRPr="00AF2836">
        <w:rPr>
          <w:sz w:val="20"/>
          <w:szCs w:val="20"/>
        </w:rPr>
        <w:t xml:space="preserve">. Accessed </w:t>
      </w:r>
      <w:r w:rsidR="00C34580" w:rsidRPr="00AF2836">
        <w:rPr>
          <w:sz w:val="20"/>
          <w:szCs w:val="20"/>
        </w:rPr>
        <w:t>1 August 2018.</w:t>
      </w:r>
      <w:r w:rsidRPr="00AF2836">
        <w:rPr>
          <w:sz w:val="20"/>
          <w:szCs w:val="20"/>
        </w:rPr>
        <w:t xml:space="preserve"> </w:t>
      </w:r>
    </w:p>
    <w:p w14:paraId="3498E2B5" w14:textId="77777777" w:rsidR="00833730" w:rsidRPr="00AF2836" w:rsidRDefault="00833730" w:rsidP="00D709CE">
      <w:pPr>
        <w:rPr>
          <w:sz w:val="20"/>
          <w:szCs w:val="20"/>
        </w:rPr>
      </w:pPr>
    </w:p>
    <w:p w14:paraId="0EB9EE55" w14:textId="05B6813E" w:rsidR="00D709CE" w:rsidRPr="00AF2836" w:rsidRDefault="00D709CE" w:rsidP="00D709CE">
      <w:pPr>
        <w:rPr>
          <w:sz w:val="20"/>
          <w:szCs w:val="20"/>
        </w:rPr>
      </w:pPr>
      <w:r w:rsidRPr="00AF2836">
        <w:rPr>
          <w:sz w:val="20"/>
          <w:szCs w:val="20"/>
        </w:rPr>
        <w:t>Karhunen T, Mäntylä A, Nevalainen KMH, Suominen P (1993) High frequency one-step gene replacement in Trichoderma reesei. I. Endoglucanase I overproduction. Mol Gen Genet 241(5-6):515-522</w:t>
      </w:r>
    </w:p>
    <w:p w14:paraId="0DF8DD97" w14:textId="77777777" w:rsidR="00CB43A3" w:rsidRPr="00AF2836" w:rsidRDefault="00CB43A3" w:rsidP="00CB43A3">
      <w:pPr>
        <w:rPr>
          <w:rStyle w:val="Hyperlink"/>
          <w:color w:val="auto"/>
          <w:sz w:val="20"/>
          <w:szCs w:val="20"/>
          <w:u w:val="none"/>
        </w:rPr>
      </w:pPr>
    </w:p>
    <w:p w14:paraId="1F59B1DD" w14:textId="77777777" w:rsidR="00CB43A3" w:rsidRPr="00AF2836" w:rsidRDefault="00CB43A3" w:rsidP="00CB43A3">
      <w:pPr>
        <w:rPr>
          <w:sz w:val="20"/>
          <w:szCs w:val="20"/>
        </w:rPr>
      </w:pPr>
      <w:r w:rsidRPr="00AF2836">
        <w:rPr>
          <w:sz w:val="20"/>
          <w:szCs w:val="20"/>
        </w:rPr>
        <w:t xml:space="preserve">Kelly JM, Hynes MJ (1985) Transformation of </w:t>
      </w:r>
      <w:r w:rsidRPr="00AF2836">
        <w:rPr>
          <w:i/>
          <w:sz w:val="20"/>
          <w:szCs w:val="20"/>
        </w:rPr>
        <w:t>Aspergillus niger</w:t>
      </w:r>
      <w:r w:rsidRPr="00AF2836">
        <w:rPr>
          <w:sz w:val="20"/>
          <w:szCs w:val="20"/>
        </w:rPr>
        <w:t xml:space="preserve"> by the </w:t>
      </w:r>
      <w:r w:rsidRPr="00AF2836">
        <w:rPr>
          <w:i/>
          <w:sz w:val="20"/>
          <w:szCs w:val="20"/>
        </w:rPr>
        <w:t>amdS</w:t>
      </w:r>
      <w:r w:rsidRPr="00AF2836">
        <w:rPr>
          <w:sz w:val="20"/>
          <w:szCs w:val="20"/>
        </w:rPr>
        <w:t xml:space="preserve"> gene of </w:t>
      </w:r>
      <w:r w:rsidRPr="00AF2836">
        <w:rPr>
          <w:i/>
          <w:sz w:val="20"/>
          <w:szCs w:val="20"/>
        </w:rPr>
        <w:t>Aspergillus nidulans</w:t>
      </w:r>
      <w:r w:rsidRPr="00AF2836">
        <w:rPr>
          <w:sz w:val="20"/>
          <w:szCs w:val="20"/>
        </w:rPr>
        <w:t>. EMBO J 4:475-479</w:t>
      </w:r>
    </w:p>
    <w:p w14:paraId="4F09341D" w14:textId="77777777" w:rsidR="00CB43A3" w:rsidRPr="00AF2836" w:rsidRDefault="00CB43A3" w:rsidP="00CB43A3">
      <w:pPr>
        <w:rPr>
          <w:sz w:val="20"/>
          <w:szCs w:val="20"/>
        </w:rPr>
      </w:pPr>
    </w:p>
    <w:p w14:paraId="2F212BA8" w14:textId="77777777" w:rsidR="00CB43A3" w:rsidRPr="00AF2836" w:rsidRDefault="00D709CE" w:rsidP="00CB43A3">
      <w:pPr>
        <w:pStyle w:val="CitaviBibliography"/>
        <w:spacing w:after="0" w:line="240" w:lineRule="auto"/>
        <w:rPr>
          <w:sz w:val="20"/>
          <w:szCs w:val="20"/>
        </w:rPr>
      </w:pPr>
      <w:r w:rsidRPr="00AF2836">
        <w:rPr>
          <w:sz w:val="20"/>
          <w:szCs w:val="20"/>
        </w:rPr>
        <w:t>Li D, Tang Y, Lin J, Cai W (2017) Methods for genetic transformation of filamentous fungi. Microb Cell Fact 16:e168</w:t>
      </w:r>
    </w:p>
    <w:p w14:paraId="26948DD2" w14:textId="77777777" w:rsidR="00D709CE" w:rsidRPr="00AF2836" w:rsidRDefault="00D709CE" w:rsidP="00CB43A3">
      <w:pPr>
        <w:pStyle w:val="CitaviBibliography"/>
        <w:spacing w:after="0" w:line="240" w:lineRule="auto"/>
        <w:rPr>
          <w:sz w:val="20"/>
          <w:szCs w:val="20"/>
        </w:rPr>
      </w:pPr>
    </w:p>
    <w:p w14:paraId="2C117733" w14:textId="2774E991" w:rsidR="00CB43A3" w:rsidRPr="00AF2836" w:rsidRDefault="00CB43A3" w:rsidP="00CB43A3">
      <w:pPr>
        <w:rPr>
          <w:sz w:val="20"/>
          <w:szCs w:val="20"/>
        </w:rPr>
      </w:pPr>
      <w:r w:rsidRPr="00AF2836">
        <w:rPr>
          <w:sz w:val="20"/>
          <w:szCs w:val="20"/>
        </w:rPr>
        <w:t>Nevalainen H, Peterson R (2014) Making recombinant proteins in filamentous fungi - are we expecting too much? Front Microbiol 5:e75</w:t>
      </w:r>
    </w:p>
    <w:p w14:paraId="4B31152D" w14:textId="4D3E40B5" w:rsidR="006C1D8F" w:rsidRPr="00AF2836" w:rsidRDefault="006C1D8F" w:rsidP="00CB43A3">
      <w:pPr>
        <w:rPr>
          <w:sz w:val="20"/>
          <w:szCs w:val="20"/>
        </w:rPr>
      </w:pPr>
    </w:p>
    <w:p w14:paraId="68452E47" w14:textId="4E810B87" w:rsidR="006C1D8F" w:rsidRPr="00AF2836" w:rsidRDefault="006C1D8F" w:rsidP="00CB43A3">
      <w:pPr>
        <w:rPr>
          <w:sz w:val="20"/>
          <w:szCs w:val="20"/>
        </w:rPr>
      </w:pPr>
      <w:r w:rsidRPr="00AF2836">
        <w:rPr>
          <w:sz w:val="20"/>
          <w:szCs w:val="20"/>
        </w:rPr>
        <w:t>Nucci M, Anaissie E (2007) Fusarium Infections in Immunocompromised Patients. Clin Microbiol Rev 20(4):695-704</w:t>
      </w:r>
    </w:p>
    <w:p w14:paraId="3516A510" w14:textId="77777777" w:rsidR="00CB43A3" w:rsidRPr="00AF2836" w:rsidRDefault="00CB43A3" w:rsidP="00CB43A3">
      <w:pPr>
        <w:pStyle w:val="CitaviBibliography"/>
        <w:spacing w:after="0" w:line="240" w:lineRule="auto"/>
        <w:rPr>
          <w:sz w:val="20"/>
          <w:szCs w:val="20"/>
        </w:rPr>
      </w:pPr>
    </w:p>
    <w:p w14:paraId="40C71FDE" w14:textId="77777777" w:rsidR="00CB43A3" w:rsidRPr="00AF2836" w:rsidRDefault="00CB43A3" w:rsidP="00CB43A3">
      <w:pPr>
        <w:pStyle w:val="CitaviBibliography"/>
        <w:spacing w:after="0" w:line="240" w:lineRule="auto"/>
        <w:rPr>
          <w:sz w:val="20"/>
          <w:szCs w:val="20"/>
        </w:rPr>
      </w:pPr>
      <w:r w:rsidRPr="00AF2836">
        <w:rPr>
          <w:sz w:val="20"/>
          <w:szCs w:val="20"/>
        </w:rPr>
        <w:lastRenderedPageBreak/>
        <w:t xml:space="preserve">Paloheimo M, Haarmann T, Mäkinen S, Vehmaanperä J (2016) Production of industrial enzymes in </w:t>
      </w:r>
      <w:r w:rsidRPr="00AF2836">
        <w:rPr>
          <w:i/>
          <w:sz w:val="20"/>
          <w:szCs w:val="20"/>
        </w:rPr>
        <w:t>Trichoderma reesei</w:t>
      </w:r>
      <w:r w:rsidRPr="00AF2836">
        <w:rPr>
          <w:sz w:val="20"/>
          <w:szCs w:val="20"/>
        </w:rPr>
        <w:t>. In: Schmoll M, Dattenböck C (Eds) Gene expression systems in Fungi: Advancements and Applications. Springer International Publishing, Switzerland, p.23-57</w:t>
      </w:r>
    </w:p>
    <w:p w14:paraId="321E654F" w14:textId="77777777" w:rsidR="00CB43A3" w:rsidRPr="00AF2836" w:rsidRDefault="00CB43A3" w:rsidP="00CB43A3">
      <w:pPr>
        <w:pStyle w:val="CitaviBibliography"/>
        <w:spacing w:after="0" w:line="240" w:lineRule="auto"/>
        <w:rPr>
          <w:sz w:val="20"/>
          <w:szCs w:val="20"/>
        </w:rPr>
      </w:pPr>
    </w:p>
    <w:p w14:paraId="5321637C" w14:textId="77777777" w:rsidR="00CB43A3" w:rsidRPr="00AF2836" w:rsidRDefault="00CB43A3" w:rsidP="00CB43A3">
      <w:pPr>
        <w:pStyle w:val="CitaviBibliography"/>
        <w:spacing w:after="0" w:line="240" w:lineRule="auto"/>
        <w:rPr>
          <w:sz w:val="20"/>
          <w:szCs w:val="20"/>
        </w:rPr>
      </w:pPr>
      <w:r w:rsidRPr="00AF2836">
        <w:rPr>
          <w:sz w:val="20"/>
          <w:szCs w:val="20"/>
        </w:rPr>
        <w:t>Pearson WR, Lipman DJ (1988) Improved tools for biological sequence comparison. Proc Natl Acad Sci 85:2444-2448</w:t>
      </w:r>
    </w:p>
    <w:p w14:paraId="42F27971" w14:textId="77777777" w:rsidR="00CB43A3" w:rsidRPr="00AF2836" w:rsidRDefault="00CB43A3" w:rsidP="00CB43A3">
      <w:pPr>
        <w:pStyle w:val="CitaviBibliography"/>
        <w:spacing w:after="0" w:line="240" w:lineRule="auto"/>
        <w:rPr>
          <w:sz w:val="20"/>
          <w:szCs w:val="20"/>
        </w:rPr>
      </w:pPr>
    </w:p>
    <w:p w14:paraId="6B29C561" w14:textId="77777777" w:rsidR="00CB43A3" w:rsidRPr="00AF2836" w:rsidRDefault="00CB43A3" w:rsidP="00CB43A3">
      <w:pPr>
        <w:rPr>
          <w:sz w:val="20"/>
          <w:szCs w:val="20"/>
        </w:rPr>
      </w:pPr>
      <w:r w:rsidRPr="00AF2836">
        <w:rPr>
          <w:sz w:val="20"/>
          <w:szCs w:val="20"/>
        </w:rPr>
        <w:t xml:space="preserve">Penttilä M, Nevalainen H, Rättö M, Salminen E, Knowles J (1987) A versatile transformation system for the cellulolytic filamentous fungus </w:t>
      </w:r>
      <w:r w:rsidRPr="00AF2836">
        <w:rPr>
          <w:i/>
          <w:sz w:val="20"/>
          <w:szCs w:val="20"/>
        </w:rPr>
        <w:t>Trichoderma reesei</w:t>
      </w:r>
      <w:r w:rsidRPr="00AF2836">
        <w:rPr>
          <w:sz w:val="20"/>
          <w:szCs w:val="20"/>
        </w:rPr>
        <w:t>. Gene 61(2):155-164</w:t>
      </w:r>
    </w:p>
    <w:p w14:paraId="5CAA3C22" w14:textId="5B27D5F6" w:rsidR="006F7787" w:rsidRPr="00AF2836" w:rsidRDefault="006F7787" w:rsidP="006F7787">
      <w:pPr>
        <w:pStyle w:val="CitaviBibliography"/>
        <w:spacing w:after="0" w:line="240" w:lineRule="auto"/>
        <w:rPr>
          <w:sz w:val="20"/>
          <w:szCs w:val="20"/>
        </w:rPr>
      </w:pPr>
    </w:p>
    <w:p w14:paraId="7F69561A" w14:textId="65E71C52" w:rsidR="00CB43A3" w:rsidRPr="00AF2836" w:rsidRDefault="00CB43A3" w:rsidP="00CB43A3">
      <w:pPr>
        <w:rPr>
          <w:sz w:val="20"/>
          <w:szCs w:val="20"/>
        </w:rPr>
      </w:pPr>
      <w:r w:rsidRPr="00AF2836">
        <w:rPr>
          <w:sz w:val="20"/>
          <w:szCs w:val="20"/>
        </w:rPr>
        <w:t>Sadarangani M, Harvey M, McDonald A, Speert DP, Dix D (2015) Brain Abscesses Due to Aspergillus nidulans Infection During Induction Chemotherapy for Acute Lymphoblastic Leukemia. J Pediatr Hematol Oncol 37:e384-6</w:t>
      </w:r>
    </w:p>
    <w:p w14:paraId="6E3658C4" w14:textId="3E0B1B1C" w:rsidR="00F14B99" w:rsidRPr="00AF2836" w:rsidRDefault="00F14B99" w:rsidP="00CB43A3">
      <w:pPr>
        <w:rPr>
          <w:sz w:val="20"/>
          <w:szCs w:val="20"/>
        </w:rPr>
      </w:pPr>
    </w:p>
    <w:p w14:paraId="4B1BD5C4" w14:textId="24129F4A" w:rsidR="00F14B99" w:rsidRPr="00AF2836" w:rsidRDefault="00F14B99" w:rsidP="00CB43A3">
      <w:pPr>
        <w:rPr>
          <w:sz w:val="20"/>
          <w:szCs w:val="20"/>
        </w:rPr>
      </w:pPr>
      <w:r w:rsidRPr="00AF2836">
        <w:rPr>
          <w:sz w:val="20"/>
          <w:szCs w:val="20"/>
        </w:rPr>
        <w:t xml:space="preserve">Sokolowski A (2013) Lipase produced with </w:t>
      </w:r>
      <w:r w:rsidRPr="00AF2836">
        <w:rPr>
          <w:i/>
          <w:sz w:val="20"/>
          <w:szCs w:val="20"/>
        </w:rPr>
        <w:t>Trichoderma reesei</w:t>
      </w:r>
      <w:r w:rsidRPr="00AF2836">
        <w:rPr>
          <w:sz w:val="20"/>
          <w:szCs w:val="20"/>
        </w:rPr>
        <w:t xml:space="preserve">: </w:t>
      </w:r>
      <w:r w:rsidRPr="00AF2836">
        <w:rPr>
          <w:i/>
          <w:sz w:val="20"/>
          <w:szCs w:val="20"/>
        </w:rPr>
        <w:t>Salmonella typhimurium</w:t>
      </w:r>
      <w:r w:rsidRPr="00AF2836">
        <w:rPr>
          <w:sz w:val="20"/>
          <w:szCs w:val="20"/>
        </w:rPr>
        <w:t xml:space="preserve"> reverse mutation assay. Harlan Cytotest Cell Research GmbH (Harlan CCR). In den Leppsteinswiesen 19, 64380 Rossdorf, Germany. Harlan Study Number: 1544902</w:t>
      </w:r>
    </w:p>
    <w:p w14:paraId="29E032FF" w14:textId="4A4E0513" w:rsidR="008C0853" w:rsidRPr="00AF2836" w:rsidRDefault="008C0853" w:rsidP="00CB43A3">
      <w:pPr>
        <w:rPr>
          <w:sz w:val="20"/>
          <w:szCs w:val="20"/>
        </w:rPr>
      </w:pPr>
    </w:p>
    <w:p w14:paraId="2E25822B" w14:textId="44FF2848" w:rsidR="008C0853" w:rsidRPr="00AF2836" w:rsidRDefault="008C0853" w:rsidP="00CB43A3">
      <w:pPr>
        <w:rPr>
          <w:sz w:val="20"/>
          <w:szCs w:val="20"/>
        </w:rPr>
      </w:pPr>
      <w:r w:rsidRPr="00AF2836">
        <w:rPr>
          <w:sz w:val="20"/>
          <w:szCs w:val="20"/>
        </w:rPr>
        <w:t>Stadler MB, Stadler BM (2003) Allergenicity prediction by protein sequence. FASEB J 17(9):1141-1143</w:t>
      </w:r>
    </w:p>
    <w:p w14:paraId="1CF69BBF" w14:textId="77777777" w:rsidR="00287BA3" w:rsidRDefault="00287BA3" w:rsidP="00287BA3">
      <w:pPr>
        <w:ind w:left="284" w:hanging="284"/>
        <w:rPr>
          <w:sz w:val="20"/>
          <w:szCs w:val="20"/>
          <w:highlight w:val="yellow"/>
        </w:rPr>
      </w:pPr>
    </w:p>
    <w:p w14:paraId="0FB31E38" w14:textId="425E43AC" w:rsidR="00287BA3" w:rsidRPr="00AF2836" w:rsidRDefault="00287BA3" w:rsidP="00AF2836">
      <w:pPr>
        <w:rPr>
          <w:sz w:val="20"/>
        </w:rPr>
      </w:pPr>
      <w:r w:rsidRPr="00F418CA">
        <w:rPr>
          <w:sz w:val="20"/>
          <w:szCs w:val="20"/>
        </w:rPr>
        <w:t>The United States Pharmacopeia</w:t>
      </w:r>
      <w:r>
        <w:rPr>
          <w:sz w:val="20"/>
          <w:szCs w:val="20"/>
        </w:rPr>
        <w:t xml:space="preserve"> (2016) Food Chemicals Codex 10</w:t>
      </w:r>
      <w:r w:rsidRPr="00AE0D24">
        <w:rPr>
          <w:sz w:val="20"/>
          <w:szCs w:val="20"/>
          <w:vertAlign w:val="superscript"/>
        </w:rPr>
        <w:t>th</w:t>
      </w:r>
      <w:r>
        <w:rPr>
          <w:sz w:val="20"/>
          <w:szCs w:val="20"/>
        </w:rPr>
        <w:t xml:space="preserve"> Edition,</w:t>
      </w:r>
      <w:r w:rsidRPr="00F418CA">
        <w:rPr>
          <w:sz w:val="20"/>
          <w:szCs w:val="20"/>
        </w:rPr>
        <w:t xml:space="preserve"> United St</w:t>
      </w:r>
      <w:r>
        <w:rPr>
          <w:sz w:val="20"/>
          <w:szCs w:val="20"/>
        </w:rPr>
        <w:t xml:space="preserve">ates Pharmacopeial Convention, Rockville, MD. </w:t>
      </w:r>
      <w:hyperlink r:id="rId31" w:history="1">
        <w:r w:rsidRPr="00692BCE">
          <w:rPr>
            <w:rStyle w:val="Hyperlink"/>
            <w:sz w:val="20"/>
          </w:rPr>
          <w:t>http://publications.usp.org/</w:t>
        </w:r>
      </w:hyperlink>
      <w:r w:rsidR="00AF2836">
        <w:rPr>
          <w:sz w:val="20"/>
        </w:rPr>
        <w:t xml:space="preserve"> </w:t>
      </w:r>
      <w:r w:rsidR="00AF2836" w:rsidRPr="00AF2836">
        <w:rPr>
          <w:sz w:val="20"/>
          <w:szCs w:val="20"/>
        </w:rPr>
        <w:t>(Accessed August 2018)</w:t>
      </w:r>
    </w:p>
    <w:p w14:paraId="092506F3" w14:textId="38E136A1" w:rsidR="00287BA3" w:rsidRPr="00E203C2" w:rsidRDefault="00287BA3" w:rsidP="00CB43A3"/>
    <w:sectPr w:rsidR="00287BA3"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1F41" w14:textId="77777777" w:rsidR="0074425D" w:rsidRDefault="0074425D">
      <w:r>
        <w:separator/>
      </w:r>
    </w:p>
  </w:endnote>
  <w:endnote w:type="continuationSeparator" w:id="0">
    <w:p w14:paraId="3183361C" w14:textId="77777777" w:rsidR="0074425D" w:rsidRDefault="0074425D">
      <w:r>
        <w:continuationSeparator/>
      </w:r>
    </w:p>
  </w:endnote>
  <w:endnote w:type="continuationNotice" w:id="1">
    <w:p w14:paraId="7E2CA650" w14:textId="77777777" w:rsidR="0074425D" w:rsidRDefault="00744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E50E" w14:textId="77777777" w:rsidR="0074425D" w:rsidRDefault="0074425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9F1BC3" w14:textId="77777777" w:rsidR="0074425D" w:rsidRDefault="00744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5A4E0" w14:textId="2CD02E5B" w:rsidR="0074425D" w:rsidRDefault="0074425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27AE">
      <w:rPr>
        <w:rStyle w:val="PageNumber"/>
        <w:noProof/>
      </w:rPr>
      <w:t>i</w:t>
    </w:r>
    <w:r>
      <w:rPr>
        <w:rStyle w:val="PageNumber"/>
      </w:rPr>
      <w:fldChar w:fldCharType="end"/>
    </w:r>
  </w:p>
  <w:p w14:paraId="6C32F120" w14:textId="77777777" w:rsidR="0074425D" w:rsidRDefault="007442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7ECCD" w14:textId="77777777" w:rsidR="0074425D" w:rsidRDefault="0074425D">
      <w:r>
        <w:separator/>
      </w:r>
    </w:p>
  </w:footnote>
  <w:footnote w:type="continuationSeparator" w:id="0">
    <w:p w14:paraId="10A4BB0A" w14:textId="77777777" w:rsidR="0074425D" w:rsidRDefault="0074425D">
      <w:r>
        <w:continuationSeparator/>
      </w:r>
    </w:p>
  </w:footnote>
  <w:footnote w:type="continuationNotice" w:id="1">
    <w:p w14:paraId="3ECFA23E" w14:textId="77777777" w:rsidR="0074425D" w:rsidRDefault="0074425D"/>
  </w:footnote>
  <w:footnote w:id="2">
    <w:p w14:paraId="243AEC3A" w14:textId="2E458E16" w:rsidR="0074425D" w:rsidRPr="002F041E" w:rsidRDefault="0074425D">
      <w:pPr>
        <w:pStyle w:val="FootnoteText"/>
        <w:rPr>
          <w:lang w:val="en-AU"/>
        </w:rPr>
      </w:pPr>
      <w:r>
        <w:rPr>
          <w:rStyle w:val="FootnoteReference"/>
        </w:rPr>
        <w:footnoteRef/>
      </w:r>
      <w:r>
        <w:t xml:space="preserve"> </w:t>
      </w:r>
      <w:r w:rsidRPr="0084108A">
        <w:t>International Union of Biochemistry and Molecular Biology</w:t>
      </w:r>
      <w:r>
        <w:t>.</w:t>
      </w:r>
    </w:p>
  </w:footnote>
  <w:footnote w:id="3">
    <w:p w14:paraId="66A99FC3" w14:textId="34D02283" w:rsidR="0074425D" w:rsidRPr="002F041E" w:rsidRDefault="0074425D">
      <w:pPr>
        <w:pStyle w:val="FootnoteText"/>
        <w:rPr>
          <w:lang w:val="en-AU"/>
        </w:rPr>
      </w:pPr>
      <w:r>
        <w:rPr>
          <w:rStyle w:val="FootnoteReference"/>
        </w:rPr>
        <w:footnoteRef/>
      </w:r>
      <w:r>
        <w:t xml:space="preserve"> </w:t>
      </w:r>
      <w:r>
        <w:rPr>
          <w:lang w:val="en-AU"/>
        </w:rPr>
        <w:t>Chemical Abstracts Service.</w:t>
      </w:r>
    </w:p>
  </w:footnote>
  <w:footnote w:id="4">
    <w:p w14:paraId="5F0370DA" w14:textId="31B250AC" w:rsidR="0074425D" w:rsidRPr="00321DEE" w:rsidRDefault="0074425D">
      <w:pPr>
        <w:pStyle w:val="FootnoteText"/>
        <w:rPr>
          <w:lang w:val="en-AU"/>
        </w:rPr>
      </w:pPr>
      <w:r>
        <w:rPr>
          <w:rStyle w:val="FootnoteReference"/>
        </w:rPr>
        <w:footnoteRef/>
      </w:r>
      <w:r>
        <w:t xml:space="preserve"> </w:t>
      </w:r>
      <w:r>
        <w:rPr>
          <w:lang w:val="en-AU"/>
        </w:rPr>
        <w:t xml:space="preserve">Gluten is a protein present in cereal grains like wheat (and their flours), and is responsible for the elastic texture of the dough. </w:t>
      </w:r>
    </w:p>
  </w:footnote>
  <w:footnote w:id="5">
    <w:p w14:paraId="11762494" w14:textId="35FAB013" w:rsidR="0074425D" w:rsidRPr="004E2590" w:rsidRDefault="0074425D">
      <w:pPr>
        <w:pStyle w:val="FootnoteText"/>
        <w:rPr>
          <w:lang w:val="en-AU"/>
        </w:rPr>
      </w:pPr>
      <w:r>
        <w:rPr>
          <w:rStyle w:val="FootnoteReference"/>
        </w:rPr>
        <w:footnoteRef/>
      </w:r>
      <w:r>
        <w:t xml:space="preserve"> </w:t>
      </w:r>
      <w:r>
        <w:rPr>
          <w:lang w:val="en-AU"/>
        </w:rPr>
        <w:t>Amylose is one of the two main components of starch, made up of long polysaccharide chains.</w:t>
      </w:r>
    </w:p>
  </w:footnote>
  <w:footnote w:id="6">
    <w:p w14:paraId="3DAFF879" w14:textId="011848DE" w:rsidR="0074425D" w:rsidRPr="00674C96" w:rsidRDefault="0074425D">
      <w:pPr>
        <w:pStyle w:val="FootnoteText"/>
        <w:rPr>
          <w:lang w:val="en-AU"/>
        </w:rPr>
      </w:pPr>
      <w:r>
        <w:rPr>
          <w:rStyle w:val="FootnoteReference"/>
        </w:rPr>
        <w:footnoteRef/>
      </w:r>
      <w:r>
        <w:t xml:space="preserve"> </w:t>
      </w:r>
      <w:hyperlink r:id="rId1" w:history="1">
        <w:r w:rsidRPr="003A24C7">
          <w:rPr>
            <w:rStyle w:val="Hyperlink"/>
          </w:rPr>
          <w:t>https://www.ecolex.org/details/legislation/regulation-ec-no-8522004-of-the-european-parliament-and-of-the-council-on-the-hygiene-of-foodstuffs-lex-faoc063426/</w:t>
        </w:r>
      </w:hyperlink>
      <w:r>
        <w:t xml:space="preserve"> </w:t>
      </w:r>
    </w:p>
  </w:footnote>
  <w:footnote w:id="7">
    <w:p w14:paraId="342966AE" w14:textId="2F8D3B03" w:rsidR="0074425D" w:rsidRPr="00FC0FEC" w:rsidRDefault="0074425D" w:rsidP="00F83E70">
      <w:pPr>
        <w:pStyle w:val="FootnoteText"/>
        <w:rPr>
          <w:lang w:val="en-AU"/>
        </w:rPr>
      </w:pPr>
      <w:r>
        <w:rPr>
          <w:rStyle w:val="FootnoteReference"/>
        </w:rPr>
        <w:footnoteRef/>
      </w:r>
      <w:r>
        <w:t xml:space="preserve"> </w:t>
      </w:r>
      <w:hyperlink r:id="rId2" w:history="1">
        <w:r w:rsidRPr="00F66A96">
          <w:rPr>
            <w:rStyle w:val="Hyperlink"/>
          </w:rPr>
          <w:t>https://www.cdc.gov/biosafety/publications/bmbl5/index.htm</w:t>
        </w:r>
      </w:hyperlink>
      <w:r>
        <w:t xml:space="preserve"> </w:t>
      </w:r>
    </w:p>
  </w:footnote>
  <w:footnote w:id="8">
    <w:p w14:paraId="545CD7BF" w14:textId="77777777" w:rsidR="0074425D" w:rsidRPr="00574389" w:rsidRDefault="0074425D" w:rsidP="00C03861">
      <w:pPr>
        <w:pStyle w:val="FootnoteText"/>
        <w:rPr>
          <w:lang w:val="en-AU"/>
        </w:rPr>
      </w:pPr>
      <w:r>
        <w:rPr>
          <w:rStyle w:val="FootnoteReference"/>
        </w:rPr>
        <w:footnoteRef/>
      </w:r>
      <w:r>
        <w:t xml:space="preserve"> </w:t>
      </w:r>
      <w:hyperlink r:id="rId3" w:history="1">
        <w:r w:rsidRPr="00C7274E">
          <w:rPr>
            <w:rStyle w:val="Hyperlink"/>
            <w:sz w:val="18"/>
          </w:rPr>
          <w:t>www.allergenonline.org</w:t>
        </w:r>
      </w:hyperlink>
    </w:p>
  </w:footnote>
  <w:footnote w:id="9">
    <w:p w14:paraId="08CD9DAC" w14:textId="77777777" w:rsidR="0074425D" w:rsidRPr="00574389" w:rsidRDefault="0074425D" w:rsidP="00C03861">
      <w:pPr>
        <w:pStyle w:val="FootnoteText"/>
        <w:rPr>
          <w:lang w:val="en-AU"/>
        </w:rPr>
      </w:pPr>
      <w:r>
        <w:rPr>
          <w:rStyle w:val="FootnoteReference"/>
        </w:rPr>
        <w:footnoteRef/>
      </w:r>
      <w:r>
        <w:t xml:space="preserve"> </w:t>
      </w:r>
      <w:hyperlink r:id="rId4" w:history="1">
        <w:r w:rsidRPr="00574389">
          <w:rPr>
            <w:rStyle w:val="Hyperlink"/>
            <w:sz w:val="18"/>
          </w:rPr>
          <w:t>http://allergen.nihs.go.jp/ADFS/</w:t>
        </w:r>
      </w:hyperlink>
      <w:r w:rsidRPr="00574389">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80FD" w14:textId="11728A6F" w:rsidR="0074425D" w:rsidRPr="007D03EA" w:rsidRDefault="0074425D"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DC6C3" w14:textId="77777777" w:rsidR="0074425D" w:rsidRDefault="0074425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79.25pt;height:95.25pt;visibility:visible;mso-wrap-style:square" o:bullet="t">
        <v:imagedata r:id="rId1" o:title=""/>
      </v:shape>
    </w:pict>
  </w:numPicBullet>
  <w:abstractNum w:abstractNumId="0" w15:restartNumberingAfterBreak="0">
    <w:nsid w:val="0D0C3E76"/>
    <w:multiLevelType w:val="hybridMultilevel"/>
    <w:tmpl w:val="9F7E1326"/>
    <w:lvl w:ilvl="0" w:tplc="03C0293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50EB5"/>
    <w:multiLevelType w:val="multilevel"/>
    <w:tmpl w:val="D8AE472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A30AF7"/>
    <w:multiLevelType w:val="hybridMultilevel"/>
    <w:tmpl w:val="68BC5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C34CF"/>
    <w:multiLevelType w:val="hybridMultilevel"/>
    <w:tmpl w:val="3FAC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E376D"/>
    <w:multiLevelType w:val="hybridMultilevel"/>
    <w:tmpl w:val="2B2A4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25B4D"/>
    <w:multiLevelType w:val="hybridMultilevel"/>
    <w:tmpl w:val="E3D2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97D09"/>
    <w:multiLevelType w:val="multilevel"/>
    <w:tmpl w:val="30C8C9E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746C34"/>
    <w:multiLevelType w:val="hybridMultilevel"/>
    <w:tmpl w:val="8F60F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B95149"/>
    <w:multiLevelType w:val="hybridMultilevel"/>
    <w:tmpl w:val="69BA7846"/>
    <w:lvl w:ilvl="0" w:tplc="08090001">
      <w:start w:val="1"/>
      <w:numFmt w:val="bullet"/>
      <w:lvlText w:val=""/>
      <w:lvlJc w:val="left"/>
      <w:pPr>
        <w:ind w:left="2727" w:hanging="360"/>
      </w:pPr>
      <w:rPr>
        <w:rFonts w:ascii="Symbol" w:hAnsi="Symbo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2" w15:restartNumberingAfterBreak="0">
    <w:nsid w:val="2BBE48EE"/>
    <w:multiLevelType w:val="hybridMultilevel"/>
    <w:tmpl w:val="4FAE1A24"/>
    <w:lvl w:ilvl="0" w:tplc="D110E35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E30B6"/>
    <w:multiLevelType w:val="hybridMultilevel"/>
    <w:tmpl w:val="DDB4E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D0E0A2B"/>
    <w:multiLevelType w:val="hybridMultilevel"/>
    <w:tmpl w:val="A2808D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450031"/>
    <w:multiLevelType w:val="multilevel"/>
    <w:tmpl w:val="2D08FB0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CB73BE"/>
    <w:multiLevelType w:val="multilevel"/>
    <w:tmpl w:val="0502625E"/>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5B9353E6"/>
    <w:multiLevelType w:val="hybridMultilevel"/>
    <w:tmpl w:val="E4F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D2F8D"/>
    <w:multiLevelType w:val="hybridMultilevel"/>
    <w:tmpl w:val="D98425E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94E0A63"/>
    <w:multiLevelType w:val="hybridMultilevel"/>
    <w:tmpl w:val="614E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
  </w:num>
  <w:num w:numId="4">
    <w:abstractNumId w:val="13"/>
  </w:num>
  <w:num w:numId="5">
    <w:abstractNumId w:val="1"/>
  </w:num>
  <w:num w:numId="6">
    <w:abstractNumId w:val="16"/>
  </w:num>
  <w:num w:numId="7">
    <w:abstractNumId w:val="0"/>
  </w:num>
  <w:num w:numId="8">
    <w:abstractNumId w:val="7"/>
  </w:num>
  <w:num w:numId="9">
    <w:abstractNumId w:val="21"/>
  </w:num>
  <w:num w:numId="10">
    <w:abstractNumId w:val="14"/>
  </w:num>
  <w:num w:numId="11">
    <w:abstractNumId w:val="18"/>
  </w:num>
  <w:num w:numId="12">
    <w:abstractNumId w:val="11"/>
  </w:num>
  <w:num w:numId="13">
    <w:abstractNumId w:val="4"/>
  </w:num>
  <w:num w:numId="14">
    <w:abstractNumId w:val="12"/>
  </w:num>
  <w:num w:numId="15">
    <w:abstractNumId w:val="6"/>
  </w:num>
  <w:num w:numId="16">
    <w:abstractNumId w:val="8"/>
  </w:num>
  <w:num w:numId="17">
    <w:abstractNumId w:val="2"/>
  </w:num>
  <w:num w:numId="18">
    <w:abstractNumId w:val="19"/>
  </w:num>
  <w:num w:numId="19">
    <w:abstractNumId w:val="5"/>
  </w:num>
  <w:num w:numId="20">
    <w:abstractNumId w:val="20"/>
  </w:num>
  <w:num w:numId="21">
    <w:abstractNumId w:val="10"/>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47CD"/>
    <w:rsid w:val="00026FA5"/>
    <w:rsid w:val="00035FF3"/>
    <w:rsid w:val="00037C69"/>
    <w:rsid w:val="00050258"/>
    <w:rsid w:val="00051021"/>
    <w:rsid w:val="00051ED9"/>
    <w:rsid w:val="00053CB9"/>
    <w:rsid w:val="0005420F"/>
    <w:rsid w:val="00057181"/>
    <w:rsid w:val="00060098"/>
    <w:rsid w:val="00062185"/>
    <w:rsid w:val="00064481"/>
    <w:rsid w:val="0006473A"/>
    <w:rsid w:val="00064B2D"/>
    <w:rsid w:val="00065165"/>
    <w:rsid w:val="00065F1F"/>
    <w:rsid w:val="000715D1"/>
    <w:rsid w:val="0007309F"/>
    <w:rsid w:val="00076D33"/>
    <w:rsid w:val="00082CA2"/>
    <w:rsid w:val="00092CDA"/>
    <w:rsid w:val="00095D6B"/>
    <w:rsid w:val="000A0B9F"/>
    <w:rsid w:val="000A1C35"/>
    <w:rsid w:val="000A27E9"/>
    <w:rsid w:val="000A3D8B"/>
    <w:rsid w:val="000A5DF8"/>
    <w:rsid w:val="000B533C"/>
    <w:rsid w:val="000B6AF2"/>
    <w:rsid w:val="000C19C8"/>
    <w:rsid w:val="000D6FD4"/>
    <w:rsid w:val="000E0AE4"/>
    <w:rsid w:val="000E3083"/>
    <w:rsid w:val="000E3DBC"/>
    <w:rsid w:val="000F7F6B"/>
    <w:rsid w:val="001007ED"/>
    <w:rsid w:val="0010191A"/>
    <w:rsid w:val="00110AD2"/>
    <w:rsid w:val="001136C4"/>
    <w:rsid w:val="00113CE3"/>
    <w:rsid w:val="00116735"/>
    <w:rsid w:val="00116FB3"/>
    <w:rsid w:val="00117522"/>
    <w:rsid w:val="0012070B"/>
    <w:rsid w:val="0012203D"/>
    <w:rsid w:val="00122D36"/>
    <w:rsid w:val="00127CDC"/>
    <w:rsid w:val="0014213D"/>
    <w:rsid w:val="001542D8"/>
    <w:rsid w:val="001569A2"/>
    <w:rsid w:val="00164BD8"/>
    <w:rsid w:val="00165B2C"/>
    <w:rsid w:val="00171829"/>
    <w:rsid w:val="0017222C"/>
    <w:rsid w:val="00174F38"/>
    <w:rsid w:val="00180C41"/>
    <w:rsid w:val="00182C4C"/>
    <w:rsid w:val="00197D8D"/>
    <w:rsid w:val="001A1A75"/>
    <w:rsid w:val="001A663B"/>
    <w:rsid w:val="001A7E9A"/>
    <w:rsid w:val="001B54D8"/>
    <w:rsid w:val="001C17F2"/>
    <w:rsid w:val="001C27A3"/>
    <w:rsid w:val="001C5295"/>
    <w:rsid w:val="001D1C38"/>
    <w:rsid w:val="001E09FA"/>
    <w:rsid w:val="00203540"/>
    <w:rsid w:val="0021612B"/>
    <w:rsid w:val="0022083A"/>
    <w:rsid w:val="00221D07"/>
    <w:rsid w:val="00227E4A"/>
    <w:rsid w:val="00237587"/>
    <w:rsid w:val="0024582E"/>
    <w:rsid w:val="00245C56"/>
    <w:rsid w:val="002547EF"/>
    <w:rsid w:val="00256D65"/>
    <w:rsid w:val="00261925"/>
    <w:rsid w:val="00271F00"/>
    <w:rsid w:val="00273A80"/>
    <w:rsid w:val="00286391"/>
    <w:rsid w:val="00287888"/>
    <w:rsid w:val="00287ACB"/>
    <w:rsid w:val="00287BA3"/>
    <w:rsid w:val="0029204E"/>
    <w:rsid w:val="00292564"/>
    <w:rsid w:val="00292FAB"/>
    <w:rsid w:val="0029631C"/>
    <w:rsid w:val="002A0194"/>
    <w:rsid w:val="002A3314"/>
    <w:rsid w:val="002A5F8B"/>
    <w:rsid w:val="002A7C7F"/>
    <w:rsid w:val="002A7F6C"/>
    <w:rsid w:val="002B5619"/>
    <w:rsid w:val="002B6202"/>
    <w:rsid w:val="002C38A2"/>
    <w:rsid w:val="002C6004"/>
    <w:rsid w:val="002C6775"/>
    <w:rsid w:val="002D4E34"/>
    <w:rsid w:val="002D603F"/>
    <w:rsid w:val="002D6809"/>
    <w:rsid w:val="002E25AA"/>
    <w:rsid w:val="002F041E"/>
    <w:rsid w:val="002F6488"/>
    <w:rsid w:val="00320839"/>
    <w:rsid w:val="003213F9"/>
    <w:rsid w:val="00321DEE"/>
    <w:rsid w:val="00323DBF"/>
    <w:rsid w:val="00325FF6"/>
    <w:rsid w:val="00326D85"/>
    <w:rsid w:val="003309A8"/>
    <w:rsid w:val="00330A6B"/>
    <w:rsid w:val="003329A2"/>
    <w:rsid w:val="00332B12"/>
    <w:rsid w:val="003346D4"/>
    <w:rsid w:val="00345039"/>
    <w:rsid w:val="003502A1"/>
    <w:rsid w:val="003507BC"/>
    <w:rsid w:val="00351B07"/>
    <w:rsid w:val="00352CF2"/>
    <w:rsid w:val="00364841"/>
    <w:rsid w:val="0036610F"/>
    <w:rsid w:val="00371B29"/>
    <w:rsid w:val="0037656B"/>
    <w:rsid w:val="00380F3C"/>
    <w:rsid w:val="00381E36"/>
    <w:rsid w:val="00391769"/>
    <w:rsid w:val="003953E1"/>
    <w:rsid w:val="003956B3"/>
    <w:rsid w:val="003A2BCF"/>
    <w:rsid w:val="003A52F0"/>
    <w:rsid w:val="003A68BE"/>
    <w:rsid w:val="003B1805"/>
    <w:rsid w:val="003B3C9D"/>
    <w:rsid w:val="003B68EE"/>
    <w:rsid w:val="003B78E0"/>
    <w:rsid w:val="003C02FE"/>
    <w:rsid w:val="003C0AB5"/>
    <w:rsid w:val="003C4969"/>
    <w:rsid w:val="003C74FA"/>
    <w:rsid w:val="003D0358"/>
    <w:rsid w:val="003E0EE8"/>
    <w:rsid w:val="003E41D5"/>
    <w:rsid w:val="003E46BA"/>
    <w:rsid w:val="003E7D22"/>
    <w:rsid w:val="003F5CBF"/>
    <w:rsid w:val="003F74C1"/>
    <w:rsid w:val="004010AF"/>
    <w:rsid w:val="00401D59"/>
    <w:rsid w:val="004020ED"/>
    <w:rsid w:val="00405B1A"/>
    <w:rsid w:val="0040727A"/>
    <w:rsid w:val="00410C76"/>
    <w:rsid w:val="00411907"/>
    <w:rsid w:val="00413CA8"/>
    <w:rsid w:val="00415BC0"/>
    <w:rsid w:val="00417EE3"/>
    <w:rsid w:val="004207EB"/>
    <w:rsid w:val="00430629"/>
    <w:rsid w:val="00434AAA"/>
    <w:rsid w:val="00434F67"/>
    <w:rsid w:val="00437276"/>
    <w:rsid w:val="004418CD"/>
    <w:rsid w:val="00447113"/>
    <w:rsid w:val="00455DA6"/>
    <w:rsid w:val="00456B54"/>
    <w:rsid w:val="00463C4D"/>
    <w:rsid w:val="00464643"/>
    <w:rsid w:val="00466281"/>
    <w:rsid w:val="00471C99"/>
    <w:rsid w:val="00484C76"/>
    <w:rsid w:val="00486793"/>
    <w:rsid w:val="00492FBF"/>
    <w:rsid w:val="004A2037"/>
    <w:rsid w:val="004A48FC"/>
    <w:rsid w:val="004A5EBD"/>
    <w:rsid w:val="004A6CF2"/>
    <w:rsid w:val="004B030D"/>
    <w:rsid w:val="004B132D"/>
    <w:rsid w:val="004C2CE7"/>
    <w:rsid w:val="004C3BA6"/>
    <w:rsid w:val="004D1A8F"/>
    <w:rsid w:val="004D3DFA"/>
    <w:rsid w:val="004E1EF7"/>
    <w:rsid w:val="004E2590"/>
    <w:rsid w:val="004F14CC"/>
    <w:rsid w:val="004F2EE4"/>
    <w:rsid w:val="004F3184"/>
    <w:rsid w:val="004F4F98"/>
    <w:rsid w:val="004F69F6"/>
    <w:rsid w:val="004F6AFD"/>
    <w:rsid w:val="004F79AC"/>
    <w:rsid w:val="005017CF"/>
    <w:rsid w:val="005207D8"/>
    <w:rsid w:val="005239C6"/>
    <w:rsid w:val="00531C7C"/>
    <w:rsid w:val="0053464E"/>
    <w:rsid w:val="00535785"/>
    <w:rsid w:val="0054272D"/>
    <w:rsid w:val="00545514"/>
    <w:rsid w:val="00556D1C"/>
    <w:rsid w:val="0056096E"/>
    <w:rsid w:val="00562917"/>
    <w:rsid w:val="005649CE"/>
    <w:rsid w:val="00571D3D"/>
    <w:rsid w:val="0057318E"/>
    <w:rsid w:val="00573856"/>
    <w:rsid w:val="00574389"/>
    <w:rsid w:val="0057615C"/>
    <w:rsid w:val="00577F3A"/>
    <w:rsid w:val="0058341C"/>
    <w:rsid w:val="00586228"/>
    <w:rsid w:val="00587C24"/>
    <w:rsid w:val="00592007"/>
    <w:rsid w:val="005A1D97"/>
    <w:rsid w:val="005A24F1"/>
    <w:rsid w:val="005A58F3"/>
    <w:rsid w:val="005B4C2A"/>
    <w:rsid w:val="005B54D2"/>
    <w:rsid w:val="005B6AF4"/>
    <w:rsid w:val="005B7A73"/>
    <w:rsid w:val="005C04CB"/>
    <w:rsid w:val="005C3204"/>
    <w:rsid w:val="005C47A0"/>
    <w:rsid w:val="005D16AD"/>
    <w:rsid w:val="005D17E2"/>
    <w:rsid w:val="005D72E1"/>
    <w:rsid w:val="005E0228"/>
    <w:rsid w:val="005E48A1"/>
    <w:rsid w:val="005E6E16"/>
    <w:rsid w:val="005F400E"/>
    <w:rsid w:val="005F7342"/>
    <w:rsid w:val="0060042C"/>
    <w:rsid w:val="006025B8"/>
    <w:rsid w:val="00603A08"/>
    <w:rsid w:val="006109D9"/>
    <w:rsid w:val="00610A3C"/>
    <w:rsid w:val="00612B5F"/>
    <w:rsid w:val="00627F48"/>
    <w:rsid w:val="00630C23"/>
    <w:rsid w:val="0063288E"/>
    <w:rsid w:val="00644928"/>
    <w:rsid w:val="006459DE"/>
    <w:rsid w:val="006460AB"/>
    <w:rsid w:val="006464C0"/>
    <w:rsid w:val="00650724"/>
    <w:rsid w:val="00654834"/>
    <w:rsid w:val="00656647"/>
    <w:rsid w:val="00663A10"/>
    <w:rsid w:val="00663FCF"/>
    <w:rsid w:val="0066514F"/>
    <w:rsid w:val="006652A2"/>
    <w:rsid w:val="00674C96"/>
    <w:rsid w:val="00681DDD"/>
    <w:rsid w:val="00690163"/>
    <w:rsid w:val="00690206"/>
    <w:rsid w:val="006937FF"/>
    <w:rsid w:val="00694DEF"/>
    <w:rsid w:val="006A48A7"/>
    <w:rsid w:val="006A6BC4"/>
    <w:rsid w:val="006B0574"/>
    <w:rsid w:val="006B0E3E"/>
    <w:rsid w:val="006B4BA1"/>
    <w:rsid w:val="006B5EBE"/>
    <w:rsid w:val="006C1D8F"/>
    <w:rsid w:val="006C5765"/>
    <w:rsid w:val="006C5CF5"/>
    <w:rsid w:val="006C6FC9"/>
    <w:rsid w:val="006D5C9C"/>
    <w:rsid w:val="006E4128"/>
    <w:rsid w:val="006E7CDC"/>
    <w:rsid w:val="006F4A82"/>
    <w:rsid w:val="006F559C"/>
    <w:rsid w:val="006F7787"/>
    <w:rsid w:val="0070373B"/>
    <w:rsid w:val="00724FA4"/>
    <w:rsid w:val="00730800"/>
    <w:rsid w:val="00736D5D"/>
    <w:rsid w:val="00742AA1"/>
    <w:rsid w:val="0074425D"/>
    <w:rsid w:val="00745DB7"/>
    <w:rsid w:val="00750630"/>
    <w:rsid w:val="0075139A"/>
    <w:rsid w:val="007602AA"/>
    <w:rsid w:val="007603F1"/>
    <w:rsid w:val="00760717"/>
    <w:rsid w:val="007652EF"/>
    <w:rsid w:val="00772BDC"/>
    <w:rsid w:val="0077508F"/>
    <w:rsid w:val="00780792"/>
    <w:rsid w:val="00786513"/>
    <w:rsid w:val="00796562"/>
    <w:rsid w:val="007A32BD"/>
    <w:rsid w:val="007A44B4"/>
    <w:rsid w:val="007A6157"/>
    <w:rsid w:val="007A7D3D"/>
    <w:rsid w:val="007B2012"/>
    <w:rsid w:val="007B225D"/>
    <w:rsid w:val="007C174F"/>
    <w:rsid w:val="007C1C64"/>
    <w:rsid w:val="007D03EA"/>
    <w:rsid w:val="007D75CA"/>
    <w:rsid w:val="007E48BC"/>
    <w:rsid w:val="007E51C4"/>
    <w:rsid w:val="007E79F7"/>
    <w:rsid w:val="007F3630"/>
    <w:rsid w:val="00807559"/>
    <w:rsid w:val="00812BEE"/>
    <w:rsid w:val="00823F35"/>
    <w:rsid w:val="008279E9"/>
    <w:rsid w:val="00833730"/>
    <w:rsid w:val="008450BC"/>
    <w:rsid w:val="00847F3B"/>
    <w:rsid w:val="008516AB"/>
    <w:rsid w:val="00852D78"/>
    <w:rsid w:val="0085334B"/>
    <w:rsid w:val="008541A1"/>
    <w:rsid w:val="00860917"/>
    <w:rsid w:val="00866B0C"/>
    <w:rsid w:val="00870214"/>
    <w:rsid w:val="00881E97"/>
    <w:rsid w:val="0088412D"/>
    <w:rsid w:val="00885C51"/>
    <w:rsid w:val="00885EB0"/>
    <w:rsid w:val="008911C3"/>
    <w:rsid w:val="00891F4B"/>
    <w:rsid w:val="0089264A"/>
    <w:rsid w:val="00896B85"/>
    <w:rsid w:val="00897716"/>
    <w:rsid w:val="00897C97"/>
    <w:rsid w:val="008A22BE"/>
    <w:rsid w:val="008A2BDB"/>
    <w:rsid w:val="008A4E46"/>
    <w:rsid w:val="008A4EF1"/>
    <w:rsid w:val="008B1336"/>
    <w:rsid w:val="008B4E79"/>
    <w:rsid w:val="008C0853"/>
    <w:rsid w:val="008C1B36"/>
    <w:rsid w:val="008C22F9"/>
    <w:rsid w:val="008D06C6"/>
    <w:rsid w:val="008D2956"/>
    <w:rsid w:val="008D2BB9"/>
    <w:rsid w:val="008D3DCA"/>
    <w:rsid w:val="008D6920"/>
    <w:rsid w:val="008E1674"/>
    <w:rsid w:val="008E3C27"/>
    <w:rsid w:val="008E3F1C"/>
    <w:rsid w:val="008E6250"/>
    <w:rsid w:val="008F21BE"/>
    <w:rsid w:val="008F5278"/>
    <w:rsid w:val="008F5BE2"/>
    <w:rsid w:val="008F69D8"/>
    <w:rsid w:val="008F7CD8"/>
    <w:rsid w:val="00902AF6"/>
    <w:rsid w:val="009067EE"/>
    <w:rsid w:val="00920249"/>
    <w:rsid w:val="0092216C"/>
    <w:rsid w:val="00924C80"/>
    <w:rsid w:val="00924D93"/>
    <w:rsid w:val="00927307"/>
    <w:rsid w:val="00927A41"/>
    <w:rsid w:val="00932F14"/>
    <w:rsid w:val="009371F6"/>
    <w:rsid w:val="0094247F"/>
    <w:rsid w:val="00942D60"/>
    <w:rsid w:val="00944C14"/>
    <w:rsid w:val="0095101E"/>
    <w:rsid w:val="0095291A"/>
    <w:rsid w:val="00954CB7"/>
    <w:rsid w:val="00955C49"/>
    <w:rsid w:val="00963252"/>
    <w:rsid w:val="0096523B"/>
    <w:rsid w:val="009653CC"/>
    <w:rsid w:val="00966EE3"/>
    <w:rsid w:val="00967C54"/>
    <w:rsid w:val="00971D08"/>
    <w:rsid w:val="00972D06"/>
    <w:rsid w:val="00976395"/>
    <w:rsid w:val="00997E0E"/>
    <w:rsid w:val="009A391C"/>
    <w:rsid w:val="009A50F2"/>
    <w:rsid w:val="009B36EC"/>
    <w:rsid w:val="009C6683"/>
    <w:rsid w:val="009D2159"/>
    <w:rsid w:val="009D5AD7"/>
    <w:rsid w:val="009E07C0"/>
    <w:rsid w:val="009E0A57"/>
    <w:rsid w:val="009E0A61"/>
    <w:rsid w:val="009E3010"/>
    <w:rsid w:val="009E42F5"/>
    <w:rsid w:val="009E7238"/>
    <w:rsid w:val="009F007E"/>
    <w:rsid w:val="009F5F02"/>
    <w:rsid w:val="009F7065"/>
    <w:rsid w:val="00A03C47"/>
    <w:rsid w:val="00A10DFF"/>
    <w:rsid w:val="00A13957"/>
    <w:rsid w:val="00A16B67"/>
    <w:rsid w:val="00A31AD2"/>
    <w:rsid w:val="00A33AB5"/>
    <w:rsid w:val="00A4175D"/>
    <w:rsid w:val="00A54B8D"/>
    <w:rsid w:val="00A56DC7"/>
    <w:rsid w:val="00A57DF2"/>
    <w:rsid w:val="00A62794"/>
    <w:rsid w:val="00A738DE"/>
    <w:rsid w:val="00A74FD1"/>
    <w:rsid w:val="00A76648"/>
    <w:rsid w:val="00A77BFA"/>
    <w:rsid w:val="00A83ECA"/>
    <w:rsid w:val="00A84A58"/>
    <w:rsid w:val="00A84D44"/>
    <w:rsid w:val="00A84F18"/>
    <w:rsid w:val="00A87884"/>
    <w:rsid w:val="00A976EF"/>
    <w:rsid w:val="00AA0DEA"/>
    <w:rsid w:val="00AB0593"/>
    <w:rsid w:val="00AD1CD7"/>
    <w:rsid w:val="00AD628B"/>
    <w:rsid w:val="00AD6C84"/>
    <w:rsid w:val="00AF06FC"/>
    <w:rsid w:val="00AF2836"/>
    <w:rsid w:val="00AF3391"/>
    <w:rsid w:val="00AF387F"/>
    <w:rsid w:val="00AF5E07"/>
    <w:rsid w:val="00B00E7F"/>
    <w:rsid w:val="00B0313E"/>
    <w:rsid w:val="00B11535"/>
    <w:rsid w:val="00B11B08"/>
    <w:rsid w:val="00B12F1E"/>
    <w:rsid w:val="00B173DA"/>
    <w:rsid w:val="00B21DCC"/>
    <w:rsid w:val="00B25F37"/>
    <w:rsid w:val="00B26732"/>
    <w:rsid w:val="00B3093C"/>
    <w:rsid w:val="00B37BF0"/>
    <w:rsid w:val="00B40553"/>
    <w:rsid w:val="00B415A4"/>
    <w:rsid w:val="00B44422"/>
    <w:rsid w:val="00B458B9"/>
    <w:rsid w:val="00B46EA0"/>
    <w:rsid w:val="00B50499"/>
    <w:rsid w:val="00B535A0"/>
    <w:rsid w:val="00B731D3"/>
    <w:rsid w:val="00B740CE"/>
    <w:rsid w:val="00B75BBE"/>
    <w:rsid w:val="00B7614C"/>
    <w:rsid w:val="00B762C5"/>
    <w:rsid w:val="00B839A3"/>
    <w:rsid w:val="00B902BD"/>
    <w:rsid w:val="00B94AC2"/>
    <w:rsid w:val="00B950F0"/>
    <w:rsid w:val="00BA24E2"/>
    <w:rsid w:val="00BB0905"/>
    <w:rsid w:val="00BB3B19"/>
    <w:rsid w:val="00BC18E5"/>
    <w:rsid w:val="00BD1533"/>
    <w:rsid w:val="00BD2A39"/>
    <w:rsid w:val="00BD2E80"/>
    <w:rsid w:val="00BE11B8"/>
    <w:rsid w:val="00BE15DC"/>
    <w:rsid w:val="00BE22D0"/>
    <w:rsid w:val="00BE336F"/>
    <w:rsid w:val="00BE4242"/>
    <w:rsid w:val="00BE53C8"/>
    <w:rsid w:val="00BF7FF0"/>
    <w:rsid w:val="00C03861"/>
    <w:rsid w:val="00C057F4"/>
    <w:rsid w:val="00C12502"/>
    <w:rsid w:val="00C2601A"/>
    <w:rsid w:val="00C334AD"/>
    <w:rsid w:val="00C34580"/>
    <w:rsid w:val="00C36578"/>
    <w:rsid w:val="00C40AA5"/>
    <w:rsid w:val="00C46F70"/>
    <w:rsid w:val="00C476D0"/>
    <w:rsid w:val="00C61AC1"/>
    <w:rsid w:val="00C62741"/>
    <w:rsid w:val="00C665B0"/>
    <w:rsid w:val="00C70160"/>
    <w:rsid w:val="00C836E3"/>
    <w:rsid w:val="00C86577"/>
    <w:rsid w:val="00C92E07"/>
    <w:rsid w:val="00C93442"/>
    <w:rsid w:val="00C96868"/>
    <w:rsid w:val="00CA0416"/>
    <w:rsid w:val="00CA4A7E"/>
    <w:rsid w:val="00CA641D"/>
    <w:rsid w:val="00CB43A3"/>
    <w:rsid w:val="00CC42F4"/>
    <w:rsid w:val="00CC560B"/>
    <w:rsid w:val="00CC75E2"/>
    <w:rsid w:val="00CD46EB"/>
    <w:rsid w:val="00CD762C"/>
    <w:rsid w:val="00CD7EBF"/>
    <w:rsid w:val="00D011F2"/>
    <w:rsid w:val="00D04CF6"/>
    <w:rsid w:val="00D056F1"/>
    <w:rsid w:val="00D108F0"/>
    <w:rsid w:val="00D10C55"/>
    <w:rsid w:val="00D11171"/>
    <w:rsid w:val="00D127AE"/>
    <w:rsid w:val="00D21932"/>
    <w:rsid w:val="00D22F3C"/>
    <w:rsid w:val="00D23DB6"/>
    <w:rsid w:val="00D24CFE"/>
    <w:rsid w:val="00D2772A"/>
    <w:rsid w:val="00D43FE6"/>
    <w:rsid w:val="00D47F2B"/>
    <w:rsid w:val="00D51A95"/>
    <w:rsid w:val="00D52D3B"/>
    <w:rsid w:val="00D55D41"/>
    <w:rsid w:val="00D60568"/>
    <w:rsid w:val="00D64D8E"/>
    <w:rsid w:val="00D709CE"/>
    <w:rsid w:val="00D70C7A"/>
    <w:rsid w:val="00D72E71"/>
    <w:rsid w:val="00D734FC"/>
    <w:rsid w:val="00D75556"/>
    <w:rsid w:val="00D81D38"/>
    <w:rsid w:val="00D84401"/>
    <w:rsid w:val="00D845BC"/>
    <w:rsid w:val="00D95C00"/>
    <w:rsid w:val="00D9620E"/>
    <w:rsid w:val="00DA10A8"/>
    <w:rsid w:val="00DA2940"/>
    <w:rsid w:val="00DA39B9"/>
    <w:rsid w:val="00DB0AB3"/>
    <w:rsid w:val="00DB1E08"/>
    <w:rsid w:val="00DB2973"/>
    <w:rsid w:val="00DC1B56"/>
    <w:rsid w:val="00DC2129"/>
    <w:rsid w:val="00DC3899"/>
    <w:rsid w:val="00DC4DAB"/>
    <w:rsid w:val="00DC6570"/>
    <w:rsid w:val="00DD06A7"/>
    <w:rsid w:val="00DD20A0"/>
    <w:rsid w:val="00DD2DA9"/>
    <w:rsid w:val="00DD2ED9"/>
    <w:rsid w:val="00DD3C5E"/>
    <w:rsid w:val="00DF25C3"/>
    <w:rsid w:val="00E04062"/>
    <w:rsid w:val="00E063C6"/>
    <w:rsid w:val="00E066BA"/>
    <w:rsid w:val="00E10471"/>
    <w:rsid w:val="00E16148"/>
    <w:rsid w:val="00E16694"/>
    <w:rsid w:val="00E2003B"/>
    <w:rsid w:val="00E203C2"/>
    <w:rsid w:val="00E24760"/>
    <w:rsid w:val="00E279D8"/>
    <w:rsid w:val="00E318F8"/>
    <w:rsid w:val="00E319B1"/>
    <w:rsid w:val="00E3583E"/>
    <w:rsid w:val="00E37370"/>
    <w:rsid w:val="00E42E31"/>
    <w:rsid w:val="00E44E0D"/>
    <w:rsid w:val="00E50E7F"/>
    <w:rsid w:val="00E5492F"/>
    <w:rsid w:val="00E5574F"/>
    <w:rsid w:val="00E62DEF"/>
    <w:rsid w:val="00E70328"/>
    <w:rsid w:val="00E70A86"/>
    <w:rsid w:val="00E74F6C"/>
    <w:rsid w:val="00E753EF"/>
    <w:rsid w:val="00E777EC"/>
    <w:rsid w:val="00E80FCD"/>
    <w:rsid w:val="00E814FB"/>
    <w:rsid w:val="00E91168"/>
    <w:rsid w:val="00EA63CC"/>
    <w:rsid w:val="00EA7F2F"/>
    <w:rsid w:val="00EB3F71"/>
    <w:rsid w:val="00EC00DE"/>
    <w:rsid w:val="00EC30E1"/>
    <w:rsid w:val="00ED0441"/>
    <w:rsid w:val="00ED172A"/>
    <w:rsid w:val="00EE6B20"/>
    <w:rsid w:val="00EF1F11"/>
    <w:rsid w:val="00F02599"/>
    <w:rsid w:val="00F046B8"/>
    <w:rsid w:val="00F10908"/>
    <w:rsid w:val="00F11D78"/>
    <w:rsid w:val="00F11F6C"/>
    <w:rsid w:val="00F14B99"/>
    <w:rsid w:val="00F14BEC"/>
    <w:rsid w:val="00F15EEA"/>
    <w:rsid w:val="00F201D2"/>
    <w:rsid w:val="00F210E2"/>
    <w:rsid w:val="00F225C5"/>
    <w:rsid w:val="00F24FFD"/>
    <w:rsid w:val="00F2587A"/>
    <w:rsid w:val="00F36C86"/>
    <w:rsid w:val="00F3715D"/>
    <w:rsid w:val="00F372CA"/>
    <w:rsid w:val="00F420C8"/>
    <w:rsid w:val="00F4257B"/>
    <w:rsid w:val="00F42A4C"/>
    <w:rsid w:val="00F42C1C"/>
    <w:rsid w:val="00F42E27"/>
    <w:rsid w:val="00F449BE"/>
    <w:rsid w:val="00F604DE"/>
    <w:rsid w:val="00F67C56"/>
    <w:rsid w:val="00F72EBE"/>
    <w:rsid w:val="00F80448"/>
    <w:rsid w:val="00F83E70"/>
    <w:rsid w:val="00F90F26"/>
    <w:rsid w:val="00F951C2"/>
    <w:rsid w:val="00FA4E8A"/>
    <w:rsid w:val="00FA7703"/>
    <w:rsid w:val="00FB6DB1"/>
    <w:rsid w:val="00FB7512"/>
    <w:rsid w:val="00FD27A4"/>
    <w:rsid w:val="00FD7547"/>
    <w:rsid w:val="00FD75F1"/>
    <w:rsid w:val="00FE1DEE"/>
    <w:rsid w:val="00FE5B8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3BF6F"/>
  <w15:docId w15:val="{08FFD933-C069-49AD-94E5-211524A6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Title">
    <w:name w:val="Title"/>
    <w:basedOn w:val="Normal"/>
    <w:link w:val="TitleChar"/>
    <w:rsid w:val="00F83E70"/>
    <w:pPr>
      <w:widowControl/>
      <w:jc w:val="center"/>
    </w:pPr>
    <w:rPr>
      <w:b/>
      <w:bCs/>
      <w:i/>
      <w:iCs/>
      <w:lang w:val="en-AU" w:bidi="ar-SA"/>
    </w:rPr>
  </w:style>
  <w:style w:type="character" w:customStyle="1" w:styleId="TitleChar">
    <w:name w:val="Title Char"/>
    <w:basedOn w:val="DefaultParagraphFont"/>
    <w:link w:val="Title"/>
    <w:rsid w:val="00F83E70"/>
    <w:rPr>
      <w:rFonts w:ascii="Arial" w:hAnsi="Arial"/>
      <w:b/>
      <w:bCs/>
      <w:i/>
      <w:iCs/>
      <w:sz w:val="22"/>
      <w:szCs w:val="24"/>
      <w:lang w:val="en-AU" w:eastAsia="en-US"/>
    </w:rPr>
  </w:style>
  <w:style w:type="paragraph" w:styleId="ListParagraph">
    <w:name w:val="List Paragraph"/>
    <w:basedOn w:val="Normal"/>
    <w:uiPriority w:val="34"/>
    <w:qFormat/>
    <w:rsid w:val="00CB43A3"/>
    <w:pPr>
      <w:widowControl/>
      <w:ind w:left="720"/>
      <w:contextualSpacing/>
    </w:pPr>
    <w:rPr>
      <w:rFonts w:eastAsiaTheme="minorHAnsi" w:cstheme="minorBidi"/>
      <w:szCs w:val="22"/>
      <w:lang w:bidi="ar-SA"/>
    </w:rPr>
  </w:style>
  <w:style w:type="paragraph" w:customStyle="1" w:styleId="CitaviBibliography">
    <w:name w:val="Citavi Bibliography"/>
    <w:basedOn w:val="Normal"/>
    <w:rsid w:val="00CB43A3"/>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492FBF"/>
    <w:rPr>
      <w:b/>
      <w:bCs/>
    </w:rPr>
  </w:style>
  <w:style w:type="character" w:customStyle="1" w:styleId="CommentSubjectChar">
    <w:name w:val="Comment Subject Char"/>
    <w:basedOn w:val="CommentTextChar"/>
    <w:link w:val="CommentSubject"/>
    <w:semiHidden/>
    <w:rsid w:val="00492FBF"/>
    <w:rPr>
      <w:rFonts w:ascii="Arial" w:hAnsi="Arial"/>
      <w:b/>
      <w:bCs/>
      <w:lang w:eastAsia="en-US" w:bidi="en-US"/>
    </w:rPr>
  </w:style>
  <w:style w:type="table" w:customStyle="1" w:styleId="TableGrid1">
    <w:name w:val="Table Grid1"/>
    <w:basedOn w:val="TableNormal"/>
    <w:next w:val="TableGrid"/>
    <w:uiPriority w:val="59"/>
    <w:rsid w:val="00866B0C"/>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rsid w:val="005B54D2"/>
    <w:pPr>
      <w:spacing w:after="200"/>
    </w:pPr>
    <w:rPr>
      <w:i/>
      <w:iCs/>
      <w:color w:val="1F497D" w:themeColor="text2"/>
      <w:sz w:val="18"/>
      <w:szCs w:val="18"/>
    </w:rPr>
  </w:style>
  <w:style w:type="table" w:styleId="TableClassic4">
    <w:name w:val="Table Classic 4"/>
    <w:basedOn w:val="TableNormal"/>
    <w:rsid w:val="005B4C2A"/>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47113"/>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FootnoteTextChar">
    <w:name w:val="Footnote Text Char"/>
    <w:aliases w:val="Footnotes Text Char,FSFootnotes Text Char"/>
    <w:basedOn w:val="DefaultParagraphFont"/>
    <w:link w:val="FootnoteText"/>
    <w:rsid w:val="009E0A57"/>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fao.org/fileadmin/templates/agns/pdf/topics/ec_jan2001.pdf"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s://www.ecolex.org/details/legislation/regulation-ec-no-8522004-of-the-european-parliament-and-of-the-council-on-the-hygiene-of-foodstuffs-lex-faoc063426/"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allergen.nihs.go.jp/ADF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bi.ac.uk/thornton-srv/databases/cgi-bin/enzymes/GetPage.pl?ec_number=3.1.1.3" TargetMode="External"/><Relationship Id="rId29" Type="http://schemas.openxmlformats.org/officeDocument/2006/relationships/hyperlink" Target="https://admin-www.foodstandards.gov.au/code/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llergenonline.org" TargetMode="External"/><Relationship Id="rId32" Type="http://schemas.openxmlformats.org/officeDocument/2006/relationships/fontTable" Target="fontTable.xml"/><Relationship Id="rId28" Type="http://schemas.openxmlformats.org/officeDocument/2006/relationships/hyperlink" Target="https://admin-www.foodstandards.gov.au/code/applications/Documents/FINALISED%20APPLICATIONS.docx" TargetMode="External"/><Relationship Id="rId15" Type="http://schemas.openxmlformats.org/officeDocument/2006/relationships/header" Target="header1.xml"/><Relationship Id="rId23" Type="http://schemas.openxmlformats.org/officeDocument/2006/relationships/hyperlink" Target="https://www.cdc.gov/biosafety/publications/bmbl5/index.htm" TargetMode="External"/><Relationship Id="rId10" Type="http://schemas.openxmlformats.org/officeDocument/2006/relationships/settings" Target="settings.xml"/><Relationship Id="rId19" Type="http://schemas.openxmlformats.org/officeDocument/2006/relationships/image" Target="media/image3.png"/><Relationship Id="rId31" Type="http://schemas.openxmlformats.org/officeDocument/2006/relationships/hyperlink" Target="http://publications.usp.org/" TargetMode="External"/><Relationship Id="rId30" Type="http://schemas.openxmlformats.org/officeDocument/2006/relationships/hyperlink" Target="http://www.sbcs.qmul.ac.uk/iubmb/enzyme/EC3/1/1/3.html" TargetMode="External"/><Relationship Id="rId9" Type="http://schemas.openxmlformats.org/officeDocument/2006/relationships/styles" Target="styl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llergenonline.org" TargetMode="External"/><Relationship Id="rId2" Type="http://schemas.openxmlformats.org/officeDocument/2006/relationships/hyperlink" Target="https://www.cdc.gov/biosafety/publications/bmbl5/index.htm" TargetMode="External"/><Relationship Id="rId1" Type="http://schemas.openxmlformats.org/officeDocument/2006/relationships/hyperlink" Target="https://www.ecolex.org/details/legislation/regulation-ec-no-8522004-of-the-european-parliament-and-of-the-council-on-the-hygiene-of-foodstuffs-lex-faoc063426/" TargetMode="External"/><Relationship Id="rId4" Type="http://schemas.openxmlformats.org/officeDocument/2006/relationships/hyperlink" Target="http://allergen.nihs.go.jp/ADF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3011E4-16C5-450A-A0BE-8E8404E95D5D}"/>
</file>

<file path=customXml/itemProps2.xml><?xml version="1.0" encoding="utf-8"?>
<ds:datastoreItem xmlns:ds="http://schemas.openxmlformats.org/officeDocument/2006/customXml" ds:itemID="{9D4F96FF-146A-453D-BD42-C1684CDD5FC0}"/>
</file>

<file path=customXml/itemProps3.xml><?xml version="1.0" encoding="utf-8"?>
<ds:datastoreItem xmlns:ds="http://schemas.openxmlformats.org/officeDocument/2006/customXml" ds:itemID="{65B249C7-CDA3-444F-A8D0-5280181A49CC}"/>
</file>

<file path=customXml/itemProps4.xml><?xml version="1.0" encoding="utf-8"?>
<ds:datastoreItem xmlns:ds="http://schemas.openxmlformats.org/officeDocument/2006/customXml" ds:itemID="{A675BA6D-EC66-4105-BB9F-6D26F07FEE09}">
  <ds:schemaRefs>
    <ds:schemaRef ds:uri="http://schemas.microsoft.com/sharepoint/events"/>
  </ds:schemaRefs>
</ds:datastoreItem>
</file>

<file path=customXml/itemProps5.xml><?xml version="1.0" encoding="utf-8"?>
<ds:datastoreItem xmlns:ds="http://schemas.openxmlformats.org/officeDocument/2006/customXml" ds:itemID="{253011E4-16C5-450A-A0BE-8E8404E95D5D}">
  <ds:schemaRefs>
    <ds:schemaRef ds:uri="http://schemas.microsoft.com/sharepoint/v3/contenttype/forms"/>
  </ds:schemaRefs>
</ds:datastoreItem>
</file>

<file path=customXml/itemProps6.xml><?xml version="1.0" encoding="utf-8"?>
<ds:datastoreItem xmlns:ds="http://schemas.openxmlformats.org/officeDocument/2006/customXml" ds:itemID="{050D0F30-878E-4092-B269-6B6FD5958283}"/>
</file>

<file path=customXml/itemProps7.xml><?xml version="1.0" encoding="utf-8"?>
<ds:datastoreItem xmlns:ds="http://schemas.openxmlformats.org/officeDocument/2006/customXml" ds:itemID="{30584D31-2E10-4E93-BEA7-4A20A71CEECE}"/>
</file>

<file path=docProps/app.xml><?xml version="1.0" encoding="utf-8"?>
<Properties xmlns="http://schemas.openxmlformats.org/officeDocument/2006/extended-properties" xmlns:vt="http://schemas.openxmlformats.org/officeDocument/2006/docPropsVTypes">
  <Template>Normal</Template>
  <TotalTime>673</TotalTime>
  <Pages>18</Pages>
  <Words>6747</Words>
  <Characters>38464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45121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taitsa</dc:creator>
  <cp:keywords/>
  <cp:lastModifiedBy>Christine Coughlan</cp:lastModifiedBy>
  <cp:revision>41</cp:revision>
  <cp:lastPrinted>2011-08-22T03:30:00Z</cp:lastPrinted>
  <dcterms:created xsi:type="dcterms:W3CDTF">2018-09-19T22:23:00Z</dcterms:created>
  <dcterms:modified xsi:type="dcterms:W3CDTF">2018-11-07T22:29:00Z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991152c1-ee9d-41d9-a3be-de03db7c1924</vt:lpwstr>
  </property>
  <property fmtid="{D5CDD505-2E9C-101B-9397-08002B2CF9AE}" pid="3" name="bjSaver">
    <vt:lpwstr>pOTpiByhkVOdNwcHojcGx5CWctje//j1</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_dlc_DocIdItemGuid">
    <vt:lpwstr>8320d4b7-fb98-420a-b6c1-e882ee08c013</vt:lpwstr>
  </property>
  <property fmtid="{D5CDD505-2E9C-101B-9397-08002B2CF9AE}" pid="9" name="DisposalClass">
    <vt:lpwstr/>
  </property>
  <property fmtid="{D5CDD505-2E9C-101B-9397-08002B2CF9AE}" pid="10" name="BCS_">
    <vt:lpwstr>40;#FOOD STANDARDS:Evaluation|43bd8487-b9f6-4055-946c-a118d364275d</vt:lpwstr>
  </property>
  <property fmtid="{D5CDD505-2E9C-101B-9397-08002B2CF9AE}" pid="11" name="RecordPoint_ActiveItemUniqueId">
    <vt:lpwstr>{f00a5d7c-0601-4970-8422-c1f6a5c7a7fe}</vt:lpwstr>
  </property>
  <property fmtid="{D5CDD505-2E9C-101B-9397-08002B2CF9AE}" pid="12" name="RecordPoint_SubmissionCompleted">
    <vt:lpwstr>2018-08-29T11:01:42.5243544+10:00</vt:lpwstr>
  </property>
  <property fmtid="{D5CDD505-2E9C-101B-9397-08002B2CF9AE}" pid="13" name="RecordPoint_WorkflowType">
    <vt:lpwstr>ActiveSubmitStub</vt:lpwstr>
  </property>
</Properties>
</file>