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C3EC" w14:textId="3EA7ED1D" w:rsidR="00E203C2" w:rsidRDefault="00C72FBD" w:rsidP="00E8122F">
      <w:pPr>
        <w:widowControl/>
      </w:pPr>
      <w:r>
        <w:t xml:space="preserve"> </w:t>
      </w:r>
      <w:r w:rsidR="00E203C2">
        <w:rPr>
          <w:noProof/>
          <w:lang w:eastAsia="en-GB" w:bidi="ar-SA"/>
        </w:rPr>
        <w:drawing>
          <wp:inline distT="0" distB="0" distL="0" distR="0" wp14:anchorId="653CD4DB" wp14:editId="69BEC340">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9610EB9" w14:textId="77777777" w:rsidR="00E203C2" w:rsidRDefault="00E203C2" w:rsidP="00E8122F">
      <w:pPr>
        <w:widowControl/>
      </w:pPr>
    </w:p>
    <w:p w14:paraId="2B7EAED1" w14:textId="6C909BDE" w:rsidR="00BA24E2" w:rsidRPr="00855E3E" w:rsidRDefault="00194DE3" w:rsidP="00E8122F">
      <w:pPr>
        <w:widowControl/>
        <w:rPr>
          <w:b/>
          <w:sz w:val="28"/>
          <w:szCs w:val="28"/>
        </w:rPr>
      </w:pPr>
      <w:r>
        <w:rPr>
          <w:b/>
          <w:sz w:val="28"/>
          <w:szCs w:val="28"/>
        </w:rPr>
        <w:t>22 July 202</w:t>
      </w:r>
      <w:r w:rsidR="00855E3E" w:rsidRPr="00855E3E">
        <w:rPr>
          <w:b/>
          <w:sz w:val="28"/>
          <w:szCs w:val="28"/>
        </w:rPr>
        <w:t>1</w:t>
      </w:r>
    </w:p>
    <w:p w14:paraId="36055913" w14:textId="1F22F6B8" w:rsidR="00BA24E2" w:rsidRPr="00855E3E" w:rsidRDefault="00855E3E" w:rsidP="00E8122F">
      <w:pPr>
        <w:widowControl/>
        <w:rPr>
          <w:b/>
          <w:sz w:val="28"/>
          <w:szCs w:val="28"/>
        </w:rPr>
      </w:pPr>
      <w:r w:rsidRPr="00855E3E">
        <w:rPr>
          <w:b/>
          <w:sz w:val="28"/>
          <w:szCs w:val="28"/>
        </w:rPr>
        <w:t>163-21</w:t>
      </w:r>
      <w:bookmarkStart w:id="0" w:name="_GoBack"/>
      <w:bookmarkEnd w:id="0"/>
    </w:p>
    <w:p w14:paraId="0636FCE1" w14:textId="77777777" w:rsidR="00BA24E2" w:rsidRPr="004F721D" w:rsidRDefault="00BA24E2" w:rsidP="00E8122F">
      <w:pPr>
        <w:widowControl/>
      </w:pPr>
    </w:p>
    <w:p w14:paraId="06900874" w14:textId="7ACEB404" w:rsidR="00D056F1" w:rsidRPr="004F721D" w:rsidRDefault="000427B2" w:rsidP="00E8122F">
      <w:pPr>
        <w:pStyle w:val="FSTitle"/>
        <w:widowControl/>
        <w:rPr>
          <w:b/>
        </w:rPr>
      </w:pPr>
      <w:r w:rsidRPr="004F721D">
        <w:rPr>
          <w:b/>
        </w:rPr>
        <w:t>C</w:t>
      </w:r>
      <w:r w:rsidR="00D8470F" w:rsidRPr="004F721D">
        <w:rPr>
          <w:b/>
        </w:rPr>
        <w:t>all</w:t>
      </w:r>
      <w:r w:rsidRPr="004F721D">
        <w:rPr>
          <w:b/>
        </w:rPr>
        <w:t xml:space="preserve"> </w:t>
      </w:r>
      <w:r w:rsidR="00D8470F" w:rsidRPr="004F721D">
        <w:rPr>
          <w:b/>
        </w:rPr>
        <w:t>for</w:t>
      </w:r>
      <w:r w:rsidRPr="004F721D">
        <w:rPr>
          <w:b/>
        </w:rPr>
        <w:t xml:space="preserve"> </w:t>
      </w:r>
      <w:r w:rsidR="00D8470F" w:rsidRPr="004F721D">
        <w:rPr>
          <w:b/>
        </w:rPr>
        <w:t>submissions</w:t>
      </w:r>
      <w:r w:rsidRPr="004F721D">
        <w:rPr>
          <w:b/>
        </w:rPr>
        <w:t xml:space="preserve"> – </w:t>
      </w:r>
      <w:r w:rsidR="00D056F1" w:rsidRPr="004F721D">
        <w:rPr>
          <w:b/>
        </w:rPr>
        <w:t>A</w:t>
      </w:r>
      <w:r w:rsidR="00A91DF1" w:rsidRPr="004F721D">
        <w:rPr>
          <w:b/>
        </w:rPr>
        <w:t>pplication</w:t>
      </w:r>
      <w:r w:rsidR="004F721D" w:rsidRPr="004F721D">
        <w:rPr>
          <w:b/>
        </w:rPr>
        <w:t xml:space="preserve"> A1190</w:t>
      </w:r>
    </w:p>
    <w:p w14:paraId="5EA0ECE8" w14:textId="77777777" w:rsidR="00E203C2" w:rsidRPr="004F721D" w:rsidRDefault="00E203C2" w:rsidP="00E8122F">
      <w:pPr>
        <w:widowControl/>
      </w:pPr>
    </w:p>
    <w:p w14:paraId="10BAFCF3" w14:textId="17D279A2" w:rsidR="004F721D" w:rsidRPr="004F721D" w:rsidRDefault="001E4A7A" w:rsidP="00E8122F">
      <w:pPr>
        <w:pStyle w:val="FSTitle"/>
        <w:widowControl/>
      </w:pPr>
      <w:r w:rsidRPr="00FD4EC3">
        <w:t xml:space="preserve">2′-FL </w:t>
      </w:r>
      <w:r w:rsidR="004F721D" w:rsidRPr="004F721D">
        <w:t>in infant formula and other products</w:t>
      </w:r>
    </w:p>
    <w:p w14:paraId="3D051650" w14:textId="77777777" w:rsidR="00E203C2" w:rsidRPr="00E81F6E" w:rsidRDefault="00E203C2" w:rsidP="00E8122F">
      <w:pPr>
        <w:widowControl/>
        <w:pBdr>
          <w:bottom w:val="single" w:sz="12" w:space="1" w:color="auto"/>
        </w:pBdr>
        <w:spacing w:line="280" w:lineRule="exact"/>
        <w:rPr>
          <w:rFonts w:cs="Arial"/>
          <w:bCs/>
        </w:rPr>
      </w:pPr>
    </w:p>
    <w:p w14:paraId="0735C279" w14:textId="77777777" w:rsidR="00E203C2" w:rsidRPr="00E81F6E" w:rsidRDefault="00E203C2" w:rsidP="00E8122F">
      <w:pPr>
        <w:widowControl/>
      </w:pPr>
    </w:p>
    <w:p w14:paraId="34725368" w14:textId="6F0A14B6" w:rsidR="00E063C6" w:rsidRPr="00855CA8" w:rsidRDefault="004B2A19" w:rsidP="00E8122F">
      <w:pPr>
        <w:widowControl/>
        <w:rPr>
          <w:sz w:val="20"/>
          <w:szCs w:val="20"/>
        </w:rPr>
      </w:pPr>
      <w:r w:rsidRPr="00B57142">
        <w:rPr>
          <w:sz w:val="20"/>
          <w:szCs w:val="20"/>
        </w:rPr>
        <w:t xml:space="preserve">Pursuant to section 31 of the </w:t>
      </w:r>
      <w:r w:rsidRPr="00B57142">
        <w:rPr>
          <w:i/>
          <w:sz w:val="20"/>
          <w:szCs w:val="20"/>
        </w:rPr>
        <w:t xml:space="preserve">Food Standards Australia New Zealand Act 1991 </w:t>
      </w:r>
      <w:r w:rsidRPr="00B57142">
        <w:rPr>
          <w:sz w:val="20"/>
          <w:szCs w:val="20"/>
        </w:rPr>
        <w:t xml:space="preserve">(FSANZ Act), FSANZ now calls for submissions to assist FSANZ’s consideration of the draft food regulatory measure it has prepared </w:t>
      </w:r>
      <w:r w:rsidR="00261B51">
        <w:rPr>
          <w:sz w:val="20"/>
          <w:szCs w:val="20"/>
        </w:rPr>
        <w:t>in response to</w:t>
      </w:r>
      <w:r w:rsidRPr="00B57142">
        <w:rPr>
          <w:sz w:val="20"/>
          <w:szCs w:val="20"/>
        </w:rPr>
        <w:t xml:space="preserve"> </w:t>
      </w:r>
      <w:r w:rsidR="00D81D38" w:rsidRPr="00855CA8">
        <w:rPr>
          <w:sz w:val="20"/>
          <w:szCs w:val="20"/>
        </w:rPr>
        <w:t xml:space="preserve">an </w:t>
      </w:r>
      <w:r w:rsidR="00261B51">
        <w:rPr>
          <w:sz w:val="20"/>
          <w:szCs w:val="20"/>
        </w:rPr>
        <w:t>a</w:t>
      </w:r>
      <w:r w:rsidR="00351B07" w:rsidRPr="00855CA8">
        <w:rPr>
          <w:sz w:val="20"/>
          <w:szCs w:val="20"/>
        </w:rPr>
        <w:t xml:space="preserve">pplication </w:t>
      </w:r>
      <w:r w:rsidR="00651D42">
        <w:rPr>
          <w:sz w:val="20"/>
          <w:szCs w:val="20"/>
        </w:rPr>
        <w:t>originally submitted</w:t>
      </w:r>
      <w:r w:rsidR="00651D42" w:rsidRPr="00855CA8">
        <w:rPr>
          <w:sz w:val="20"/>
          <w:szCs w:val="20"/>
        </w:rPr>
        <w:t xml:space="preserve"> </w:t>
      </w:r>
      <w:r w:rsidR="00351B07" w:rsidRPr="00855CA8">
        <w:rPr>
          <w:sz w:val="20"/>
          <w:szCs w:val="20"/>
        </w:rPr>
        <w:t xml:space="preserve">by </w:t>
      </w:r>
      <w:r w:rsidR="008C2CBF" w:rsidRPr="00855CA8">
        <w:rPr>
          <w:sz w:val="20"/>
          <w:szCs w:val="20"/>
        </w:rPr>
        <w:t>Jennewein Biotechnologies GHmb</w:t>
      </w:r>
      <w:r w:rsidR="00330060">
        <w:rPr>
          <w:rStyle w:val="FootnoteReference"/>
          <w:sz w:val="20"/>
          <w:szCs w:val="20"/>
        </w:rPr>
        <w:footnoteReference w:id="2"/>
      </w:r>
      <w:r w:rsidR="00261B51">
        <w:rPr>
          <w:sz w:val="20"/>
          <w:szCs w:val="20"/>
        </w:rPr>
        <w:t xml:space="preserve">. The </w:t>
      </w:r>
      <w:r w:rsidR="00F374CB">
        <w:rPr>
          <w:sz w:val="20"/>
          <w:szCs w:val="20"/>
        </w:rPr>
        <w:t xml:space="preserve">application is seeking </w:t>
      </w:r>
      <w:r w:rsidR="00261B51">
        <w:rPr>
          <w:sz w:val="20"/>
          <w:szCs w:val="20"/>
        </w:rPr>
        <w:t>t</w:t>
      </w:r>
      <w:r w:rsidR="007C174F" w:rsidRPr="00855CA8">
        <w:rPr>
          <w:sz w:val="20"/>
          <w:szCs w:val="20"/>
        </w:rPr>
        <w:t>o</w:t>
      </w:r>
      <w:r w:rsidR="00351B07" w:rsidRPr="00855CA8">
        <w:rPr>
          <w:sz w:val="20"/>
          <w:szCs w:val="20"/>
        </w:rPr>
        <w:t xml:space="preserve"> </w:t>
      </w:r>
      <w:r w:rsidR="008C2CBF" w:rsidRPr="00855CA8">
        <w:rPr>
          <w:sz w:val="20"/>
          <w:szCs w:val="20"/>
        </w:rPr>
        <w:t>permit</w:t>
      </w:r>
      <w:r>
        <w:rPr>
          <w:sz w:val="20"/>
          <w:szCs w:val="20"/>
        </w:rPr>
        <w:t xml:space="preserve"> the voluntary addition of</w:t>
      </w:r>
      <w:r w:rsidR="008C2CBF" w:rsidRPr="00855CA8">
        <w:rPr>
          <w:sz w:val="20"/>
          <w:szCs w:val="20"/>
        </w:rPr>
        <w:t xml:space="preserve"> 2</w:t>
      </w:r>
      <w:r w:rsidR="001E4A7A">
        <w:rPr>
          <w:rFonts w:ascii="Calibri" w:hAnsi="Calibri" w:cs="Calibri"/>
          <w:sz w:val="20"/>
          <w:szCs w:val="20"/>
        </w:rPr>
        <w:t>′</w:t>
      </w:r>
      <w:r w:rsidR="008C2CBF" w:rsidRPr="00855CA8">
        <w:rPr>
          <w:sz w:val="20"/>
          <w:szCs w:val="20"/>
        </w:rPr>
        <w:t>-</w:t>
      </w:r>
      <w:r w:rsidR="008C2CBF" w:rsidRPr="00261B51">
        <w:rPr>
          <w:sz w:val="20"/>
          <w:szCs w:val="20"/>
        </w:rPr>
        <w:t>fucosyllactose</w:t>
      </w:r>
      <w:r w:rsidR="008C2CBF" w:rsidRPr="00855CA8">
        <w:rPr>
          <w:sz w:val="20"/>
          <w:szCs w:val="20"/>
        </w:rPr>
        <w:t xml:space="preserve"> (</w:t>
      </w:r>
      <w:r w:rsidR="001E4A7A" w:rsidRPr="002F1C21">
        <w:rPr>
          <w:sz w:val="20"/>
        </w:rPr>
        <w:t>2′-FL</w:t>
      </w:r>
      <w:r w:rsidR="008C2CBF" w:rsidRPr="00855CA8">
        <w:rPr>
          <w:sz w:val="20"/>
          <w:szCs w:val="20"/>
        </w:rPr>
        <w:t xml:space="preserve">), produced </w:t>
      </w:r>
      <w:r>
        <w:rPr>
          <w:sz w:val="20"/>
          <w:szCs w:val="20"/>
        </w:rPr>
        <w:t>via</w:t>
      </w:r>
      <w:r w:rsidR="008C2CBF" w:rsidRPr="00855CA8">
        <w:rPr>
          <w:sz w:val="20"/>
          <w:szCs w:val="20"/>
        </w:rPr>
        <w:t xml:space="preserve"> </w:t>
      </w:r>
      <w:r w:rsidR="00104A05">
        <w:rPr>
          <w:sz w:val="20"/>
          <w:szCs w:val="20"/>
        </w:rPr>
        <w:t xml:space="preserve">a new </w:t>
      </w:r>
      <w:r w:rsidR="008C2CBF" w:rsidRPr="00855CA8">
        <w:rPr>
          <w:sz w:val="20"/>
          <w:szCs w:val="20"/>
        </w:rPr>
        <w:t xml:space="preserve">genetically modified </w:t>
      </w:r>
      <w:r w:rsidR="008C2CBF" w:rsidRPr="00D35624">
        <w:rPr>
          <w:i/>
          <w:sz w:val="20"/>
          <w:szCs w:val="20"/>
        </w:rPr>
        <w:t>Escherichia coli</w:t>
      </w:r>
      <w:r w:rsidR="008C2CBF" w:rsidRPr="00855CA8">
        <w:rPr>
          <w:sz w:val="20"/>
          <w:szCs w:val="20"/>
        </w:rPr>
        <w:t xml:space="preserve"> str</w:t>
      </w:r>
      <w:r w:rsidR="00261B51">
        <w:rPr>
          <w:sz w:val="20"/>
          <w:szCs w:val="20"/>
        </w:rPr>
        <w:t>ain</w:t>
      </w:r>
      <w:r w:rsidR="00917DFC">
        <w:rPr>
          <w:sz w:val="20"/>
          <w:szCs w:val="20"/>
        </w:rPr>
        <w:t>,</w:t>
      </w:r>
      <w:r w:rsidR="00261B51">
        <w:rPr>
          <w:sz w:val="20"/>
          <w:szCs w:val="20"/>
        </w:rPr>
        <w:t xml:space="preserve"> in infant formula products (which includes</w:t>
      </w:r>
      <w:r w:rsidR="008C2CBF" w:rsidRPr="00855CA8">
        <w:rPr>
          <w:sz w:val="20"/>
          <w:szCs w:val="20"/>
        </w:rPr>
        <w:t xml:space="preserve"> </w:t>
      </w:r>
      <w:r w:rsidR="007556BB">
        <w:rPr>
          <w:sz w:val="20"/>
          <w:szCs w:val="20"/>
        </w:rPr>
        <w:t xml:space="preserve">infant formula, </w:t>
      </w:r>
      <w:r w:rsidR="008C2CBF" w:rsidRPr="00855CA8">
        <w:rPr>
          <w:sz w:val="20"/>
          <w:szCs w:val="20"/>
        </w:rPr>
        <w:t xml:space="preserve">follow-on formula </w:t>
      </w:r>
      <w:r w:rsidR="00261B51">
        <w:rPr>
          <w:sz w:val="20"/>
          <w:szCs w:val="20"/>
        </w:rPr>
        <w:t xml:space="preserve">and </w:t>
      </w:r>
      <w:r w:rsidR="00863CAA">
        <w:rPr>
          <w:sz w:val="20"/>
          <w:szCs w:val="20"/>
        </w:rPr>
        <w:t xml:space="preserve">infant </w:t>
      </w:r>
      <w:r w:rsidR="00261B51">
        <w:rPr>
          <w:sz w:val="20"/>
          <w:szCs w:val="20"/>
        </w:rPr>
        <w:t xml:space="preserve">formula </w:t>
      </w:r>
      <w:r w:rsidR="00A1601E">
        <w:rPr>
          <w:sz w:val="20"/>
          <w:szCs w:val="20"/>
        </w:rPr>
        <w:t xml:space="preserve">products </w:t>
      </w:r>
      <w:r w:rsidR="00261B51">
        <w:rPr>
          <w:sz w:val="20"/>
          <w:szCs w:val="20"/>
        </w:rPr>
        <w:t>for special dietary</w:t>
      </w:r>
      <w:r w:rsidR="007556BB">
        <w:rPr>
          <w:sz w:val="20"/>
          <w:szCs w:val="20"/>
        </w:rPr>
        <w:t xml:space="preserve"> </w:t>
      </w:r>
      <w:r w:rsidR="00A1601E">
        <w:rPr>
          <w:sz w:val="20"/>
          <w:szCs w:val="20"/>
        </w:rPr>
        <w:t>uses</w:t>
      </w:r>
      <w:r w:rsidR="007556BB">
        <w:rPr>
          <w:sz w:val="20"/>
          <w:szCs w:val="20"/>
        </w:rPr>
        <w:t>)</w:t>
      </w:r>
      <w:r w:rsidR="00261B51">
        <w:rPr>
          <w:sz w:val="20"/>
          <w:szCs w:val="20"/>
        </w:rPr>
        <w:t xml:space="preserve"> </w:t>
      </w:r>
      <w:r w:rsidR="008C2CBF" w:rsidRPr="00855CA8">
        <w:rPr>
          <w:sz w:val="20"/>
          <w:szCs w:val="20"/>
        </w:rPr>
        <w:t>and formulated supplementary fo</w:t>
      </w:r>
      <w:r>
        <w:rPr>
          <w:sz w:val="20"/>
          <w:szCs w:val="20"/>
        </w:rPr>
        <w:t>ods for young children</w:t>
      </w:r>
      <w:r w:rsidR="00527AAB">
        <w:rPr>
          <w:sz w:val="20"/>
          <w:szCs w:val="20"/>
        </w:rPr>
        <w:t>.</w:t>
      </w:r>
    </w:p>
    <w:p w14:paraId="7692BF6F" w14:textId="4897A62C" w:rsidR="00413CA8" w:rsidRPr="00CD4DF6" w:rsidRDefault="00413CA8" w:rsidP="00E8122F">
      <w:pPr>
        <w:widowControl/>
        <w:rPr>
          <w:sz w:val="20"/>
          <w:szCs w:val="20"/>
        </w:rPr>
      </w:pPr>
    </w:p>
    <w:p w14:paraId="76C6F484" w14:textId="2ECC418E" w:rsidR="00351B07" w:rsidRDefault="00A91DF1" w:rsidP="00E8122F">
      <w:pPr>
        <w:widowControl/>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w:t>
      </w:r>
      <w:r w:rsidR="00917DFC">
        <w:rPr>
          <w:sz w:val="20"/>
          <w:szCs w:val="20"/>
        </w:rPr>
        <w:t xml:space="preserve">and see </w:t>
      </w:r>
      <w:hyperlink r:id="rId13" w:history="1">
        <w:r w:rsidR="00C56F71">
          <w:rPr>
            <w:rStyle w:val="Hyperlink"/>
            <w:sz w:val="20"/>
            <w:szCs w:val="20"/>
            <w:lang w:val="en-AU"/>
          </w:rPr>
          <w:t>information for submitters</w:t>
        </w:r>
      </w:hyperlink>
      <w:r w:rsidR="00351B07" w:rsidRPr="007C174F">
        <w:rPr>
          <w:sz w:val="20"/>
          <w:szCs w:val="20"/>
        </w:rPr>
        <w:t>.</w:t>
      </w:r>
    </w:p>
    <w:p w14:paraId="499F5B12" w14:textId="77777777" w:rsidR="00D81D38" w:rsidRPr="00276026" w:rsidRDefault="00D81D38" w:rsidP="00E8122F">
      <w:pPr>
        <w:widowControl/>
        <w:rPr>
          <w:sz w:val="20"/>
          <w:szCs w:val="20"/>
        </w:rPr>
      </w:pPr>
    </w:p>
    <w:p w14:paraId="0175A9C5" w14:textId="77777777" w:rsidR="00276026" w:rsidRPr="00276026" w:rsidRDefault="00276026" w:rsidP="00E8122F">
      <w:pPr>
        <w:widowControl/>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19FE9115" w14:textId="77777777" w:rsidR="00876515" w:rsidRPr="00276026" w:rsidRDefault="00876515" w:rsidP="00E8122F">
      <w:pPr>
        <w:widowControl/>
        <w:rPr>
          <w:color w:val="000000"/>
          <w:sz w:val="20"/>
          <w:szCs w:val="20"/>
          <w:lang w:val="en-AU"/>
        </w:rPr>
      </w:pPr>
    </w:p>
    <w:p w14:paraId="5610940B" w14:textId="77777777" w:rsidR="00E203C2" w:rsidRPr="007C174F" w:rsidRDefault="00AD22F9" w:rsidP="00E8122F">
      <w:pPr>
        <w:widowControl/>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4" w:history="1">
        <w:r w:rsidR="004A3685">
          <w:rPr>
            <w:rStyle w:val="Hyperlink"/>
            <w:sz w:val="20"/>
            <w:szCs w:val="20"/>
            <w:lang w:val="en-AU"/>
          </w:rPr>
          <w:t>information for submitters</w:t>
        </w:r>
      </w:hyperlink>
      <w:r w:rsidR="004A3685">
        <w:rPr>
          <w:color w:val="000000"/>
          <w:sz w:val="20"/>
          <w:szCs w:val="20"/>
          <w:lang w:val="en-AU"/>
        </w:rPr>
        <w:t>.</w:t>
      </w:r>
    </w:p>
    <w:p w14:paraId="550C3EED" w14:textId="77777777" w:rsidR="00E203C2" w:rsidRPr="007C174F" w:rsidRDefault="00E203C2" w:rsidP="00E8122F">
      <w:pPr>
        <w:widowControl/>
        <w:rPr>
          <w:color w:val="000000"/>
          <w:sz w:val="20"/>
          <w:szCs w:val="20"/>
          <w:lang w:val="en-AU"/>
        </w:rPr>
      </w:pPr>
    </w:p>
    <w:p w14:paraId="51D6F2D9" w14:textId="77777777" w:rsidR="00351B07" w:rsidRPr="007C174F" w:rsidRDefault="00E063C6" w:rsidP="00E8122F">
      <w:pPr>
        <w:widowControl/>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5"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6"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3E2F4620" w14:textId="77777777" w:rsidR="00E203C2" w:rsidRPr="007C174F" w:rsidRDefault="00E203C2" w:rsidP="00E8122F">
      <w:pPr>
        <w:widowControl/>
        <w:rPr>
          <w:color w:val="000000"/>
          <w:sz w:val="20"/>
          <w:szCs w:val="20"/>
          <w:lang w:val="en-AU"/>
        </w:rPr>
      </w:pPr>
    </w:p>
    <w:p w14:paraId="36A2048E" w14:textId="739CF52B" w:rsidR="00E063C6" w:rsidRPr="007C174F" w:rsidRDefault="00E063C6" w:rsidP="00E8122F">
      <w:pPr>
        <w:widowControl/>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 xml:space="preserve">FSANZ endeavours to formally acknowledge receipt of submissions within </w:t>
      </w:r>
      <w:r w:rsidR="00917DFC">
        <w:rPr>
          <w:color w:val="000000"/>
          <w:sz w:val="20"/>
          <w:szCs w:val="20"/>
          <w:lang w:val="en-AU"/>
        </w:rPr>
        <w:t>three</w:t>
      </w:r>
      <w:r w:rsidRPr="007C174F">
        <w:rPr>
          <w:color w:val="000000"/>
          <w:sz w:val="20"/>
          <w:szCs w:val="20"/>
          <w:lang w:val="en-AU"/>
        </w:rPr>
        <w:t xml:space="preserve"> business days.</w:t>
      </w:r>
    </w:p>
    <w:p w14:paraId="009587A4" w14:textId="77777777" w:rsidR="00E203C2" w:rsidRPr="00D676CF" w:rsidRDefault="00E203C2" w:rsidP="00E8122F">
      <w:pPr>
        <w:widowControl/>
        <w:rPr>
          <w:color w:val="000000"/>
          <w:sz w:val="20"/>
          <w:lang w:val="en-AU"/>
        </w:rPr>
      </w:pPr>
    </w:p>
    <w:p w14:paraId="03816012" w14:textId="63B630C4" w:rsidR="00E063C6" w:rsidRPr="00855E3E" w:rsidRDefault="00E063C6" w:rsidP="00E8122F">
      <w:pPr>
        <w:widowControl/>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855E3E">
        <w:rPr>
          <w:rFonts w:cs="Arial"/>
          <w:b/>
          <w:bCs/>
          <w:sz w:val="24"/>
        </w:rPr>
        <w:t xml:space="preserve">) </w:t>
      </w:r>
      <w:r w:rsidR="00855E3E" w:rsidRPr="00855E3E">
        <w:rPr>
          <w:rFonts w:cs="Arial"/>
          <w:b/>
          <w:bCs/>
          <w:sz w:val="24"/>
        </w:rPr>
        <w:t>19</w:t>
      </w:r>
      <w:r w:rsidRPr="00855E3E">
        <w:rPr>
          <w:rFonts w:cs="Arial"/>
          <w:b/>
          <w:bCs/>
          <w:sz w:val="24"/>
        </w:rPr>
        <w:t xml:space="preserve"> </w:t>
      </w:r>
      <w:r w:rsidR="00E8122F" w:rsidRPr="00855E3E">
        <w:rPr>
          <w:rFonts w:cs="Arial"/>
          <w:b/>
          <w:bCs/>
          <w:sz w:val="24"/>
        </w:rPr>
        <w:t>August 2021</w:t>
      </w:r>
    </w:p>
    <w:p w14:paraId="154F3C94" w14:textId="77777777" w:rsidR="00E203C2" w:rsidRPr="007C174F" w:rsidRDefault="00E203C2" w:rsidP="00E8122F">
      <w:pPr>
        <w:widowControl/>
        <w:rPr>
          <w:sz w:val="20"/>
          <w:szCs w:val="20"/>
          <w:lang w:val="en-AU"/>
        </w:rPr>
      </w:pPr>
    </w:p>
    <w:p w14:paraId="1BD3B4EB" w14:textId="5BD840A7" w:rsidR="00E063C6" w:rsidRDefault="00E063C6" w:rsidP="00E8122F">
      <w:pPr>
        <w:widowControl/>
        <w:rPr>
          <w:sz w:val="20"/>
          <w:szCs w:val="20"/>
          <w:lang w:val="en-AU"/>
        </w:rPr>
      </w:pPr>
      <w:r w:rsidRPr="007C174F">
        <w:rPr>
          <w:sz w:val="20"/>
          <w:szCs w:val="20"/>
          <w:lang w:val="en-AU"/>
        </w:rPr>
        <w:lastRenderedPageBreak/>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123520BC" w14:textId="68EFAA91" w:rsidR="00E8122F" w:rsidRDefault="00E8122F" w:rsidP="00E8122F">
      <w:pPr>
        <w:widowControl/>
        <w:rPr>
          <w:sz w:val="20"/>
          <w:szCs w:val="20"/>
          <w:lang w:val="en-AU"/>
        </w:rPr>
      </w:pPr>
    </w:p>
    <w:p w14:paraId="4D6F620E" w14:textId="77777777" w:rsidR="00E8122F" w:rsidRPr="007C174F" w:rsidRDefault="00E8122F" w:rsidP="00E8122F">
      <w:pPr>
        <w:widowControl/>
        <w:rPr>
          <w:sz w:val="20"/>
          <w:szCs w:val="20"/>
          <w:lang w:val="en-AU"/>
        </w:rPr>
      </w:pPr>
    </w:p>
    <w:p w14:paraId="23D069F4" w14:textId="77777777" w:rsidR="00E203C2" w:rsidRPr="007C174F" w:rsidRDefault="00E203C2" w:rsidP="00E8122F">
      <w:pPr>
        <w:widowControl/>
        <w:rPr>
          <w:sz w:val="20"/>
          <w:szCs w:val="20"/>
          <w:lang w:val="en-AU"/>
        </w:rPr>
      </w:pPr>
    </w:p>
    <w:p w14:paraId="0D7D85BE" w14:textId="6207C955" w:rsidR="00E063C6" w:rsidRPr="00E8122F" w:rsidRDefault="0037520F" w:rsidP="00E8122F">
      <w:pPr>
        <w:widowControl/>
        <w:rPr>
          <w:sz w:val="20"/>
          <w:szCs w:val="20"/>
          <w:lang w:val="en-AU"/>
        </w:rPr>
      </w:pPr>
      <w:r w:rsidRPr="00E8122F">
        <w:rPr>
          <w:sz w:val="20"/>
          <w:szCs w:val="20"/>
          <w:lang w:val="en-AU"/>
        </w:rPr>
        <w:t>Questions about</w:t>
      </w:r>
      <w:r w:rsidR="00E063C6" w:rsidRPr="00E8122F">
        <w:rPr>
          <w:sz w:val="20"/>
          <w:szCs w:val="20"/>
          <w:lang w:val="en-AU"/>
        </w:rPr>
        <w:t xml:space="preserve"> making submissions or the application process can be </w:t>
      </w:r>
      <w:r w:rsidRPr="00E8122F">
        <w:rPr>
          <w:sz w:val="20"/>
          <w:szCs w:val="20"/>
          <w:lang w:val="en-AU"/>
        </w:rPr>
        <w:t>sent to</w:t>
      </w:r>
      <w:r w:rsidR="00E063C6" w:rsidRPr="00E8122F">
        <w:rPr>
          <w:sz w:val="20"/>
          <w:szCs w:val="20"/>
          <w:lang w:val="en-AU"/>
        </w:rPr>
        <w:t xml:space="preserve"> </w:t>
      </w:r>
      <w:hyperlink r:id="rId17" w:history="1">
        <w:r w:rsidR="00E063C6" w:rsidRPr="00E8122F">
          <w:rPr>
            <w:rStyle w:val="Hyperlink"/>
            <w:rFonts w:cs="Arial"/>
            <w:sz w:val="20"/>
            <w:szCs w:val="20"/>
            <w:lang w:val="en-AU"/>
          </w:rPr>
          <w:t>standards.management@foodstandards.gov.au</w:t>
        </w:r>
      </w:hyperlink>
      <w:r w:rsidR="00E063C6" w:rsidRPr="00E8122F">
        <w:rPr>
          <w:sz w:val="20"/>
          <w:szCs w:val="20"/>
          <w:lang w:val="en-AU"/>
        </w:rPr>
        <w:t xml:space="preserve">. </w:t>
      </w:r>
    </w:p>
    <w:p w14:paraId="5FC3B3EB" w14:textId="77777777" w:rsidR="00E8122F" w:rsidRPr="00E8122F" w:rsidRDefault="00E8122F" w:rsidP="00E8122F">
      <w:pPr>
        <w:widowControl/>
        <w:rPr>
          <w:bCs/>
          <w:sz w:val="20"/>
          <w:szCs w:val="20"/>
          <w:lang w:val="en-AU"/>
        </w:rPr>
      </w:pPr>
    </w:p>
    <w:p w14:paraId="145B3DAA" w14:textId="781273A6" w:rsidR="00E063C6" w:rsidRPr="00E8122F" w:rsidRDefault="00351B07" w:rsidP="00E8122F">
      <w:pPr>
        <w:widowControl/>
        <w:rPr>
          <w:sz w:val="20"/>
          <w:szCs w:val="20"/>
          <w:lang w:val="en-AU"/>
        </w:rPr>
      </w:pPr>
      <w:r w:rsidRPr="00E8122F">
        <w:rPr>
          <w:sz w:val="20"/>
          <w:szCs w:val="20"/>
          <w:lang w:val="en-AU"/>
        </w:rPr>
        <w:t>Hard</w:t>
      </w:r>
      <w:r w:rsidR="00E063C6" w:rsidRPr="00E8122F">
        <w:rPr>
          <w:sz w:val="20"/>
          <w:szCs w:val="20"/>
          <w:lang w:val="en-AU"/>
        </w:rPr>
        <w:t xml:space="preserve"> copy submissions may be sent to one of the following addresses:</w:t>
      </w:r>
    </w:p>
    <w:p w14:paraId="0B5966A5" w14:textId="77777777" w:rsidR="00E203C2" w:rsidRPr="00E8122F" w:rsidRDefault="00E203C2" w:rsidP="00E8122F">
      <w:pPr>
        <w:widowControl/>
        <w:rPr>
          <w:sz w:val="20"/>
          <w:szCs w:val="20"/>
          <w:lang w:val="en-AU"/>
        </w:rPr>
      </w:pPr>
    </w:p>
    <w:p w14:paraId="7FC39125" w14:textId="77777777" w:rsidR="00E203C2" w:rsidRPr="00E8122F" w:rsidRDefault="00E063C6" w:rsidP="00E8122F">
      <w:pPr>
        <w:widowControl/>
        <w:tabs>
          <w:tab w:val="left" w:pos="4536"/>
        </w:tabs>
        <w:rPr>
          <w:sz w:val="20"/>
          <w:szCs w:val="20"/>
        </w:rPr>
      </w:pPr>
      <w:r w:rsidRPr="00E8122F">
        <w:rPr>
          <w:sz w:val="20"/>
          <w:szCs w:val="20"/>
        </w:rPr>
        <w:t>Food Standards Australia New Zealand</w:t>
      </w:r>
      <w:r w:rsidRPr="00E8122F">
        <w:rPr>
          <w:sz w:val="20"/>
          <w:szCs w:val="20"/>
        </w:rPr>
        <w:tab/>
      </w:r>
      <w:r w:rsidRPr="00E8122F">
        <w:rPr>
          <w:sz w:val="20"/>
          <w:szCs w:val="20"/>
        </w:rPr>
        <w:tab/>
        <w:t>Food Standards Australia New Zealand</w:t>
      </w:r>
    </w:p>
    <w:p w14:paraId="0CA4240B" w14:textId="77777777" w:rsidR="00E203C2" w:rsidRPr="00E8122F" w:rsidRDefault="00E063C6" w:rsidP="00E8122F">
      <w:pPr>
        <w:widowControl/>
        <w:tabs>
          <w:tab w:val="left" w:pos="4536"/>
        </w:tabs>
        <w:rPr>
          <w:sz w:val="20"/>
          <w:szCs w:val="20"/>
        </w:rPr>
      </w:pPr>
      <w:r w:rsidRPr="00E8122F">
        <w:rPr>
          <w:sz w:val="20"/>
          <w:szCs w:val="20"/>
        </w:rPr>
        <w:t xml:space="preserve">PO Box </w:t>
      </w:r>
      <w:r w:rsidR="00685269" w:rsidRPr="00E8122F">
        <w:rPr>
          <w:sz w:val="20"/>
          <w:szCs w:val="20"/>
        </w:rPr>
        <w:t>5423</w:t>
      </w:r>
      <w:r w:rsidRPr="00E8122F">
        <w:rPr>
          <w:sz w:val="20"/>
          <w:szCs w:val="20"/>
        </w:rPr>
        <w:tab/>
      </w:r>
      <w:r w:rsidRPr="00E8122F">
        <w:rPr>
          <w:sz w:val="20"/>
          <w:szCs w:val="20"/>
        </w:rPr>
        <w:tab/>
        <w:t>PO Box 10559</w:t>
      </w:r>
    </w:p>
    <w:p w14:paraId="1007672E" w14:textId="77777777" w:rsidR="00E203C2" w:rsidRPr="00E8122F" w:rsidRDefault="00685269" w:rsidP="00E8122F">
      <w:pPr>
        <w:widowControl/>
        <w:tabs>
          <w:tab w:val="left" w:pos="4536"/>
        </w:tabs>
        <w:rPr>
          <w:sz w:val="20"/>
          <w:szCs w:val="20"/>
        </w:rPr>
      </w:pPr>
      <w:r w:rsidRPr="00E8122F">
        <w:rPr>
          <w:sz w:val="20"/>
          <w:szCs w:val="20"/>
        </w:rPr>
        <w:t>KINGSTON</w:t>
      </w:r>
      <w:r w:rsidR="00E063C6" w:rsidRPr="00E8122F">
        <w:rPr>
          <w:sz w:val="20"/>
          <w:szCs w:val="20"/>
        </w:rPr>
        <w:t xml:space="preserve"> </w:t>
      </w:r>
      <w:r w:rsidR="0037520F" w:rsidRPr="00E8122F">
        <w:rPr>
          <w:sz w:val="20"/>
          <w:szCs w:val="20"/>
        </w:rPr>
        <w:t xml:space="preserve"> </w:t>
      </w:r>
      <w:r w:rsidR="00E063C6" w:rsidRPr="00E8122F">
        <w:rPr>
          <w:sz w:val="20"/>
          <w:szCs w:val="20"/>
        </w:rPr>
        <w:t>ACT</w:t>
      </w:r>
      <w:r w:rsidR="0037520F" w:rsidRPr="00E8122F">
        <w:rPr>
          <w:sz w:val="20"/>
          <w:szCs w:val="20"/>
        </w:rPr>
        <w:t xml:space="preserve"> </w:t>
      </w:r>
      <w:r w:rsidR="00E063C6" w:rsidRPr="00E8122F">
        <w:rPr>
          <w:sz w:val="20"/>
          <w:szCs w:val="20"/>
        </w:rPr>
        <w:t xml:space="preserve"> 2</w:t>
      </w:r>
      <w:r w:rsidRPr="00E8122F">
        <w:rPr>
          <w:sz w:val="20"/>
          <w:szCs w:val="20"/>
        </w:rPr>
        <w:t>604</w:t>
      </w:r>
      <w:r w:rsidR="00E063C6" w:rsidRPr="00E8122F">
        <w:rPr>
          <w:sz w:val="20"/>
          <w:szCs w:val="20"/>
        </w:rPr>
        <w:tab/>
      </w:r>
      <w:r w:rsidR="00E063C6" w:rsidRPr="00E8122F">
        <w:rPr>
          <w:sz w:val="20"/>
          <w:szCs w:val="20"/>
        </w:rPr>
        <w:tab/>
        <w:t>The Terrace WELLINGTON 6143</w:t>
      </w:r>
    </w:p>
    <w:p w14:paraId="070E177F" w14:textId="77777777" w:rsidR="00E063C6" w:rsidRPr="00E8122F" w:rsidRDefault="00E063C6" w:rsidP="00E8122F">
      <w:pPr>
        <w:widowControl/>
        <w:tabs>
          <w:tab w:val="left" w:pos="4536"/>
        </w:tabs>
        <w:rPr>
          <w:sz w:val="20"/>
          <w:szCs w:val="20"/>
        </w:rPr>
      </w:pPr>
      <w:r w:rsidRPr="00E8122F">
        <w:rPr>
          <w:sz w:val="20"/>
          <w:szCs w:val="20"/>
        </w:rPr>
        <w:t>AUSTRALIA</w:t>
      </w:r>
      <w:r w:rsidRPr="00E8122F">
        <w:rPr>
          <w:sz w:val="20"/>
          <w:szCs w:val="20"/>
        </w:rPr>
        <w:tab/>
      </w:r>
      <w:r w:rsidRPr="00E8122F">
        <w:rPr>
          <w:sz w:val="20"/>
          <w:szCs w:val="20"/>
        </w:rPr>
        <w:tab/>
        <w:t>NEW ZEALAND</w:t>
      </w:r>
    </w:p>
    <w:p w14:paraId="42A81710" w14:textId="6F94FFD2" w:rsidR="007D5394" w:rsidRPr="00E8122F" w:rsidRDefault="00E063C6" w:rsidP="00E8122F">
      <w:pPr>
        <w:widowControl/>
        <w:tabs>
          <w:tab w:val="left" w:pos="4536"/>
        </w:tabs>
        <w:rPr>
          <w:sz w:val="20"/>
          <w:szCs w:val="20"/>
        </w:rPr>
      </w:pPr>
      <w:r w:rsidRPr="00E8122F">
        <w:rPr>
          <w:sz w:val="20"/>
          <w:szCs w:val="20"/>
        </w:rPr>
        <w:t xml:space="preserve">Tel </w:t>
      </w:r>
      <w:r w:rsidR="00DD3C5E" w:rsidRPr="00E8122F">
        <w:rPr>
          <w:sz w:val="20"/>
          <w:szCs w:val="20"/>
        </w:rPr>
        <w:t>+61 2</w:t>
      </w:r>
      <w:r w:rsidRPr="00E8122F">
        <w:rPr>
          <w:sz w:val="20"/>
          <w:szCs w:val="20"/>
        </w:rPr>
        <w:t xml:space="preserve"> 6271 2222</w:t>
      </w:r>
      <w:r w:rsidRPr="00E8122F">
        <w:rPr>
          <w:sz w:val="20"/>
          <w:szCs w:val="20"/>
        </w:rPr>
        <w:tab/>
      </w:r>
      <w:r w:rsidRPr="00E8122F">
        <w:rPr>
          <w:sz w:val="20"/>
          <w:szCs w:val="20"/>
        </w:rPr>
        <w:tab/>
        <w:t xml:space="preserve">Tel </w:t>
      </w:r>
      <w:r w:rsidR="00DD3C5E" w:rsidRPr="00E8122F">
        <w:rPr>
          <w:sz w:val="20"/>
          <w:szCs w:val="20"/>
        </w:rPr>
        <w:t>+64 4</w:t>
      </w:r>
      <w:r w:rsidR="0037520F" w:rsidRPr="00E8122F">
        <w:rPr>
          <w:sz w:val="20"/>
          <w:szCs w:val="20"/>
        </w:rPr>
        <w:t xml:space="preserve"> 978 5630</w:t>
      </w:r>
    </w:p>
    <w:p w14:paraId="458995EE" w14:textId="352CFBF0" w:rsidR="00D22F3C" w:rsidRPr="00E8122F" w:rsidRDefault="007D5394" w:rsidP="00E8122F">
      <w:pPr>
        <w:widowControl/>
        <w:rPr>
          <w:sz w:val="20"/>
          <w:szCs w:val="20"/>
        </w:rPr>
      </w:pPr>
      <w:r w:rsidRPr="00E8122F">
        <w:rPr>
          <w:sz w:val="20"/>
          <w:szCs w:val="20"/>
        </w:rPr>
        <w:br w:type="page"/>
      </w:r>
    </w:p>
    <w:p w14:paraId="085135E3" w14:textId="77777777" w:rsidR="00562917" w:rsidRPr="00646FDD" w:rsidRDefault="00562917" w:rsidP="00E8122F">
      <w:pPr>
        <w:widowControl/>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2E8CFC17" w14:textId="77777777" w:rsidR="00562917" w:rsidRPr="00AE766D" w:rsidRDefault="00562917" w:rsidP="00E8122F">
      <w:pPr>
        <w:widowControl/>
        <w:rPr>
          <w:rFonts w:cs="Arial"/>
        </w:rPr>
      </w:pPr>
    </w:p>
    <w:p w14:paraId="38EBE464" w14:textId="02BF6127" w:rsidR="00D6577C" w:rsidRDefault="00051ED9">
      <w:pPr>
        <w:pStyle w:val="TOC1"/>
        <w:tabs>
          <w:tab w:val="right" w:leader="dot" w:pos="9062"/>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77338761" w:history="1">
        <w:r w:rsidR="00D6577C" w:rsidRPr="00AB51AA">
          <w:rPr>
            <w:rStyle w:val="Hyperlink"/>
            <w:noProof/>
          </w:rPr>
          <w:t>Executive summary</w:t>
        </w:r>
        <w:r w:rsidR="00D6577C">
          <w:rPr>
            <w:noProof/>
            <w:webHidden/>
          </w:rPr>
          <w:tab/>
        </w:r>
        <w:r w:rsidR="00D6577C">
          <w:rPr>
            <w:noProof/>
            <w:webHidden/>
          </w:rPr>
          <w:fldChar w:fldCharType="begin"/>
        </w:r>
        <w:r w:rsidR="00D6577C">
          <w:rPr>
            <w:noProof/>
            <w:webHidden/>
          </w:rPr>
          <w:instrText xml:space="preserve"> PAGEREF _Toc77338761 \h </w:instrText>
        </w:r>
        <w:r w:rsidR="00D6577C">
          <w:rPr>
            <w:noProof/>
            <w:webHidden/>
          </w:rPr>
        </w:r>
        <w:r w:rsidR="00D6577C">
          <w:rPr>
            <w:noProof/>
            <w:webHidden/>
          </w:rPr>
          <w:fldChar w:fldCharType="separate"/>
        </w:r>
        <w:r w:rsidR="00D6577C">
          <w:rPr>
            <w:noProof/>
            <w:webHidden/>
          </w:rPr>
          <w:t>4</w:t>
        </w:r>
        <w:r w:rsidR="00D6577C">
          <w:rPr>
            <w:noProof/>
            <w:webHidden/>
          </w:rPr>
          <w:fldChar w:fldCharType="end"/>
        </w:r>
      </w:hyperlink>
    </w:p>
    <w:p w14:paraId="4CA59F4D" w14:textId="30BEB4F8" w:rsidR="00D6577C" w:rsidRDefault="00194DE3">
      <w:pPr>
        <w:pStyle w:val="TOC1"/>
        <w:tabs>
          <w:tab w:val="left" w:pos="440"/>
          <w:tab w:val="right" w:leader="dot" w:pos="9062"/>
        </w:tabs>
        <w:rPr>
          <w:rFonts w:eastAsiaTheme="minorEastAsia" w:cstheme="minorBidi"/>
          <w:b w:val="0"/>
          <w:bCs w:val="0"/>
          <w:caps w:val="0"/>
          <w:noProof/>
          <w:sz w:val="22"/>
          <w:szCs w:val="22"/>
          <w:lang w:eastAsia="en-GB" w:bidi="ar-SA"/>
        </w:rPr>
      </w:pPr>
      <w:hyperlink w:anchor="_Toc77338762" w:history="1">
        <w:r w:rsidR="00D6577C" w:rsidRPr="00AB51AA">
          <w:rPr>
            <w:rStyle w:val="Hyperlink"/>
            <w:noProof/>
          </w:rPr>
          <w:t>1</w:t>
        </w:r>
        <w:r w:rsidR="00D6577C">
          <w:rPr>
            <w:rFonts w:eastAsiaTheme="minorEastAsia" w:cstheme="minorBidi"/>
            <w:b w:val="0"/>
            <w:bCs w:val="0"/>
            <w:caps w:val="0"/>
            <w:noProof/>
            <w:sz w:val="22"/>
            <w:szCs w:val="22"/>
            <w:lang w:eastAsia="en-GB" w:bidi="ar-SA"/>
          </w:rPr>
          <w:tab/>
        </w:r>
        <w:r w:rsidR="00D6577C" w:rsidRPr="00AB51AA">
          <w:rPr>
            <w:rStyle w:val="Hyperlink"/>
            <w:noProof/>
          </w:rPr>
          <w:t>Introduction</w:t>
        </w:r>
        <w:r w:rsidR="00D6577C">
          <w:rPr>
            <w:noProof/>
            <w:webHidden/>
          </w:rPr>
          <w:tab/>
        </w:r>
        <w:r w:rsidR="00D6577C">
          <w:rPr>
            <w:noProof/>
            <w:webHidden/>
          </w:rPr>
          <w:fldChar w:fldCharType="begin"/>
        </w:r>
        <w:r w:rsidR="00D6577C">
          <w:rPr>
            <w:noProof/>
            <w:webHidden/>
          </w:rPr>
          <w:instrText xml:space="preserve"> PAGEREF _Toc77338762 \h </w:instrText>
        </w:r>
        <w:r w:rsidR="00D6577C">
          <w:rPr>
            <w:noProof/>
            <w:webHidden/>
          </w:rPr>
        </w:r>
        <w:r w:rsidR="00D6577C">
          <w:rPr>
            <w:noProof/>
            <w:webHidden/>
          </w:rPr>
          <w:fldChar w:fldCharType="separate"/>
        </w:r>
        <w:r w:rsidR="00D6577C">
          <w:rPr>
            <w:noProof/>
            <w:webHidden/>
          </w:rPr>
          <w:t>6</w:t>
        </w:r>
        <w:r w:rsidR="00D6577C">
          <w:rPr>
            <w:noProof/>
            <w:webHidden/>
          </w:rPr>
          <w:fldChar w:fldCharType="end"/>
        </w:r>
      </w:hyperlink>
    </w:p>
    <w:p w14:paraId="08DD380D" w14:textId="27E639B7" w:rsidR="00D6577C" w:rsidRDefault="00194DE3">
      <w:pPr>
        <w:pStyle w:val="TOC2"/>
        <w:tabs>
          <w:tab w:val="left" w:pos="880"/>
          <w:tab w:val="right" w:leader="dot" w:pos="9062"/>
        </w:tabs>
        <w:rPr>
          <w:rFonts w:eastAsiaTheme="minorEastAsia" w:cstheme="minorBidi"/>
          <w:smallCaps w:val="0"/>
          <w:noProof/>
          <w:sz w:val="22"/>
          <w:szCs w:val="22"/>
          <w:lang w:eastAsia="en-GB" w:bidi="ar-SA"/>
        </w:rPr>
      </w:pPr>
      <w:hyperlink w:anchor="_Toc77338763" w:history="1">
        <w:r w:rsidR="00D6577C" w:rsidRPr="00AB51AA">
          <w:rPr>
            <w:rStyle w:val="Hyperlink"/>
            <w:noProof/>
          </w:rPr>
          <w:t>1.1</w:t>
        </w:r>
        <w:r w:rsidR="00D6577C">
          <w:rPr>
            <w:rFonts w:eastAsiaTheme="minorEastAsia" w:cstheme="minorBidi"/>
            <w:smallCaps w:val="0"/>
            <w:noProof/>
            <w:sz w:val="22"/>
            <w:szCs w:val="22"/>
            <w:lang w:eastAsia="en-GB" w:bidi="ar-SA"/>
          </w:rPr>
          <w:tab/>
        </w:r>
        <w:r w:rsidR="00D6577C" w:rsidRPr="00AB51AA">
          <w:rPr>
            <w:rStyle w:val="Hyperlink"/>
            <w:noProof/>
          </w:rPr>
          <w:t>The Applicant</w:t>
        </w:r>
        <w:r w:rsidR="00D6577C">
          <w:rPr>
            <w:noProof/>
            <w:webHidden/>
          </w:rPr>
          <w:tab/>
        </w:r>
        <w:r w:rsidR="00D6577C">
          <w:rPr>
            <w:noProof/>
            <w:webHidden/>
          </w:rPr>
          <w:fldChar w:fldCharType="begin"/>
        </w:r>
        <w:r w:rsidR="00D6577C">
          <w:rPr>
            <w:noProof/>
            <w:webHidden/>
          </w:rPr>
          <w:instrText xml:space="preserve"> PAGEREF _Toc77338763 \h </w:instrText>
        </w:r>
        <w:r w:rsidR="00D6577C">
          <w:rPr>
            <w:noProof/>
            <w:webHidden/>
          </w:rPr>
        </w:r>
        <w:r w:rsidR="00D6577C">
          <w:rPr>
            <w:noProof/>
            <w:webHidden/>
          </w:rPr>
          <w:fldChar w:fldCharType="separate"/>
        </w:r>
        <w:r w:rsidR="00D6577C">
          <w:rPr>
            <w:noProof/>
            <w:webHidden/>
          </w:rPr>
          <w:t>6</w:t>
        </w:r>
        <w:r w:rsidR="00D6577C">
          <w:rPr>
            <w:noProof/>
            <w:webHidden/>
          </w:rPr>
          <w:fldChar w:fldCharType="end"/>
        </w:r>
      </w:hyperlink>
    </w:p>
    <w:p w14:paraId="29BBED7E" w14:textId="4DA8FB87" w:rsidR="00D6577C" w:rsidRDefault="00194DE3">
      <w:pPr>
        <w:pStyle w:val="TOC2"/>
        <w:tabs>
          <w:tab w:val="left" w:pos="880"/>
          <w:tab w:val="right" w:leader="dot" w:pos="9062"/>
        </w:tabs>
        <w:rPr>
          <w:rFonts w:eastAsiaTheme="minorEastAsia" w:cstheme="minorBidi"/>
          <w:smallCaps w:val="0"/>
          <w:noProof/>
          <w:sz w:val="22"/>
          <w:szCs w:val="22"/>
          <w:lang w:eastAsia="en-GB" w:bidi="ar-SA"/>
        </w:rPr>
      </w:pPr>
      <w:hyperlink w:anchor="_Toc77338764" w:history="1">
        <w:r w:rsidR="00D6577C" w:rsidRPr="00AB51AA">
          <w:rPr>
            <w:rStyle w:val="Hyperlink"/>
            <w:noProof/>
          </w:rPr>
          <w:t>1.2</w:t>
        </w:r>
        <w:r w:rsidR="00D6577C">
          <w:rPr>
            <w:rFonts w:eastAsiaTheme="minorEastAsia" w:cstheme="minorBidi"/>
            <w:smallCaps w:val="0"/>
            <w:noProof/>
            <w:sz w:val="22"/>
            <w:szCs w:val="22"/>
            <w:lang w:eastAsia="en-GB" w:bidi="ar-SA"/>
          </w:rPr>
          <w:tab/>
        </w:r>
        <w:r w:rsidR="00D6577C" w:rsidRPr="00AB51AA">
          <w:rPr>
            <w:rStyle w:val="Hyperlink"/>
            <w:noProof/>
          </w:rPr>
          <w:t>The Application</w:t>
        </w:r>
        <w:r w:rsidR="00D6577C">
          <w:rPr>
            <w:noProof/>
            <w:webHidden/>
          </w:rPr>
          <w:tab/>
        </w:r>
        <w:r w:rsidR="00D6577C">
          <w:rPr>
            <w:noProof/>
            <w:webHidden/>
          </w:rPr>
          <w:fldChar w:fldCharType="begin"/>
        </w:r>
        <w:r w:rsidR="00D6577C">
          <w:rPr>
            <w:noProof/>
            <w:webHidden/>
          </w:rPr>
          <w:instrText xml:space="preserve"> PAGEREF _Toc77338764 \h </w:instrText>
        </w:r>
        <w:r w:rsidR="00D6577C">
          <w:rPr>
            <w:noProof/>
            <w:webHidden/>
          </w:rPr>
        </w:r>
        <w:r w:rsidR="00D6577C">
          <w:rPr>
            <w:noProof/>
            <w:webHidden/>
          </w:rPr>
          <w:fldChar w:fldCharType="separate"/>
        </w:r>
        <w:r w:rsidR="00D6577C">
          <w:rPr>
            <w:noProof/>
            <w:webHidden/>
          </w:rPr>
          <w:t>6</w:t>
        </w:r>
        <w:r w:rsidR="00D6577C">
          <w:rPr>
            <w:noProof/>
            <w:webHidden/>
          </w:rPr>
          <w:fldChar w:fldCharType="end"/>
        </w:r>
      </w:hyperlink>
    </w:p>
    <w:p w14:paraId="2992B90A" w14:textId="1286B46C" w:rsidR="00D6577C" w:rsidRDefault="00194DE3">
      <w:pPr>
        <w:pStyle w:val="TOC2"/>
        <w:tabs>
          <w:tab w:val="left" w:pos="880"/>
          <w:tab w:val="right" w:leader="dot" w:pos="9062"/>
        </w:tabs>
        <w:rPr>
          <w:rFonts w:eastAsiaTheme="minorEastAsia" w:cstheme="minorBidi"/>
          <w:smallCaps w:val="0"/>
          <w:noProof/>
          <w:sz w:val="22"/>
          <w:szCs w:val="22"/>
          <w:lang w:eastAsia="en-GB" w:bidi="ar-SA"/>
        </w:rPr>
      </w:pPr>
      <w:hyperlink w:anchor="_Toc77338765" w:history="1">
        <w:r w:rsidR="00D6577C" w:rsidRPr="00AB51AA">
          <w:rPr>
            <w:rStyle w:val="Hyperlink"/>
            <w:noProof/>
          </w:rPr>
          <w:t>1.3</w:t>
        </w:r>
        <w:r w:rsidR="00D6577C">
          <w:rPr>
            <w:rFonts w:eastAsiaTheme="minorEastAsia" w:cstheme="minorBidi"/>
            <w:smallCaps w:val="0"/>
            <w:noProof/>
            <w:sz w:val="22"/>
            <w:szCs w:val="22"/>
            <w:lang w:eastAsia="en-GB" w:bidi="ar-SA"/>
          </w:rPr>
          <w:tab/>
        </w:r>
        <w:r w:rsidR="00D6577C" w:rsidRPr="00AB51AA">
          <w:rPr>
            <w:rStyle w:val="Hyperlink"/>
            <w:noProof/>
          </w:rPr>
          <w:t>The current relevant standards</w:t>
        </w:r>
        <w:r w:rsidR="00D6577C">
          <w:rPr>
            <w:noProof/>
            <w:webHidden/>
          </w:rPr>
          <w:tab/>
        </w:r>
        <w:r w:rsidR="00D6577C">
          <w:rPr>
            <w:noProof/>
            <w:webHidden/>
          </w:rPr>
          <w:fldChar w:fldCharType="begin"/>
        </w:r>
        <w:r w:rsidR="00D6577C">
          <w:rPr>
            <w:noProof/>
            <w:webHidden/>
          </w:rPr>
          <w:instrText xml:space="preserve"> PAGEREF _Toc77338765 \h </w:instrText>
        </w:r>
        <w:r w:rsidR="00D6577C">
          <w:rPr>
            <w:noProof/>
            <w:webHidden/>
          </w:rPr>
        </w:r>
        <w:r w:rsidR="00D6577C">
          <w:rPr>
            <w:noProof/>
            <w:webHidden/>
          </w:rPr>
          <w:fldChar w:fldCharType="separate"/>
        </w:r>
        <w:r w:rsidR="00D6577C">
          <w:rPr>
            <w:noProof/>
            <w:webHidden/>
          </w:rPr>
          <w:t>6</w:t>
        </w:r>
        <w:r w:rsidR="00D6577C">
          <w:rPr>
            <w:noProof/>
            <w:webHidden/>
          </w:rPr>
          <w:fldChar w:fldCharType="end"/>
        </w:r>
      </w:hyperlink>
    </w:p>
    <w:p w14:paraId="7CD18C4C" w14:textId="129874E2" w:rsidR="00D6577C" w:rsidRDefault="00194DE3">
      <w:pPr>
        <w:pStyle w:val="TOC3"/>
        <w:tabs>
          <w:tab w:val="left" w:pos="1100"/>
          <w:tab w:val="right" w:leader="dot" w:pos="9062"/>
        </w:tabs>
        <w:rPr>
          <w:rFonts w:eastAsiaTheme="minorEastAsia" w:cstheme="minorBidi"/>
          <w:i w:val="0"/>
          <w:iCs w:val="0"/>
          <w:noProof/>
          <w:sz w:val="22"/>
          <w:szCs w:val="22"/>
          <w:lang w:eastAsia="en-GB" w:bidi="ar-SA"/>
        </w:rPr>
      </w:pPr>
      <w:hyperlink w:anchor="_Toc77338766" w:history="1">
        <w:r w:rsidR="00D6577C" w:rsidRPr="00AB51AA">
          <w:rPr>
            <w:rStyle w:val="Hyperlink"/>
            <w:noProof/>
          </w:rPr>
          <w:t>1.3.1</w:t>
        </w:r>
        <w:r w:rsidR="00D6577C">
          <w:rPr>
            <w:rFonts w:eastAsiaTheme="minorEastAsia" w:cstheme="minorBidi"/>
            <w:i w:val="0"/>
            <w:iCs w:val="0"/>
            <w:noProof/>
            <w:sz w:val="22"/>
            <w:szCs w:val="22"/>
            <w:lang w:eastAsia="en-GB" w:bidi="ar-SA"/>
          </w:rPr>
          <w:tab/>
        </w:r>
        <w:r w:rsidR="00D6577C" w:rsidRPr="00AB51AA">
          <w:rPr>
            <w:rStyle w:val="Hyperlink"/>
            <w:noProof/>
          </w:rPr>
          <w:t>Australia and New Zealand Food Standards Code (the Code)</w:t>
        </w:r>
        <w:r w:rsidR="00D6577C">
          <w:rPr>
            <w:noProof/>
            <w:webHidden/>
          </w:rPr>
          <w:tab/>
        </w:r>
        <w:r w:rsidR="00D6577C">
          <w:rPr>
            <w:noProof/>
            <w:webHidden/>
          </w:rPr>
          <w:fldChar w:fldCharType="begin"/>
        </w:r>
        <w:r w:rsidR="00D6577C">
          <w:rPr>
            <w:noProof/>
            <w:webHidden/>
          </w:rPr>
          <w:instrText xml:space="preserve"> PAGEREF _Toc77338766 \h </w:instrText>
        </w:r>
        <w:r w:rsidR="00D6577C">
          <w:rPr>
            <w:noProof/>
            <w:webHidden/>
          </w:rPr>
        </w:r>
        <w:r w:rsidR="00D6577C">
          <w:rPr>
            <w:noProof/>
            <w:webHidden/>
          </w:rPr>
          <w:fldChar w:fldCharType="separate"/>
        </w:r>
        <w:r w:rsidR="00D6577C">
          <w:rPr>
            <w:noProof/>
            <w:webHidden/>
          </w:rPr>
          <w:t>6</w:t>
        </w:r>
        <w:r w:rsidR="00D6577C">
          <w:rPr>
            <w:noProof/>
            <w:webHidden/>
          </w:rPr>
          <w:fldChar w:fldCharType="end"/>
        </w:r>
      </w:hyperlink>
    </w:p>
    <w:p w14:paraId="0E002D62" w14:textId="66B0E096" w:rsidR="00D6577C" w:rsidRDefault="00194DE3">
      <w:pPr>
        <w:pStyle w:val="TOC3"/>
        <w:tabs>
          <w:tab w:val="left" w:pos="1100"/>
          <w:tab w:val="right" w:leader="dot" w:pos="9062"/>
        </w:tabs>
        <w:rPr>
          <w:rFonts w:eastAsiaTheme="minorEastAsia" w:cstheme="minorBidi"/>
          <w:i w:val="0"/>
          <w:iCs w:val="0"/>
          <w:noProof/>
          <w:sz w:val="22"/>
          <w:szCs w:val="22"/>
          <w:lang w:eastAsia="en-GB" w:bidi="ar-SA"/>
        </w:rPr>
      </w:pPr>
      <w:hyperlink w:anchor="_Toc77338767" w:history="1">
        <w:r w:rsidR="00D6577C" w:rsidRPr="00AB51AA">
          <w:rPr>
            <w:rStyle w:val="Hyperlink"/>
            <w:noProof/>
          </w:rPr>
          <w:t>1.3.2</w:t>
        </w:r>
        <w:r w:rsidR="00D6577C">
          <w:rPr>
            <w:rFonts w:eastAsiaTheme="minorEastAsia" w:cstheme="minorBidi"/>
            <w:i w:val="0"/>
            <w:iCs w:val="0"/>
            <w:noProof/>
            <w:sz w:val="22"/>
            <w:szCs w:val="22"/>
            <w:lang w:eastAsia="en-GB" w:bidi="ar-SA"/>
          </w:rPr>
          <w:tab/>
        </w:r>
        <w:r w:rsidR="00D6577C" w:rsidRPr="00AB51AA">
          <w:rPr>
            <w:rStyle w:val="Hyperlink"/>
            <w:noProof/>
          </w:rPr>
          <w:t>Regulations for 2′-FL in other countries</w:t>
        </w:r>
        <w:r w:rsidR="00D6577C">
          <w:rPr>
            <w:noProof/>
            <w:webHidden/>
          </w:rPr>
          <w:tab/>
        </w:r>
        <w:r w:rsidR="00D6577C">
          <w:rPr>
            <w:noProof/>
            <w:webHidden/>
          </w:rPr>
          <w:fldChar w:fldCharType="begin"/>
        </w:r>
        <w:r w:rsidR="00D6577C">
          <w:rPr>
            <w:noProof/>
            <w:webHidden/>
          </w:rPr>
          <w:instrText xml:space="preserve"> PAGEREF _Toc77338767 \h </w:instrText>
        </w:r>
        <w:r w:rsidR="00D6577C">
          <w:rPr>
            <w:noProof/>
            <w:webHidden/>
          </w:rPr>
        </w:r>
        <w:r w:rsidR="00D6577C">
          <w:rPr>
            <w:noProof/>
            <w:webHidden/>
          </w:rPr>
          <w:fldChar w:fldCharType="separate"/>
        </w:r>
        <w:r w:rsidR="00D6577C">
          <w:rPr>
            <w:noProof/>
            <w:webHidden/>
          </w:rPr>
          <w:t>8</w:t>
        </w:r>
        <w:r w:rsidR="00D6577C">
          <w:rPr>
            <w:noProof/>
            <w:webHidden/>
          </w:rPr>
          <w:fldChar w:fldCharType="end"/>
        </w:r>
      </w:hyperlink>
    </w:p>
    <w:p w14:paraId="37D9C020" w14:textId="1A7210D7" w:rsidR="00D6577C" w:rsidRDefault="00194DE3">
      <w:pPr>
        <w:pStyle w:val="TOC2"/>
        <w:tabs>
          <w:tab w:val="left" w:pos="880"/>
          <w:tab w:val="right" w:leader="dot" w:pos="9062"/>
        </w:tabs>
        <w:rPr>
          <w:rFonts w:eastAsiaTheme="minorEastAsia" w:cstheme="minorBidi"/>
          <w:smallCaps w:val="0"/>
          <w:noProof/>
          <w:sz w:val="22"/>
          <w:szCs w:val="22"/>
          <w:lang w:eastAsia="en-GB" w:bidi="ar-SA"/>
        </w:rPr>
      </w:pPr>
      <w:hyperlink w:anchor="_Toc77338768" w:history="1">
        <w:r w:rsidR="00D6577C" w:rsidRPr="00AB51AA">
          <w:rPr>
            <w:rStyle w:val="Hyperlink"/>
            <w:noProof/>
            <w:u w:color="FFFF00"/>
          </w:rPr>
          <w:t>1.4</w:t>
        </w:r>
        <w:r w:rsidR="00D6577C">
          <w:rPr>
            <w:rFonts w:eastAsiaTheme="minorEastAsia" w:cstheme="minorBidi"/>
            <w:smallCaps w:val="0"/>
            <w:noProof/>
            <w:sz w:val="22"/>
            <w:szCs w:val="22"/>
            <w:lang w:eastAsia="en-GB" w:bidi="ar-SA"/>
          </w:rPr>
          <w:tab/>
        </w:r>
        <w:r w:rsidR="00D6577C" w:rsidRPr="00AB51AA">
          <w:rPr>
            <w:rStyle w:val="Hyperlink"/>
            <w:noProof/>
            <w:u w:color="FFFF00"/>
          </w:rPr>
          <w:t>Reasons for accepting Application</w:t>
        </w:r>
        <w:r w:rsidR="00D6577C">
          <w:rPr>
            <w:noProof/>
            <w:webHidden/>
          </w:rPr>
          <w:tab/>
        </w:r>
        <w:r w:rsidR="00D6577C">
          <w:rPr>
            <w:noProof/>
            <w:webHidden/>
          </w:rPr>
          <w:fldChar w:fldCharType="begin"/>
        </w:r>
        <w:r w:rsidR="00D6577C">
          <w:rPr>
            <w:noProof/>
            <w:webHidden/>
          </w:rPr>
          <w:instrText xml:space="preserve"> PAGEREF _Toc77338768 \h </w:instrText>
        </w:r>
        <w:r w:rsidR="00D6577C">
          <w:rPr>
            <w:noProof/>
            <w:webHidden/>
          </w:rPr>
        </w:r>
        <w:r w:rsidR="00D6577C">
          <w:rPr>
            <w:noProof/>
            <w:webHidden/>
          </w:rPr>
          <w:fldChar w:fldCharType="separate"/>
        </w:r>
        <w:r w:rsidR="00D6577C">
          <w:rPr>
            <w:noProof/>
            <w:webHidden/>
          </w:rPr>
          <w:t>11</w:t>
        </w:r>
        <w:r w:rsidR="00D6577C">
          <w:rPr>
            <w:noProof/>
            <w:webHidden/>
          </w:rPr>
          <w:fldChar w:fldCharType="end"/>
        </w:r>
      </w:hyperlink>
    </w:p>
    <w:p w14:paraId="37AC55F4" w14:textId="6D2AB818" w:rsidR="00D6577C" w:rsidRDefault="00194DE3">
      <w:pPr>
        <w:pStyle w:val="TOC2"/>
        <w:tabs>
          <w:tab w:val="left" w:pos="880"/>
          <w:tab w:val="right" w:leader="dot" w:pos="9062"/>
        </w:tabs>
        <w:rPr>
          <w:rFonts w:eastAsiaTheme="minorEastAsia" w:cstheme="minorBidi"/>
          <w:smallCaps w:val="0"/>
          <w:noProof/>
          <w:sz w:val="22"/>
          <w:szCs w:val="22"/>
          <w:lang w:eastAsia="en-GB" w:bidi="ar-SA"/>
        </w:rPr>
      </w:pPr>
      <w:hyperlink w:anchor="_Toc77338769" w:history="1">
        <w:r w:rsidR="00D6577C" w:rsidRPr="00AB51AA">
          <w:rPr>
            <w:rStyle w:val="Hyperlink"/>
            <w:noProof/>
          </w:rPr>
          <w:t>1.5</w:t>
        </w:r>
        <w:r w:rsidR="00D6577C">
          <w:rPr>
            <w:rFonts w:eastAsiaTheme="minorEastAsia" w:cstheme="minorBidi"/>
            <w:smallCaps w:val="0"/>
            <w:noProof/>
            <w:sz w:val="22"/>
            <w:szCs w:val="22"/>
            <w:lang w:eastAsia="en-GB" w:bidi="ar-SA"/>
          </w:rPr>
          <w:tab/>
        </w:r>
        <w:r w:rsidR="00D6577C" w:rsidRPr="00AB51AA">
          <w:rPr>
            <w:rStyle w:val="Hyperlink"/>
            <w:noProof/>
          </w:rPr>
          <w:t>Procedure for assessment</w:t>
        </w:r>
        <w:r w:rsidR="00D6577C">
          <w:rPr>
            <w:noProof/>
            <w:webHidden/>
          </w:rPr>
          <w:tab/>
        </w:r>
        <w:r w:rsidR="00D6577C">
          <w:rPr>
            <w:noProof/>
            <w:webHidden/>
          </w:rPr>
          <w:fldChar w:fldCharType="begin"/>
        </w:r>
        <w:r w:rsidR="00D6577C">
          <w:rPr>
            <w:noProof/>
            <w:webHidden/>
          </w:rPr>
          <w:instrText xml:space="preserve"> PAGEREF _Toc77338769 \h </w:instrText>
        </w:r>
        <w:r w:rsidR="00D6577C">
          <w:rPr>
            <w:noProof/>
            <w:webHidden/>
          </w:rPr>
        </w:r>
        <w:r w:rsidR="00D6577C">
          <w:rPr>
            <w:noProof/>
            <w:webHidden/>
          </w:rPr>
          <w:fldChar w:fldCharType="separate"/>
        </w:r>
        <w:r w:rsidR="00D6577C">
          <w:rPr>
            <w:noProof/>
            <w:webHidden/>
          </w:rPr>
          <w:t>11</w:t>
        </w:r>
        <w:r w:rsidR="00D6577C">
          <w:rPr>
            <w:noProof/>
            <w:webHidden/>
          </w:rPr>
          <w:fldChar w:fldCharType="end"/>
        </w:r>
      </w:hyperlink>
    </w:p>
    <w:p w14:paraId="696A52AC" w14:textId="1E22CF88" w:rsidR="00D6577C" w:rsidRDefault="00194DE3">
      <w:pPr>
        <w:pStyle w:val="TOC1"/>
        <w:tabs>
          <w:tab w:val="left" w:pos="440"/>
          <w:tab w:val="right" w:leader="dot" w:pos="9062"/>
        </w:tabs>
        <w:rPr>
          <w:rFonts w:eastAsiaTheme="minorEastAsia" w:cstheme="minorBidi"/>
          <w:b w:val="0"/>
          <w:bCs w:val="0"/>
          <w:caps w:val="0"/>
          <w:noProof/>
          <w:sz w:val="22"/>
          <w:szCs w:val="22"/>
          <w:lang w:eastAsia="en-GB" w:bidi="ar-SA"/>
        </w:rPr>
      </w:pPr>
      <w:hyperlink w:anchor="_Toc77338770" w:history="1">
        <w:r w:rsidR="00D6577C" w:rsidRPr="00AB51AA">
          <w:rPr>
            <w:rStyle w:val="Hyperlink"/>
            <w:noProof/>
          </w:rPr>
          <w:t>2</w:t>
        </w:r>
        <w:r w:rsidR="00D6577C">
          <w:rPr>
            <w:rFonts w:eastAsiaTheme="minorEastAsia" w:cstheme="minorBidi"/>
            <w:b w:val="0"/>
            <w:bCs w:val="0"/>
            <w:caps w:val="0"/>
            <w:noProof/>
            <w:sz w:val="22"/>
            <w:szCs w:val="22"/>
            <w:lang w:eastAsia="en-GB" w:bidi="ar-SA"/>
          </w:rPr>
          <w:tab/>
        </w:r>
        <w:r w:rsidR="00D6577C" w:rsidRPr="00AB51AA">
          <w:rPr>
            <w:rStyle w:val="Hyperlink"/>
            <w:noProof/>
          </w:rPr>
          <w:t>Risk and safety assessment</w:t>
        </w:r>
        <w:r w:rsidR="00D6577C">
          <w:rPr>
            <w:noProof/>
            <w:webHidden/>
          </w:rPr>
          <w:tab/>
        </w:r>
        <w:r w:rsidR="00D6577C">
          <w:rPr>
            <w:noProof/>
            <w:webHidden/>
          </w:rPr>
          <w:fldChar w:fldCharType="begin"/>
        </w:r>
        <w:r w:rsidR="00D6577C">
          <w:rPr>
            <w:noProof/>
            <w:webHidden/>
          </w:rPr>
          <w:instrText xml:space="preserve"> PAGEREF _Toc77338770 \h </w:instrText>
        </w:r>
        <w:r w:rsidR="00D6577C">
          <w:rPr>
            <w:noProof/>
            <w:webHidden/>
          </w:rPr>
        </w:r>
        <w:r w:rsidR="00D6577C">
          <w:rPr>
            <w:noProof/>
            <w:webHidden/>
          </w:rPr>
          <w:fldChar w:fldCharType="separate"/>
        </w:r>
        <w:r w:rsidR="00D6577C">
          <w:rPr>
            <w:noProof/>
            <w:webHidden/>
          </w:rPr>
          <w:t>11</w:t>
        </w:r>
        <w:r w:rsidR="00D6577C">
          <w:rPr>
            <w:noProof/>
            <w:webHidden/>
          </w:rPr>
          <w:fldChar w:fldCharType="end"/>
        </w:r>
      </w:hyperlink>
    </w:p>
    <w:p w14:paraId="2EF272F1" w14:textId="728A10D8" w:rsidR="00D6577C" w:rsidRDefault="00194DE3">
      <w:pPr>
        <w:pStyle w:val="TOC1"/>
        <w:tabs>
          <w:tab w:val="left" w:pos="440"/>
          <w:tab w:val="right" w:leader="dot" w:pos="9062"/>
        </w:tabs>
        <w:rPr>
          <w:rFonts w:eastAsiaTheme="minorEastAsia" w:cstheme="minorBidi"/>
          <w:b w:val="0"/>
          <w:bCs w:val="0"/>
          <w:caps w:val="0"/>
          <w:noProof/>
          <w:sz w:val="22"/>
          <w:szCs w:val="22"/>
          <w:lang w:eastAsia="en-GB" w:bidi="ar-SA"/>
        </w:rPr>
      </w:pPr>
      <w:hyperlink w:anchor="_Toc77338771" w:history="1">
        <w:r w:rsidR="00D6577C" w:rsidRPr="00AB51AA">
          <w:rPr>
            <w:rStyle w:val="Hyperlink"/>
            <w:noProof/>
          </w:rPr>
          <w:t>3</w:t>
        </w:r>
        <w:r w:rsidR="00D6577C">
          <w:rPr>
            <w:rFonts w:eastAsiaTheme="minorEastAsia" w:cstheme="minorBidi"/>
            <w:b w:val="0"/>
            <w:bCs w:val="0"/>
            <w:caps w:val="0"/>
            <w:noProof/>
            <w:sz w:val="22"/>
            <w:szCs w:val="22"/>
            <w:lang w:eastAsia="en-GB" w:bidi="ar-SA"/>
          </w:rPr>
          <w:tab/>
        </w:r>
        <w:r w:rsidR="00D6577C" w:rsidRPr="00AB51AA">
          <w:rPr>
            <w:rStyle w:val="Hyperlink"/>
            <w:noProof/>
          </w:rPr>
          <w:t>Risk management</w:t>
        </w:r>
        <w:r w:rsidR="00D6577C">
          <w:rPr>
            <w:noProof/>
            <w:webHidden/>
          </w:rPr>
          <w:tab/>
        </w:r>
        <w:r w:rsidR="00D6577C">
          <w:rPr>
            <w:noProof/>
            <w:webHidden/>
          </w:rPr>
          <w:fldChar w:fldCharType="begin"/>
        </w:r>
        <w:r w:rsidR="00D6577C">
          <w:rPr>
            <w:noProof/>
            <w:webHidden/>
          </w:rPr>
          <w:instrText xml:space="preserve"> PAGEREF _Toc77338771 \h </w:instrText>
        </w:r>
        <w:r w:rsidR="00D6577C">
          <w:rPr>
            <w:noProof/>
            <w:webHidden/>
          </w:rPr>
        </w:r>
        <w:r w:rsidR="00D6577C">
          <w:rPr>
            <w:noProof/>
            <w:webHidden/>
          </w:rPr>
          <w:fldChar w:fldCharType="separate"/>
        </w:r>
        <w:r w:rsidR="00D6577C">
          <w:rPr>
            <w:noProof/>
            <w:webHidden/>
          </w:rPr>
          <w:t>12</w:t>
        </w:r>
        <w:r w:rsidR="00D6577C">
          <w:rPr>
            <w:noProof/>
            <w:webHidden/>
          </w:rPr>
          <w:fldChar w:fldCharType="end"/>
        </w:r>
      </w:hyperlink>
    </w:p>
    <w:p w14:paraId="263054F4" w14:textId="471A1596" w:rsidR="00D6577C" w:rsidRDefault="00194DE3">
      <w:pPr>
        <w:pStyle w:val="TOC2"/>
        <w:tabs>
          <w:tab w:val="right" w:leader="dot" w:pos="9062"/>
        </w:tabs>
        <w:rPr>
          <w:rFonts w:eastAsiaTheme="minorEastAsia" w:cstheme="minorBidi"/>
          <w:smallCaps w:val="0"/>
          <w:noProof/>
          <w:sz w:val="22"/>
          <w:szCs w:val="22"/>
          <w:lang w:eastAsia="en-GB" w:bidi="ar-SA"/>
        </w:rPr>
      </w:pPr>
      <w:hyperlink w:anchor="_Toc77338772" w:history="1">
        <w:r w:rsidR="00D6577C" w:rsidRPr="00AB51AA">
          <w:rPr>
            <w:rStyle w:val="Hyperlink"/>
            <w:noProof/>
          </w:rPr>
          <w:t>3.1 FSANZ’s approach and consideration of the policy guidelines</w:t>
        </w:r>
        <w:r w:rsidR="00D6577C">
          <w:rPr>
            <w:noProof/>
            <w:webHidden/>
          </w:rPr>
          <w:tab/>
        </w:r>
        <w:r w:rsidR="00D6577C">
          <w:rPr>
            <w:noProof/>
            <w:webHidden/>
          </w:rPr>
          <w:fldChar w:fldCharType="begin"/>
        </w:r>
        <w:r w:rsidR="00D6577C">
          <w:rPr>
            <w:noProof/>
            <w:webHidden/>
          </w:rPr>
          <w:instrText xml:space="preserve"> PAGEREF _Toc77338772 \h </w:instrText>
        </w:r>
        <w:r w:rsidR="00D6577C">
          <w:rPr>
            <w:noProof/>
            <w:webHidden/>
          </w:rPr>
        </w:r>
        <w:r w:rsidR="00D6577C">
          <w:rPr>
            <w:noProof/>
            <w:webHidden/>
          </w:rPr>
          <w:fldChar w:fldCharType="separate"/>
        </w:r>
        <w:r w:rsidR="00D6577C">
          <w:rPr>
            <w:noProof/>
            <w:webHidden/>
          </w:rPr>
          <w:t>12</w:t>
        </w:r>
        <w:r w:rsidR="00D6577C">
          <w:rPr>
            <w:noProof/>
            <w:webHidden/>
          </w:rPr>
          <w:fldChar w:fldCharType="end"/>
        </w:r>
      </w:hyperlink>
    </w:p>
    <w:p w14:paraId="2737E078" w14:textId="02717FCF" w:rsidR="00D6577C" w:rsidRDefault="00194DE3">
      <w:pPr>
        <w:pStyle w:val="TOC2"/>
        <w:tabs>
          <w:tab w:val="left" w:pos="880"/>
          <w:tab w:val="right" w:leader="dot" w:pos="9062"/>
        </w:tabs>
        <w:rPr>
          <w:rFonts w:eastAsiaTheme="minorEastAsia" w:cstheme="minorBidi"/>
          <w:smallCaps w:val="0"/>
          <w:noProof/>
          <w:sz w:val="22"/>
          <w:szCs w:val="22"/>
          <w:lang w:eastAsia="en-GB" w:bidi="ar-SA"/>
        </w:rPr>
      </w:pPr>
      <w:hyperlink w:anchor="_Toc77338773" w:history="1">
        <w:r w:rsidR="00D6577C" w:rsidRPr="00AB51AA">
          <w:rPr>
            <w:rStyle w:val="Hyperlink"/>
            <w:noProof/>
          </w:rPr>
          <w:t>3.2</w:t>
        </w:r>
        <w:r w:rsidR="00D6577C">
          <w:rPr>
            <w:rFonts w:eastAsiaTheme="minorEastAsia" w:cstheme="minorBidi"/>
            <w:smallCaps w:val="0"/>
            <w:noProof/>
            <w:sz w:val="22"/>
            <w:szCs w:val="22"/>
            <w:lang w:eastAsia="en-GB" w:bidi="ar-SA"/>
          </w:rPr>
          <w:tab/>
        </w:r>
        <w:r w:rsidR="00D6577C" w:rsidRPr="00AB51AA">
          <w:rPr>
            <w:rStyle w:val="Hyperlink"/>
            <w:noProof/>
          </w:rPr>
          <w:t>Labelling</w:t>
        </w:r>
        <w:r w:rsidR="00D6577C">
          <w:rPr>
            <w:noProof/>
            <w:webHidden/>
          </w:rPr>
          <w:tab/>
        </w:r>
        <w:r w:rsidR="00D6577C">
          <w:rPr>
            <w:noProof/>
            <w:webHidden/>
          </w:rPr>
          <w:fldChar w:fldCharType="begin"/>
        </w:r>
        <w:r w:rsidR="00D6577C">
          <w:rPr>
            <w:noProof/>
            <w:webHidden/>
          </w:rPr>
          <w:instrText xml:space="preserve"> PAGEREF _Toc77338773 \h </w:instrText>
        </w:r>
        <w:r w:rsidR="00D6577C">
          <w:rPr>
            <w:noProof/>
            <w:webHidden/>
          </w:rPr>
        </w:r>
        <w:r w:rsidR="00D6577C">
          <w:rPr>
            <w:noProof/>
            <w:webHidden/>
          </w:rPr>
          <w:fldChar w:fldCharType="separate"/>
        </w:r>
        <w:r w:rsidR="00D6577C">
          <w:rPr>
            <w:noProof/>
            <w:webHidden/>
          </w:rPr>
          <w:t>14</w:t>
        </w:r>
        <w:r w:rsidR="00D6577C">
          <w:rPr>
            <w:noProof/>
            <w:webHidden/>
          </w:rPr>
          <w:fldChar w:fldCharType="end"/>
        </w:r>
      </w:hyperlink>
    </w:p>
    <w:p w14:paraId="25AB2E8B" w14:textId="41B50714" w:rsidR="00D6577C" w:rsidRDefault="00194DE3">
      <w:pPr>
        <w:pStyle w:val="TOC3"/>
        <w:tabs>
          <w:tab w:val="left" w:pos="1100"/>
          <w:tab w:val="right" w:leader="dot" w:pos="9062"/>
        </w:tabs>
        <w:rPr>
          <w:rFonts w:eastAsiaTheme="minorEastAsia" w:cstheme="minorBidi"/>
          <w:i w:val="0"/>
          <w:iCs w:val="0"/>
          <w:noProof/>
          <w:sz w:val="22"/>
          <w:szCs w:val="22"/>
          <w:lang w:eastAsia="en-GB" w:bidi="ar-SA"/>
        </w:rPr>
      </w:pPr>
      <w:hyperlink w:anchor="_Toc77338774" w:history="1">
        <w:r w:rsidR="00D6577C" w:rsidRPr="00AB51AA">
          <w:rPr>
            <w:rStyle w:val="Hyperlink"/>
            <w:noProof/>
          </w:rPr>
          <w:t>3.2.1</w:t>
        </w:r>
        <w:r w:rsidR="00D6577C">
          <w:rPr>
            <w:rFonts w:eastAsiaTheme="minorEastAsia" w:cstheme="minorBidi"/>
            <w:i w:val="0"/>
            <w:iCs w:val="0"/>
            <w:noProof/>
            <w:sz w:val="22"/>
            <w:szCs w:val="22"/>
            <w:lang w:eastAsia="en-GB" w:bidi="ar-SA"/>
          </w:rPr>
          <w:tab/>
        </w:r>
        <w:r w:rsidR="00D6577C" w:rsidRPr="00AB51AA">
          <w:rPr>
            <w:rStyle w:val="Hyperlink"/>
            <w:noProof/>
          </w:rPr>
          <w:t>Statement of ingredients</w:t>
        </w:r>
        <w:r w:rsidR="00D6577C">
          <w:rPr>
            <w:noProof/>
            <w:webHidden/>
          </w:rPr>
          <w:tab/>
        </w:r>
        <w:r w:rsidR="00D6577C">
          <w:rPr>
            <w:noProof/>
            <w:webHidden/>
          </w:rPr>
          <w:fldChar w:fldCharType="begin"/>
        </w:r>
        <w:r w:rsidR="00D6577C">
          <w:rPr>
            <w:noProof/>
            <w:webHidden/>
          </w:rPr>
          <w:instrText xml:space="preserve"> PAGEREF _Toc77338774 \h </w:instrText>
        </w:r>
        <w:r w:rsidR="00D6577C">
          <w:rPr>
            <w:noProof/>
            <w:webHidden/>
          </w:rPr>
        </w:r>
        <w:r w:rsidR="00D6577C">
          <w:rPr>
            <w:noProof/>
            <w:webHidden/>
          </w:rPr>
          <w:fldChar w:fldCharType="separate"/>
        </w:r>
        <w:r w:rsidR="00D6577C">
          <w:rPr>
            <w:noProof/>
            <w:webHidden/>
          </w:rPr>
          <w:t>14</w:t>
        </w:r>
        <w:r w:rsidR="00D6577C">
          <w:rPr>
            <w:noProof/>
            <w:webHidden/>
          </w:rPr>
          <w:fldChar w:fldCharType="end"/>
        </w:r>
      </w:hyperlink>
    </w:p>
    <w:p w14:paraId="332540E5" w14:textId="761A1D96" w:rsidR="00D6577C" w:rsidRDefault="00194DE3">
      <w:pPr>
        <w:pStyle w:val="TOC3"/>
        <w:tabs>
          <w:tab w:val="left" w:pos="1100"/>
          <w:tab w:val="right" w:leader="dot" w:pos="9062"/>
        </w:tabs>
        <w:rPr>
          <w:rFonts w:eastAsiaTheme="minorEastAsia" w:cstheme="minorBidi"/>
          <w:i w:val="0"/>
          <w:iCs w:val="0"/>
          <w:noProof/>
          <w:sz w:val="22"/>
          <w:szCs w:val="22"/>
          <w:lang w:eastAsia="en-GB" w:bidi="ar-SA"/>
        </w:rPr>
      </w:pPr>
      <w:hyperlink w:anchor="_Toc77338775" w:history="1">
        <w:r w:rsidR="00D6577C" w:rsidRPr="00AB51AA">
          <w:rPr>
            <w:rStyle w:val="Hyperlink"/>
            <w:noProof/>
          </w:rPr>
          <w:t>3.2.2</w:t>
        </w:r>
        <w:r w:rsidR="00D6577C">
          <w:rPr>
            <w:rFonts w:eastAsiaTheme="minorEastAsia" w:cstheme="minorBidi"/>
            <w:i w:val="0"/>
            <w:iCs w:val="0"/>
            <w:noProof/>
            <w:sz w:val="22"/>
            <w:szCs w:val="22"/>
            <w:lang w:eastAsia="en-GB" w:bidi="ar-SA"/>
          </w:rPr>
          <w:tab/>
        </w:r>
        <w:r w:rsidR="00D6577C" w:rsidRPr="00AB51AA">
          <w:rPr>
            <w:rStyle w:val="Hyperlink"/>
            <w:noProof/>
          </w:rPr>
          <w:t>Mandatory nutrition information</w:t>
        </w:r>
        <w:r w:rsidR="00D6577C">
          <w:rPr>
            <w:noProof/>
            <w:webHidden/>
          </w:rPr>
          <w:tab/>
        </w:r>
        <w:r w:rsidR="00D6577C">
          <w:rPr>
            <w:noProof/>
            <w:webHidden/>
          </w:rPr>
          <w:fldChar w:fldCharType="begin"/>
        </w:r>
        <w:r w:rsidR="00D6577C">
          <w:rPr>
            <w:noProof/>
            <w:webHidden/>
          </w:rPr>
          <w:instrText xml:space="preserve"> PAGEREF _Toc77338775 \h </w:instrText>
        </w:r>
        <w:r w:rsidR="00D6577C">
          <w:rPr>
            <w:noProof/>
            <w:webHidden/>
          </w:rPr>
        </w:r>
        <w:r w:rsidR="00D6577C">
          <w:rPr>
            <w:noProof/>
            <w:webHidden/>
          </w:rPr>
          <w:fldChar w:fldCharType="separate"/>
        </w:r>
        <w:r w:rsidR="00D6577C">
          <w:rPr>
            <w:noProof/>
            <w:webHidden/>
          </w:rPr>
          <w:t>14</w:t>
        </w:r>
        <w:r w:rsidR="00D6577C">
          <w:rPr>
            <w:noProof/>
            <w:webHidden/>
          </w:rPr>
          <w:fldChar w:fldCharType="end"/>
        </w:r>
      </w:hyperlink>
    </w:p>
    <w:p w14:paraId="37376616" w14:textId="27AEC767" w:rsidR="00D6577C" w:rsidRDefault="00194DE3">
      <w:pPr>
        <w:pStyle w:val="TOC3"/>
        <w:tabs>
          <w:tab w:val="left" w:pos="1100"/>
          <w:tab w:val="right" w:leader="dot" w:pos="9062"/>
        </w:tabs>
        <w:rPr>
          <w:rFonts w:eastAsiaTheme="minorEastAsia" w:cstheme="minorBidi"/>
          <w:i w:val="0"/>
          <w:iCs w:val="0"/>
          <w:noProof/>
          <w:sz w:val="22"/>
          <w:szCs w:val="22"/>
          <w:lang w:eastAsia="en-GB" w:bidi="ar-SA"/>
        </w:rPr>
      </w:pPr>
      <w:hyperlink w:anchor="_Toc77338776" w:history="1">
        <w:r w:rsidR="00D6577C" w:rsidRPr="00AB51AA">
          <w:rPr>
            <w:rStyle w:val="Hyperlink"/>
            <w:noProof/>
          </w:rPr>
          <w:t>3.2.3</w:t>
        </w:r>
        <w:r w:rsidR="00D6577C">
          <w:rPr>
            <w:rFonts w:eastAsiaTheme="minorEastAsia" w:cstheme="minorBidi"/>
            <w:i w:val="0"/>
            <w:iCs w:val="0"/>
            <w:noProof/>
            <w:sz w:val="22"/>
            <w:szCs w:val="22"/>
            <w:lang w:eastAsia="en-GB" w:bidi="ar-SA"/>
          </w:rPr>
          <w:tab/>
        </w:r>
        <w:r w:rsidR="00D6577C" w:rsidRPr="00AB51AA">
          <w:rPr>
            <w:rStyle w:val="Hyperlink"/>
            <w:noProof/>
          </w:rPr>
          <w:t>Prohibited representations</w:t>
        </w:r>
        <w:r w:rsidR="00D6577C">
          <w:rPr>
            <w:noProof/>
            <w:webHidden/>
          </w:rPr>
          <w:tab/>
        </w:r>
        <w:r w:rsidR="00D6577C">
          <w:rPr>
            <w:noProof/>
            <w:webHidden/>
          </w:rPr>
          <w:fldChar w:fldCharType="begin"/>
        </w:r>
        <w:r w:rsidR="00D6577C">
          <w:rPr>
            <w:noProof/>
            <w:webHidden/>
          </w:rPr>
          <w:instrText xml:space="preserve"> PAGEREF _Toc77338776 \h </w:instrText>
        </w:r>
        <w:r w:rsidR="00D6577C">
          <w:rPr>
            <w:noProof/>
            <w:webHidden/>
          </w:rPr>
        </w:r>
        <w:r w:rsidR="00D6577C">
          <w:rPr>
            <w:noProof/>
            <w:webHidden/>
          </w:rPr>
          <w:fldChar w:fldCharType="separate"/>
        </w:r>
        <w:r w:rsidR="00D6577C">
          <w:rPr>
            <w:noProof/>
            <w:webHidden/>
          </w:rPr>
          <w:t>14</w:t>
        </w:r>
        <w:r w:rsidR="00D6577C">
          <w:rPr>
            <w:noProof/>
            <w:webHidden/>
          </w:rPr>
          <w:fldChar w:fldCharType="end"/>
        </w:r>
      </w:hyperlink>
    </w:p>
    <w:p w14:paraId="63542C1D" w14:textId="12B92B0C" w:rsidR="00D6577C" w:rsidRDefault="00194DE3">
      <w:pPr>
        <w:pStyle w:val="TOC3"/>
        <w:tabs>
          <w:tab w:val="left" w:pos="1100"/>
          <w:tab w:val="right" w:leader="dot" w:pos="9062"/>
        </w:tabs>
        <w:rPr>
          <w:rFonts w:eastAsiaTheme="minorEastAsia" w:cstheme="minorBidi"/>
          <w:i w:val="0"/>
          <w:iCs w:val="0"/>
          <w:noProof/>
          <w:sz w:val="22"/>
          <w:szCs w:val="22"/>
          <w:lang w:eastAsia="en-GB" w:bidi="ar-SA"/>
        </w:rPr>
      </w:pPr>
      <w:hyperlink w:anchor="_Toc77338777" w:history="1">
        <w:r w:rsidR="00D6577C" w:rsidRPr="00AB51AA">
          <w:rPr>
            <w:rStyle w:val="Hyperlink"/>
            <w:noProof/>
          </w:rPr>
          <w:t>3.2.4</w:t>
        </w:r>
        <w:r w:rsidR="00D6577C">
          <w:rPr>
            <w:rFonts w:eastAsiaTheme="minorEastAsia" w:cstheme="minorBidi"/>
            <w:i w:val="0"/>
            <w:iCs w:val="0"/>
            <w:noProof/>
            <w:sz w:val="22"/>
            <w:szCs w:val="22"/>
            <w:lang w:eastAsia="en-GB" w:bidi="ar-SA"/>
          </w:rPr>
          <w:tab/>
        </w:r>
        <w:r w:rsidR="00D6577C" w:rsidRPr="00AB51AA">
          <w:rPr>
            <w:rStyle w:val="Hyperlink"/>
            <w:noProof/>
          </w:rPr>
          <w:t>Voluntary representations</w:t>
        </w:r>
        <w:r w:rsidR="00D6577C">
          <w:rPr>
            <w:noProof/>
            <w:webHidden/>
          </w:rPr>
          <w:tab/>
        </w:r>
        <w:r w:rsidR="00D6577C">
          <w:rPr>
            <w:noProof/>
            <w:webHidden/>
          </w:rPr>
          <w:fldChar w:fldCharType="begin"/>
        </w:r>
        <w:r w:rsidR="00D6577C">
          <w:rPr>
            <w:noProof/>
            <w:webHidden/>
          </w:rPr>
          <w:instrText xml:space="preserve"> PAGEREF _Toc77338777 \h </w:instrText>
        </w:r>
        <w:r w:rsidR="00D6577C">
          <w:rPr>
            <w:noProof/>
            <w:webHidden/>
          </w:rPr>
        </w:r>
        <w:r w:rsidR="00D6577C">
          <w:rPr>
            <w:noProof/>
            <w:webHidden/>
          </w:rPr>
          <w:fldChar w:fldCharType="separate"/>
        </w:r>
        <w:r w:rsidR="00D6577C">
          <w:rPr>
            <w:noProof/>
            <w:webHidden/>
          </w:rPr>
          <w:t>14</w:t>
        </w:r>
        <w:r w:rsidR="00D6577C">
          <w:rPr>
            <w:noProof/>
            <w:webHidden/>
          </w:rPr>
          <w:fldChar w:fldCharType="end"/>
        </w:r>
      </w:hyperlink>
    </w:p>
    <w:p w14:paraId="2F2D315F" w14:textId="39B07501" w:rsidR="00D6577C" w:rsidRDefault="00194DE3">
      <w:pPr>
        <w:pStyle w:val="TOC3"/>
        <w:tabs>
          <w:tab w:val="left" w:pos="1100"/>
          <w:tab w:val="right" w:leader="dot" w:pos="9062"/>
        </w:tabs>
        <w:rPr>
          <w:rFonts w:eastAsiaTheme="minorEastAsia" w:cstheme="minorBidi"/>
          <w:i w:val="0"/>
          <w:iCs w:val="0"/>
          <w:noProof/>
          <w:sz w:val="22"/>
          <w:szCs w:val="22"/>
          <w:lang w:eastAsia="en-GB" w:bidi="ar-SA"/>
        </w:rPr>
      </w:pPr>
      <w:hyperlink w:anchor="_Toc77338778" w:history="1">
        <w:r w:rsidR="00D6577C" w:rsidRPr="00AB51AA">
          <w:rPr>
            <w:rStyle w:val="Hyperlink"/>
            <w:noProof/>
          </w:rPr>
          <w:t>3.2.5</w:t>
        </w:r>
        <w:r w:rsidR="00D6577C">
          <w:rPr>
            <w:rFonts w:eastAsiaTheme="minorEastAsia" w:cstheme="minorBidi"/>
            <w:i w:val="0"/>
            <w:iCs w:val="0"/>
            <w:noProof/>
            <w:sz w:val="22"/>
            <w:szCs w:val="22"/>
            <w:lang w:eastAsia="en-GB" w:bidi="ar-SA"/>
          </w:rPr>
          <w:tab/>
        </w:r>
        <w:r w:rsidR="00D6577C" w:rsidRPr="00AB51AA">
          <w:rPr>
            <w:rStyle w:val="Hyperlink"/>
            <w:noProof/>
          </w:rPr>
          <w:t>Labelling as ‘genetically modified’</w:t>
        </w:r>
        <w:r w:rsidR="00D6577C">
          <w:rPr>
            <w:noProof/>
            <w:webHidden/>
          </w:rPr>
          <w:tab/>
        </w:r>
        <w:r w:rsidR="00D6577C">
          <w:rPr>
            <w:noProof/>
            <w:webHidden/>
          </w:rPr>
          <w:fldChar w:fldCharType="begin"/>
        </w:r>
        <w:r w:rsidR="00D6577C">
          <w:rPr>
            <w:noProof/>
            <w:webHidden/>
          </w:rPr>
          <w:instrText xml:space="preserve"> PAGEREF _Toc77338778 \h </w:instrText>
        </w:r>
        <w:r w:rsidR="00D6577C">
          <w:rPr>
            <w:noProof/>
            <w:webHidden/>
          </w:rPr>
        </w:r>
        <w:r w:rsidR="00D6577C">
          <w:rPr>
            <w:noProof/>
            <w:webHidden/>
          </w:rPr>
          <w:fldChar w:fldCharType="separate"/>
        </w:r>
        <w:r w:rsidR="00D6577C">
          <w:rPr>
            <w:noProof/>
            <w:webHidden/>
          </w:rPr>
          <w:t>14</w:t>
        </w:r>
        <w:r w:rsidR="00D6577C">
          <w:rPr>
            <w:noProof/>
            <w:webHidden/>
          </w:rPr>
          <w:fldChar w:fldCharType="end"/>
        </w:r>
      </w:hyperlink>
    </w:p>
    <w:p w14:paraId="73CBE55F" w14:textId="15C47DD0" w:rsidR="00D6577C" w:rsidRDefault="00194DE3">
      <w:pPr>
        <w:pStyle w:val="TOC2"/>
        <w:tabs>
          <w:tab w:val="left" w:pos="880"/>
          <w:tab w:val="right" w:leader="dot" w:pos="9062"/>
        </w:tabs>
        <w:rPr>
          <w:rFonts w:eastAsiaTheme="minorEastAsia" w:cstheme="minorBidi"/>
          <w:smallCaps w:val="0"/>
          <w:noProof/>
          <w:sz w:val="22"/>
          <w:szCs w:val="22"/>
          <w:lang w:eastAsia="en-GB" w:bidi="ar-SA"/>
        </w:rPr>
      </w:pPr>
      <w:hyperlink w:anchor="_Toc77338779" w:history="1">
        <w:r w:rsidR="00D6577C" w:rsidRPr="00AB51AA">
          <w:rPr>
            <w:rStyle w:val="Hyperlink"/>
            <w:noProof/>
          </w:rPr>
          <w:t>3.3</w:t>
        </w:r>
        <w:r w:rsidR="00D6577C">
          <w:rPr>
            <w:rFonts w:eastAsiaTheme="minorEastAsia" w:cstheme="minorBidi"/>
            <w:smallCaps w:val="0"/>
            <w:noProof/>
            <w:sz w:val="22"/>
            <w:szCs w:val="22"/>
            <w:lang w:eastAsia="en-GB" w:bidi="ar-SA"/>
          </w:rPr>
          <w:tab/>
        </w:r>
        <w:r w:rsidR="00D6577C" w:rsidRPr="00AB51AA">
          <w:rPr>
            <w:rStyle w:val="Hyperlink"/>
            <w:noProof/>
          </w:rPr>
          <w:t xml:space="preserve">Permitted use of </w:t>
        </w:r>
        <w:r w:rsidR="00D6577C" w:rsidRPr="00AB51AA">
          <w:rPr>
            <w:rStyle w:val="Hyperlink"/>
            <w:noProof/>
            <w:lang w:val="en-AU"/>
          </w:rPr>
          <w:t>2′-FL</w:t>
        </w:r>
        <w:r w:rsidR="00D6577C">
          <w:rPr>
            <w:noProof/>
            <w:webHidden/>
          </w:rPr>
          <w:tab/>
        </w:r>
        <w:r w:rsidR="00D6577C">
          <w:rPr>
            <w:noProof/>
            <w:webHidden/>
          </w:rPr>
          <w:fldChar w:fldCharType="begin"/>
        </w:r>
        <w:r w:rsidR="00D6577C">
          <w:rPr>
            <w:noProof/>
            <w:webHidden/>
          </w:rPr>
          <w:instrText xml:space="preserve"> PAGEREF _Toc77338779 \h </w:instrText>
        </w:r>
        <w:r w:rsidR="00D6577C">
          <w:rPr>
            <w:noProof/>
            <w:webHidden/>
          </w:rPr>
        </w:r>
        <w:r w:rsidR="00D6577C">
          <w:rPr>
            <w:noProof/>
            <w:webHidden/>
          </w:rPr>
          <w:fldChar w:fldCharType="separate"/>
        </w:r>
        <w:r w:rsidR="00D6577C">
          <w:rPr>
            <w:noProof/>
            <w:webHidden/>
          </w:rPr>
          <w:t>15</w:t>
        </w:r>
        <w:r w:rsidR="00D6577C">
          <w:rPr>
            <w:noProof/>
            <w:webHidden/>
          </w:rPr>
          <w:fldChar w:fldCharType="end"/>
        </w:r>
      </w:hyperlink>
    </w:p>
    <w:p w14:paraId="702B61DF" w14:textId="15751DA0" w:rsidR="00D6577C" w:rsidRDefault="00194DE3">
      <w:pPr>
        <w:pStyle w:val="TOC2"/>
        <w:tabs>
          <w:tab w:val="left" w:pos="880"/>
          <w:tab w:val="right" w:leader="dot" w:pos="9062"/>
        </w:tabs>
        <w:rPr>
          <w:rFonts w:eastAsiaTheme="minorEastAsia" w:cstheme="minorBidi"/>
          <w:smallCaps w:val="0"/>
          <w:noProof/>
          <w:sz w:val="22"/>
          <w:szCs w:val="22"/>
          <w:lang w:eastAsia="en-GB" w:bidi="ar-SA"/>
        </w:rPr>
      </w:pPr>
      <w:hyperlink w:anchor="_Toc77338780" w:history="1">
        <w:r w:rsidR="00D6577C" w:rsidRPr="00AB51AA">
          <w:rPr>
            <w:rStyle w:val="Hyperlink"/>
            <w:noProof/>
          </w:rPr>
          <w:t>3.4</w:t>
        </w:r>
        <w:r w:rsidR="00D6577C">
          <w:rPr>
            <w:rFonts w:eastAsiaTheme="minorEastAsia" w:cstheme="minorBidi"/>
            <w:smallCaps w:val="0"/>
            <w:noProof/>
            <w:sz w:val="22"/>
            <w:szCs w:val="22"/>
            <w:lang w:eastAsia="en-GB" w:bidi="ar-SA"/>
          </w:rPr>
          <w:tab/>
        </w:r>
        <w:r w:rsidR="00D6577C" w:rsidRPr="00AB51AA">
          <w:rPr>
            <w:rStyle w:val="Hyperlink"/>
            <w:noProof/>
          </w:rPr>
          <w:t>Common substance names for 2′-FL</w:t>
        </w:r>
        <w:r w:rsidR="00D6577C">
          <w:rPr>
            <w:noProof/>
            <w:webHidden/>
          </w:rPr>
          <w:tab/>
        </w:r>
        <w:r w:rsidR="00D6577C">
          <w:rPr>
            <w:noProof/>
            <w:webHidden/>
          </w:rPr>
          <w:fldChar w:fldCharType="begin"/>
        </w:r>
        <w:r w:rsidR="00D6577C">
          <w:rPr>
            <w:noProof/>
            <w:webHidden/>
          </w:rPr>
          <w:instrText xml:space="preserve"> PAGEREF _Toc77338780 \h </w:instrText>
        </w:r>
        <w:r w:rsidR="00D6577C">
          <w:rPr>
            <w:noProof/>
            <w:webHidden/>
          </w:rPr>
        </w:r>
        <w:r w:rsidR="00D6577C">
          <w:rPr>
            <w:noProof/>
            <w:webHidden/>
          </w:rPr>
          <w:fldChar w:fldCharType="separate"/>
        </w:r>
        <w:r w:rsidR="00D6577C">
          <w:rPr>
            <w:noProof/>
            <w:webHidden/>
          </w:rPr>
          <w:t>15</w:t>
        </w:r>
        <w:r w:rsidR="00D6577C">
          <w:rPr>
            <w:noProof/>
            <w:webHidden/>
          </w:rPr>
          <w:fldChar w:fldCharType="end"/>
        </w:r>
      </w:hyperlink>
    </w:p>
    <w:p w14:paraId="4B56ABA9" w14:textId="0A0AC17B" w:rsidR="00D6577C" w:rsidRDefault="00194DE3">
      <w:pPr>
        <w:pStyle w:val="TOC2"/>
        <w:tabs>
          <w:tab w:val="left" w:pos="880"/>
          <w:tab w:val="right" w:leader="dot" w:pos="9062"/>
        </w:tabs>
        <w:rPr>
          <w:rFonts w:eastAsiaTheme="minorEastAsia" w:cstheme="minorBidi"/>
          <w:smallCaps w:val="0"/>
          <w:noProof/>
          <w:sz w:val="22"/>
          <w:szCs w:val="22"/>
          <w:lang w:eastAsia="en-GB" w:bidi="ar-SA"/>
        </w:rPr>
      </w:pPr>
      <w:hyperlink w:anchor="_Toc77338781" w:history="1">
        <w:r w:rsidR="00D6577C" w:rsidRPr="00AB51AA">
          <w:rPr>
            <w:rStyle w:val="Hyperlink"/>
            <w:noProof/>
          </w:rPr>
          <w:t>3.5</w:t>
        </w:r>
        <w:r w:rsidR="00D6577C">
          <w:rPr>
            <w:rFonts w:eastAsiaTheme="minorEastAsia" w:cstheme="minorBidi"/>
            <w:smallCaps w:val="0"/>
            <w:noProof/>
            <w:sz w:val="22"/>
            <w:szCs w:val="22"/>
            <w:lang w:eastAsia="en-GB" w:bidi="ar-SA"/>
          </w:rPr>
          <w:tab/>
        </w:r>
        <w:r w:rsidR="00D6577C" w:rsidRPr="00AB51AA">
          <w:rPr>
            <w:rStyle w:val="Hyperlink"/>
            <w:noProof/>
          </w:rPr>
          <w:t>Exclusivity</w:t>
        </w:r>
        <w:r w:rsidR="00D6577C">
          <w:rPr>
            <w:noProof/>
            <w:webHidden/>
          </w:rPr>
          <w:tab/>
        </w:r>
        <w:r w:rsidR="00D6577C">
          <w:rPr>
            <w:noProof/>
            <w:webHidden/>
          </w:rPr>
          <w:fldChar w:fldCharType="begin"/>
        </w:r>
        <w:r w:rsidR="00D6577C">
          <w:rPr>
            <w:noProof/>
            <w:webHidden/>
          </w:rPr>
          <w:instrText xml:space="preserve"> PAGEREF _Toc77338781 \h </w:instrText>
        </w:r>
        <w:r w:rsidR="00D6577C">
          <w:rPr>
            <w:noProof/>
            <w:webHidden/>
          </w:rPr>
        </w:r>
        <w:r w:rsidR="00D6577C">
          <w:rPr>
            <w:noProof/>
            <w:webHidden/>
          </w:rPr>
          <w:fldChar w:fldCharType="separate"/>
        </w:r>
        <w:r w:rsidR="00D6577C">
          <w:rPr>
            <w:noProof/>
            <w:webHidden/>
          </w:rPr>
          <w:t>15</w:t>
        </w:r>
        <w:r w:rsidR="00D6577C">
          <w:rPr>
            <w:noProof/>
            <w:webHidden/>
          </w:rPr>
          <w:fldChar w:fldCharType="end"/>
        </w:r>
      </w:hyperlink>
    </w:p>
    <w:p w14:paraId="570451C7" w14:textId="1D06C3E0" w:rsidR="00D6577C" w:rsidRDefault="00194DE3">
      <w:pPr>
        <w:pStyle w:val="TOC2"/>
        <w:tabs>
          <w:tab w:val="left" w:pos="880"/>
          <w:tab w:val="right" w:leader="dot" w:pos="9062"/>
        </w:tabs>
        <w:rPr>
          <w:rFonts w:eastAsiaTheme="minorEastAsia" w:cstheme="minorBidi"/>
          <w:smallCaps w:val="0"/>
          <w:noProof/>
          <w:sz w:val="22"/>
          <w:szCs w:val="22"/>
          <w:lang w:eastAsia="en-GB" w:bidi="ar-SA"/>
        </w:rPr>
      </w:pPr>
      <w:hyperlink w:anchor="_Toc77338782" w:history="1">
        <w:r w:rsidR="00D6577C" w:rsidRPr="00AB51AA">
          <w:rPr>
            <w:rStyle w:val="Hyperlink"/>
            <w:noProof/>
          </w:rPr>
          <w:t>3.6</w:t>
        </w:r>
        <w:r w:rsidR="00D6577C">
          <w:rPr>
            <w:rFonts w:eastAsiaTheme="minorEastAsia" w:cstheme="minorBidi"/>
            <w:smallCaps w:val="0"/>
            <w:noProof/>
            <w:sz w:val="22"/>
            <w:szCs w:val="22"/>
            <w:lang w:eastAsia="en-GB" w:bidi="ar-SA"/>
          </w:rPr>
          <w:tab/>
        </w:r>
        <w:r w:rsidR="00D6577C" w:rsidRPr="00AB51AA">
          <w:rPr>
            <w:rStyle w:val="Hyperlink"/>
            <w:noProof/>
          </w:rPr>
          <w:t>Risk management conclusion</w:t>
        </w:r>
        <w:r w:rsidR="00D6577C">
          <w:rPr>
            <w:noProof/>
            <w:webHidden/>
          </w:rPr>
          <w:tab/>
        </w:r>
        <w:r w:rsidR="00D6577C">
          <w:rPr>
            <w:noProof/>
            <w:webHidden/>
          </w:rPr>
          <w:fldChar w:fldCharType="begin"/>
        </w:r>
        <w:r w:rsidR="00D6577C">
          <w:rPr>
            <w:noProof/>
            <w:webHidden/>
          </w:rPr>
          <w:instrText xml:space="preserve"> PAGEREF _Toc77338782 \h </w:instrText>
        </w:r>
        <w:r w:rsidR="00D6577C">
          <w:rPr>
            <w:noProof/>
            <w:webHidden/>
          </w:rPr>
        </w:r>
        <w:r w:rsidR="00D6577C">
          <w:rPr>
            <w:noProof/>
            <w:webHidden/>
          </w:rPr>
          <w:fldChar w:fldCharType="separate"/>
        </w:r>
        <w:r w:rsidR="00D6577C">
          <w:rPr>
            <w:noProof/>
            <w:webHidden/>
          </w:rPr>
          <w:t>16</w:t>
        </w:r>
        <w:r w:rsidR="00D6577C">
          <w:rPr>
            <w:noProof/>
            <w:webHidden/>
          </w:rPr>
          <w:fldChar w:fldCharType="end"/>
        </w:r>
      </w:hyperlink>
    </w:p>
    <w:p w14:paraId="5BC221E6" w14:textId="1B9FAD7C" w:rsidR="00D6577C" w:rsidRDefault="00194DE3">
      <w:pPr>
        <w:pStyle w:val="TOC1"/>
        <w:tabs>
          <w:tab w:val="left" w:pos="440"/>
          <w:tab w:val="right" w:leader="dot" w:pos="9062"/>
        </w:tabs>
        <w:rPr>
          <w:rFonts w:eastAsiaTheme="minorEastAsia" w:cstheme="minorBidi"/>
          <w:b w:val="0"/>
          <w:bCs w:val="0"/>
          <w:caps w:val="0"/>
          <w:noProof/>
          <w:sz w:val="22"/>
          <w:szCs w:val="22"/>
          <w:lang w:eastAsia="en-GB" w:bidi="ar-SA"/>
        </w:rPr>
      </w:pPr>
      <w:hyperlink w:anchor="_Toc77338783" w:history="1">
        <w:r w:rsidR="00D6577C" w:rsidRPr="00AB51AA">
          <w:rPr>
            <w:rStyle w:val="Hyperlink"/>
            <w:noProof/>
          </w:rPr>
          <w:t>4</w:t>
        </w:r>
        <w:r w:rsidR="00D6577C">
          <w:rPr>
            <w:rFonts w:eastAsiaTheme="minorEastAsia" w:cstheme="minorBidi"/>
            <w:b w:val="0"/>
            <w:bCs w:val="0"/>
            <w:caps w:val="0"/>
            <w:noProof/>
            <w:sz w:val="22"/>
            <w:szCs w:val="22"/>
            <w:lang w:eastAsia="en-GB" w:bidi="ar-SA"/>
          </w:rPr>
          <w:tab/>
        </w:r>
        <w:r w:rsidR="00D6577C" w:rsidRPr="00AB51AA">
          <w:rPr>
            <w:rStyle w:val="Hyperlink"/>
            <w:noProof/>
          </w:rPr>
          <w:t>Risk communication</w:t>
        </w:r>
        <w:r w:rsidR="00D6577C">
          <w:rPr>
            <w:noProof/>
            <w:webHidden/>
          </w:rPr>
          <w:tab/>
        </w:r>
        <w:r w:rsidR="00D6577C">
          <w:rPr>
            <w:noProof/>
            <w:webHidden/>
          </w:rPr>
          <w:fldChar w:fldCharType="begin"/>
        </w:r>
        <w:r w:rsidR="00D6577C">
          <w:rPr>
            <w:noProof/>
            <w:webHidden/>
          </w:rPr>
          <w:instrText xml:space="preserve"> PAGEREF _Toc77338783 \h </w:instrText>
        </w:r>
        <w:r w:rsidR="00D6577C">
          <w:rPr>
            <w:noProof/>
            <w:webHidden/>
          </w:rPr>
        </w:r>
        <w:r w:rsidR="00D6577C">
          <w:rPr>
            <w:noProof/>
            <w:webHidden/>
          </w:rPr>
          <w:fldChar w:fldCharType="separate"/>
        </w:r>
        <w:r w:rsidR="00D6577C">
          <w:rPr>
            <w:noProof/>
            <w:webHidden/>
          </w:rPr>
          <w:t>16</w:t>
        </w:r>
        <w:r w:rsidR="00D6577C">
          <w:rPr>
            <w:noProof/>
            <w:webHidden/>
          </w:rPr>
          <w:fldChar w:fldCharType="end"/>
        </w:r>
      </w:hyperlink>
    </w:p>
    <w:p w14:paraId="419B4FE4" w14:textId="25CDED56" w:rsidR="00D6577C" w:rsidRDefault="00194DE3">
      <w:pPr>
        <w:pStyle w:val="TOC2"/>
        <w:tabs>
          <w:tab w:val="left" w:pos="880"/>
          <w:tab w:val="right" w:leader="dot" w:pos="9062"/>
        </w:tabs>
        <w:rPr>
          <w:rFonts w:eastAsiaTheme="minorEastAsia" w:cstheme="minorBidi"/>
          <w:smallCaps w:val="0"/>
          <w:noProof/>
          <w:sz w:val="22"/>
          <w:szCs w:val="22"/>
          <w:lang w:eastAsia="en-GB" w:bidi="ar-SA"/>
        </w:rPr>
      </w:pPr>
      <w:hyperlink w:anchor="_Toc77338784" w:history="1">
        <w:r w:rsidR="00D6577C" w:rsidRPr="00AB51AA">
          <w:rPr>
            <w:rStyle w:val="Hyperlink"/>
            <w:noProof/>
          </w:rPr>
          <w:t>4.1</w:t>
        </w:r>
        <w:r w:rsidR="00D6577C">
          <w:rPr>
            <w:rFonts w:eastAsiaTheme="minorEastAsia" w:cstheme="minorBidi"/>
            <w:smallCaps w:val="0"/>
            <w:noProof/>
            <w:sz w:val="22"/>
            <w:szCs w:val="22"/>
            <w:lang w:eastAsia="en-GB" w:bidi="ar-SA"/>
          </w:rPr>
          <w:tab/>
        </w:r>
        <w:r w:rsidR="00D6577C" w:rsidRPr="00AB51AA">
          <w:rPr>
            <w:rStyle w:val="Hyperlink"/>
            <w:noProof/>
          </w:rPr>
          <w:t>Consultation</w:t>
        </w:r>
        <w:r w:rsidR="00D6577C">
          <w:rPr>
            <w:noProof/>
            <w:webHidden/>
          </w:rPr>
          <w:tab/>
        </w:r>
        <w:r w:rsidR="00D6577C">
          <w:rPr>
            <w:noProof/>
            <w:webHidden/>
          </w:rPr>
          <w:fldChar w:fldCharType="begin"/>
        </w:r>
        <w:r w:rsidR="00D6577C">
          <w:rPr>
            <w:noProof/>
            <w:webHidden/>
          </w:rPr>
          <w:instrText xml:space="preserve"> PAGEREF _Toc77338784 \h </w:instrText>
        </w:r>
        <w:r w:rsidR="00D6577C">
          <w:rPr>
            <w:noProof/>
            <w:webHidden/>
          </w:rPr>
        </w:r>
        <w:r w:rsidR="00D6577C">
          <w:rPr>
            <w:noProof/>
            <w:webHidden/>
          </w:rPr>
          <w:fldChar w:fldCharType="separate"/>
        </w:r>
        <w:r w:rsidR="00D6577C">
          <w:rPr>
            <w:noProof/>
            <w:webHidden/>
          </w:rPr>
          <w:t>16</w:t>
        </w:r>
        <w:r w:rsidR="00D6577C">
          <w:rPr>
            <w:noProof/>
            <w:webHidden/>
          </w:rPr>
          <w:fldChar w:fldCharType="end"/>
        </w:r>
      </w:hyperlink>
    </w:p>
    <w:p w14:paraId="7E54C7C6" w14:textId="50C0C513" w:rsidR="00D6577C" w:rsidRDefault="00194DE3">
      <w:pPr>
        <w:pStyle w:val="TOC2"/>
        <w:tabs>
          <w:tab w:val="left" w:pos="880"/>
          <w:tab w:val="right" w:leader="dot" w:pos="9062"/>
        </w:tabs>
        <w:rPr>
          <w:rFonts w:eastAsiaTheme="minorEastAsia" w:cstheme="minorBidi"/>
          <w:smallCaps w:val="0"/>
          <w:noProof/>
          <w:sz w:val="22"/>
          <w:szCs w:val="22"/>
          <w:lang w:eastAsia="en-GB" w:bidi="ar-SA"/>
        </w:rPr>
      </w:pPr>
      <w:hyperlink w:anchor="_Toc77338785" w:history="1">
        <w:r w:rsidR="00D6577C" w:rsidRPr="00AB51AA">
          <w:rPr>
            <w:rStyle w:val="Hyperlink"/>
            <w:noProof/>
          </w:rPr>
          <w:t>4.2</w:t>
        </w:r>
        <w:r w:rsidR="00D6577C">
          <w:rPr>
            <w:rFonts w:eastAsiaTheme="minorEastAsia" w:cstheme="minorBidi"/>
            <w:smallCaps w:val="0"/>
            <w:noProof/>
            <w:sz w:val="22"/>
            <w:szCs w:val="22"/>
            <w:lang w:eastAsia="en-GB" w:bidi="ar-SA"/>
          </w:rPr>
          <w:tab/>
        </w:r>
        <w:r w:rsidR="00D6577C" w:rsidRPr="00AB51AA">
          <w:rPr>
            <w:rStyle w:val="Hyperlink"/>
            <w:noProof/>
          </w:rPr>
          <w:t>World Trade Organization (WTO)</w:t>
        </w:r>
        <w:r w:rsidR="00D6577C">
          <w:rPr>
            <w:noProof/>
            <w:webHidden/>
          </w:rPr>
          <w:tab/>
        </w:r>
        <w:r w:rsidR="00D6577C">
          <w:rPr>
            <w:noProof/>
            <w:webHidden/>
          </w:rPr>
          <w:fldChar w:fldCharType="begin"/>
        </w:r>
        <w:r w:rsidR="00D6577C">
          <w:rPr>
            <w:noProof/>
            <w:webHidden/>
          </w:rPr>
          <w:instrText xml:space="preserve"> PAGEREF _Toc77338785 \h </w:instrText>
        </w:r>
        <w:r w:rsidR="00D6577C">
          <w:rPr>
            <w:noProof/>
            <w:webHidden/>
          </w:rPr>
        </w:r>
        <w:r w:rsidR="00D6577C">
          <w:rPr>
            <w:noProof/>
            <w:webHidden/>
          </w:rPr>
          <w:fldChar w:fldCharType="separate"/>
        </w:r>
        <w:r w:rsidR="00D6577C">
          <w:rPr>
            <w:noProof/>
            <w:webHidden/>
          </w:rPr>
          <w:t>16</w:t>
        </w:r>
        <w:r w:rsidR="00D6577C">
          <w:rPr>
            <w:noProof/>
            <w:webHidden/>
          </w:rPr>
          <w:fldChar w:fldCharType="end"/>
        </w:r>
      </w:hyperlink>
    </w:p>
    <w:p w14:paraId="1580F0FE" w14:textId="78398933" w:rsidR="00D6577C" w:rsidRDefault="00194DE3">
      <w:pPr>
        <w:pStyle w:val="TOC1"/>
        <w:tabs>
          <w:tab w:val="left" w:pos="440"/>
          <w:tab w:val="right" w:leader="dot" w:pos="9062"/>
        </w:tabs>
        <w:rPr>
          <w:rFonts w:eastAsiaTheme="minorEastAsia" w:cstheme="minorBidi"/>
          <w:b w:val="0"/>
          <w:bCs w:val="0"/>
          <w:caps w:val="0"/>
          <w:noProof/>
          <w:sz w:val="22"/>
          <w:szCs w:val="22"/>
          <w:lang w:eastAsia="en-GB" w:bidi="ar-SA"/>
        </w:rPr>
      </w:pPr>
      <w:hyperlink w:anchor="_Toc77338786" w:history="1">
        <w:r w:rsidR="00D6577C" w:rsidRPr="00AB51AA">
          <w:rPr>
            <w:rStyle w:val="Hyperlink"/>
            <w:noProof/>
          </w:rPr>
          <w:t>5</w:t>
        </w:r>
        <w:r w:rsidR="00D6577C">
          <w:rPr>
            <w:rFonts w:eastAsiaTheme="minorEastAsia" w:cstheme="minorBidi"/>
            <w:b w:val="0"/>
            <w:bCs w:val="0"/>
            <w:caps w:val="0"/>
            <w:noProof/>
            <w:sz w:val="22"/>
            <w:szCs w:val="22"/>
            <w:lang w:eastAsia="en-GB" w:bidi="ar-SA"/>
          </w:rPr>
          <w:tab/>
        </w:r>
        <w:r w:rsidR="00D6577C" w:rsidRPr="00AB51AA">
          <w:rPr>
            <w:rStyle w:val="Hyperlink"/>
            <w:noProof/>
          </w:rPr>
          <w:t>FSANZ Act assessment requirements</w:t>
        </w:r>
        <w:r w:rsidR="00D6577C">
          <w:rPr>
            <w:noProof/>
            <w:webHidden/>
          </w:rPr>
          <w:tab/>
        </w:r>
        <w:r w:rsidR="00D6577C">
          <w:rPr>
            <w:noProof/>
            <w:webHidden/>
          </w:rPr>
          <w:fldChar w:fldCharType="begin"/>
        </w:r>
        <w:r w:rsidR="00D6577C">
          <w:rPr>
            <w:noProof/>
            <w:webHidden/>
          </w:rPr>
          <w:instrText xml:space="preserve"> PAGEREF _Toc77338786 \h </w:instrText>
        </w:r>
        <w:r w:rsidR="00D6577C">
          <w:rPr>
            <w:noProof/>
            <w:webHidden/>
          </w:rPr>
        </w:r>
        <w:r w:rsidR="00D6577C">
          <w:rPr>
            <w:noProof/>
            <w:webHidden/>
          </w:rPr>
          <w:fldChar w:fldCharType="separate"/>
        </w:r>
        <w:r w:rsidR="00D6577C">
          <w:rPr>
            <w:noProof/>
            <w:webHidden/>
          </w:rPr>
          <w:t>17</w:t>
        </w:r>
        <w:r w:rsidR="00D6577C">
          <w:rPr>
            <w:noProof/>
            <w:webHidden/>
          </w:rPr>
          <w:fldChar w:fldCharType="end"/>
        </w:r>
      </w:hyperlink>
    </w:p>
    <w:p w14:paraId="0EA9EFB5" w14:textId="118AC721" w:rsidR="00D6577C" w:rsidRDefault="00194DE3">
      <w:pPr>
        <w:pStyle w:val="TOC2"/>
        <w:tabs>
          <w:tab w:val="left" w:pos="880"/>
          <w:tab w:val="right" w:leader="dot" w:pos="9062"/>
        </w:tabs>
        <w:rPr>
          <w:rFonts w:eastAsiaTheme="minorEastAsia" w:cstheme="minorBidi"/>
          <w:smallCaps w:val="0"/>
          <w:noProof/>
          <w:sz w:val="22"/>
          <w:szCs w:val="22"/>
          <w:lang w:eastAsia="en-GB" w:bidi="ar-SA"/>
        </w:rPr>
      </w:pPr>
      <w:hyperlink w:anchor="_Toc77338787" w:history="1">
        <w:r w:rsidR="00D6577C" w:rsidRPr="00AB51AA">
          <w:rPr>
            <w:rStyle w:val="Hyperlink"/>
            <w:noProof/>
          </w:rPr>
          <w:t>5.1</w:t>
        </w:r>
        <w:r w:rsidR="00D6577C">
          <w:rPr>
            <w:rFonts w:eastAsiaTheme="minorEastAsia" w:cstheme="minorBidi"/>
            <w:smallCaps w:val="0"/>
            <w:noProof/>
            <w:sz w:val="22"/>
            <w:szCs w:val="22"/>
            <w:lang w:eastAsia="en-GB" w:bidi="ar-SA"/>
          </w:rPr>
          <w:tab/>
        </w:r>
        <w:r w:rsidR="00D6577C" w:rsidRPr="00AB51AA">
          <w:rPr>
            <w:rStyle w:val="Hyperlink"/>
            <w:noProof/>
          </w:rPr>
          <w:t>Section 29</w:t>
        </w:r>
        <w:r w:rsidR="00D6577C">
          <w:rPr>
            <w:noProof/>
            <w:webHidden/>
          </w:rPr>
          <w:tab/>
        </w:r>
        <w:r w:rsidR="00D6577C">
          <w:rPr>
            <w:noProof/>
            <w:webHidden/>
          </w:rPr>
          <w:fldChar w:fldCharType="begin"/>
        </w:r>
        <w:r w:rsidR="00D6577C">
          <w:rPr>
            <w:noProof/>
            <w:webHidden/>
          </w:rPr>
          <w:instrText xml:space="preserve"> PAGEREF _Toc77338787 \h </w:instrText>
        </w:r>
        <w:r w:rsidR="00D6577C">
          <w:rPr>
            <w:noProof/>
            <w:webHidden/>
          </w:rPr>
        </w:r>
        <w:r w:rsidR="00D6577C">
          <w:rPr>
            <w:noProof/>
            <w:webHidden/>
          </w:rPr>
          <w:fldChar w:fldCharType="separate"/>
        </w:r>
        <w:r w:rsidR="00D6577C">
          <w:rPr>
            <w:noProof/>
            <w:webHidden/>
          </w:rPr>
          <w:t>17</w:t>
        </w:r>
        <w:r w:rsidR="00D6577C">
          <w:rPr>
            <w:noProof/>
            <w:webHidden/>
          </w:rPr>
          <w:fldChar w:fldCharType="end"/>
        </w:r>
      </w:hyperlink>
    </w:p>
    <w:p w14:paraId="285DA568" w14:textId="401FC325" w:rsidR="00D6577C" w:rsidRDefault="00194DE3">
      <w:pPr>
        <w:pStyle w:val="TOC3"/>
        <w:tabs>
          <w:tab w:val="left" w:pos="1100"/>
          <w:tab w:val="right" w:leader="dot" w:pos="9062"/>
        </w:tabs>
        <w:rPr>
          <w:rFonts w:eastAsiaTheme="minorEastAsia" w:cstheme="minorBidi"/>
          <w:i w:val="0"/>
          <w:iCs w:val="0"/>
          <w:noProof/>
          <w:sz w:val="22"/>
          <w:szCs w:val="22"/>
          <w:lang w:eastAsia="en-GB" w:bidi="ar-SA"/>
        </w:rPr>
      </w:pPr>
      <w:hyperlink w:anchor="_Toc77338788" w:history="1">
        <w:r w:rsidR="00D6577C" w:rsidRPr="00AB51AA">
          <w:rPr>
            <w:rStyle w:val="Hyperlink"/>
            <w:noProof/>
          </w:rPr>
          <w:t>5.1.1</w:t>
        </w:r>
        <w:r w:rsidR="00D6577C">
          <w:rPr>
            <w:rFonts w:eastAsiaTheme="minorEastAsia" w:cstheme="minorBidi"/>
            <w:i w:val="0"/>
            <w:iCs w:val="0"/>
            <w:noProof/>
            <w:sz w:val="22"/>
            <w:szCs w:val="22"/>
            <w:lang w:eastAsia="en-GB" w:bidi="ar-SA"/>
          </w:rPr>
          <w:tab/>
        </w:r>
        <w:r w:rsidR="00D6577C" w:rsidRPr="00AB51AA">
          <w:rPr>
            <w:rStyle w:val="Hyperlink"/>
            <w:noProof/>
          </w:rPr>
          <w:t>Co</w:t>
        </w:r>
        <w:r w:rsidR="00D6577C" w:rsidRPr="00AB51AA">
          <w:rPr>
            <w:rStyle w:val="Hyperlink"/>
            <w:noProof/>
            <w:lang w:val="en-AU"/>
          </w:rPr>
          <w:t>nsideration of costs and benefits</w:t>
        </w:r>
        <w:r w:rsidR="00D6577C">
          <w:rPr>
            <w:noProof/>
            <w:webHidden/>
          </w:rPr>
          <w:tab/>
        </w:r>
        <w:r w:rsidR="00D6577C">
          <w:rPr>
            <w:noProof/>
            <w:webHidden/>
          </w:rPr>
          <w:fldChar w:fldCharType="begin"/>
        </w:r>
        <w:r w:rsidR="00D6577C">
          <w:rPr>
            <w:noProof/>
            <w:webHidden/>
          </w:rPr>
          <w:instrText xml:space="preserve"> PAGEREF _Toc77338788 \h </w:instrText>
        </w:r>
        <w:r w:rsidR="00D6577C">
          <w:rPr>
            <w:noProof/>
            <w:webHidden/>
          </w:rPr>
        </w:r>
        <w:r w:rsidR="00D6577C">
          <w:rPr>
            <w:noProof/>
            <w:webHidden/>
          </w:rPr>
          <w:fldChar w:fldCharType="separate"/>
        </w:r>
        <w:r w:rsidR="00D6577C">
          <w:rPr>
            <w:noProof/>
            <w:webHidden/>
          </w:rPr>
          <w:t>17</w:t>
        </w:r>
        <w:r w:rsidR="00D6577C">
          <w:rPr>
            <w:noProof/>
            <w:webHidden/>
          </w:rPr>
          <w:fldChar w:fldCharType="end"/>
        </w:r>
      </w:hyperlink>
    </w:p>
    <w:p w14:paraId="2B9F5888" w14:textId="53148981" w:rsidR="00D6577C" w:rsidRDefault="00194DE3">
      <w:pPr>
        <w:pStyle w:val="TOC3"/>
        <w:tabs>
          <w:tab w:val="left" w:pos="1100"/>
          <w:tab w:val="right" w:leader="dot" w:pos="9062"/>
        </w:tabs>
        <w:rPr>
          <w:rFonts w:eastAsiaTheme="minorEastAsia" w:cstheme="minorBidi"/>
          <w:i w:val="0"/>
          <w:iCs w:val="0"/>
          <w:noProof/>
          <w:sz w:val="22"/>
          <w:szCs w:val="22"/>
          <w:lang w:eastAsia="en-GB" w:bidi="ar-SA"/>
        </w:rPr>
      </w:pPr>
      <w:hyperlink w:anchor="_Toc77338789" w:history="1">
        <w:r w:rsidR="00D6577C" w:rsidRPr="00AB51AA">
          <w:rPr>
            <w:rStyle w:val="Hyperlink"/>
            <w:noProof/>
          </w:rPr>
          <w:t>5.1.2</w:t>
        </w:r>
        <w:r w:rsidR="00D6577C">
          <w:rPr>
            <w:rFonts w:eastAsiaTheme="minorEastAsia" w:cstheme="minorBidi"/>
            <w:i w:val="0"/>
            <w:iCs w:val="0"/>
            <w:noProof/>
            <w:sz w:val="22"/>
            <w:szCs w:val="22"/>
            <w:lang w:eastAsia="en-GB" w:bidi="ar-SA"/>
          </w:rPr>
          <w:tab/>
        </w:r>
        <w:r w:rsidR="00D6577C" w:rsidRPr="00AB51AA">
          <w:rPr>
            <w:rStyle w:val="Hyperlink"/>
            <w:noProof/>
          </w:rPr>
          <w:t>Other measures</w:t>
        </w:r>
        <w:r w:rsidR="00D6577C">
          <w:rPr>
            <w:noProof/>
            <w:webHidden/>
          </w:rPr>
          <w:tab/>
        </w:r>
        <w:r w:rsidR="00D6577C">
          <w:rPr>
            <w:noProof/>
            <w:webHidden/>
          </w:rPr>
          <w:fldChar w:fldCharType="begin"/>
        </w:r>
        <w:r w:rsidR="00D6577C">
          <w:rPr>
            <w:noProof/>
            <w:webHidden/>
          </w:rPr>
          <w:instrText xml:space="preserve"> PAGEREF _Toc77338789 \h </w:instrText>
        </w:r>
        <w:r w:rsidR="00D6577C">
          <w:rPr>
            <w:noProof/>
            <w:webHidden/>
          </w:rPr>
        </w:r>
        <w:r w:rsidR="00D6577C">
          <w:rPr>
            <w:noProof/>
            <w:webHidden/>
          </w:rPr>
          <w:fldChar w:fldCharType="separate"/>
        </w:r>
        <w:r w:rsidR="00D6577C">
          <w:rPr>
            <w:noProof/>
            <w:webHidden/>
          </w:rPr>
          <w:t>19</w:t>
        </w:r>
        <w:r w:rsidR="00D6577C">
          <w:rPr>
            <w:noProof/>
            <w:webHidden/>
          </w:rPr>
          <w:fldChar w:fldCharType="end"/>
        </w:r>
      </w:hyperlink>
    </w:p>
    <w:p w14:paraId="1B141367" w14:textId="70D95091" w:rsidR="00D6577C" w:rsidRDefault="00194DE3">
      <w:pPr>
        <w:pStyle w:val="TOC2"/>
        <w:tabs>
          <w:tab w:val="left" w:pos="880"/>
          <w:tab w:val="right" w:leader="dot" w:pos="9062"/>
        </w:tabs>
        <w:rPr>
          <w:rFonts w:eastAsiaTheme="minorEastAsia" w:cstheme="minorBidi"/>
          <w:smallCaps w:val="0"/>
          <w:noProof/>
          <w:sz w:val="22"/>
          <w:szCs w:val="22"/>
          <w:lang w:eastAsia="en-GB" w:bidi="ar-SA"/>
        </w:rPr>
      </w:pPr>
      <w:hyperlink w:anchor="_Toc77338790" w:history="1">
        <w:r w:rsidR="00D6577C" w:rsidRPr="00AB51AA">
          <w:rPr>
            <w:rStyle w:val="Hyperlink"/>
            <w:noProof/>
          </w:rPr>
          <w:t>5.2.</w:t>
        </w:r>
        <w:r w:rsidR="00D6577C">
          <w:rPr>
            <w:rFonts w:eastAsiaTheme="minorEastAsia" w:cstheme="minorBidi"/>
            <w:smallCaps w:val="0"/>
            <w:noProof/>
            <w:sz w:val="22"/>
            <w:szCs w:val="22"/>
            <w:lang w:eastAsia="en-GB" w:bidi="ar-SA"/>
          </w:rPr>
          <w:tab/>
        </w:r>
        <w:r w:rsidR="00D6577C" w:rsidRPr="00AB51AA">
          <w:rPr>
            <w:rStyle w:val="Hyperlink"/>
            <w:noProof/>
          </w:rPr>
          <w:t>Subsection 18(1)</w:t>
        </w:r>
        <w:r w:rsidR="00D6577C">
          <w:rPr>
            <w:noProof/>
            <w:webHidden/>
          </w:rPr>
          <w:tab/>
        </w:r>
        <w:r w:rsidR="00D6577C">
          <w:rPr>
            <w:noProof/>
            <w:webHidden/>
          </w:rPr>
          <w:fldChar w:fldCharType="begin"/>
        </w:r>
        <w:r w:rsidR="00D6577C">
          <w:rPr>
            <w:noProof/>
            <w:webHidden/>
          </w:rPr>
          <w:instrText xml:space="preserve"> PAGEREF _Toc77338790 \h </w:instrText>
        </w:r>
        <w:r w:rsidR="00D6577C">
          <w:rPr>
            <w:noProof/>
            <w:webHidden/>
          </w:rPr>
        </w:r>
        <w:r w:rsidR="00D6577C">
          <w:rPr>
            <w:noProof/>
            <w:webHidden/>
          </w:rPr>
          <w:fldChar w:fldCharType="separate"/>
        </w:r>
        <w:r w:rsidR="00D6577C">
          <w:rPr>
            <w:noProof/>
            <w:webHidden/>
          </w:rPr>
          <w:t>19</w:t>
        </w:r>
        <w:r w:rsidR="00D6577C">
          <w:rPr>
            <w:noProof/>
            <w:webHidden/>
          </w:rPr>
          <w:fldChar w:fldCharType="end"/>
        </w:r>
      </w:hyperlink>
    </w:p>
    <w:p w14:paraId="6C392085" w14:textId="5F7DEEAB" w:rsidR="00D6577C" w:rsidRDefault="00194DE3">
      <w:pPr>
        <w:pStyle w:val="TOC3"/>
        <w:tabs>
          <w:tab w:val="left" w:pos="1100"/>
          <w:tab w:val="right" w:leader="dot" w:pos="9062"/>
        </w:tabs>
        <w:rPr>
          <w:rFonts w:eastAsiaTheme="minorEastAsia" w:cstheme="minorBidi"/>
          <w:i w:val="0"/>
          <w:iCs w:val="0"/>
          <w:noProof/>
          <w:sz w:val="22"/>
          <w:szCs w:val="22"/>
          <w:lang w:eastAsia="en-GB" w:bidi="ar-SA"/>
        </w:rPr>
      </w:pPr>
      <w:hyperlink w:anchor="_Toc77338791" w:history="1">
        <w:r w:rsidR="00D6577C" w:rsidRPr="00AB51AA">
          <w:rPr>
            <w:rStyle w:val="Hyperlink"/>
            <w:noProof/>
          </w:rPr>
          <w:t>5.2.1</w:t>
        </w:r>
        <w:r w:rsidR="00D6577C">
          <w:rPr>
            <w:rFonts w:eastAsiaTheme="minorEastAsia" w:cstheme="minorBidi"/>
            <w:i w:val="0"/>
            <w:iCs w:val="0"/>
            <w:noProof/>
            <w:sz w:val="22"/>
            <w:szCs w:val="22"/>
            <w:lang w:eastAsia="en-GB" w:bidi="ar-SA"/>
          </w:rPr>
          <w:tab/>
        </w:r>
        <w:r w:rsidR="00D6577C" w:rsidRPr="00AB51AA">
          <w:rPr>
            <w:rStyle w:val="Hyperlink"/>
            <w:noProof/>
          </w:rPr>
          <w:t>Protection of public health and safety</w:t>
        </w:r>
        <w:r w:rsidR="00D6577C">
          <w:rPr>
            <w:noProof/>
            <w:webHidden/>
          </w:rPr>
          <w:tab/>
        </w:r>
        <w:r w:rsidR="00D6577C">
          <w:rPr>
            <w:noProof/>
            <w:webHidden/>
          </w:rPr>
          <w:fldChar w:fldCharType="begin"/>
        </w:r>
        <w:r w:rsidR="00D6577C">
          <w:rPr>
            <w:noProof/>
            <w:webHidden/>
          </w:rPr>
          <w:instrText xml:space="preserve"> PAGEREF _Toc77338791 \h </w:instrText>
        </w:r>
        <w:r w:rsidR="00D6577C">
          <w:rPr>
            <w:noProof/>
            <w:webHidden/>
          </w:rPr>
        </w:r>
        <w:r w:rsidR="00D6577C">
          <w:rPr>
            <w:noProof/>
            <w:webHidden/>
          </w:rPr>
          <w:fldChar w:fldCharType="separate"/>
        </w:r>
        <w:r w:rsidR="00D6577C">
          <w:rPr>
            <w:noProof/>
            <w:webHidden/>
          </w:rPr>
          <w:t>19</w:t>
        </w:r>
        <w:r w:rsidR="00D6577C">
          <w:rPr>
            <w:noProof/>
            <w:webHidden/>
          </w:rPr>
          <w:fldChar w:fldCharType="end"/>
        </w:r>
      </w:hyperlink>
    </w:p>
    <w:p w14:paraId="66A180CE" w14:textId="7179C47D" w:rsidR="00D6577C" w:rsidRDefault="00194DE3">
      <w:pPr>
        <w:pStyle w:val="TOC3"/>
        <w:tabs>
          <w:tab w:val="left" w:pos="1100"/>
          <w:tab w:val="right" w:leader="dot" w:pos="9062"/>
        </w:tabs>
        <w:rPr>
          <w:rFonts w:eastAsiaTheme="minorEastAsia" w:cstheme="minorBidi"/>
          <w:i w:val="0"/>
          <w:iCs w:val="0"/>
          <w:noProof/>
          <w:sz w:val="22"/>
          <w:szCs w:val="22"/>
          <w:lang w:eastAsia="en-GB" w:bidi="ar-SA"/>
        </w:rPr>
      </w:pPr>
      <w:hyperlink w:anchor="_Toc77338792" w:history="1">
        <w:r w:rsidR="00D6577C" w:rsidRPr="00AB51AA">
          <w:rPr>
            <w:rStyle w:val="Hyperlink"/>
            <w:noProof/>
          </w:rPr>
          <w:t>5.2.2</w:t>
        </w:r>
        <w:r w:rsidR="00D6577C">
          <w:rPr>
            <w:rFonts w:eastAsiaTheme="minorEastAsia" w:cstheme="minorBidi"/>
            <w:i w:val="0"/>
            <w:iCs w:val="0"/>
            <w:noProof/>
            <w:sz w:val="22"/>
            <w:szCs w:val="22"/>
            <w:lang w:eastAsia="en-GB" w:bidi="ar-SA"/>
          </w:rPr>
          <w:tab/>
        </w:r>
        <w:r w:rsidR="00D6577C" w:rsidRPr="00AB51AA">
          <w:rPr>
            <w:rStyle w:val="Hyperlink"/>
            <w:noProof/>
          </w:rPr>
          <w:t>The provision of adequate information relating to food to enable consumers to make informed choices</w:t>
        </w:r>
        <w:r w:rsidR="00D6577C">
          <w:rPr>
            <w:noProof/>
            <w:webHidden/>
          </w:rPr>
          <w:tab/>
        </w:r>
        <w:r w:rsidR="00D6577C">
          <w:rPr>
            <w:noProof/>
            <w:webHidden/>
          </w:rPr>
          <w:fldChar w:fldCharType="begin"/>
        </w:r>
        <w:r w:rsidR="00D6577C">
          <w:rPr>
            <w:noProof/>
            <w:webHidden/>
          </w:rPr>
          <w:instrText xml:space="preserve"> PAGEREF _Toc77338792 \h </w:instrText>
        </w:r>
        <w:r w:rsidR="00D6577C">
          <w:rPr>
            <w:noProof/>
            <w:webHidden/>
          </w:rPr>
        </w:r>
        <w:r w:rsidR="00D6577C">
          <w:rPr>
            <w:noProof/>
            <w:webHidden/>
          </w:rPr>
          <w:fldChar w:fldCharType="separate"/>
        </w:r>
        <w:r w:rsidR="00D6577C">
          <w:rPr>
            <w:noProof/>
            <w:webHidden/>
          </w:rPr>
          <w:t>19</w:t>
        </w:r>
        <w:r w:rsidR="00D6577C">
          <w:rPr>
            <w:noProof/>
            <w:webHidden/>
          </w:rPr>
          <w:fldChar w:fldCharType="end"/>
        </w:r>
      </w:hyperlink>
    </w:p>
    <w:p w14:paraId="5CD74DA7" w14:textId="7316BA29" w:rsidR="00D6577C" w:rsidRDefault="00194DE3">
      <w:pPr>
        <w:pStyle w:val="TOC3"/>
        <w:tabs>
          <w:tab w:val="left" w:pos="1100"/>
          <w:tab w:val="right" w:leader="dot" w:pos="9062"/>
        </w:tabs>
        <w:rPr>
          <w:rFonts w:eastAsiaTheme="minorEastAsia" w:cstheme="minorBidi"/>
          <w:i w:val="0"/>
          <w:iCs w:val="0"/>
          <w:noProof/>
          <w:sz w:val="22"/>
          <w:szCs w:val="22"/>
          <w:lang w:eastAsia="en-GB" w:bidi="ar-SA"/>
        </w:rPr>
      </w:pPr>
      <w:hyperlink w:anchor="_Toc77338793" w:history="1">
        <w:r w:rsidR="00D6577C" w:rsidRPr="00AB51AA">
          <w:rPr>
            <w:rStyle w:val="Hyperlink"/>
            <w:noProof/>
          </w:rPr>
          <w:t>5.2.3</w:t>
        </w:r>
        <w:r w:rsidR="00D6577C">
          <w:rPr>
            <w:rFonts w:eastAsiaTheme="minorEastAsia" w:cstheme="minorBidi"/>
            <w:i w:val="0"/>
            <w:iCs w:val="0"/>
            <w:noProof/>
            <w:sz w:val="22"/>
            <w:szCs w:val="22"/>
            <w:lang w:eastAsia="en-GB" w:bidi="ar-SA"/>
          </w:rPr>
          <w:tab/>
        </w:r>
        <w:r w:rsidR="00D6577C" w:rsidRPr="00AB51AA">
          <w:rPr>
            <w:rStyle w:val="Hyperlink"/>
            <w:noProof/>
          </w:rPr>
          <w:t>The prevention of misleading or deceptive conduct</w:t>
        </w:r>
        <w:r w:rsidR="00D6577C">
          <w:rPr>
            <w:noProof/>
            <w:webHidden/>
          </w:rPr>
          <w:tab/>
        </w:r>
        <w:r w:rsidR="00D6577C">
          <w:rPr>
            <w:noProof/>
            <w:webHidden/>
          </w:rPr>
          <w:fldChar w:fldCharType="begin"/>
        </w:r>
        <w:r w:rsidR="00D6577C">
          <w:rPr>
            <w:noProof/>
            <w:webHidden/>
          </w:rPr>
          <w:instrText xml:space="preserve"> PAGEREF _Toc77338793 \h </w:instrText>
        </w:r>
        <w:r w:rsidR="00D6577C">
          <w:rPr>
            <w:noProof/>
            <w:webHidden/>
          </w:rPr>
        </w:r>
        <w:r w:rsidR="00D6577C">
          <w:rPr>
            <w:noProof/>
            <w:webHidden/>
          </w:rPr>
          <w:fldChar w:fldCharType="separate"/>
        </w:r>
        <w:r w:rsidR="00D6577C">
          <w:rPr>
            <w:noProof/>
            <w:webHidden/>
          </w:rPr>
          <w:t>19</w:t>
        </w:r>
        <w:r w:rsidR="00D6577C">
          <w:rPr>
            <w:noProof/>
            <w:webHidden/>
          </w:rPr>
          <w:fldChar w:fldCharType="end"/>
        </w:r>
      </w:hyperlink>
    </w:p>
    <w:p w14:paraId="4ACAF24F" w14:textId="52E710E2" w:rsidR="00D6577C" w:rsidRDefault="00194DE3">
      <w:pPr>
        <w:pStyle w:val="TOC2"/>
        <w:tabs>
          <w:tab w:val="left" w:pos="880"/>
          <w:tab w:val="right" w:leader="dot" w:pos="9062"/>
        </w:tabs>
        <w:rPr>
          <w:rFonts w:eastAsiaTheme="minorEastAsia" w:cstheme="minorBidi"/>
          <w:smallCaps w:val="0"/>
          <w:noProof/>
          <w:sz w:val="22"/>
          <w:szCs w:val="22"/>
          <w:lang w:eastAsia="en-GB" w:bidi="ar-SA"/>
        </w:rPr>
      </w:pPr>
      <w:hyperlink w:anchor="_Toc77338794" w:history="1">
        <w:r w:rsidR="00D6577C" w:rsidRPr="00AB51AA">
          <w:rPr>
            <w:rStyle w:val="Hyperlink"/>
            <w:noProof/>
          </w:rPr>
          <w:t>5.3</w:t>
        </w:r>
        <w:r w:rsidR="00D6577C">
          <w:rPr>
            <w:rFonts w:eastAsiaTheme="minorEastAsia" w:cstheme="minorBidi"/>
            <w:smallCaps w:val="0"/>
            <w:noProof/>
            <w:sz w:val="22"/>
            <w:szCs w:val="22"/>
            <w:lang w:eastAsia="en-GB" w:bidi="ar-SA"/>
          </w:rPr>
          <w:tab/>
        </w:r>
        <w:r w:rsidR="00D6577C" w:rsidRPr="00AB51AA">
          <w:rPr>
            <w:rStyle w:val="Hyperlink"/>
            <w:noProof/>
          </w:rPr>
          <w:t>Subsection 18(2)</w:t>
        </w:r>
        <w:r w:rsidR="00D6577C">
          <w:rPr>
            <w:noProof/>
            <w:webHidden/>
          </w:rPr>
          <w:tab/>
        </w:r>
        <w:r w:rsidR="00D6577C">
          <w:rPr>
            <w:noProof/>
            <w:webHidden/>
          </w:rPr>
          <w:fldChar w:fldCharType="begin"/>
        </w:r>
        <w:r w:rsidR="00D6577C">
          <w:rPr>
            <w:noProof/>
            <w:webHidden/>
          </w:rPr>
          <w:instrText xml:space="preserve"> PAGEREF _Toc77338794 \h </w:instrText>
        </w:r>
        <w:r w:rsidR="00D6577C">
          <w:rPr>
            <w:noProof/>
            <w:webHidden/>
          </w:rPr>
        </w:r>
        <w:r w:rsidR="00D6577C">
          <w:rPr>
            <w:noProof/>
            <w:webHidden/>
          </w:rPr>
          <w:fldChar w:fldCharType="separate"/>
        </w:r>
        <w:r w:rsidR="00D6577C">
          <w:rPr>
            <w:noProof/>
            <w:webHidden/>
          </w:rPr>
          <w:t>19</w:t>
        </w:r>
        <w:r w:rsidR="00D6577C">
          <w:rPr>
            <w:noProof/>
            <w:webHidden/>
          </w:rPr>
          <w:fldChar w:fldCharType="end"/>
        </w:r>
      </w:hyperlink>
    </w:p>
    <w:p w14:paraId="66BE9717" w14:textId="6140E3F9" w:rsidR="00D6577C" w:rsidRDefault="00194DE3">
      <w:pPr>
        <w:pStyle w:val="TOC1"/>
        <w:tabs>
          <w:tab w:val="left" w:pos="440"/>
          <w:tab w:val="right" w:leader="dot" w:pos="9062"/>
        </w:tabs>
        <w:rPr>
          <w:rFonts w:eastAsiaTheme="minorEastAsia" w:cstheme="minorBidi"/>
          <w:b w:val="0"/>
          <w:bCs w:val="0"/>
          <w:caps w:val="0"/>
          <w:noProof/>
          <w:sz w:val="22"/>
          <w:szCs w:val="22"/>
          <w:lang w:eastAsia="en-GB" w:bidi="ar-SA"/>
        </w:rPr>
      </w:pPr>
      <w:hyperlink w:anchor="_Toc77338795" w:history="1">
        <w:r w:rsidR="00D6577C" w:rsidRPr="00AB51AA">
          <w:rPr>
            <w:rStyle w:val="Hyperlink"/>
            <w:noProof/>
          </w:rPr>
          <w:t>6</w:t>
        </w:r>
        <w:r w:rsidR="00D6577C">
          <w:rPr>
            <w:rFonts w:eastAsiaTheme="minorEastAsia" w:cstheme="minorBidi"/>
            <w:b w:val="0"/>
            <w:bCs w:val="0"/>
            <w:caps w:val="0"/>
            <w:noProof/>
            <w:sz w:val="22"/>
            <w:szCs w:val="22"/>
            <w:lang w:eastAsia="en-GB" w:bidi="ar-SA"/>
          </w:rPr>
          <w:tab/>
        </w:r>
        <w:r w:rsidR="00D6577C" w:rsidRPr="00AB51AA">
          <w:rPr>
            <w:rStyle w:val="Hyperlink"/>
            <w:noProof/>
          </w:rPr>
          <w:t>Draft variation</w:t>
        </w:r>
        <w:r w:rsidR="00D6577C">
          <w:rPr>
            <w:noProof/>
            <w:webHidden/>
          </w:rPr>
          <w:tab/>
        </w:r>
        <w:r w:rsidR="00D6577C">
          <w:rPr>
            <w:noProof/>
            <w:webHidden/>
          </w:rPr>
          <w:fldChar w:fldCharType="begin"/>
        </w:r>
        <w:r w:rsidR="00D6577C">
          <w:rPr>
            <w:noProof/>
            <w:webHidden/>
          </w:rPr>
          <w:instrText xml:space="preserve"> PAGEREF _Toc77338795 \h </w:instrText>
        </w:r>
        <w:r w:rsidR="00D6577C">
          <w:rPr>
            <w:noProof/>
            <w:webHidden/>
          </w:rPr>
        </w:r>
        <w:r w:rsidR="00D6577C">
          <w:rPr>
            <w:noProof/>
            <w:webHidden/>
          </w:rPr>
          <w:fldChar w:fldCharType="separate"/>
        </w:r>
        <w:r w:rsidR="00D6577C">
          <w:rPr>
            <w:noProof/>
            <w:webHidden/>
          </w:rPr>
          <w:t>20</w:t>
        </w:r>
        <w:r w:rsidR="00D6577C">
          <w:rPr>
            <w:noProof/>
            <w:webHidden/>
          </w:rPr>
          <w:fldChar w:fldCharType="end"/>
        </w:r>
      </w:hyperlink>
    </w:p>
    <w:p w14:paraId="38B737C1" w14:textId="7BC69B72" w:rsidR="00D6577C" w:rsidRDefault="00194DE3">
      <w:pPr>
        <w:pStyle w:val="TOC1"/>
        <w:tabs>
          <w:tab w:val="left" w:pos="440"/>
          <w:tab w:val="right" w:leader="dot" w:pos="9062"/>
        </w:tabs>
        <w:rPr>
          <w:rFonts w:eastAsiaTheme="minorEastAsia" w:cstheme="minorBidi"/>
          <w:b w:val="0"/>
          <w:bCs w:val="0"/>
          <w:caps w:val="0"/>
          <w:noProof/>
          <w:sz w:val="22"/>
          <w:szCs w:val="22"/>
          <w:lang w:eastAsia="en-GB" w:bidi="ar-SA"/>
        </w:rPr>
      </w:pPr>
      <w:hyperlink w:anchor="_Toc77338796" w:history="1">
        <w:r w:rsidR="00D6577C" w:rsidRPr="00AB51AA">
          <w:rPr>
            <w:rStyle w:val="Hyperlink"/>
            <w:noProof/>
          </w:rPr>
          <w:t>7</w:t>
        </w:r>
        <w:r w:rsidR="00D6577C">
          <w:rPr>
            <w:rFonts w:eastAsiaTheme="minorEastAsia" w:cstheme="minorBidi"/>
            <w:b w:val="0"/>
            <w:bCs w:val="0"/>
            <w:caps w:val="0"/>
            <w:noProof/>
            <w:sz w:val="22"/>
            <w:szCs w:val="22"/>
            <w:lang w:eastAsia="en-GB" w:bidi="ar-SA"/>
          </w:rPr>
          <w:tab/>
        </w:r>
        <w:r w:rsidR="00D6577C" w:rsidRPr="00AB51AA">
          <w:rPr>
            <w:rStyle w:val="Hyperlink"/>
            <w:noProof/>
          </w:rPr>
          <w:t>References</w:t>
        </w:r>
        <w:r w:rsidR="00D6577C">
          <w:rPr>
            <w:noProof/>
            <w:webHidden/>
          </w:rPr>
          <w:tab/>
        </w:r>
        <w:r w:rsidR="00D6577C">
          <w:rPr>
            <w:noProof/>
            <w:webHidden/>
          </w:rPr>
          <w:fldChar w:fldCharType="begin"/>
        </w:r>
        <w:r w:rsidR="00D6577C">
          <w:rPr>
            <w:noProof/>
            <w:webHidden/>
          </w:rPr>
          <w:instrText xml:space="preserve"> PAGEREF _Toc77338796 \h </w:instrText>
        </w:r>
        <w:r w:rsidR="00D6577C">
          <w:rPr>
            <w:noProof/>
            <w:webHidden/>
          </w:rPr>
        </w:r>
        <w:r w:rsidR="00D6577C">
          <w:rPr>
            <w:noProof/>
            <w:webHidden/>
          </w:rPr>
          <w:fldChar w:fldCharType="separate"/>
        </w:r>
        <w:r w:rsidR="00D6577C">
          <w:rPr>
            <w:noProof/>
            <w:webHidden/>
          </w:rPr>
          <w:t>21</w:t>
        </w:r>
        <w:r w:rsidR="00D6577C">
          <w:rPr>
            <w:noProof/>
            <w:webHidden/>
          </w:rPr>
          <w:fldChar w:fldCharType="end"/>
        </w:r>
      </w:hyperlink>
    </w:p>
    <w:p w14:paraId="67E2BE41" w14:textId="6E636A93" w:rsidR="00D6577C" w:rsidRDefault="00194DE3">
      <w:pPr>
        <w:pStyle w:val="TOC2"/>
        <w:tabs>
          <w:tab w:val="right" w:leader="dot" w:pos="9062"/>
        </w:tabs>
        <w:rPr>
          <w:rFonts w:eastAsiaTheme="minorEastAsia" w:cstheme="minorBidi"/>
          <w:smallCaps w:val="0"/>
          <w:noProof/>
          <w:sz w:val="22"/>
          <w:szCs w:val="22"/>
          <w:lang w:eastAsia="en-GB" w:bidi="ar-SA"/>
        </w:rPr>
      </w:pPr>
      <w:hyperlink w:anchor="_Toc77338797" w:history="1">
        <w:r w:rsidR="00D6577C" w:rsidRPr="00AB51AA">
          <w:rPr>
            <w:rStyle w:val="Hyperlink"/>
            <w:noProof/>
          </w:rPr>
          <w:t>Attachment A – Draft variation to the Australia New Zealand Food Standards Code</w:t>
        </w:r>
        <w:r w:rsidR="00D6577C">
          <w:rPr>
            <w:noProof/>
            <w:webHidden/>
          </w:rPr>
          <w:tab/>
        </w:r>
        <w:r w:rsidR="00D6577C">
          <w:rPr>
            <w:noProof/>
            <w:webHidden/>
          </w:rPr>
          <w:fldChar w:fldCharType="begin"/>
        </w:r>
        <w:r w:rsidR="00D6577C">
          <w:rPr>
            <w:noProof/>
            <w:webHidden/>
          </w:rPr>
          <w:instrText xml:space="preserve"> PAGEREF _Toc77338797 \h </w:instrText>
        </w:r>
        <w:r w:rsidR="00D6577C">
          <w:rPr>
            <w:noProof/>
            <w:webHidden/>
          </w:rPr>
        </w:r>
        <w:r w:rsidR="00D6577C">
          <w:rPr>
            <w:noProof/>
            <w:webHidden/>
          </w:rPr>
          <w:fldChar w:fldCharType="separate"/>
        </w:r>
        <w:r w:rsidR="00D6577C">
          <w:rPr>
            <w:noProof/>
            <w:webHidden/>
          </w:rPr>
          <w:t>22</w:t>
        </w:r>
        <w:r w:rsidR="00D6577C">
          <w:rPr>
            <w:noProof/>
            <w:webHidden/>
          </w:rPr>
          <w:fldChar w:fldCharType="end"/>
        </w:r>
      </w:hyperlink>
    </w:p>
    <w:p w14:paraId="00A9A6F9" w14:textId="2129FA68" w:rsidR="00D6577C" w:rsidRDefault="00194DE3">
      <w:pPr>
        <w:pStyle w:val="TOC2"/>
        <w:tabs>
          <w:tab w:val="right" w:leader="dot" w:pos="9062"/>
        </w:tabs>
        <w:rPr>
          <w:rFonts w:eastAsiaTheme="minorEastAsia" w:cstheme="minorBidi"/>
          <w:smallCaps w:val="0"/>
          <w:noProof/>
          <w:sz w:val="22"/>
          <w:szCs w:val="22"/>
          <w:lang w:eastAsia="en-GB" w:bidi="ar-SA"/>
        </w:rPr>
      </w:pPr>
      <w:hyperlink w:anchor="_Toc77338798" w:history="1">
        <w:r w:rsidR="00D6577C" w:rsidRPr="00AB51AA">
          <w:rPr>
            <w:rStyle w:val="Hyperlink"/>
            <w:noProof/>
          </w:rPr>
          <w:t>Attachment B – Draft Explanatory Statement</w:t>
        </w:r>
        <w:r w:rsidR="00D6577C">
          <w:rPr>
            <w:noProof/>
            <w:webHidden/>
          </w:rPr>
          <w:tab/>
        </w:r>
        <w:r w:rsidR="00D6577C">
          <w:rPr>
            <w:noProof/>
            <w:webHidden/>
          </w:rPr>
          <w:fldChar w:fldCharType="begin"/>
        </w:r>
        <w:r w:rsidR="00D6577C">
          <w:rPr>
            <w:noProof/>
            <w:webHidden/>
          </w:rPr>
          <w:instrText xml:space="preserve"> PAGEREF _Toc77338798 \h </w:instrText>
        </w:r>
        <w:r w:rsidR="00D6577C">
          <w:rPr>
            <w:noProof/>
            <w:webHidden/>
          </w:rPr>
        </w:r>
        <w:r w:rsidR="00D6577C">
          <w:rPr>
            <w:noProof/>
            <w:webHidden/>
          </w:rPr>
          <w:fldChar w:fldCharType="separate"/>
        </w:r>
        <w:r w:rsidR="00D6577C">
          <w:rPr>
            <w:noProof/>
            <w:webHidden/>
          </w:rPr>
          <w:t>26</w:t>
        </w:r>
        <w:r w:rsidR="00D6577C">
          <w:rPr>
            <w:noProof/>
            <w:webHidden/>
          </w:rPr>
          <w:fldChar w:fldCharType="end"/>
        </w:r>
      </w:hyperlink>
    </w:p>
    <w:p w14:paraId="2F27678C" w14:textId="2D97F056" w:rsidR="00D73931" w:rsidRPr="007D5394" w:rsidRDefault="00051ED9" w:rsidP="00E8122F">
      <w:pPr>
        <w:widowControl/>
        <w:rPr>
          <w:rFonts w:cs="Arial"/>
        </w:rPr>
      </w:pPr>
      <w:r w:rsidRPr="002C4A91">
        <w:rPr>
          <w:rFonts w:cs="Arial"/>
          <w:sz w:val="20"/>
          <w:szCs w:val="20"/>
        </w:rPr>
        <w:fldChar w:fldCharType="end"/>
      </w:r>
    </w:p>
    <w:p w14:paraId="15BC2E78" w14:textId="77777777" w:rsidR="0037520F" w:rsidRPr="008844E4" w:rsidRDefault="0037520F" w:rsidP="00E8122F">
      <w:pPr>
        <w:widowControl/>
        <w:rPr>
          <w:b/>
          <w:szCs w:val="22"/>
        </w:rPr>
      </w:pPr>
      <w:r w:rsidRPr="008844E4">
        <w:rPr>
          <w:b/>
          <w:szCs w:val="22"/>
        </w:rPr>
        <w:t>Supporting docume</w:t>
      </w:r>
      <w:r w:rsidRPr="00855CA8">
        <w:rPr>
          <w:b/>
          <w:szCs w:val="22"/>
        </w:rPr>
        <w:t>nts</w:t>
      </w:r>
    </w:p>
    <w:p w14:paraId="6F4F6571" w14:textId="77777777" w:rsidR="0037520F" w:rsidRPr="0089264A" w:rsidRDefault="0037520F" w:rsidP="00E8122F">
      <w:pPr>
        <w:widowControl/>
        <w:rPr>
          <w:szCs w:val="22"/>
        </w:rPr>
      </w:pPr>
    </w:p>
    <w:p w14:paraId="53F39490" w14:textId="1AE1C36C" w:rsidR="0037520F" w:rsidRPr="00CD4DF6" w:rsidRDefault="00E8122F" w:rsidP="00E8122F">
      <w:pPr>
        <w:widowControl/>
        <w:rPr>
          <w:szCs w:val="22"/>
        </w:rPr>
      </w:pPr>
      <w:r>
        <w:rPr>
          <w:szCs w:val="22"/>
        </w:rPr>
        <w:t>The following document</w:t>
      </w:r>
      <w:r w:rsidR="00681754" w:rsidRPr="00855CA8">
        <w:rPr>
          <w:szCs w:val="22"/>
        </w:rPr>
        <w:t xml:space="preserve"> informed the assessment of this </w:t>
      </w:r>
      <w:r w:rsidR="00855CA8" w:rsidRPr="00855CA8">
        <w:rPr>
          <w:szCs w:val="22"/>
        </w:rPr>
        <w:t>Application</w:t>
      </w:r>
      <w:r w:rsidR="0037520F" w:rsidRPr="00855CA8">
        <w:rPr>
          <w:szCs w:val="22"/>
        </w:rPr>
        <w:t xml:space="preserve"> </w:t>
      </w:r>
      <w:r>
        <w:rPr>
          <w:szCs w:val="22"/>
        </w:rPr>
        <w:t xml:space="preserve">and is </w:t>
      </w:r>
      <w:r w:rsidR="0037520F" w:rsidRPr="0089264A">
        <w:rPr>
          <w:szCs w:val="22"/>
        </w:rPr>
        <w:t>available on the FSANZ website</w:t>
      </w:r>
      <w:r w:rsidR="00820535">
        <w:rPr>
          <w:szCs w:val="22"/>
        </w:rPr>
        <w:t>:</w:t>
      </w:r>
    </w:p>
    <w:p w14:paraId="42974389" w14:textId="77777777" w:rsidR="0089264A" w:rsidRPr="0089264A" w:rsidRDefault="0089264A" w:rsidP="00E8122F">
      <w:pPr>
        <w:widowControl/>
        <w:rPr>
          <w:szCs w:val="22"/>
        </w:rPr>
      </w:pPr>
    </w:p>
    <w:p w14:paraId="4006B5D6" w14:textId="7FC646E0" w:rsidR="0089264A" w:rsidRDefault="0089264A" w:rsidP="00E8122F">
      <w:pPr>
        <w:widowControl/>
        <w:ind w:left="1134" w:hanging="1134"/>
        <w:rPr>
          <w:highlight w:val="yellow"/>
        </w:rPr>
      </w:pPr>
      <w:r w:rsidRPr="00740CEC">
        <w:t>SD1</w:t>
      </w:r>
      <w:r w:rsidRPr="00740CEC">
        <w:tab/>
      </w:r>
      <w:r w:rsidR="00DC3659" w:rsidRPr="00D92EF0">
        <w:t xml:space="preserve">Risk </w:t>
      </w:r>
      <w:r w:rsidR="00DC3659">
        <w:t xml:space="preserve">and safety </w:t>
      </w:r>
      <w:r w:rsidR="00DC3659" w:rsidRPr="00D92EF0">
        <w:t>assessment</w:t>
      </w:r>
      <w:r w:rsidR="00DC3659">
        <w:t xml:space="preserve"> report</w:t>
      </w:r>
    </w:p>
    <w:p w14:paraId="746C4D73" w14:textId="77777777" w:rsidR="00F47638" w:rsidRDefault="00562917" w:rsidP="00E8122F">
      <w:pPr>
        <w:widowControl/>
        <w:sectPr w:rsidR="00F47638" w:rsidSect="00F47638">
          <w:footerReference w:type="default" r:id="rId18"/>
          <w:pgSz w:w="11906" w:h="16838" w:code="9"/>
          <w:pgMar w:top="1418" w:right="1416" w:bottom="1418" w:left="1418" w:header="709" w:footer="709" w:gutter="0"/>
          <w:pgNumType w:fmt="lowerRoman" w:start="1"/>
          <w:cols w:space="708"/>
          <w:docGrid w:linePitch="360"/>
        </w:sectPr>
      </w:pPr>
      <w:r w:rsidRPr="00E203C2">
        <w:br w:type="page"/>
      </w:r>
    </w:p>
    <w:p w14:paraId="699D5D67" w14:textId="77777777" w:rsidR="00E063C6" w:rsidRDefault="00F33BB8" w:rsidP="00E8122F">
      <w:pPr>
        <w:pStyle w:val="Heading1"/>
        <w:widowControl/>
      </w:pPr>
      <w:bookmarkStart w:id="1" w:name="_Toc286391001"/>
      <w:bookmarkStart w:id="2" w:name="_Toc300933414"/>
      <w:bookmarkStart w:id="3" w:name="_Toc73104814"/>
      <w:bookmarkStart w:id="4" w:name="_Toc77338761"/>
      <w:bookmarkStart w:id="5" w:name="_Toc11735627"/>
      <w:bookmarkStart w:id="6" w:name="_Toc29883110"/>
      <w:bookmarkStart w:id="7" w:name="_Toc41906797"/>
      <w:bookmarkStart w:id="8" w:name="_Toc41907544"/>
      <w:bookmarkStart w:id="9" w:name="_Toc120358575"/>
      <w:r>
        <w:lastRenderedPageBreak/>
        <w:t>E</w:t>
      </w:r>
      <w:r w:rsidR="0037520F">
        <w:t>xecutive s</w:t>
      </w:r>
      <w:r w:rsidR="00E063C6" w:rsidRPr="00E203C2">
        <w:t>ummary</w:t>
      </w:r>
      <w:bookmarkEnd w:id="1"/>
      <w:bookmarkEnd w:id="2"/>
      <w:bookmarkEnd w:id="3"/>
      <w:bookmarkEnd w:id="4"/>
    </w:p>
    <w:p w14:paraId="76D6DFF1" w14:textId="3E351835" w:rsidR="00F5753C" w:rsidRDefault="00F5753C" w:rsidP="00E8122F">
      <w:pPr>
        <w:widowControl/>
        <w:rPr>
          <w:szCs w:val="22"/>
        </w:rPr>
      </w:pPr>
      <w:bookmarkStart w:id="10" w:name="_Toc286391003"/>
      <w:r>
        <w:rPr>
          <w:lang w:bidi="ar-SA"/>
        </w:rPr>
        <w:t xml:space="preserve">FSANZ has assessed an application by </w:t>
      </w:r>
      <w:r w:rsidRPr="00BB0A34">
        <w:rPr>
          <w:szCs w:val="22"/>
        </w:rPr>
        <w:t xml:space="preserve">Chr. Hansen A/S </w:t>
      </w:r>
      <w:r>
        <w:rPr>
          <w:lang w:bidi="ar-SA"/>
        </w:rPr>
        <w:t xml:space="preserve">to amend </w:t>
      </w:r>
      <w:r>
        <w:t>the</w:t>
      </w:r>
      <w:r w:rsidRPr="00AD00C8">
        <w:rPr>
          <w:i/>
        </w:rPr>
        <w:t xml:space="preserve"> </w:t>
      </w:r>
      <w:r w:rsidRPr="004B2A19">
        <w:rPr>
          <w:szCs w:val="22"/>
        </w:rPr>
        <w:t xml:space="preserve">Australia New Zealand Food Standards Code (the Code) to permit </w:t>
      </w:r>
      <w:r w:rsidRPr="004B2A19">
        <w:rPr>
          <w:szCs w:val="22"/>
          <w:lang w:bidi="ar-SA"/>
        </w:rPr>
        <w:t xml:space="preserve">the voluntary addition of </w:t>
      </w:r>
      <w:r>
        <w:rPr>
          <w:szCs w:val="22"/>
          <w:lang w:bidi="ar-SA"/>
        </w:rPr>
        <w:t>‘</w:t>
      </w:r>
      <w:r w:rsidRPr="004B2A19">
        <w:rPr>
          <w:szCs w:val="22"/>
        </w:rPr>
        <w:t>2′</w:t>
      </w:r>
      <w:r>
        <w:rPr>
          <w:szCs w:val="22"/>
        </w:rPr>
        <w:t>-f</w:t>
      </w:r>
      <w:r w:rsidRPr="004B2A19">
        <w:rPr>
          <w:szCs w:val="22"/>
        </w:rPr>
        <w:t>ucosyllactose</w:t>
      </w:r>
      <w:r>
        <w:rPr>
          <w:szCs w:val="22"/>
        </w:rPr>
        <w:t xml:space="preserve">’ </w:t>
      </w:r>
      <w:r w:rsidRPr="004B2A19">
        <w:rPr>
          <w:szCs w:val="22"/>
        </w:rPr>
        <w:t xml:space="preserve">(2′-FL) produced via </w:t>
      </w:r>
      <w:r>
        <w:rPr>
          <w:szCs w:val="22"/>
        </w:rPr>
        <w:t xml:space="preserve">a new </w:t>
      </w:r>
      <w:r w:rsidRPr="004B2A19">
        <w:rPr>
          <w:szCs w:val="22"/>
        </w:rPr>
        <w:t xml:space="preserve">genetically modified (GM) </w:t>
      </w:r>
      <w:r w:rsidRPr="00A50D34">
        <w:rPr>
          <w:i/>
          <w:szCs w:val="22"/>
        </w:rPr>
        <w:t>Escherichia coli</w:t>
      </w:r>
      <w:r w:rsidRPr="004B2A19">
        <w:rPr>
          <w:szCs w:val="22"/>
        </w:rPr>
        <w:t xml:space="preserve"> (</w:t>
      </w:r>
      <w:r w:rsidRPr="00306592">
        <w:rPr>
          <w:i/>
          <w:szCs w:val="22"/>
        </w:rPr>
        <w:t>E.coli</w:t>
      </w:r>
      <w:r w:rsidRPr="004B2A19">
        <w:rPr>
          <w:szCs w:val="22"/>
        </w:rPr>
        <w:t>) strain in infant formula products</w:t>
      </w:r>
      <w:r>
        <w:rPr>
          <w:szCs w:val="22"/>
        </w:rPr>
        <w:t xml:space="preserve"> (IFP)</w:t>
      </w:r>
      <w:r>
        <w:rPr>
          <w:rFonts w:cs="Arial"/>
          <w:szCs w:val="22"/>
        </w:rPr>
        <w:t xml:space="preserve"> and </w:t>
      </w:r>
      <w:r>
        <w:t>formulated supplementary foods for young children (FSFYC)</w:t>
      </w:r>
      <w:r w:rsidRPr="004B2A19">
        <w:rPr>
          <w:szCs w:val="22"/>
        </w:rPr>
        <w:t>.</w:t>
      </w:r>
    </w:p>
    <w:p w14:paraId="2C5A23AD" w14:textId="77777777" w:rsidR="00F5753C" w:rsidRDefault="00F5753C" w:rsidP="00E8122F">
      <w:pPr>
        <w:widowControl/>
        <w:rPr>
          <w:szCs w:val="22"/>
        </w:rPr>
      </w:pPr>
    </w:p>
    <w:p w14:paraId="191778E5" w14:textId="6B2C0958" w:rsidR="00F5753C" w:rsidRDefault="00F5753C" w:rsidP="00E8122F">
      <w:pPr>
        <w:widowControl/>
      </w:pPr>
      <w:r>
        <w:t>2</w:t>
      </w:r>
      <w:r>
        <w:rPr>
          <w:rFonts w:cs="Arial"/>
        </w:rPr>
        <w:t>′</w:t>
      </w:r>
      <w:r>
        <w:t>-FL is a</w:t>
      </w:r>
      <w:r>
        <w:rPr>
          <w:szCs w:val="22"/>
        </w:rPr>
        <w:t xml:space="preserve"> non-digestible carbohydrate (oligosaccharide) found naturally in human milk.</w:t>
      </w:r>
      <w:r w:rsidR="00342920">
        <w:t xml:space="preserve"> </w:t>
      </w:r>
      <w:r>
        <w:t>The applicant’s 2</w:t>
      </w:r>
      <w:r>
        <w:rPr>
          <w:rFonts w:cs="Arial"/>
        </w:rPr>
        <w:t>′</w:t>
      </w:r>
      <w:r>
        <w:t>-FL product is produced by microbial fermentation using GM production strains. Permission was sought for a concentration use of not more than 2.0 g/L of 2</w:t>
      </w:r>
      <w:r>
        <w:rPr>
          <w:rFonts w:cs="Arial"/>
        </w:rPr>
        <w:t>′</w:t>
      </w:r>
      <w:r>
        <w:t xml:space="preserve">-FL, as consumed, in both liquid and powdered form. </w:t>
      </w:r>
    </w:p>
    <w:p w14:paraId="3485A2E3" w14:textId="77777777" w:rsidR="00F5753C" w:rsidRDefault="00F5753C" w:rsidP="00E8122F">
      <w:pPr>
        <w:widowControl/>
      </w:pPr>
    </w:p>
    <w:p w14:paraId="05C6B310" w14:textId="2403329B" w:rsidR="00F5753C" w:rsidRPr="003109EF" w:rsidRDefault="00F5753C" w:rsidP="00E8122F">
      <w:pPr>
        <w:widowControl/>
        <w:rPr>
          <w:szCs w:val="22"/>
        </w:rPr>
      </w:pPr>
      <w:r>
        <w:t xml:space="preserve">The Code currently permits the </w:t>
      </w:r>
      <w:r w:rsidRPr="004B2A19">
        <w:rPr>
          <w:szCs w:val="22"/>
          <w:lang w:bidi="ar-SA"/>
        </w:rPr>
        <w:t xml:space="preserve">voluntary addition of </w:t>
      </w:r>
      <w:r>
        <w:rPr>
          <w:szCs w:val="22"/>
          <w:lang w:bidi="ar-SA"/>
        </w:rPr>
        <w:t xml:space="preserve">a specific type of </w:t>
      </w:r>
      <w:r>
        <w:rPr>
          <w:szCs w:val="22"/>
        </w:rPr>
        <w:t xml:space="preserve">2′-FL to IFP subject to certain conditions. However, this permission does not apply to the applicant’s </w:t>
      </w:r>
      <w:r w:rsidRPr="004777D4">
        <w:t>2′-FL</w:t>
      </w:r>
      <w:r>
        <w:t xml:space="preserve"> which has a different</w:t>
      </w:r>
      <w:r>
        <w:rPr>
          <w:szCs w:val="22"/>
        </w:rPr>
        <w:t xml:space="preserve"> source and specifications. As such, a </w:t>
      </w:r>
      <w:r>
        <w:t xml:space="preserve">pre-market assessment of that </w:t>
      </w:r>
      <w:r w:rsidRPr="004777D4">
        <w:t>2′-FL</w:t>
      </w:r>
      <w:r>
        <w:t xml:space="preserve"> was required.</w:t>
      </w:r>
    </w:p>
    <w:p w14:paraId="32D02310" w14:textId="77777777" w:rsidR="00F5753C" w:rsidRDefault="00F5753C" w:rsidP="00E8122F">
      <w:pPr>
        <w:widowControl/>
      </w:pPr>
    </w:p>
    <w:p w14:paraId="75DDE3C4" w14:textId="77777777" w:rsidR="00F5753C" w:rsidRDefault="00F5753C" w:rsidP="00E8122F">
      <w:pPr>
        <w:widowControl/>
        <w:rPr>
          <w:lang w:val="en-AU"/>
        </w:rPr>
      </w:pPr>
      <w:r>
        <w:rPr>
          <w:szCs w:val="22"/>
        </w:rPr>
        <w:t xml:space="preserve">FSANZ’s safety and risk assessment </w:t>
      </w:r>
      <w:r>
        <w:rPr>
          <w:lang w:val="en-AU"/>
        </w:rPr>
        <w:t>found the applicant’s</w:t>
      </w:r>
      <w:r>
        <w:t xml:space="preserve"> </w:t>
      </w:r>
      <w:r>
        <w:rPr>
          <w:lang w:val="en-AU"/>
        </w:rPr>
        <w:t xml:space="preserve">2′-FL is </w:t>
      </w:r>
      <w:r>
        <w:t>chemically and structurally identical to those in human milk. Given</w:t>
      </w:r>
      <w:r w:rsidRPr="007556BB">
        <w:rPr>
          <w:lang w:val="en-AU"/>
        </w:rPr>
        <w:t xml:space="preserve"> there </w:t>
      </w:r>
      <w:r>
        <w:rPr>
          <w:lang w:val="en-AU"/>
        </w:rPr>
        <w:t>is</w:t>
      </w:r>
      <w:r w:rsidRPr="007556BB">
        <w:rPr>
          <w:lang w:val="en-AU"/>
        </w:rPr>
        <w:t xml:space="preserve"> a history of safe exposure to 2</w:t>
      </w:r>
      <w:r w:rsidRPr="007556BB">
        <w:rPr>
          <w:rFonts w:cs="Arial"/>
        </w:rPr>
        <w:t>′</w:t>
      </w:r>
      <w:r w:rsidRPr="007556BB">
        <w:rPr>
          <w:lang w:val="en-AU"/>
        </w:rPr>
        <w:t>-FL from</w:t>
      </w:r>
      <w:r>
        <w:rPr>
          <w:lang w:val="en-AU"/>
        </w:rPr>
        <w:t xml:space="preserve"> human milk, FSANZ concluded there are no safety concerns with the addition of the applicant’s 2-FL produced by microbial fermentation to both </w:t>
      </w:r>
      <w:r w:rsidRPr="0048502D">
        <w:rPr>
          <w:lang w:val="en-AU"/>
        </w:rPr>
        <w:t>IFP and FSFYC</w:t>
      </w:r>
      <w:r>
        <w:rPr>
          <w:lang w:val="en-AU"/>
        </w:rPr>
        <w:t>:</w:t>
      </w:r>
    </w:p>
    <w:p w14:paraId="5C77D6EE" w14:textId="77777777" w:rsidR="00F5753C" w:rsidRDefault="00F5753C" w:rsidP="00E8122F">
      <w:pPr>
        <w:pStyle w:val="ListParagraph"/>
        <w:widowControl/>
        <w:numPr>
          <w:ilvl w:val="0"/>
          <w:numId w:val="47"/>
        </w:numPr>
        <w:spacing w:before="120" w:after="120"/>
        <w:ind w:left="714" w:hanging="357"/>
        <w:contextualSpacing w:val="0"/>
        <w:rPr>
          <w:lang w:val="en-AU"/>
        </w:rPr>
      </w:pPr>
      <w:r w:rsidRPr="0048502D">
        <w:rPr>
          <w:lang w:val="en-AU"/>
        </w:rPr>
        <w:t>at the level requested by the applicant</w:t>
      </w:r>
      <w:r>
        <w:rPr>
          <w:lang w:val="en-AU"/>
        </w:rPr>
        <w:t xml:space="preserve">, and </w:t>
      </w:r>
    </w:p>
    <w:p w14:paraId="7C7D44B2" w14:textId="77777777" w:rsidR="00F5753C" w:rsidRPr="0048502D" w:rsidRDefault="00F5753C" w:rsidP="00E8122F">
      <w:pPr>
        <w:pStyle w:val="ListParagraph"/>
        <w:widowControl/>
        <w:numPr>
          <w:ilvl w:val="0"/>
          <w:numId w:val="47"/>
        </w:numPr>
        <w:spacing w:before="120" w:after="120"/>
        <w:ind w:left="714" w:hanging="357"/>
        <w:contextualSpacing w:val="0"/>
        <w:rPr>
          <w:lang w:val="en-AU"/>
        </w:rPr>
      </w:pPr>
      <w:r w:rsidRPr="0048502D">
        <w:rPr>
          <w:lang w:val="en-AU"/>
        </w:rPr>
        <w:t xml:space="preserve">at the higher level permitted </w:t>
      </w:r>
      <w:r>
        <w:rPr>
          <w:lang w:val="en-AU"/>
        </w:rPr>
        <w:t xml:space="preserve">for 2’-FL </w:t>
      </w:r>
      <w:r w:rsidRPr="00EC22F2">
        <w:t xml:space="preserve">sourced from </w:t>
      </w:r>
      <w:r w:rsidRPr="00EC22F2">
        <w:rPr>
          <w:i/>
        </w:rPr>
        <w:t>E</w:t>
      </w:r>
      <w:r>
        <w:rPr>
          <w:i/>
        </w:rPr>
        <w:t>.</w:t>
      </w:r>
      <w:r w:rsidRPr="00EC22F2">
        <w:rPr>
          <w:i/>
        </w:rPr>
        <w:t xml:space="preserve"> coli</w:t>
      </w:r>
      <w:r w:rsidRPr="00EC22F2">
        <w:t xml:space="preserve"> K-12</w:t>
      </w:r>
      <w:r>
        <w:t xml:space="preserve"> </w:t>
      </w:r>
      <w:r w:rsidRPr="0048502D">
        <w:rPr>
          <w:lang w:val="en-AU"/>
        </w:rPr>
        <w:t>in the Code</w:t>
      </w:r>
      <w:r>
        <w:rPr>
          <w:lang w:val="en-AU"/>
        </w:rPr>
        <w:t xml:space="preserve"> (</w:t>
      </w:r>
      <w:r w:rsidRPr="0048502D">
        <w:rPr>
          <w:lang w:val="en-AU"/>
        </w:rPr>
        <w:t xml:space="preserve">2.4 g/L </w:t>
      </w:r>
      <w:r>
        <w:rPr>
          <w:lang w:val="en-AU"/>
        </w:rPr>
        <w:t xml:space="preserve">- </w:t>
      </w:r>
      <w:r w:rsidRPr="0048502D">
        <w:rPr>
          <w:lang w:val="en-AU"/>
        </w:rPr>
        <w:t xml:space="preserve">consistent with a range of levels found in mature human milk). </w:t>
      </w:r>
      <w:r>
        <w:rPr>
          <w:lang w:val="en-AU"/>
        </w:rPr>
        <w:t xml:space="preserve"> </w:t>
      </w:r>
    </w:p>
    <w:p w14:paraId="4F60B0FB" w14:textId="64F27D9A" w:rsidR="00F5753C" w:rsidRDefault="00342920" w:rsidP="00E8122F">
      <w:pPr>
        <w:widowControl/>
      </w:pPr>
      <w:r>
        <w:t>FSANZ</w:t>
      </w:r>
      <w:r w:rsidR="00F5753C">
        <w:t xml:space="preserve"> </w:t>
      </w:r>
      <w:r>
        <w:t xml:space="preserve">undertook an assessment of </w:t>
      </w:r>
      <w:r w:rsidR="00F5753C">
        <w:t>beneficial health outcomes in accordance with relevan</w:t>
      </w:r>
      <w:r>
        <w:t>t Ministerial Policy Guidelines. T</w:t>
      </w:r>
      <w:r w:rsidR="00F5753C">
        <w:t xml:space="preserve">hat assessment concluded that there is </w:t>
      </w:r>
      <w:r>
        <w:t xml:space="preserve">evidence to support a role </w:t>
      </w:r>
      <w:r w:rsidR="00F5753C">
        <w:rPr>
          <w:lang w:val="en-AU"/>
        </w:rPr>
        <w:t>for 2′-FL</w:t>
      </w:r>
      <w:r w:rsidR="00F5753C" w:rsidRPr="009843EC">
        <w:rPr>
          <w:lang w:val="en-AU"/>
        </w:rPr>
        <w:t xml:space="preserve"> </w:t>
      </w:r>
      <w:r w:rsidR="00F5753C">
        <w:rPr>
          <w:lang w:val="en-AU"/>
        </w:rPr>
        <w:t>in promoting a</w:t>
      </w:r>
      <w:r w:rsidR="00F5753C" w:rsidRPr="009843EC">
        <w:rPr>
          <w:lang w:val="en-AU"/>
        </w:rPr>
        <w:t xml:space="preserve"> bifidogenic effect</w:t>
      </w:r>
      <w:r w:rsidR="00F5753C">
        <w:rPr>
          <w:lang w:val="en-AU"/>
        </w:rPr>
        <w:t xml:space="preserve"> in infants and limiting</w:t>
      </w:r>
      <w:r w:rsidR="00F5753C" w:rsidRPr="009843EC">
        <w:rPr>
          <w:lang w:val="en-AU"/>
        </w:rPr>
        <w:t xml:space="preserve"> infection by pathogenic strains of </w:t>
      </w:r>
      <w:r w:rsidR="00F5753C" w:rsidRPr="00956448">
        <w:rPr>
          <w:i/>
          <w:lang w:val="en-AU"/>
        </w:rPr>
        <w:t>Campylobacter jejuni</w:t>
      </w:r>
      <w:r w:rsidR="00F5753C">
        <w:rPr>
          <w:lang w:val="en-AU"/>
        </w:rPr>
        <w:t xml:space="preserve"> in infants and young children. However, the</w:t>
      </w:r>
      <w:r w:rsidR="00F5753C" w:rsidRPr="00250CDB">
        <w:rPr>
          <w:lang w:val="en-AU"/>
        </w:rPr>
        <w:t xml:space="preserve"> evidence </w:t>
      </w:r>
      <w:r w:rsidR="00F5753C">
        <w:rPr>
          <w:lang w:val="en-AU"/>
        </w:rPr>
        <w:t xml:space="preserve">base for such effects in </w:t>
      </w:r>
      <w:r w:rsidR="00F5753C" w:rsidRPr="00250CDB">
        <w:rPr>
          <w:lang w:val="en-AU"/>
        </w:rPr>
        <w:t xml:space="preserve">young children is </w:t>
      </w:r>
      <w:r w:rsidR="00F5753C">
        <w:rPr>
          <w:lang w:val="en-AU"/>
        </w:rPr>
        <w:t>fairly</w:t>
      </w:r>
      <w:r w:rsidR="00F5753C" w:rsidRPr="00250CDB">
        <w:rPr>
          <w:lang w:val="en-AU"/>
        </w:rPr>
        <w:t xml:space="preserve"> limited</w:t>
      </w:r>
      <w:r w:rsidR="00F5753C" w:rsidRPr="003868A5">
        <w:rPr>
          <w:lang w:bidi="ar-SA"/>
        </w:rPr>
        <w:t>.</w:t>
      </w:r>
    </w:p>
    <w:p w14:paraId="4B727569" w14:textId="77777777" w:rsidR="00F5753C" w:rsidRPr="00342920" w:rsidRDefault="00F5753C" w:rsidP="00E8122F">
      <w:pPr>
        <w:widowControl/>
        <w:rPr>
          <w:szCs w:val="22"/>
        </w:rPr>
      </w:pPr>
    </w:p>
    <w:p w14:paraId="010F0A06" w14:textId="01D7C4C8" w:rsidR="00F5753C" w:rsidRPr="00342920" w:rsidRDefault="00F5753C" w:rsidP="00E8122F">
      <w:pPr>
        <w:widowControl/>
        <w:spacing w:after="240"/>
        <w:rPr>
          <w:szCs w:val="22"/>
        </w:rPr>
      </w:pPr>
      <w:r w:rsidRPr="00342920">
        <w:rPr>
          <w:szCs w:val="22"/>
          <w:lang w:val="en-AU"/>
        </w:rPr>
        <w:t xml:space="preserve">After assessing the application, and for the reasons stated in this report, FSANZ has prepared a draft variation </w:t>
      </w:r>
      <w:r w:rsidRPr="00342920">
        <w:rPr>
          <w:szCs w:val="22"/>
        </w:rPr>
        <w:t xml:space="preserve">to permit the voluntary addition of the applicant’s 2′-FL to IFP. </w:t>
      </w:r>
      <w:r w:rsidR="002970E8" w:rsidRPr="00342920">
        <w:rPr>
          <w:szCs w:val="22"/>
        </w:rPr>
        <w:t xml:space="preserve">The </w:t>
      </w:r>
      <w:r w:rsidR="00D1544A" w:rsidRPr="00342920">
        <w:rPr>
          <w:szCs w:val="22"/>
        </w:rPr>
        <w:t xml:space="preserve">Code </w:t>
      </w:r>
      <w:r w:rsidR="002970E8" w:rsidRPr="00342920">
        <w:rPr>
          <w:szCs w:val="22"/>
        </w:rPr>
        <w:t>currently permits</w:t>
      </w:r>
      <w:r w:rsidR="00D1544A" w:rsidRPr="00342920">
        <w:rPr>
          <w:szCs w:val="22"/>
        </w:rPr>
        <w:t xml:space="preserve"> 2′-FL to be used alone or in combination with </w:t>
      </w:r>
      <w:r w:rsidR="002970E8" w:rsidRPr="00342920">
        <w:rPr>
          <w:rFonts w:cs="Arial"/>
          <w:szCs w:val="22"/>
          <w:lang w:val="en-AU"/>
        </w:rPr>
        <w:t>Lacto-N-neotetraose (</w:t>
      </w:r>
      <w:r w:rsidR="00D1544A" w:rsidRPr="00342920">
        <w:rPr>
          <w:szCs w:val="22"/>
        </w:rPr>
        <w:t>LNnT</w:t>
      </w:r>
      <w:r w:rsidR="002970E8" w:rsidRPr="00342920">
        <w:rPr>
          <w:szCs w:val="22"/>
        </w:rPr>
        <w:t>). FSANZ has previously assessed this combination and confirmed its safety so it</w:t>
      </w:r>
      <w:r w:rsidR="00D1544A" w:rsidRPr="00342920">
        <w:rPr>
          <w:szCs w:val="22"/>
        </w:rPr>
        <w:t xml:space="preserve"> will apply to the applicant</w:t>
      </w:r>
      <w:r w:rsidR="002970E8" w:rsidRPr="00342920">
        <w:rPr>
          <w:szCs w:val="22"/>
        </w:rPr>
        <w:t>’</w:t>
      </w:r>
      <w:r w:rsidR="00D1544A" w:rsidRPr="00342920">
        <w:rPr>
          <w:szCs w:val="22"/>
        </w:rPr>
        <w:t>s 2′-FL (noting LNnT currently has an exclusive use period for a specific brand).</w:t>
      </w:r>
      <w:r w:rsidR="002970E8" w:rsidRPr="00342920">
        <w:rPr>
          <w:szCs w:val="22"/>
        </w:rPr>
        <w:t xml:space="preserve"> </w:t>
      </w:r>
      <w:r w:rsidRPr="00342920">
        <w:rPr>
          <w:szCs w:val="22"/>
        </w:rPr>
        <w:t>As explained in this report, the draft variation will not permit the addition of the applicant’s 2′-FL to FS</w:t>
      </w:r>
      <w:r w:rsidR="00342920">
        <w:rPr>
          <w:szCs w:val="22"/>
        </w:rPr>
        <w:t>F</w:t>
      </w:r>
      <w:r w:rsidRPr="00342920">
        <w:rPr>
          <w:szCs w:val="22"/>
        </w:rPr>
        <w:t xml:space="preserve">YC. </w:t>
      </w:r>
    </w:p>
    <w:p w14:paraId="39004998" w14:textId="6BE28549" w:rsidR="00F5753C" w:rsidRDefault="00F5753C" w:rsidP="00E8122F">
      <w:pPr>
        <w:widowControl/>
        <w:spacing w:before="120" w:after="120"/>
      </w:pPr>
      <w:r>
        <w:t xml:space="preserve">The addition of the applicant’s 2′-FL to IFP will be subject to the following </w:t>
      </w:r>
      <w:r w:rsidR="00342920">
        <w:t>Code requirements or conditions:</w:t>
      </w:r>
    </w:p>
    <w:p w14:paraId="5B1415A6" w14:textId="77777777" w:rsidR="00F5753C" w:rsidRDefault="00F5753C" w:rsidP="00E8122F">
      <w:pPr>
        <w:pStyle w:val="FSBullet1"/>
        <w:numPr>
          <w:ilvl w:val="0"/>
          <w:numId w:val="11"/>
        </w:numPr>
        <w:spacing w:before="120" w:after="120"/>
        <w:ind w:left="714" w:hanging="357"/>
      </w:pPr>
      <w:r>
        <w:t xml:space="preserve">It may be added up to a </w:t>
      </w:r>
      <w:r w:rsidRPr="00475703">
        <w:t xml:space="preserve">maximum </w:t>
      </w:r>
      <w:r>
        <w:t>level</w:t>
      </w:r>
      <w:r w:rsidRPr="00475703">
        <w:t xml:space="preserve"> of 2.4 g/L for 2′-FL, as consumed (i.e. in powder or </w:t>
      </w:r>
      <w:r>
        <w:t>liquid</w:t>
      </w:r>
      <w:r w:rsidRPr="00475703">
        <w:t xml:space="preserve"> form)</w:t>
      </w:r>
      <w:r>
        <w:t>.</w:t>
      </w:r>
    </w:p>
    <w:p w14:paraId="2C8F66E9" w14:textId="77777777" w:rsidR="00F5753C" w:rsidRPr="00DE25A4" w:rsidRDefault="00F5753C" w:rsidP="00E8122F">
      <w:pPr>
        <w:pStyle w:val="FSBullet1"/>
        <w:numPr>
          <w:ilvl w:val="0"/>
          <w:numId w:val="11"/>
        </w:numPr>
        <w:spacing w:before="120" w:after="120"/>
        <w:ind w:left="714" w:hanging="357"/>
      </w:pPr>
      <w:r>
        <w:t xml:space="preserve">The existing prohibition for the use of 2′-FL with </w:t>
      </w:r>
      <w:r w:rsidRPr="00DE25A4">
        <w:rPr>
          <w:rFonts w:eastAsia="Calibri"/>
        </w:rPr>
        <w:t xml:space="preserve">galacto-oligosaccharides and inulin-type fructans would apply to IFP that contain the applicants </w:t>
      </w:r>
      <w:r>
        <w:t>2′-FL</w:t>
      </w:r>
      <w:r w:rsidRPr="00DE25A4">
        <w:rPr>
          <w:rFonts w:eastAsia="Calibri"/>
        </w:rPr>
        <w:t>.</w:t>
      </w:r>
    </w:p>
    <w:p w14:paraId="146BB7D0" w14:textId="77777777" w:rsidR="00F5753C" w:rsidRDefault="00F5753C" w:rsidP="00E8122F">
      <w:pPr>
        <w:pStyle w:val="FSBullet1"/>
        <w:numPr>
          <w:ilvl w:val="0"/>
          <w:numId w:val="11"/>
        </w:numPr>
        <w:spacing w:before="120" w:after="120"/>
        <w:ind w:left="714" w:hanging="357"/>
      </w:pPr>
      <w:r>
        <w:t>The existing prohibition for the use of the words ‘human milk identical oligosaccharide’ or ‘human milk oligosaccharide’,</w:t>
      </w:r>
      <w:r w:rsidRPr="00E00735">
        <w:t xml:space="preserve"> </w:t>
      </w:r>
      <w:r>
        <w:t xml:space="preserve">and abbreviations ‘HMO’, </w:t>
      </w:r>
      <w:r>
        <w:lastRenderedPageBreak/>
        <w:t xml:space="preserve">‘HiMO’, or any word or words or abbreviations having the same or similar effect, would apply to IFP that contain the applicant’s </w:t>
      </w:r>
      <w:r w:rsidRPr="00E00735">
        <w:t>2′-FL</w:t>
      </w:r>
      <w:r>
        <w:t xml:space="preserve">. </w:t>
      </w:r>
    </w:p>
    <w:p w14:paraId="03775EC3" w14:textId="243708EB" w:rsidR="00F5753C" w:rsidRDefault="00F5753C" w:rsidP="00E8122F">
      <w:pPr>
        <w:pStyle w:val="FSBullet1"/>
        <w:numPr>
          <w:ilvl w:val="0"/>
          <w:numId w:val="11"/>
        </w:numPr>
        <w:spacing w:before="120" w:after="120"/>
        <w:ind w:left="714" w:hanging="357"/>
      </w:pPr>
      <w:r>
        <w:t>An e</w:t>
      </w:r>
      <w:r w:rsidRPr="0091535D">
        <w:t>xclusive permission</w:t>
      </w:r>
      <w:r>
        <w:t xml:space="preserve"> to use </w:t>
      </w:r>
      <w:r>
        <w:rPr>
          <w:rFonts w:eastAsia="Calibri"/>
        </w:rPr>
        <w:t xml:space="preserve">the applicant’s </w:t>
      </w:r>
      <w:r>
        <w:t>2′-FL</w:t>
      </w:r>
      <w:r w:rsidR="00342920">
        <w:t xml:space="preserve"> </w:t>
      </w:r>
      <w:r>
        <w:t xml:space="preserve">would apply </w:t>
      </w:r>
      <w:r w:rsidRPr="0091535D">
        <w:t>for a period of 15 months</w:t>
      </w:r>
      <w:r>
        <w:t>, linked to the applicant’s brand name ‘CHR. HANSEN™ 2′</w:t>
      </w:r>
      <w:r w:rsidRPr="0091535D">
        <w:t>-FL</w:t>
      </w:r>
      <w:r>
        <w:t xml:space="preserve">’, </w:t>
      </w:r>
      <w:r w:rsidRPr="0091535D">
        <w:t>commencing on the date of gazettal of the variation</w:t>
      </w:r>
      <w:r>
        <w:t>.</w:t>
      </w:r>
    </w:p>
    <w:p w14:paraId="2ECDAFD7" w14:textId="780DBAEA" w:rsidR="00F5753C" w:rsidRDefault="00F5753C" w:rsidP="00E8122F">
      <w:pPr>
        <w:pStyle w:val="ListParagraph"/>
        <w:widowControl/>
        <w:numPr>
          <w:ilvl w:val="0"/>
          <w:numId w:val="11"/>
        </w:numPr>
        <w:spacing w:before="120"/>
        <w:ind w:left="714" w:hanging="357"/>
        <w:contextualSpacing w:val="0"/>
        <w:rPr>
          <w:lang w:bidi="ar-SA"/>
        </w:rPr>
      </w:pPr>
      <w:r>
        <w:t>Schedule 3 of the Code will set a specific specification for the applicant’s 2′-FL, with which it must comply.</w:t>
      </w:r>
    </w:p>
    <w:p w14:paraId="41C8A9A7" w14:textId="77777777" w:rsidR="00E8122F" w:rsidRPr="00E8122F" w:rsidRDefault="00E8122F" w:rsidP="00E8122F">
      <w:pPr>
        <w:pStyle w:val="ListParagraph"/>
        <w:widowControl/>
        <w:spacing w:before="120"/>
        <w:ind w:left="714"/>
        <w:contextualSpacing w:val="0"/>
        <w:rPr>
          <w:lang w:bidi="ar-SA"/>
        </w:rPr>
      </w:pPr>
    </w:p>
    <w:p w14:paraId="5F212361" w14:textId="1BA2C53E" w:rsidR="005413CB" w:rsidRPr="00676318" w:rsidRDefault="00F5753C" w:rsidP="00E8122F">
      <w:pPr>
        <w:widowControl/>
        <w:rPr>
          <w:lang w:bidi="ar-SA"/>
        </w:rPr>
      </w:pPr>
      <w:r>
        <w:t>FSANZ now seeks comments on the draft variation (at Attachment A).</w:t>
      </w:r>
      <w:r w:rsidR="005413CB" w:rsidRPr="00146380">
        <w:rPr>
          <w:lang w:val="en-AU" w:bidi="ar-SA"/>
        </w:rPr>
        <w:br w:type="page"/>
      </w:r>
    </w:p>
    <w:p w14:paraId="3267C1E4" w14:textId="77777777" w:rsidR="002A5F8B" w:rsidRPr="000B6AF2" w:rsidRDefault="00F33BB8" w:rsidP="00E8122F">
      <w:pPr>
        <w:pStyle w:val="Heading1"/>
        <w:widowControl/>
      </w:pPr>
      <w:bookmarkStart w:id="11" w:name="_Toc300933417"/>
      <w:bookmarkStart w:id="12" w:name="_Toc73104815"/>
      <w:bookmarkStart w:id="13" w:name="_Toc77338762"/>
      <w:r>
        <w:lastRenderedPageBreak/>
        <w:t>1</w:t>
      </w:r>
      <w:r w:rsidR="001542D8">
        <w:tab/>
      </w:r>
      <w:r w:rsidR="002A5F8B" w:rsidRPr="000B6AF2">
        <w:t>Introduction</w:t>
      </w:r>
      <w:bookmarkEnd w:id="10"/>
      <w:bookmarkEnd w:id="11"/>
      <w:bookmarkEnd w:id="12"/>
      <w:bookmarkEnd w:id="13"/>
    </w:p>
    <w:p w14:paraId="518609C4" w14:textId="279A0F45" w:rsidR="0053464E" w:rsidRDefault="00F33BB8" w:rsidP="00E8122F">
      <w:pPr>
        <w:pStyle w:val="Heading2"/>
        <w:widowControl/>
      </w:pPr>
      <w:bookmarkStart w:id="14" w:name="_Toc300761890"/>
      <w:bookmarkStart w:id="15" w:name="_Toc300933419"/>
      <w:bookmarkStart w:id="16" w:name="_Toc73104816"/>
      <w:bookmarkStart w:id="17" w:name="_Toc77338763"/>
      <w:r>
        <w:t>1</w:t>
      </w:r>
      <w:r w:rsidR="0053464E" w:rsidRPr="0053464E">
        <w:t>.1</w:t>
      </w:r>
      <w:r w:rsidR="0053464E" w:rsidRPr="0053464E">
        <w:tab/>
        <w:t>The Applicant</w:t>
      </w:r>
      <w:bookmarkEnd w:id="14"/>
      <w:bookmarkEnd w:id="15"/>
      <w:bookmarkEnd w:id="16"/>
      <w:bookmarkEnd w:id="17"/>
    </w:p>
    <w:p w14:paraId="5C4896DE" w14:textId="74030D6F" w:rsidR="00746933" w:rsidRDefault="005413CB" w:rsidP="00E8122F">
      <w:pPr>
        <w:widowControl/>
        <w:rPr>
          <w:szCs w:val="22"/>
        </w:rPr>
      </w:pPr>
      <w:r>
        <w:rPr>
          <w:lang w:bidi="ar-SA"/>
        </w:rPr>
        <w:t xml:space="preserve">The application was </w:t>
      </w:r>
      <w:r w:rsidR="00D33DE8">
        <w:rPr>
          <w:lang w:bidi="ar-SA"/>
        </w:rPr>
        <w:t xml:space="preserve">originally </w:t>
      </w:r>
      <w:r>
        <w:rPr>
          <w:lang w:bidi="ar-SA"/>
        </w:rPr>
        <w:t xml:space="preserve">submitted by </w:t>
      </w:r>
      <w:r w:rsidR="004A1C5C">
        <w:rPr>
          <w:lang w:bidi="ar-SA"/>
        </w:rPr>
        <w:t>Jennewein</w:t>
      </w:r>
      <w:r w:rsidR="002F1C21">
        <w:rPr>
          <w:lang w:bidi="ar-SA"/>
        </w:rPr>
        <w:t xml:space="preserve"> Biotechnologies GmbH</w:t>
      </w:r>
      <w:r w:rsidR="00BC342A">
        <w:rPr>
          <w:lang w:bidi="ar-SA"/>
        </w:rPr>
        <w:t xml:space="preserve"> in September 2019</w:t>
      </w:r>
      <w:r w:rsidR="002F1C21">
        <w:rPr>
          <w:lang w:bidi="ar-SA"/>
        </w:rPr>
        <w:t xml:space="preserve">. </w:t>
      </w:r>
      <w:r w:rsidR="0006668E">
        <w:rPr>
          <w:szCs w:val="22"/>
        </w:rPr>
        <w:t>On the</w:t>
      </w:r>
      <w:r w:rsidR="002F1C21">
        <w:rPr>
          <w:szCs w:val="22"/>
        </w:rPr>
        <w:t xml:space="preserve"> 9</w:t>
      </w:r>
      <w:r w:rsidR="0006668E" w:rsidRPr="00831A9F">
        <w:rPr>
          <w:szCs w:val="22"/>
          <w:vertAlign w:val="superscript"/>
        </w:rPr>
        <w:t>th</w:t>
      </w:r>
      <w:r w:rsidR="0006668E">
        <w:rPr>
          <w:szCs w:val="22"/>
        </w:rPr>
        <w:t xml:space="preserve"> of</w:t>
      </w:r>
      <w:r w:rsidR="002F1C21">
        <w:rPr>
          <w:szCs w:val="22"/>
        </w:rPr>
        <w:t xml:space="preserve"> October 2020</w:t>
      </w:r>
      <w:r w:rsidR="00BC342A">
        <w:rPr>
          <w:szCs w:val="22"/>
        </w:rPr>
        <w:t>,</w:t>
      </w:r>
      <w:r w:rsidR="002F1C21">
        <w:rPr>
          <w:szCs w:val="22"/>
        </w:rPr>
        <w:t xml:space="preserve"> </w:t>
      </w:r>
      <w:r w:rsidR="002F1C21" w:rsidRPr="00BB0A34">
        <w:rPr>
          <w:szCs w:val="22"/>
        </w:rPr>
        <w:t>Chr. Hansen A/S</w:t>
      </w:r>
      <w:r w:rsidR="002F1C21">
        <w:rPr>
          <w:szCs w:val="22"/>
        </w:rPr>
        <w:t xml:space="preserve"> (Chr. Hansen)</w:t>
      </w:r>
      <w:r w:rsidR="002F1C21" w:rsidRPr="00BB0A34">
        <w:rPr>
          <w:szCs w:val="22"/>
        </w:rPr>
        <w:t xml:space="preserve"> acquired Jennewein Bio</w:t>
      </w:r>
      <w:r w:rsidR="002F1C21">
        <w:rPr>
          <w:szCs w:val="22"/>
        </w:rPr>
        <w:t xml:space="preserve">technologie GmbH. FSANZ has </w:t>
      </w:r>
      <w:r w:rsidR="00831A9F">
        <w:rPr>
          <w:szCs w:val="22"/>
        </w:rPr>
        <w:t xml:space="preserve">since </w:t>
      </w:r>
      <w:r w:rsidR="002F1C21">
        <w:rPr>
          <w:szCs w:val="22"/>
        </w:rPr>
        <w:t xml:space="preserve">received formal notification that Chr. Hansen is now the applicant for A1190, however </w:t>
      </w:r>
      <w:r w:rsidR="002F1C21" w:rsidRPr="00BB0A34">
        <w:rPr>
          <w:szCs w:val="22"/>
        </w:rPr>
        <w:t xml:space="preserve">other details </w:t>
      </w:r>
      <w:r w:rsidR="002F1C21">
        <w:rPr>
          <w:szCs w:val="22"/>
        </w:rPr>
        <w:t>remain unchanged</w:t>
      </w:r>
      <w:r w:rsidR="002F1C21" w:rsidRPr="00BB0A34">
        <w:rPr>
          <w:szCs w:val="22"/>
        </w:rPr>
        <w:t xml:space="preserve"> i.e. its legal entity (including same company identification number)</w:t>
      </w:r>
      <w:r w:rsidR="00BC342A">
        <w:rPr>
          <w:szCs w:val="22"/>
        </w:rPr>
        <w:t>;</w:t>
      </w:r>
      <w:r w:rsidR="002F1C21" w:rsidRPr="00BB0A34">
        <w:rPr>
          <w:szCs w:val="22"/>
        </w:rPr>
        <w:t xml:space="preserve"> manufacturing premises</w:t>
      </w:r>
      <w:r w:rsidR="00BC342A">
        <w:rPr>
          <w:szCs w:val="22"/>
        </w:rPr>
        <w:t>;</w:t>
      </w:r>
      <w:r w:rsidR="002F1C21" w:rsidRPr="00BB0A34">
        <w:rPr>
          <w:szCs w:val="22"/>
        </w:rPr>
        <w:t xml:space="preserve"> manufacturing processes and qua</w:t>
      </w:r>
      <w:r w:rsidR="002F1C21">
        <w:rPr>
          <w:szCs w:val="22"/>
        </w:rPr>
        <w:t>lity systems and certifications.</w:t>
      </w:r>
    </w:p>
    <w:p w14:paraId="32C0F447" w14:textId="14D0980D" w:rsidR="002F1C21" w:rsidRDefault="002F1C21" w:rsidP="00E8122F">
      <w:pPr>
        <w:widowControl/>
        <w:rPr>
          <w:szCs w:val="22"/>
        </w:rPr>
      </w:pPr>
    </w:p>
    <w:p w14:paraId="2165DBE1" w14:textId="46D2E224" w:rsidR="002F1C21" w:rsidRPr="00746933" w:rsidRDefault="002F1C21" w:rsidP="00E8122F">
      <w:pPr>
        <w:widowControl/>
        <w:rPr>
          <w:lang w:bidi="ar-SA"/>
        </w:rPr>
      </w:pPr>
      <w:r>
        <w:rPr>
          <w:szCs w:val="22"/>
        </w:rPr>
        <w:t xml:space="preserve">Chr. Hansen </w:t>
      </w:r>
      <w:r w:rsidR="00BC342A">
        <w:rPr>
          <w:rFonts w:cs="Arial"/>
          <w:lang w:val="en"/>
        </w:rPr>
        <w:t xml:space="preserve">is a global </w:t>
      </w:r>
      <w:r>
        <w:rPr>
          <w:rFonts w:cs="Arial"/>
          <w:lang w:val="en"/>
        </w:rPr>
        <w:t>bioscience company that develops natural ingredient solutions for the food, nutritional, pharmaceutical and agricultural industries.</w:t>
      </w:r>
    </w:p>
    <w:p w14:paraId="6AD74803" w14:textId="6AEED5B5" w:rsidR="0053464E" w:rsidRPr="007D5394" w:rsidRDefault="00F33BB8" w:rsidP="00E8122F">
      <w:pPr>
        <w:pStyle w:val="Heading2"/>
        <w:widowControl/>
      </w:pPr>
      <w:bookmarkStart w:id="18" w:name="_Toc300761891"/>
      <w:bookmarkStart w:id="19" w:name="_Toc300933420"/>
      <w:bookmarkStart w:id="20" w:name="_Toc73104817"/>
      <w:bookmarkStart w:id="21" w:name="_Toc77338764"/>
      <w:r w:rsidRPr="007D5394">
        <w:t>1</w:t>
      </w:r>
      <w:r w:rsidR="0053464E" w:rsidRPr="007D5394">
        <w:t>.2</w:t>
      </w:r>
      <w:r w:rsidR="0053464E" w:rsidRPr="007D5394">
        <w:tab/>
        <w:t>The Application</w:t>
      </w:r>
      <w:bookmarkEnd w:id="18"/>
      <w:bookmarkEnd w:id="19"/>
      <w:bookmarkEnd w:id="20"/>
      <w:bookmarkEnd w:id="21"/>
    </w:p>
    <w:p w14:paraId="7DC93C3D" w14:textId="37DCE61A" w:rsidR="00347198" w:rsidRDefault="00216FDF" w:rsidP="00E8122F">
      <w:pPr>
        <w:widowControl/>
        <w:rPr>
          <w:szCs w:val="22"/>
        </w:rPr>
      </w:pPr>
      <w:r>
        <w:rPr>
          <w:szCs w:val="22"/>
        </w:rPr>
        <w:t xml:space="preserve">The application is seeking to amend the </w:t>
      </w:r>
      <w:r w:rsidRPr="00E1609C">
        <w:rPr>
          <w:szCs w:val="22"/>
        </w:rPr>
        <w:t>Australia New Zealand Food Standards Code</w:t>
      </w:r>
      <w:r>
        <w:rPr>
          <w:szCs w:val="22"/>
        </w:rPr>
        <w:t xml:space="preserve"> (the Code) to permit </w:t>
      </w:r>
      <w:r w:rsidRPr="00830414">
        <w:rPr>
          <w:szCs w:val="22"/>
        </w:rPr>
        <w:t xml:space="preserve">the </w:t>
      </w:r>
      <w:r w:rsidRPr="00843230">
        <w:rPr>
          <w:szCs w:val="22"/>
        </w:rPr>
        <w:t>voluntary addition</w:t>
      </w:r>
      <w:r w:rsidRPr="00830414">
        <w:rPr>
          <w:szCs w:val="22"/>
        </w:rPr>
        <w:t xml:space="preserve"> of</w:t>
      </w:r>
      <w:r>
        <w:rPr>
          <w:szCs w:val="22"/>
        </w:rPr>
        <w:t xml:space="preserve"> 2′-</w:t>
      </w:r>
      <w:r w:rsidR="00D35624">
        <w:rPr>
          <w:szCs w:val="22"/>
        </w:rPr>
        <w:t>f</w:t>
      </w:r>
      <w:r>
        <w:rPr>
          <w:szCs w:val="22"/>
        </w:rPr>
        <w:t xml:space="preserve">ucosyllactose (2′-FL), </w:t>
      </w:r>
      <w:r w:rsidRPr="00830414">
        <w:rPr>
          <w:szCs w:val="22"/>
        </w:rPr>
        <w:t>in infant formula</w:t>
      </w:r>
      <w:r>
        <w:rPr>
          <w:szCs w:val="22"/>
        </w:rPr>
        <w:t xml:space="preserve"> products</w:t>
      </w:r>
      <w:r w:rsidR="002F1C21">
        <w:rPr>
          <w:szCs w:val="22"/>
        </w:rPr>
        <w:t xml:space="preserve"> (IFP</w:t>
      </w:r>
      <w:r w:rsidR="00B83FB6">
        <w:rPr>
          <w:szCs w:val="22"/>
        </w:rPr>
        <w:t>)</w:t>
      </w:r>
      <w:r w:rsidR="00B83FB6">
        <w:rPr>
          <w:rStyle w:val="FootnoteReference"/>
          <w:szCs w:val="22"/>
        </w:rPr>
        <w:footnoteReference w:id="3"/>
      </w:r>
      <w:r>
        <w:rPr>
          <w:szCs w:val="22"/>
        </w:rPr>
        <w:t xml:space="preserve"> </w:t>
      </w:r>
      <w:r w:rsidRPr="00830414">
        <w:rPr>
          <w:szCs w:val="22"/>
        </w:rPr>
        <w:t>and formulated supplementary foods for young children (FSFYC)</w:t>
      </w:r>
      <w:r>
        <w:rPr>
          <w:rStyle w:val="FootnoteReference"/>
          <w:szCs w:val="22"/>
        </w:rPr>
        <w:footnoteReference w:id="4"/>
      </w:r>
      <w:r>
        <w:rPr>
          <w:szCs w:val="22"/>
        </w:rPr>
        <w:t xml:space="preserve">. 2′-FL </w:t>
      </w:r>
      <w:r w:rsidR="00B83FB6">
        <w:rPr>
          <w:szCs w:val="22"/>
        </w:rPr>
        <w:t>is a non-digestible</w:t>
      </w:r>
      <w:r w:rsidR="00344DC7">
        <w:rPr>
          <w:szCs w:val="22"/>
        </w:rPr>
        <w:t xml:space="preserve"> carbohydrate (</w:t>
      </w:r>
      <w:r w:rsidR="00EA54F4">
        <w:rPr>
          <w:szCs w:val="22"/>
        </w:rPr>
        <w:t>oligosaccharide</w:t>
      </w:r>
      <w:r w:rsidR="00344DC7">
        <w:rPr>
          <w:szCs w:val="22"/>
        </w:rPr>
        <w:t>)</w:t>
      </w:r>
      <w:r>
        <w:rPr>
          <w:szCs w:val="22"/>
        </w:rPr>
        <w:t xml:space="preserve"> </w:t>
      </w:r>
      <w:r w:rsidRPr="004F1B4D">
        <w:rPr>
          <w:szCs w:val="22"/>
        </w:rPr>
        <w:t xml:space="preserve">found naturally in </w:t>
      </w:r>
      <w:r>
        <w:rPr>
          <w:szCs w:val="22"/>
        </w:rPr>
        <w:t xml:space="preserve">human </w:t>
      </w:r>
      <w:r w:rsidRPr="004F1B4D">
        <w:rPr>
          <w:szCs w:val="22"/>
        </w:rPr>
        <w:t>milk.</w:t>
      </w:r>
      <w:r w:rsidR="00347198">
        <w:rPr>
          <w:szCs w:val="22"/>
        </w:rPr>
        <w:t xml:space="preserve"> The application is specifically for 2′-FL</w:t>
      </w:r>
      <w:r w:rsidR="00930E30">
        <w:rPr>
          <w:rStyle w:val="FootnoteReference"/>
          <w:szCs w:val="22"/>
        </w:rPr>
        <w:footnoteReference w:id="5"/>
      </w:r>
      <w:r w:rsidR="00347198">
        <w:rPr>
          <w:szCs w:val="22"/>
        </w:rPr>
        <w:t xml:space="preserve"> produced by microbial </w:t>
      </w:r>
      <w:r w:rsidR="00347198" w:rsidRPr="007B3A47">
        <w:rPr>
          <w:szCs w:val="22"/>
        </w:rPr>
        <w:t xml:space="preserve">fermentation </w:t>
      </w:r>
      <w:r w:rsidR="00347198">
        <w:rPr>
          <w:szCs w:val="22"/>
        </w:rPr>
        <w:t xml:space="preserve">from </w:t>
      </w:r>
      <w:r w:rsidR="00347198" w:rsidRPr="00E468C2">
        <w:rPr>
          <w:szCs w:val="22"/>
        </w:rPr>
        <w:t>genetically modified (GM</w:t>
      </w:r>
      <w:r w:rsidR="00347198" w:rsidRPr="002526D1">
        <w:rPr>
          <w:szCs w:val="22"/>
        </w:rPr>
        <w:t xml:space="preserve">) </w:t>
      </w:r>
      <w:r w:rsidR="00347198" w:rsidRPr="001441C1">
        <w:rPr>
          <w:i/>
        </w:rPr>
        <w:t>Escherichia coli</w:t>
      </w:r>
      <w:r w:rsidR="00347198" w:rsidRPr="001441C1">
        <w:t xml:space="preserve"> (</w:t>
      </w:r>
      <w:r w:rsidR="00347198" w:rsidRPr="001441C1">
        <w:rPr>
          <w:i/>
        </w:rPr>
        <w:t>E.coli</w:t>
      </w:r>
      <w:r w:rsidR="00347198" w:rsidRPr="001441C1">
        <w:t>)</w:t>
      </w:r>
      <w:r w:rsidR="00347198">
        <w:t xml:space="preserve"> BL21 strains</w:t>
      </w:r>
      <w:r w:rsidR="00347198">
        <w:rPr>
          <w:szCs w:val="22"/>
        </w:rPr>
        <w:t xml:space="preserve">. The application claims </w:t>
      </w:r>
      <w:r w:rsidR="00A2072D">
        <w:rPr>
          <w:szCs w:val="22"/>
        </w:rPr>
        <w:t xml:space="preserve">the </w:t>
      </w:r>
      <w:r w:rsidR="00930E30">
        <w:rPr>
          <w:szCs w:val="22"/>
        </w:rPr>
        <w:t xml:space="preserve">2′-FL </w:t>
      </w:r>
      <w:r w:rsidR="00347198">
        <w:rPr>
          <w:szCs w:val="22"/>
        </w:rPr>
        <w:t xml:space="preserve">is </w:t>
      </w:r>
      <w:r w:rsidR="00347198" w:rsidRPr="001441C1">
        <w:rPr>
          <w:szCs w:val="22"/>
        </w:rPr>
        <w:t>structurally and chemically</w:t>
      </w:r>
      <w:r w:rsidR="00347198">
        <w:rPr>
          <w:szCs w:val="22"/>
        </w:rPr>
        <w:t xml:space="preserve"> identical to 2′-FL found in human milk</w:t>
      </w:r>
      <w:r w:rsidR="00347198" w:rsidRPr="002C305E">
        <w:rPr>
          <w:szCs w:val="22"/>
        </w:rPr>
        <w:t>.</w:t>
      </w:r>
    </w:p>
    <w:p w14:paraId="6D807EC8" w14:textId="77777777" w:rsidR="00347198" w:rsidRDefault="00347198" w:rsidP="00E8122F">
      <w:pPr>
        <w:widowControl/>
        <w:rPr>
          <w:szCs w:val="22"/>
        </w:rPr>
      </w:pPr>
    </w:p>
    <w:p w14:paraId="5F3D657B" w14:textId="4E94C257" w:rsidR="00347198" w:rsidRPr="00B02DF1" w:rsidRDefault="00347198" w:rsidP="00E8122F">
      <w:pPr>
        <w:widowControl/>
        <w:rPr>
          <w:szCs w:val="22"/>
        </w:rPr>
      </w:pPr>
      <w:r w:rsidRPr="00B02DF1">
        <w:rPr>
          <w:szCs w:val="22"/>
        </w:rPr>
        <w:t xml:space="preserve">This is the second application FSANZ has assessed for </w:t>
      </w:r>
      <w:r w:rsidR="00930E30" w:rsidRPr="00B02DF1">
        <w:rPr>
          <w:szCs w:val="22"/>
        </w:rPr>
        <w:t>2′-FL</w:t>
      </w:r>
      <w:r w:rsidRPr="00B02DF1">
        <w:rPr>
          <w:szCs w:val="22"/>
        </w:rPr>
        <w:t xml:space="preserve">. The first was application </w:t>
      </w:r>
      <w:r w:rsidRPr="00B02DF1">
        <w:rPr>
          <w:i/>
          <w:szCs w:val="22"/>
        </w:rPr>
        <w:t>A1155 -</w:t>
      </w:r>
      <w:r w:rsidRPr="00B02DF1">
        <w:rPr>
          <w:szCs w:val="22"/>
        </w:rPr>
        <w:t xml:space="preserve"> </w:t>
      </w:r>
      <w:r w:rsidRPr="00B02DF1">
        <w:rPr>
          <w:i/>
          <w:szCs w:val="22"/>
        </w:rPr>
        <w:t>2</w:t>
      </w:r>
      <w:r w:rsidR="00B9643D" w:rsidRPr="00B02DF1">
        <w:rPr>
          <w:szCs w:val="22"/>
        </w:rPr>
        <w:t>′</w:t>
      </w:r>
      <w:r w:rsidRPr="00B02DF1">
        <w:rPr>
          <w:i/>
          <w:szCs w:val="22"/>
        </w:rPr>
        <w:t xml:space="preserve">-FL and </w:t>
      </w:r>
      <w:r w:rsidR="000947A3" w:rsidRPr="00B02DF1">
        <w:rPr>
          <w:rFonts w:cs="Arial"/>
          <w:i/>
          <w:szCs w:val="22"/>
          <w:lang w:val="en-AU"/>
        </w:rPr>
        <w:t>Lacto-N-neotetraose</w:t>
      </w:r>
      <w:r w:rsidR="000947A3" w:rsidRPr="00B02DF1">
        <w:rPr>
          <w:rFonts w:cs="Arial"/>
          <w:szCs w:val="22"/>
          <w:lang w:val="en-AU"/>
        </w:rPr>
        <w:t xml:space="preserve"> (</w:t>
      </w:r>
      <w:r w:rsidRPr="00B02DF1">
        <w:rPr>
          <w:i/>
          <w:szCs w:val="22"/>
        </w:rPr>
        <w:t>LNnT</w:t>
      </w:r>
      <w:r w:rsidR="000947A3" w:rsidRPr="00B02DF1">
        <w:rPr>
          <w:i/>
          <w:szCs w:val="22"/>
        </w:rPr>
        <w:t>)</w:t>
      </w:r>
      <w:r w:rsidRPr="00B02DF1">
        <w:rPr>
          <w:i/>
          <w:szCs w:val="22"/>
        </w:rPr>
        <w:t xml:space="preserve"> in infant formula and other products</w:t>
      </w:r>
      <w:r w:rsidRPr="00B02DF1">
        <w:rPr>
          <w:szCs w:val="22"/>
        </w:rPr>
        <w:t>. While permis</w:t>
      </w:r>
      <w:r w:rsidR="00930E30" w:rsidRPr="00B02DF1">
        <w:rPr>
          <w:szCs w:val="22"/>
        </w:rPr>
        <w:t>sion exists in the Code for</w:t>
      </w:r>
      <w:r w:rsidRPr="00B02DF1">
        <w:rPr>
          <w:szCs w:val="22"/>
        </w:rPr>
        <w:t xml:space="preserve"> </w:t>
      </w:r>
      <w:r w:rsidR="00930E30" w:rsidRPr="00B02DF1">
        <w:rPr>
          <w:szCs w:val="22"/>
        </w:rPr>
        <w:t>2′-FL from A1155</w:t>
      </w:r>
      <w:r w:rsidRPr="00B02DF1">
        <w:rPr>
          <w:szCs w:val="22"/>
        </w:rPr>
        <w:t>, the source and specifications of the A1190 2′-FL are different and therefore it required a pre-market assessment and was eligible for an exclusivity period of 15 months.</w:t>
      </w:r>
    </w:p>
    <w:p w14:paraId="4355B2E7" w14:textId="77777777" w:rsidR="00347198" w:rsidRDefault="00347198" w:rsidP="00E8122F">
      <w:pPr>
        <w:widowControl/>
      </w:pPr>
    </w:p>
    <w:p w14:paraId="67897B09" w14:textId="655BCC4E" w:rsidR="00216FDF" w:rsidRPr="00347198" w:rsidRDefault="00EA54F4" w:rsidP="00E8122F">
      <w:pPr>
        <w:widowControl/>
      </w:pPr>
      <w:r>
        <w:rPr>
          <w:szCs w:val="22"/>
        </w:rPr>
        <w:t>The applicant proposed an intended use level for 2</w:t>
      </w:r>
      <w:r w:rsidR="00421FC8">
        <w:t>′</w:t>
      </w:r>
      <w:r>
        <w:rPr>
          <w:szCs w:val="22"/>
        </w:rPr>
        <w:t xml:space="preserve">-FL in </w:t>
      </w:r>
      <w:r w:rsidR="00CF752B">
        <w:rPr>
          <w:szCs w:val="22"/>
        </w:rPr>
        <w:t>IFP</w:t>
      </w:r>
      <w:r w:rsidDel="00FD22B7">
        <w:rPr>
          <w:szCs w:val="22"/>
        </w:rPr>
        <w:t xml:space="preserve"> </w:t>
      </w:r>
      <w:r w:rsidR="00180735" w:rsidDel="00FD22B7">
        <w:rPr>
          <w:szCs w:val="22"/>
        </w:rPr>
        <w:t>of</w:t>
      </w:r>
      <w:r w:rsidDel="00FD22B7">
        <w:rPr>
          <w:szCs w:val="22"/>
        </w:rPr>
        <w:t xml:space="preserve"> 2 g/L</w:t>
      </w:r>
      <w:r w:rsidR="00180735">
        <w:rPr>
          <w:szCs w:val="22"/>
        </w:rPr>
        <w:t>, as consumed, in both liquid and powdered form</w:t>
      </w:r>
      <w:r>
        <w:rPr>
          <w:szCs w:val="22"/>
        </w:rPr>
        <w:t>.</w:t>
      </w:r>
      <w:r w:rsidR="005123B6">
        <w:rPr>
          <w:szCs w:val="22"/>
        </w:rPr>
        <w:t xml:space="preserve"> The </w:t>
      </w:r>
      <w:r w:rsidR="0006668E">
        <w:rPr>
          <w:szCs w:val="22"/>
        </w:rPr>
        <w:t>a</w:t>
      </w:r>
      <w:r w:rsidR="005123B6">
        <w:rPr>
          <w:szCs w:val="22"/>
        </w:rPr>
        <w:t>pplicant’s stated purpose for adding 2</w:t>
      </w:r>
      <w:r w:rsidR="00713D41">
        <w:t>′</w:t>
      </w:r>
      <w:r w:rsidR="005123B6">
        <w:rPr>
          <w:szCs w:val="22"/>
        </w:rPr>
        <w:t xml:space="preserve">-FL to </w:t>
      </w:r>
      <w:r w:rsidR="00347198">
        <w:rPr>
          <w:szCs w:val="22"/>
        </w:rPr>
        <w:t>IFP</w:t>
      </w:r>
      <w:r w:rsidR="005123B6">
        <w:rPr>
          <w:szCs w:val="22"/>
        </w:rPr>
        <w:t xml:space="preserve"> is that it will </w:t>
      </w:r>
      <w:r w:rsidR="00347198">
        <w:rPr>
          <w:szCs w:val="22"/>
        </w:rPr>
        <w:t>result in</w:t>
      </w:r>
      <w:r w:rsidR="005123B6">
        <w:rPr>
          <w:szCs w:val="22"/>
        </w:rPr>
        <w:t xml:space="preserve"> higher quality products that more closely align with </w:t>
      </w:r>
      <w:r w:rsidR="00180735">
        <w:rPr>
          <w:szCs w:val="22"/>
        </w:rPr>
        <w:t xml:space="preserve">the </w:t>
      </w:r>
      <w:r w:rsidR="0005496F">
        <w:rPr>
          <w:szCs w:val="22"/>
        </w:rPr>
        <w:t>composition of</w:t>
      </w:r>
      <w:r w:rsidR="005123B6">
        <w:rPr>
          <w:szCs w:val="22"/>
        </w:rPr>
        <w:t xml:space="preserve"> human milk. </w:t>
      </w:r>
      <w:r w:rsidR="0005496F">
        <w:rPr>
          <w:szCs w:val="22"/>
        </w:rPr>
        <w:t xml:space="preserve">The applicant </w:t>
      </w:r>
      <w:r w:rsidR="005123B6">
        <w:rPr>
          <w:szCs w:val="22"/>
        </w:rPr>
        <w:t xml:space="preserve">justifies the addition of </w:t>
      </w:r>
      <w:r w:rsidR="00B83FB6">
        <w:rPr>
          <w:szCs w:val="22"/>
        </w:rPr>
        <w:t xml:space="preserve">their </w:t>
      </w:r>
      <w:r w:rsidR="00F47638">
        <w:rPr>
          <w:szCs w:val="22"/>
        </w:rPr>
        <w:t>2</w:t>
      </w:r>
      <w:r w:rsidR="00B9643D" w:rsidRPr="004777D4">
        <w:t>′</w:t>
      </w:r>
      <w:r w:rsidR="00F47638">
        <w:rPr>
          <w:szCs w:val="22"/>
        </w:rPr>
        <w:t xml:space="preserve">-FL to FSFYC </w:t>
      </w:r>
      <w:r w:rsidR="00A2072D">
        <w:rPr>
          <w:szCs w:val="22"/>
        </w:rPr>
        <w:t xml:space="preserve">by stating </w:t>
      </w:r>
      <w:r w:rsidR="00F47638">
        <w:rPr>
          <w:szCs w:val="22"/>
        </w:rPr>
        <w:t xml:space="preserve">the benefits of </w:t>
      </w:r>
      <w:r w:rsidR="005123B6">
        <w:rPr>
          <w:szCs w:val="22"/>
        </w:rPr>
        <w:t>2</w:t>
      </w:r>
      <w:r w:rsidR="00B9643D" w:rsidRPr="004777D4">
        <w:t>′</w:t>
      </w:r>
      <w:r w:rsidR="005123B6">
        <w:rPr>
          <w:szCs w:val="22"/>
        </w:rPr>
        <w:t>-FL are hypothesi</w:t>
      </w:r>
      <w:r w:rsidR="0006668E">
        <w:rPr>
          <w:szCs w:val="22"/>
        </w:rPr>
        <w:t>s</w:t>
      </w:r>
      <w:r w:rsidR="005123B6">
        <w:rPr>
          <w:szCs w:val="22"/>
        </w:rPr>
        <w:t>ed to extend past infancy.</w:t>
      </w:r>
    </w:p>
    <w:p w14:paraId="76D539AA" w14:textId="18AF0E8E" w:rsidR="0053464E" w:rsidRPr="0053464E" w:rsidRDefault="00F33BB8" w:rsidP="00E8122F">
      <w:pPr>
        <w:pStyle w:val="Heading2"/>
        <w:widowControl/>
      </w:pPr>
      <w:bookmarkStart w:id="22" w:name="_Toc300761892"/>
      <w:bookmarkStart w:id="23" w:name="_Toc300933421"/>
      <w:bookmarkStart w:id="24" w:name="_Toc73104818"/>
      <w:bookmarkStart w:id="25" w:name="_Toc77338765"/>
      <w:r>
        <w:lastRenderedPageBreak/>
        <w:t>1</w:t>
      </w:r>
      <w:r w:rsidR="00A56E34">
        <w:t>.3</w:t>
      </w:r>
      <w:r w:rsidR="00A56E34">
        <w:tab/>
        <w:t>The c</w:t>
      </w:r>
      <w:r w:rsidR="0053464E" w:rsidRPr="0053464E">
        <w:t xml:space="preserve">urrent </w:t>
      </w:r>
      <w:r w:rsidR="00785898">
        <w:t xml:space="preserve">relevant </w:t>
      </w:r>
      <w:r w:rsidR="00E72650">
        <w:t>s</w:t>
      </w:r>
      <w:r w:rsidR="0053464E" w:rsidRPr="0053464E">
        <w:t>tandard</w:t>
      </w:r>
      <w:bookmarkEnd w:id="22"/>
      <w:bookmarkEnd w:id="23"/>
      <w:r w:rsidR="00C74D25">
        <w:t>s</w:t>
      </w:r>
      <w:bookmarkEnd w:id="24"/>
      <w:bookmarkEnd w:id="25"/>
    </w:p>
    <w:p w14:paraId="5AA5DB81" w14:textId="77777777" w:rsidR="005663E7" w:rsidRDefault="005663E7" w:rsidP="00E8122F">
      <w:pPr>
        <w:pStyle w:val="Heading3"/>
        <w:keepLines/>
        <w:widowControl/>
      </w:pPr>
      <w:bookmarkStart w:id="26" w:name="_Toc467500931"/>
      <w:bookmarkStart w:id="27" w:name="_Toc525729983"/>
      <w:bookmarkStart w:id="28" w:name="_Toc527018228"/>
      <w:bookmarkStart w:id="29" w:name="_Toc11247894"/>
      <w:bookmarkStart w:id="30" w:name="_Toc14427188"/>
      <w:bookmarkStart w:id="31" w:name="_Toc22303658"/>
      <w:bookmarkStart w:id="32" w:name="_Toc22650321"/>
      <w:bookmarkStart w:id="33" w:name="_Toc73104819"/>
      <w:bookmarkStart w:id="34" w:name="_Toc77338766"/>
      <w:r w:rsidRPr="005B61D0">
        <w:t>1.3.1</w:t>
      </w:r>
      <w:r>
        <w:tab/>
      </w:r>
      <w:r w:rsidRPr="00472ED4">
        <w:t>Australia</w:t>
      </w:r>
      <w:r w:rsidRPr="005B61D0">
        <w:t xml:space="preserve"> and New Zealand</w:t>
      </w:r>
      <w:bookmarkEnd w:id="26"/>
      <w:bookmarkEnd w:id="27"/>
      <w:bookmarkEnd w:id="28"/>
      <w:bookmarkEnd w:id="29"/>
      <w:bookmarkEnd w:id="30"/>
      <w:r>
        <w:t xml:space="preserve"> Food Standards Code (the Code)</w:t>
      </w:r>
      <w:bookmarkEnd w:id="31"/>
      <w:bookmarkEnd w:id="32"/>
      <w:bookmarkEnd w:id="33"/>
      <w:bookmarkEnd w:id="34"/>
    </w:p>
    <w:p w14:paraId="27E2DBE6" w14:textId="739C1630" w:rsidR="005663E7" w:rsidRDefault="005663E7" w:rsidP="00E8122F">
      <w:pPr>
        <w:keepNext/>
        <w:keepLines/>
        <w:widowControl/>
        <w:rPr>
          <w:rFonts w:ascii="Calibri" w:hAnsi="Calibri"/>
          <w:szCs w:val="22"/>
          <w:lang w:bidi="ar-SA"/>
        </w:rPr>
      </w:pPr>
      <w:r>
        <w:t>Australian and New Zealand food laws require food for sale to comply with the following Code requirements.</w:t>
      </w:r>
      <w:r w:rsidR="00785898">
        <w:t xml:space="preserve"> </w:t>
      </w:r>
    </w:p>
    <w:p w14:paraId="50D06214" w14:textId="2AEA35BC" w:rsidR="00BB127A" w:rsidRPr="00996312" w:rsidRDefault="00BB127A" w:rsidP="00E8122F">
      <w:pPr>
        <w:pStyle w:val="Heading4"/>
        <w:widowControl/>
      </w:pPr>
      <w:r>
        <w:t>1.3.1.1</w:t>
      </w:r>
      <w:r>
        <w:tab/>
      </w:r>
      <w:r w:rsidRPr="00F9387D">
        <w:t>Permitted use</w:t>
      </w:r>
    </w:p>
    <w:p w14:paraId="16C89EED" w14:textId="77777777" w:rsidR="00752C9A" w:rsidRPr="00213529" w:rsidRDefault="00752C9A" w:rsidP="00E8122F">
      <w:pPr>
        <w:widowControl/>
      </w:pPr>
      <w:r w:rsidRPr="001805AF">
        <w:t xml:space="preserve">Paragraphs 1.1.1—10(5)(c) and (6)(g) </w:t>
      </w:r>
      <w:r>
        <w:t>of Standard 1.1.1 require</w:t>
      </w:r>
      <w:r w:rsidRPr="001805AF">
        <w:t xml:space="preserve"> that, unless</w:t>
      </w:r>
      <w:r>
        <w:t xml:space="preserve"> expressly permitted</w:t>
      </w:r>
      <w:r w:rsidRPr="001805AF">
        <w:t xml:space="preserve">, a food for sale must not be a </w:t>
      </w:r>
      <w:r w:rsidRPr="00EC2441">
        <w:rPr>
          <w:i/>
        </w:rPr>
        <w:t>food produced using gene technology</w:t>
      </w:r>
      <w:r w:rsidRPr="00213529">
        <w:t xml:space="preserve">, or have as an ingredient or component a </w:t>
      </w:r>
      <w:r w:rsidRPr="00EC2441">
        <w:rPr>
          <w:i/>
        </w:rPr>
        <w:t>food produced using gene technology</w:t>
      </w:r>
      <w:r w:rsidRPr="00213529">
        <w:t xml:space="preserve">. </w:t>
      </w:r>
    </w:p>
    <w:p w14:paraId="2985A106" w14:textId="77777777" w:rsidR="00752C9A" w:rsidRDefault="00752C9A" w:rsidP="00E8122F">
      <w:pPr>
        <w:widowControl/>
      </w:pPr>
    </w:p>
    <w:p w14:paraId="2B6FCDF0" w14:textId="06F1A806" w:rsidR="00752C9A" w:rsidRDefault="00752C9A" w:rsidP="00E8122F">
      <w:pPr>
        <w:widowControl/>
      </w:pPr>
      <w:r>
        <w:t xml:space="preserve">The applicant’s 2′-FL is </w:t>
      </w:r>
      <w:r>
        <w:rPr>
          <w:i/>
        </w:rPr>
        <w:t>food</w:t>
      </w:r>
      <w:r w:rsidRPr="00C34DBE">
        <w:rPr>
          <w:i/>
        </w:rPr>
        <w:t xml:space="preserve"> produced using gene technology</w:t>
      </w:r>
      <w:r w:rsidRPr="00B35F00">
        <w:t xml:space="preserve"> </w:t>
      </w:r>
      <w:r>
        <w:t>(</w:t>
      </w:r>
      <w:r w:rsidRPr="00B35F00">
        <w:t>section 1.1</w:t>
      </w:r>
      <w:r>
        <w:t xml:space="preserve">.2—2) as it is derived from </w:t>
      </w:r>
      <w:r w:rsidRPr="00B35F00">
        <w:t xml:space="preserve">an organism </w:t>
      </w:r>
      <w:r>
        <w:t xml:space="preserve">modified using gene technology </w:t>
      </w:r>
      <w:r w:rsidRPr="00B35F00">
        <w:t xml:space="preserve">(i.e. </w:t>
      </w:r>
      <w:r>
        <w:t xml:space="preserve">derived from </w:t>
      </w:r>
      <w:r w:rsidRPr="00B35F00">
        <w:t xml:space="preserve">GM </w:t>
      </w:r>
      <w:r w:rsidRPr="00B35F00">
        <w:rPr>
          <w:i/>
        </w:rPr>
        <w:t>E.coli</w:t>
      </w:r>
      <w:r>
        <w:t xml:space="preserve"> strains</w:t>
      </w:r>
      <w:r w:rsidRPr="00B35F00">
        <w:t xml:space="preserve">). </w:t>
      </w:r>
      <w:r w:rsidRPr="001805AF" w:rsidDel="00835E0C">
        <w:t>If approved, e</w:t>
      </w:r>
      <w:r w:rsidDel="00835E0C">
        <w:t>xpress permission</w:t>
      </w:r>
      <w:r w:rsidRPr="001805AF" w:rsidDel="00835E0C">
        <w:t xml:space="preserve"> for </w:t>
      </w:r>
      <w:r>
        <w:t xml:space="preserve">the applicant’s </w:t>
      </w:r>
      <w:r w:rsidRPr="001805AF" w:rsidDel="00835E0C">
        <w:t>2</w:t>
      </w:r>
      <w:r>
        <w:t>′</w:t>
      </w:r>
      <w:r w:rsidRPr="001805AF" w:rsidDel="00835E0C">
        <w:t xml:space="preserve">-FL </w:t>
      </w:r>
      <w:r>
        <w:t>is</w:t>
      </w:r>
      <w:r w:rsidRPr="001805AF" w:rsidDel="00835E0C">
        <w:t xml:space="preserve"> required in accordance with Standard 1.5.2 </w:t>
      </w:r>
      <w:r>
        <w:t>(i.e. listed in Schedule 26 and comply with any corresponding conditions).</w:t>
      </w:r>
    </w:p>
    <w:p w14:paraId="621A1B60" w14:textId="77777777" w:rsidR="00752C9A" w:rsidRDefault="00752C9A" w:rsidP="00E8122F">
      <w:pPr>
        <w:widowControl/>
      </w:pPr>
    </w:p>
    <w:p w14:paraId="7235EFD4" w14:textId="6D4732CF" w:rsidR="00752C9A" w:rsidRDefault="00752C9A" w:rsidP="00E8122F">
      <w:pPr>
        <w:widowControl/>
      </w:pPr>
      <w:r>
        <w:t xml:space="preserve">In addition, paragraph </w:t>
      </w:r>
      <w:r w:rsidRPr="001805AF">
        <w:t>1.1.1—10</w:t>
      </w:r>
      <w:r>
        <w:t>(6)(b</w:t>
      </w:r>
      <w:r w:rsidRPr="001805AF">
        <w:t>)</w:t>
      </w:r>
      <w:r>
        <w:t xml:space="preserve"> of Standard 1.1.1 requires that, unless expressly permitted, a food for sale must not have as an ingredient or component substance that was </w:t>
      </w:r>
      <w:r w:rsidRPr="0014740B">
        <w:rPr>
          <w:i/>
        </w:rPr>
        <w:t>used as a nutritive substance</w:t>
      </w:r>
      <w:r>
        <w:rPr>
          <w:i/>
        </w:rPr>
        <w:t xml:space="preserve"> </w:t>
      </w:r>
      <w:r>
        <w:t xml:space="preserve">(section </w:t>
      </w:r>
      <w:r w:rsidRPr="00B35F00">
        <w:t>1.1.2—</w:t>
      </w:r>
      <w:r>
        <w:t>1</w:t>
      </w:r>
      <w:r w:rsidRPr="00B35F00">
        <w:t>2</w:t>
      </w:r>
      <w:r>
        <w:t xml:space="preserve">). The applicant’s 2′-FL is </w:t>
      </w:r>
      <w:r w:rsidRPr="00D27117">
        <w:rPr>
          <w:i/>
        </w:rPr>
        <w:t>used as a nutritive substance</w:t>
      </w:r>
      <w:r>
        <w:t xml:space="preserve"> because its addition to food is intended to achieve specific nutritional purposes. Therefore, if approved, express permission for the applicant’s </w:t>
      </w:r>
      <w:r w:rsidRPr="001805AF" w:rsidDel="00835E0C">
        <w:t>2</w:t>
      </w:r>
      <w:r>
        <w:t>′</w:t>
      </w:r>
      <w:r w:rsidRPr="001805AF" w:rsidDel="00835E0C">
        <w:t xml:space="preserve">-FL </w:t>
      </w:r>
      <w:r>
        <w:t xml:space="preserve">to be </w:t>
      </w:r>
      <w:r>
        <w:rPr>
          <w:i/>
        </w:rPr>
        <w:t>used as a nutritive substance</w:t>
      </w:r>
      <w:r>
        <w:t xml:space="preserve"> </w:t>
      </w:r>
      <w:r w:rsidRPr="00752C9A">
        <w:t xml:space="preserve">is required in accordance with Standard </w:t>
      </w:r>
      <w:r>
        <w:t xml:space="preserve">2.9.1 (i.e. </w:t>
      </w:r>
      <w:r w:rsidR="008C5734">
        <w:t xml:space="preserve">be </w:t>
      </w:r>
      <w:r>
        <w:t xml:space="preserve">listed in </w:t>
      </w:r>
      <w:r w:rsidRPr="00752C9A">
        <w:t>the table to section S29—5</w:t>
      </w:r>
      <w:r>
        <w:t xml:space="preserve">; </w:t>
      </w:r>
      <w:r w:rsidR="008C5734">
        <w:t xml:space="preserve">and </w:t>
      </w:r>
      <w:r>
        <w:t>be in a permitted form at up to the maximum amount per 100 kJ</w:t>
      </w:r>
      <w:r w:rsidR="008C5734">
        <w:t xml:space="preserve"> specified in that table</w:t>
      </w:r>
      <w:r>
        <w:t xml:space="preserve">). This permission would be in addition to the permission as </w:t>
      </w:r>
      <w:r>
        <w:rPr>
          <w:i/>
        </w:rPr>
        <w:t>food produced using gene technology</w:t>
      </w:r>
      <w:r>
        <w:t xml:space="preserve"> above. </w:t>
      </w:r>
    </w:p>
    <w:p w14:paraId="5A435166" w14:textId="77777777" w:rsidR="00752C9A" w:rsidRDefault="00752C9A" w:rsidP="00E8122F">
      <w:pPr>
        <w:widowControl/>
      </w:pPr>
    </w:p>
    <w:p w14:paraId="28992438" w14:textId="097FDE7B" w:rsidR="00BB127A" w:rsidRDefault="00752C9A" w:rsidP="00E8122F">
      <w:pPr>
        <w:widowControl/>
      </w:pPr>
      <w:r>
        <w:t>I</w:t>
      </w:r>
      <w:r w:rsidR="008C5734">
        <w:t>n addition, i</w:t>
      </w:r>
      <w:r>
        <w:t>f approved, the applicant’s</w:t>
      </w:r>
      <w:r w:rsidR="00BB127A">
        <w:t xml:space="preserve"> 2′-FL </w:t>
      </w:r>
      <w:r>
        <w:t xml:space="preserve">would be </w:t>
      </w:r>
      <w:r w:rsidR="00E10635">
        <w:t xml:space="preserve">permitted </w:t>
      </w:r>
      <w:r w:rsidR="008C5734">
        <w:t>by</w:t>
      </w:r>
      <w:r>
        <w:t xml:space="preserve"> Standard </w:t>
      </w:r>
      <w:r w:rsidR="008C5734">
        <w:t xml:space="preserve">2.9.1 </w:t>
      </w:r>
      <w:r w:rsidR="00BB127A">
        <w:t xml:space="preserve">to be </w:t>
      </w:r>
      <w:r w:rsidR="00BB127A">
        <w:rPr>
          <w:i/>
        </w:rPr>
        <w:t>used as a nutritive substance</w:t>
      </w:r>
      <w:r w:rsidR="00BB127A">
        <w:t xml:space="preserve"> </w:t>
      </w:r>
      <w:r w:rsidR="00E10635">
        <w:t xml:space="preserve">in IFP either alone; or in combination with </w:t>
      </w:r>
      <w:r w:rsidR="007431D3">
        <w:t>Lacto-</w:t>
      </w:r>
      <w:r w:rsidR="007431D3" w:rsidRPr="00831AA1">
        <w:t>N</w:t>
      </w:r>
      <w:r w:rsidR="007431D3">
        <w:t>-neotetraose (</w:t>
      </w:r>
      <w:r w:rsidR="00E10635">
        <w:t>LNnT</w:t>
      </w:r>
      <w:r w:rsidR="007431D3">
        <w:t>)</w:t>
      </w:r>
      <w:r w:rsidR="00BB127A">
        <w:t>.</w:t>
      </w:r>
      <w:r w:rsidR="00E10635">
        <w:t xml:space="preserve"> </w:t>
      </w:r>
    </w:p>
    <w:p w14:paraId="434CD7AD" w14:textId="2AD2C387" w:rsidR="003F5EB3" w:rsidRDefault="003F5EB3" w:rsidP="00E8122F">
      <w:pPr>
        <w:pStyle w:val="Heading4"/>
        <w:widowControl/>
      </w:pPr>
      <w:r>
        <w:t>1.3.1.2</w:t>
      </w:r>
      <w:r>
        <w:tab/>
        <w:t>Identity and purity</w:t>
      </w:r>
    </w:p>
    <w:p w14:paraId="05E3ECB6" w14:textId="40BD63DA" w:rsidR="00BB127A" w:rsidRDefault="00BB127A" w:rsidP="00E8122F">
      <w:pPr>
        <w:widowControl/>
      </w:pPr>
      <w:r>
        <w:t xml:space="preserve">Section 1.1.1—15 requires that a substance that is </w:t>
      </w:r>
      <w:r>
        <w:rPr>
          <w:i/>
        </w:rPr>
        <w:t xml:space="preserve">used as a nutritive substance </w:t>
      </w:r>
      <w:r w:rsidRPr="00E15323">
        <w:t xml:space="preserve">must comply with any relevant </w:t>
      </w:r>
      <w:r>
        <w:t xml:space="preserve">identity and purity </w:t>
      </w:r>
      <w:r w:rsidRPr="00E15323">
        <w:t>specification set out in Schedule 3</w:t>
      </w:r>
      <w:r>
        <w:t xml:space="preserve">. </w:t>
      </w:r>
      <w:r w:rsidR="00B23EF5">
        <w:t>The application provided a proposed specification for the applicant’s 2′-FL for this purpose.</w:t>
      </w:r>
    </w:p>
    <w:p w14:paraId="1B382426" w14:textId="6474E3E9" w:rsidR="005025D5" w:rsidRPr="00F9387D" w:rsidRDefault="005025D5" w:rsidP="00E8122F">
      <w:pPr>
        <w:pStyle w:val="Heading4"/>
        <w:widowControl/>
      </w:pPr>
      <w:r>
        <w:t>1.3.1.</w:t>
      </w:r>
      <w:r w:rsidR="003F5EB3">
        <w:t>3</w:t>
      </w:r>
      <w:r w:rsidR="004F36FB">
        <w:tab/>
      </w:r>
      <w:r>
        <w:tab/>
      </w:r>
      <w:r w:rsidRPr="00F9387D">
        <w:t>Infant formula products</w:t>
      </w:r>
    </w:p>
    <w:p w14:paraId="53CF7CBA" w14:textId="425A0AB4" w:rsidR="005025D5" w:rsidRDefault="005025D5" w:rsidP="00E8122F">
      <w:pPr>
        <w:widowControl/>
        <w:spacing w:after="240"/>
        <w:rPr>
          <w:szCs w:val="22"/>
          <w:lang w:eastAsia="en-AU"/>
        </w:rPr>
      </w:pPr>
      <w:r>
        <w:rPr>
          <w:lang w:bidi="ar-SA"/>
        </w:rPr>
        <w:t>The composition of infant formula is regulated in Sta</w:t>
      </w:r>
      <w:r w:rsidRPr="007B2E59">
        <w:rPr>
          <w:lang w:bidi="ar-SA"/>
        </w:rPr>
        <w:t>ndard 2.9.1</w:t>
      </w:r>
      <w:r w:rsidR="007B2E59" w:rsidRPr="007B2E59">
        <w:rPr>
          <w:lang w:bidi="ar-SA"/>
        </w:rPr>
        <w:t xml:space="preserve"> </w:t>
      </w:r>
      <w:r w:rsidRPr="007B2E59">
        <w:rPr>
          <w:lang w:bidi="ar-SA"/>
        </w:rPr>
        <w:t xml:space="preserve">and </w:t>
      </w:r>
      <w:r w:rsidRPr="007B2E59">
        <w:rPr>
          <w:szCs w:val="22"/>
          <w:lang w:eastAsia="en-AU"/>
        </w:rPr>
        <w:t>Schedule 29</w:t>
      </w:r>
      <w:r>
        <w:rPr>
          <w:lang w:bidi="ar-SA"/>
        </w:rPr>
        <w:t>. This s</w:t>
      </w:r>
      <w:r w:rsidRPr="00723A62">
        <w:rPr>
          <w:szCs w:val="22"/>
          <w:lang w:eastAsia="en-AU"/>
        </w:rPr>
        <w:t xml:space="preserve">tandard </w:t>
      </w:r>
      <w:r>
        <w:rPr>
          <w:szCs w:val="22"/>
          <w:lang w:eastAsia="en-AU"/>
        </w:rPr>
        <w:t xml:space="preserve">(and associated schedule) sets out specific </w:t>
      </w:r>
      <w:r w:rsidRPr="00723A62">
        <w:rPr>
          <w:szCs w:val="22"/>
          <w:lang w:eastAsia="en-AU"/>
        </w:rPr>
        <w:t>compositional and labelling requirements</w:t>
      </w:r>
      <w:r>
        <w:rPr>
          <w:szCs w:val="22"/>
          <w:lang w:eastAsia="en-AU"/>
        </w:rPr>
        <w:t xml:space="preserve"> </w:t>
      </w:r>
      <w:r w:rsidRPr="00723A62">
        <w:rPr>
          <w:szCs w:val="22"/>
          <w:lang w:eastAsia="en-AU"/>
        </w:rPr>
        <w:t>for</w:t>
      </w:r>
      <w:r>
        <w:rPr>
          <w:szCs w:val="22"/>
          <w:lang w:eastAsia="en-AU"/>
        </w:rPr>
        <w:t xml:space="preserve"> the following </w:t>
      </w:r>
      <w:r w:rsidR="004F36FB">
        <w:rPr>
          <w:szCs w:val="22"/>
          <w:lang w:eastAsia="en-AU"/>
        </w:rPr>
        <w:t>IFP</w:t>
      </w:r>
      <w:r>
        <w:rPr>
          <w:szCs w:val="22"/>
          <w:lang w:eastAsia="en-AU"/>
        </w:rPr>
        <w:t>:</w:t>
      </w:r>
    </w:p>
    <w:p w14:paraId="59F0CAE1" w14:textId="77777777" w:rsidR="005025D5" w:rsidRDefault="005025D5" w:rsidP="00E8122F">
      <w:pPr>
        <w:pStyle w:val="FSBullet1"/>
        <w:numPr>
          <w:ilvl w:val="0"/>
          <w:numId w:val="10"/>
        </w:numPr>
        <w:ind w:left="567" w:hanging="567"/>
        <w:rPr>
          <w:lang w:val="en-AU"/>
        </w:rPr>
      </w:pPr>
      <w:r>
        <w:rPr>
          <w:szCs w:val="22"/>
          <w:lang w:eastAsia="en-AU"/>
        </w:rPr>
        <w:t xml:space="preserve">infant formula </w:t>
      </w:r>
      <w:r>
        <w:rPr>
          <w:lang w:val="en-AU"/>
        </w:rPr>
        <w:t>(for infants aged 0 to &lt;12 months)</w:t>
      </w:r>
    </w:p>
    <w:p w14:paraId="05A3F561" w14:textId="77777777" w:rsidR="005025D5" w:rsidRDefault="005025D5" w:rsidP="00E8122F">
      <w:pPr>
        <w:pStyle w:val="FSBullet1"/>
        <w:numPr>
          <w:ilvl w:val="0"/>
          <w:numId w:val="10"/>
        </w:numPr>
        <w:ind w:left="567" w:hanging="567"/>
        <w:rPr>
          <w:lang w:val="en-AU"/>
        </w:rPr>
      </w:pPr>
      <w:r>
        <w:rPr>
          <w:lang w:val="en-AU"/>
        </w:rPr>
        <w:t>follow-on formula (for infants aged from 6 to &lt;12 months)</w:t>
      </w:r>
    </w:p>
    <w:p w14:paraId="4468FD74" w14:textId="12243241" w:rsidR="005025D5" w:rsidRDefault="005025D5" w:rsidP="00E8122F">
      <w:pPr>
        <w:pStyle w:val="FSBullet1"/>
        <w:numPr>
          <w:ilvl w:val="0"/>
          <w:numId w:val="10"/>
        </w:numPr>
        <w:ind w:left="567" w:hanging="567"/>
      </w:pPr>
      <w:r w:rsidRPr="00363332">
        <w:rPr>
          <w:lang w:val="en-AU"/>
        </w:rPr>
        <w:t>infant formula products for special dietary use (for infants aged 0 to &lt;12 months).</w:t>
      </w:r>
    </w:p>
    <w:p w14:paraId="3AA02548" w14:textId="0549938B" w:rsidR="00BB127A" w:rsidRPr="00F9387D" w:rsidRDefault="004F36FB" w:rsidP="00E8122F">
      <w:pPr>
        <w:pStyle w:val="Heading4"/>
        <w:widowControl/>
      </w:pPr>
      <w:r>
        <w:lastRenderedPageBreak/>
        <w:t>1.3.1.</w:t>
      </w:r>
      <w:r w:rsidR="003F5EB3">
        <w:t>4</w:t>
      </w:r>
      <w:r>
        <w:tab/>
      </w:r>
      <w:r>
        <w:tab/>
      </w:r>
      <w:r w:rsidR="00BB127A" w:rsidRPr="00F9387D">
        <w:t>Formulated Supplementary Food for Young Children</w:t>
      </w:r>
    </w:p>
    <w:p w14:paraId="35B186D4" w14:textId="4A488A6C" w:rsidR="00BB127A" w:rsidRDefault="00BB127A" w:rsidP="00E8122F">
      <w:pPr>
        <w:widowControl/>
      </w:pPr>
      <w:r>
        <w:rPr>
          <w:szCs w:val="22"/>
          <w:lang w:eastAsia="en-AU"/>
        </w:rPr>
        <w:t xml:space="preserve">Specific compositional and labelling requirements for FSFYC (for children aged from 1 to </w:t>
      </w:r>
      <w:r w:rsidRPr="006070E6">
        <w:rPr>
          <w:szCs w:val="22"/>
          <w:lang w:eastAsia="en-AU"/>
        </w:rPr>
        <w:t>&lt;4</w:t>
      </w:r>
      <w:r>
        <w:rPr>
          <w:szCs w:val="22"/>
          <w:lang w:eastAsia="en-AU"/>
        </w:rPr>
        <w:t xml:space="preserve"> years) are set out in Division 4 of </w:t>
      </w:r>
      <w:r w:rsidRPr="00723A62">
        <w:rPr>
          <w:szCs w:val="22"/>
          <w:lang w:eastAsia="en-AU"/>
        </w:rPr>
        <w:t>Standard 2.9.3</w:t>
      </w:r>
      <w:r>
        <w:rPr>
          <w:szCs w:val="22"/>
          <w:lang w:eastAsia="en-AU"/>
        </w:rPr>
        <w:t>, and in Schedules</w:t>
      </w:r>
      <w:r w:rsidRPr="00723A62">
        <w:rPr>
          <w:szCs w:val="22"/>
          <w:lang w:eastAsia="en-AU"/>
        </w:rPr>
        <w:t xml:space="preserve"> 17</w:t>
      </w:r>
      <w:r>
        <w:rPr>
          <w:szCs w:val="22"/>
          <w:lang w:eastAsia="en-AU"/>
        </w:rPr>
        <w:t xml:space="preserve"> </w:t>
      </w:r>
      <w:r w:rsidRPr="00723A62">
        <w:rPr>
          <w:szCs w:val="22"/>
          <w:lang w:eastAsia="en-AU"/>
        </w:rPr>
        <w:t>and 29</w:t>
      </w:r>
      <w:r>
        <w:rPr>
          <w:szCs w:val="22"/>
          <w:lang w:eastAsia="en-AU"/>
        </w:rPr>
        <w:t xml:space="preserve">. </w:t>
      </w:r>
    </w:p>
    <w:p w14:paraId="7F056AA1" w14:textId="533408A8" w:rsidR="005663E7" w:rsidRPr="004F36FB" w:rsidRDefault="005663E7" w:rsidP="00E8122F">
      <w:pPr>
        <w:pStyle w:val="Heading4"/>
        <w:widowControl/>
        <w:ind w:left="0" w:firstLine="0"/>
      </w:pPr>
      <w:r w:rsidRPr="004F36FB">
        <w:t>1.3.1.</w:t>
      </w:r>
      <w:r w:rsidR="003F5EB3">
        <w:t>5</w:t>
      </w:r>
      <w:r w:rsidR="004F36FB">
        <w:tab/>
      </w:r>
      <w:r w:rsidRPr="004F36FB">
        <w:t>Labelling requirements</w:t>
      </w:r>
    </w:p>
    <w:p w14:paraId="0DD89D60" w14:textId="334295BF" w:rsidR="005663E7" w:rsidRDefault="005663E7" w:rsidP="00E8122F">
      <w:pPr>
        <w:widowControl/>
        <w:rPr>
          <w:i/>
          <w:szCs w:val="22"/>
          <w:lang w:eastAsia="en-AU"/>
        </w:rPr>
      </w:pPr>
      <w:r>
        <w:t>Paragraph 1.1.1—10(8) requires that food for sale must comply with all relevant labelling requirements in the Code for that food.</w:t>
      </w:r>
      <w:r>
        <w:rPr>
          <w:szCs w:val="22"/>
          <w:lang w:eastAsia="en-AU"/>
        </w:rPr>
        <w:t xml:space="preserve"> In addition to specific labelling requirements in Standards 2.9.1</w:t>
      </w:r>
      <w:r w:rsidDel="00943C5C">
        <w:rPr>
          <w:szCs w:val="22"/>
          <w:lang w:eastAsia="en-AU"/>
        </w:rPr>
        <w:t xml:space="preserve"> and 2.9.3 (Division 4)</w:t>
      </w:r>
      <w:r>
        <w:rPr>
          <w:szCs w:val="22"/>
          <w:lang w:eastAsia="en-AU"/>
        </w:rPr>
        <w:t xml:space="preserve">, the following general labelling requirements also apply. </w:t>
      </w:r>
    </w:p>
    <w:p w14:paraId="4A1A1B28" w14:textId="77777777" w:rsidR="005663E7" w:rsidRDefault="005663E7" w:rsidP="00E8122F">
      <w:pPr>
        <w:widowControl/>
        <w:rPr>
          <w:i/>
          <w:szCs w:val="22"/>
          <w:lang w:eastAsia="en-AU"/>
        </w:rPr>
      </w:pPr>
    </w:p>
    <w:p w14:paraId="6690989B" w14:textId="77777777" w:rsidR="005663E7" w:rsidRDefault="005663E7" w:rsidP="00E8122F">
      <w:pPr>
        <w:widowControl/>
      </w:pPr>
      <w:r>
        <w:t>Standard 1.2.4 generally requires food products to be labelled with a statement of ingredients.</w:t>
      </w:r>
    </w:p>
    <w:p w14:paraId="543B72A9" w14:textId="77777777" w:rsidR="005663E7" w:rsidRDefault="005663E7" w:rsidP="00E8122F">
      <w:pPr>
        <w:widowControl/>
      </w:pPr>
    </w:p>
    <w:p w14:paraId="07AA9D02" w14:textId="443ADCCF" w:rsidR="005663E7" w:rsidRDefault="005663E7" w:rsidP="00E8122F">
      <w:pPr>
        <w:pStyle w:val="CommentText"/>
        <w:widowControl/>
        <w:rPr>
          <w:sz w:val="22"/>
          <w:szCs w:val="22"/>
        </w:rPr>
      </w:pPr>
      <w:r w:rsidRPr="0084446A">
        <w:rPr>
          <w:sz w:val="22"/>
          <w:szCs w:val="22"/>
        </w:rPr>
        <w:t xml:space="preserve">Standard 1.2.7 </w:t>
      </w:r>
      <w:r w:rsidR="006C7AF3" w:rsidRPr="006C7AF3">
        <w:rPr>
          <w:sz w:val="22"/>
          <w:szCs w:val="22"/>
        </w:rPr>
        <w:t xml:space="preserve">sets out the requirements and conditions for voluntary nutrition, health and related claims made about food (FSFYC only). The Standard prohibits claims to be made </w:t>
      </w:r>
      <w:r w:rsidR="006C7AF3">
        <w:rPr>
          <w:sz w:val="22"/>
          <w:szCs w:val="22"/>
        </w:rPr>
        <w:t>about an infant formula product</w:t>
      </w:r>
      <w:r w:rsidRPr="00DA377F">
        <w:rPr>
          <w:sz w:val="22"/>
          <w:szCs w:val="22"/>
        </w:rPr>
        <w:t>.</w:t>
      </w:r>
    </w:p>
    <w:p w14:paraId="155F8C77" w14:textId="17C87C71" w:rsidR="006C7AF3" w:rsidRDefault="006C7AF3" w:rsidP="00E8122F">
      <w:pPr>
        <w:pStyle w:val="CommentText"/>
        <w:widowControl/>
        <w:rPr>
          <w:sz w:val="22"/>
          <w:szCs w:val="22"/>
        </w:rPr>
      </w:pPr>
    </w:p>
    <w:p w14:paraId="015AC05D" w14:textId="5E3B3399" w:rsidR="006C7AF3" w:rsidRPr="0084446A" w:rsidRDefault="006C7AF3" w:rsidP="00E8122F">
      <w:pPr>
        <w:pStyle w:val="CommentText"/>
        <w:widowControl/>
        <w:rPr>
          <w:sz w:val="22"/>
          <w:szCs w:val="22"/>
        </w:rPr>
      </w:pPr>
      <w:r w:rsidRPr="006C7AF3">
        <w:rPr>
          <w:sz w:val="22"/>
          <w:szCs w:val="22"/>
        </w:rPr>
        <w:t>Standard 1.2.8 generally requires food products to be labelled with nutrition information. This Standard does not apply to infant formula products (specific nutrition labelling requirements are set out in Standard 2.9.1).</w:t>
      </w:r>
    </w:p>
    <w:p w14:paraId="37560083" w14:textId="77777777" w:rsidR="005663E7" w:rsidRDefault="005663E7" w:rsidP="00E8122F">
      <w:pPr>
        <w:keepNext/>
        <w:keepLines/>
        <w:widowControl/>
        <w:rPr>
          <w:szCs w:val="22"/>
        </w:rPr>
      </w:pPr>
    </w:p>
    <w:p w14:paraId="2953B22C" w14:textId="268B2E1D" w:rsidR="005663E7" w:rsidRDefault="005663E7" w:rsidP="00E8122F">
      <w:pPr>
        <w:keepNext/>
        <w:keepLines/>
        <w:widowControl/>
        <w:rPr>
          <w:szCs w:val="22"/>
        </w:rPr>
      </w:pPr>
      <w:r w:rsidRPr="0084446A">
        <w:rPr>
          <w:szCs w:val="22"/>
        </w:rPr>
        <w:t>Section 1.5.2—4 sets out labelling requirements for foods for sale that consist of</w:t>
      </w:r>
      <w:r w:rsidR="00713D41">
        <w:rPr>
          <w:szCs w:val="22"/>
        </w:rPr>
        <w:t>,</w:t>
      </w:r>
      <w:r w:rsidRPr="0084446A">
        <w:rPr>
          <w:szCs w:val="22"/>
        </w:rPr>
        <w:t xml:space="preserve"> or have as an ingredient, food that is a </w:t>
      </w:r>
      <w:r w:rsidRPr="0084446A">
        <w:rPr>
          <w:i/>
          <w:szCs w:val="22"/>
        </w:rPr>
        <w:t>genetically modified food</w:t>
      </w:r>
      <w:r w:rsidRPr="0084446A">
        <w:rPr>
          <w:szCs w:val="22"/>
        </w:rPr>
        <w:t xml:space="preserve">. A </w:t>
      </w:r>
      <w:r w:rsidRPr="0084446A">
        <w:rPr>
          <w:i/>
          <w:szCs w:val="22"/>
        </w:rPr>
        <w:t>genetically modified food</w:t>
      </w:r>
      <w:r w:rsidRPr="0084446A">
        <w:rPr>
          <w:szCs w:val="22"/>
        </w:rPr>
        <w:t xml:space="preserve"> is defined in subsection 1.5.2—4(5) as a </w:t>
      </w:r>
      <w:r w:rsidRPr="0084446A">
        <w:rPr>
          <w:i/>
          <w:szCs w:val="22"/>
        </w:rPr>
        <w:t>food produced using gene technology</w:t>
      </w:r>
      <w:r w:rsidRPr="0084446A">
        <w:rPr>
          <w:szCs w:val="22"/>
        </w:rPr>
        <w:t xml:space="preserve"> that contains novel DNA or novel protein or is listed in section S26—3. </w:t>
      </w:r>
    </w:p>
    <w:p w14:paraId="6259CDB6" w14:textId="63A4BCC9" w:rsidR="00492536" w:rsidRDefault="00492536" w:rsidP="00E8122F">
      <w:pPr>
        <w:keepNext/>
        <w:keepLines/>
        <w:widowControl/>
        <w:rPr>
          <w:szCs w:val="22"/>
        </w:rPr>
      </w:pPr>
    </w:p>
    <w:p w14:paraId="41EB5019" w14:textId="3312432D" w:rsidR="00492536" w:rsidRPr="0084446A" w:rsidRDefault="00492536" w:rsidP="00E8122F">
      <w:pPr>
        <w:keepNext/>
        <w:keepLines/>
        <w:widowControl/>
        <w:rPr>
          <w:szCs w:val="22"/>
        </w:rPr>
      </w:pPr>
      <w:r>
        <w:rPr>
          <w:szCs w:val="22"/>
        </w:rPr>
        <w:t>Standard 2.9.1 sets out the specific requirements for declaring nutrition information and includes provisions for prohibited representations on infant formula product labels.</w:t>
      </w:r>
    </w:p>
    <w:p w14:paraId="709D6C9B" w14:textId="2D4673E7" w:rsidR="005663E7" w:rsidRPr="00A207D2" w:rsidRDefault="005663E7" w:rsidP="00E8122F">
      <w:pPr>
        <w:pStyle w:val="Heading4"/>
        <w:widowControl/>
      </w:pPr>
      <w:r w:rsidRPr="00A207D2">
        <w:t>1.3.1.</w:t>
      </w:r>
      <w:r w:rsidR="003F5EB3">
        <w:t>6</w:t>
      </w:r>
      <w:r w:rsidRPr="00A207D2">
        <w:tab/>
        <w:t>Current oligosaccharide permissions</w:t>
      </w:r>
      <w:r w:rsidR="00A207D2">
        <w:t xml:space="preserve"> and restrictions</w:t>
      </w:r>
    </w:p>
    <w:p w14:paraId="71968000" w14:textId="68F74055" w:rsidR="004736EC" w:rsidRDefault="004736EC" w:rsidP="00E8122F">
      <w:pPr>
        <w:widowControl/>
        <w:rPr>
          <w:szCs w:val="22"/>
        </w:rPr>
      </w:pPr>
      <w:r>
        <w:t>The ingredient under assessment is a</w:t>
      </w:r>
      <w:r w:rsidR="00D1544A">
        <w:t xml:space="preserve"> non-digestible</w:t>
      </w:r>
      <w:r>
        <w:t xml:space="preserve"> oligosaccharide</w:t>
      </w:r>
      <w:r>
        <w:rPr>
          <w:szCs w:val="22"/>
        </w:rPr>
        <w:t xml:space="preserve">. This section summarises the current permissions and restrictions in the Code relating to </w:t>
      </w:r>
      <w:r>
        <w:t>oligosaccharides.</w:t>
      </w:r>
    </w:p>
    <w:p w14:paraId="197C502E" w14:textId="77777777" w:rsidR="004736EC" w:rsidRDefault="004736EC" w:rsidP="00E8122F">
      <w:pPr>
        <w:widowControl/>
        <w:rPr>
          <w:szCs w:val="22"/>
        </w:rPr>
      </w:pPr>
    </w:p>
    <w:p w14:paraId="625C76F5" w14:textId="67B803F2" w:rsidR="005663E7" w:rsidRDefault="005663E7" w:rsidP="00E8122F">
      <w:pPr>
        <w:widowControl/>
        <w:rPr>
          <w:szCs w:val="22"/>
        </w:rPr>
      </w:pPr>
      <w:r>
        <w:rPr>
          <w:szCs w:val="22"/>
        </w:rPr>
        <w:t xml:space="preserve">The Code currently </w:t>
      </w:r>
      <w:r w:rsidR="00441173">
        <w:rPr>
          <w:szCs w:val="22"/>
        </w:rPr>
        <w:t xml:space="preserve">regulates the addition of </w:t>
      </w:r>
      <w:r>
        <w:rPr>
          <w:szCs w:val="22"/>
        </w:rPr>
        <w:t>galacto-oligosaccharides</w:t>
      </w:r>
      <w:r w:rsidRPr="00844935">
        <w:rPr>
          <w:szCs w:val="22"/>
        </w:rPr>
        <w:t xml:space="preserve"> (GOS) and inulin-type fructans (ITF)</w:t>
      </w:r>
      <w:r>
        <w:rPr>
          <w:szCs w:val="22"/>
        </w:rPr>
        <w:t xml:space="preserve"> (</w:t>
      </w:r>
      <w:r w:rsidR="003C0C7D">
        <w:rPr>
          <w:szCs w:val="22"/>
        </w:rPr>
        <w:t xml:space="preserve">both are </w:t>
      </w:r>
      <w:r w:rsidR="00E57B9B">
        <w:rPr>
          <w:szCs w:val="22"/>
        </w:rPr>
        <w:t xml:space="preserve">defined in </w:t>
      </w:r>
      <w:r>
        <w:rPr>
          <w:szCs w:val="22"/>
        </w:rPr>
        <w:t>s</w:t>
      </w:r>
      <w:r w:rsidR="003C0C7D">
        <w:rPr>
          <w:szCs w:val="22"/>
        </w:rPr>
        <w:t>ubs</w:t>
      </w:r>
      <w:r>
        <w:rPr>
          <w:szCs w:val="22"/>
        </w:rPr>
        <w:t>ection 1.1.2</w:t>
      </w:r>
      <w:r w:rsidRPr="00844935">
        <w:rPr>
          <w:szCs w:val="22"/>
        </w:rPr>
        <w:t>—</w:t>
      </w:r>
      <w:r>
        <w:rPr>
          <w:szCs w:val="22"/>
        </w:rPr>
        <w:t>2) to</w:t>
      </w:r>
      <w:r w:rsidRPr="00844935">
        <w:rPr>
          <w:szCs w:val="22"/>
        </w:rPr>
        <w:t xml:space="preserve"> </w:t>
      </w:r>
      <w:r w:rsidR="004F36FB">
        <w:rPr>
          <w:szCs w:val="22"/>
        </w:rPr>
        <w:t>IFP</w:t>
      </w:r>
      <w:r w:rsidRPr="00844935">
        <w:rPr>
          <w:szCs w:val="22"/>
        </w:rPr>
        <w:t xml:space="preserve"> and FSFYC</w:t>
      </w:r>
      <w:r>
        <w:rPr>
          <w:szCs w:val="22"/>
        </w:rPr>
        <w:t xml:space="preserve"> </w:t>
      </w:r>
      <w:r w:rsidRPr="00844935">
        <w:rPr>
          <w:szCs w:val="22"/>
        </w:rPr>
        <w:t>(</w:t>
      </w:r>
      <w:r w:rsidR="00E57B9B">
        <w:rPr>
          <w:szCs w:val="22"/>
        </w:rPr>
        <w:t xml:space="preserve">see </w:t>
      </w:r>
      <w:r>
        <w:rPr>
          <w:szCs w:val="22"/>
        </w:rPr>
        <w:t>sections 2.9.1—7 and 2.9.3—7</w:t>
      </w:r>
      <w:r w:rsidR="00E57B9B">
        <w:rPr>
          <w:szCs w:val="22"/>
        </w:rPr>
        <w:t>, respectively</w:t>
      </w:r>
      <w:r w:rsidRPr="00844935">
        <w:rPr>
          <w:szCs w:val="22"/>
        </w:rPr>
        <w:t>)</w:t>
      </w:r>
      <w:r>
        <w:rPr>
          <w:szCs w:val="22"/>
        </w:rPr>
        <w:t xml:space="preserve">. </w:t>
      </w:r>
      <w:r w:rsidR="00316C07">
        <w:rPr>
          <w:szCs w:val="22"/>
        </w:rPr>
        <w:t xml:space="preserve">GOS and ITF are also permitted in general foods by their </w:t>
      </w:r>
      <w:r w:rsidR="00316C07" w:rsidRPr="005F1303">
        <w:rPr>
          <w:szCs w:val="22"/>
        </w:rPr>
        <w:t xml:space="preserve">specific exclusion </w:t>
      </w:r>
      <w:r w:rsidR="00316C07">
        <w:rPr>
          <w:szCs w:val="22"/>
        </w:rPr>
        <w:t>from</w:t>
      </w:r>
      <w:r w:rsidR="00316C07" w:rsidRPr="005F1303">
        <w:rPr>
          <w:szCs w:val="22"/>
        </w:rPr>
        <w:t xml:space="preserve"> the definition of </w:t>
      </w:r>
      <w:r w:rsidR="00316C07" w:rsidRPr="00E729C2">
        <w:rPr>
          <w:i/>
          <w:szCs w:val="22"/>
        </w:rPr>
        <w:t>used as a nutritive substance</w:t>
      </w:r>
      <w:r w:rsidR="00316C07">
        <w:rPr>
          <w:szCs w:val="22"/>
        </w:rPr>
        <w:t xml:space="preserve"> in </w:t>
      </w:r>
      <w:r w:rsidR="00316C07" w:rsidRPr="005F1303">
        <w:rPr>
          <w:szCs w:val="22"/>
        </w:rPr>
        <w:t xml:space="preserve">section 1.1.2—12 and general provisions in </w:t>
      </w:r>
      <w:r w:rsidR="00316C07">
        <w:rPr>
          <w:szCs w:val="22"/>
        </w:rPr>
        <w:t xml:space="preserve">section </w:t>
      </w:r>
      <w:r w:rsidR="00316C07" w:rsidRPr="005F1303">
        <w:rPr>
          <w:szCs w:val="22"/>
        </w:rPr>
        <w:t>1.1.1—10.</w:t>
      </w:r>
      <w:r w:rsidR="00316C07">
        <w:rPr>
          <w:szCs w:val="22"/>
        </w:rPr>
        <w:t xml:space="preserve"> </w:t>
      </w:r>
      <w:r w:rsidRPr="005F1303">
        <w:rPr>
          <w:szCs w:val="22"/>
        </w:rPr>
        <w:t>ITF</w:t>
      </w:r>
      <w:r>
        <w:rPr>
          <w:szCs w:val="22"/>
        </w:rPr>
        <w:t xml:space="preserve"> includes substances such as fructo-oligosaccharides (FOS), short-chain FOS (scFOS), oligofructose and inulin (FSANZ 2013). Unlike 2′-FL, ITF are not present in human milk and GOS is found only in trace amounts (FSANZ 2008).</w:t>
      </w:r>
      <w:r w:rsidRPr="00844935">
        <w:rPr>
          <w:szCs w:val="22"/>
        </w:rPr>
        <w:t xml:space="preserve"> </w:t>
      </w:r>
    </w:p>
    <w:p w14:paraId="104C9090" w14:textId="77777777" w:rsidR="005663E7" w:rsidRDefault="005663E7" w:rsidP="00E8122F">
      <w:pPr>
        <w:widowControl/>
        <w:rPr>
          <w:szCs w:val="22"/>
        </w:rPr>
      </w:pPr>
    </w:p>
    <w:p w14:paraId="25675DBD" w14:textId="7B76D329" w:rsidR="001204E7" w:rsidRDefault="005663E7" w:rsidP="00E8122F">
      <w:pPr>
        <w:widowControl/>
      </w:pPr>
      <w:r w:rsidRPr="00BD75C8">
        <w:rPr>
          <w:szCs w:val="22"/>
        </w:rPr>
        <w:t xml:space="preserve">For </w:t>
      </w:r>
      <w:r w:rsidR="004F36FB">
        <w:rPr>
          <w:szCs w:val="22"/>
        </w:rPr>
        <w:t>IFP</w:t>
      </w:r>
      <w:r w:rsidRPr="00BD75C8">
        <w:rPr>
          <w:szCs w:val="22"/>
        </w:rPr>
        <w:t xml:space="preserve">, </w:t>
      </w:r>
      <w:r w:rsidR="003C0C7D">
        <w:rPr>
          <w:szCs w:val="22"/>
        </w:rPr>
        <w:t xml:space="preserve">section </w:t>
      </w:r>
      <w:r w:rsidR="00A207D2">
        <w:rPr>
          <w:szCs w:val="22"/>
        </w:rPr>
        <w:t xml:space="preserve">2.9.1—7 </w:t>
      </w:r>
      <w:r w:rsidR="003C0C7D">
        <w:rPr>
          <w:szCs w:val="22"/>
        </w:rPr>
        <w:t>sets out r</w:t>
      </w:r>
      <w:r w:rsidR="003C0C7D" w:rsidRPr="003C0C7D">
        <w:rPr>
          <w:szCs w:val="22"/>
        </w:rPr>
        <w:t>estriction</w:t>
      </w:r>
      <w:r w:rsidR="003C0C7D">
        <w:rPr>
          <w:szCs w:val="22"/>
        </w:rPr>
        <w:t>s</w:t>
      </w:r>
      <w:r w:rsidR="003C0C7D" w:rsidRPr="003C0C7D">
        <w:rPr>
          <w:szCs w:val="22"/>
        </w:rPr>
        <w:t xml:space="preserve"> on addition </w:t>
      </w:r>
      <w:r w:rsidR="003C0C7D">
        <w:rPr>
          <w:szCs w:val="22"/>
        </w:rPr>
        <w:t xml:space="preserve">of ITF and GOS </w:t>
      </w:r>
      <w:r w:rsidR="003C0C7D" w:rsidRPr="003C0C7D">
        <w:rPr>
          <w:szCs w:val="22"/>
        </w:rPr>
        <w:t xml:space="preserve">to </w:t>
      </w:r>
      <w:r w:rsidR="008A72C8">
        <w:rPr>
          <w:szCs w:val="22"/>
        </w:rPr>
        <w:t>IFP</w:t>
      </w:r>
      <w:r w:rsidR="00A207D2">
        <w:rPr>
          <w:szCs w:val="22"/>
        </w:rPr>
        <w:t>.</w:t>
      </w:r>
      <w:r w:rsidR="001B2E53" w:rsidRPr="001B2E53">
        <w:rPr>
          <w:szCs w:val="22"/>
        </w:rPr>
        <w:t xml:space="preserve"> </w:t>
      </w:r>
      <w:r w:rsidR="001B2E53">
        <w:rPr>
          <w:szCs w:val="22"/>
        </w:rPr>
        <w:t>Subsection 2.9.1—7(1)</w:t>
      </w:r>
      <w:r w:rsidR="001B2E53" w:rsidRPr="00BD75C8">
        <w:rPr>
          <w:szCs w:val="22"/>
        </w:rPr>
        <w:t xml:space="preserve"> </w:t>
      </w:r>
      <w:r w:rsidR="001B2E53">
        <w:rPr>
          <w:szCs w:val="22"/>
        </w:rPr>
        <w:t>permits</w:t>
      </w:r>
      <w:r w:rsidR="001B2E53" w:rsidRPr="00BD75C8">
        <w:rPr>
          <w:szCs w:val="22"/>
        </w:rPr>
        <w:t xml:space="preserve"> the addition of IT</w:t>
      </w:r>
      <w:r w:rsidR="001B2E53">
        <w:rPr>
          <w:szCs w:val="22"/>
        </w:rPr>
        <w:t xml:space="preserve">F alone (up to </w:t>
      </w:r>
      <w:r w:rsidR="001B2E53" w:rsidRPr="00BD75C8">
        <w:rPr>
          <w:szCs w:val="22"/>
        </w:rPr>
        <w:t>110 mg/100 kJ</w:t>
      </w:r>
      <w:r w:rsidR="001B2E53">
        <w:rPr>
          <w:szCs w:val="22"/>
        </w:rPr>
        <w:t>),</w:t>
      </w:r>
      <w:r w:rsidR="001B2E53" w:rsidRPr="00BD75C8">
        <w:rPr>
          <w:szCs w:val="22"/>
        </w:rPr>
        <w:t xml:space="preserve"> GOS alone </w:t>
      </w:r>
      <w:r w:rsidR="001B2E53">
        <w:rPr>
          <w:szCs w:val="22"/>
        </w:rPr>
        <w:t>(</w:t>
      </w:r>
      <w:r w:rsidR="001B2E53" w:rsidRPr="00BD75C8">
        <w:rPr>
          <w:szCs w:val="22"/>
        </w:rPr>
        <w:t>up to 290 mg/100 kJ</w:t>
      </w:r>
      <w:r w:rsidR="001B2E53">
        <w:rPr>
          <w:szCs w:val="22"/>
        </w:rPr>
        <w:t xml:space="preserve">), </w:t>
      </w:r>
      <w:r w:rsidR="001B2E53" w:rsidRPr="00BD75C8">
        <w:rPr>
          <w:szCs w:val="22"/>
        </w:rPr>
        <w:t>or ITF</w:t>
      </w:r>
      <w:r w:rsidR="001B2E53">
        <w:rPr>
          <w:szCs w:val="22"/>
        </w:rPr>
        <w:t xml:space="preserve"> and GOS combined (</w:t>
      </w:r>
      <w:r w:rsidR="001B2E53" w:rsidRPr="00BD75C8">
        <w:rPr>
          <w:szCs w:val="22"/>
        </w:rPr>
        <w:t>up to 290 mg/100 kJ</w:t>
      </w:r>
      <w:r w:rsidR="001B2E53">
        <w:rPr>
          <w:szCs w:val="22"/>
        </w:rPr>
        <w:t xml:space="preserve">, with </w:t>
      </w:r>
      <w:r w:rsidR="001B2E53" w:rsidRPr="00BD75C8">
        <w:rPr>
          <w:szCs w:val="22"/>
        </w:rPr>
        <w:t>no more than 110 mg/kJ of ITF</w:t>
      </w:r>
      <w:r w:rsidR="001B2E53">
        <w:rPr>
          <w:szCs w:val="22"/>
        </w:rPr>
        <w:t>)</w:t>
      </w:r>
      <w:r w:rsidR="001B2E53" w:rsidRPr="00BD75C8">
        <w:rPr>
          <w:szCs w:val="22"/>
        </w:rPr>
        <w:t>.</w:t>
      </w:r>
      <w:r w:rsidR="001B2E53">
        <w:rPr>
          <w:szCs w:val="22"/>
        </w:rPr>
        <w:t xml:space="preserve"> </w:t>
      </w:r>
      <w:r w:rsidR="001B2E53" w:rsidRPr="00611EFC">
        <w:rPr>
          <w:szCs w:val="22"/>
        </w:rPr>
        <w:t>These amounts were converted</w:t>
      </w:r>
      <w:r w:rsidR="001B2E53">
        <w:rPr>
          <w:szCs w:val="22"/>
        </w:rPr>
        <w:t xml:space="preserve"> </w:t>
      </w:r>
      <w:r w:rsidR="001B2E53" w:rsidRPr="00611EFC">
        <w:rPr>
          <w:szCs w:val="22"/>
        </w:rPr>
        <w:t>to the respective mg/100 kJ units</w:t>
      </w:r>
      <w:r w:rsidR="001B2E53">
        <w:rPr>
          <w:szCs w:val="22"/>
        </w:rPr>
        <w:t xml:space="preserve"> for Code purposes from 8 g/L of </w:t>
      </w:r>
      <w:r w:rsidR="001B2E53" w:rsidRPr="00611EFC">
        <w:rPr>
          <w:szCs w:val="22"/>
        </w:rPr>
        <w:t>GOS</w:t>
      </w:r>
      <w:r w:rsidR="001B2E53">
        <w:rPr>
          <w:szCs w:val="22"/>
        </w:rPr>
        <w:t xml:space="preserve"> (alone or combined </w:t>
      </w:r>
      <w:r w:rsidR="001B2E53">
        <w:rPr>
          <w:szCs w:val="22"/>
        </w:rPr>
        <w:lastRenderedPageBreak/>
        <w:t>with ITF) and 3 g/L of</w:t>
      </w:r>
      <w:r w:rsidR="001B2E53" w:rsidRPr="00611EFC">
        <w:rPr>
          <w:szCs w:val="22"/>
        </w:rPr>
        <w:t xml:space="preserve"> ITF. </w:t>
      </w:r>
      <w:r w:rsidR="001204E7">
        <w:rPr>
          <w:szCs w:val="22"/>
        </w:rPr>
        <w:t xml:space="preserve">Subsection 2.9.1—7(2) prohibits the use of ITF and/or GOS in IFP with </w:t>
      </w:r>
      <w:r w:rsidR="001204E7">
        <w:t>2′-FL either alone; or in combination with LNnT.</w:t>
      </w:r>
    </w:p>
    <w:p w14:paraId="6AC57839" w14:textId="77777777" w:rsidR="001204E7" w:rsidRDefault="001204E7" w:rsidP="00E8122F">
      <w:pPr>
        <w:widowControl/>
      </w:pPr>
    </w:p>
    <w:p w14:paraId="6E3ACAFA" w14:textId="173D8C9B" w:rsidR="00A207D2" w:rsidRDefault="001B2E53" w:rsidP="00E8122F">
      <w:pPr>
        <w:widowControl/>
        <w:rPr>
          <w:szCs w:val="22"/>
        </w:rPr>
      </w:pPr>
      <w:r w:rsidRPr="00611EFC">
        <w:rPr>
          <w:szCs w:val="22"/>
        </w:rPr>
        <w:t>For FSFYC, the total amount of ITF or GOS must not be more than 1.6 g/serving</w:t>
      </w:r>
      <w:r>
        <w:rPr>
          <w:szCs w:val="22"/>
        </w:rPr>
        <w:t xml:space="preserve"> (</w:t>
      </w:r>
      <w:r w:rsidRPr="00611EFC">
        <w:rPr>
          <w:szCs w:val="22"/>
        </w:rPr>
        <w:t xml:space="preserve">converted from 8 g/L). The permitted maximum amounts take into account both the added and </w:t>
      </w:r>
      <w:r w:rsidR="001204E7">
        <w:rPr>
          <w:szCs w:val="22"/>
        </w:rPr>
        <w:t>naturally occurring substances.</w:t>
      </w:r>
    </w:p>
    <w:p w14:paraId="529B2F44" w14:textId="658867D8" w:rsidR="005663E7" w:rsidRPr="005160B3" w:rsidRDefault="005663E7" w:rsidP="00E8122F">
      <w:pPr>
        <w:pStyle w:val="Heading3"/>
        <w:widowControl/>
      </w:pPr>
      <w:bookmarkStart w:id="35" w:name="_Toc525729984"/>
      <w:bookmarkStart w:id="36" w:name="_Toc527018229"/>
      <w:bookmarkStart w:id="37" w:name="_Toc11247895"/>
      <w:bookmarkStart w:id="38" w:name="_Toc14427189"/>
      <w:bookmarkStart w:id="39" w:name="_Toc22303659"/>
      <w:bookmarkStart w:id="40" w:name="_Toc22650322"/>
      <w:bookmarkStart w:id="41" w:name="_Toc73104820"/>
      <w:bookmarkStart w:id="42" w:name="_Toc77338767"/>
      <w:r>
        <w:t>1.3.2</w:t>
      </w:r>
      <w:r>
        <w:tab/>
      </w:r>
      <w:r w:rsidR="00785898">
        <w:t>R</w:t>
      </w:r>
      <w:r>
        <w:t>egulations</w:t>
      </w:r>
      <w:bookmarkEnd w:id="35"/>
      <w:bookmarkEnd w:id="36"/>
      <w:bookmarkEnd w:id="37"/>
      <w:bookmarkEnd w:id="38"/>
      <w:bookmarkEnd w:id="39"/>
      <w:bookmarkEnd w:id="40"/>
      <w:bookmarkEnd w:id="41"/>
      <w:r w:rsidR="00785898">
        <w:t xml:space="preserve"> for 2′-FL in other countries</w:t>
      </w:r>
      <w:bookmarkEnd w:id="42"/>
    </w:p>
    <w:p w14:paraId="26712111" w14:textId="4EBC9E61" w:rsidR="00840743" w:rsidRDefault="005663E7" w:rsidP="00E8122F">
      <w:pPr>
        <w:widowControl/>
      </w:pPr>
      <w:r>
        <w:t xml:space="preserve">2′-FL produced by microbial fermentation and by chemical synthesis are permitted for use in </w:t>
      </w:r>
      <w:r w:rsidR="00025EA9">
        <w:t>IFP</w:t>
      </w:r>
      <w:r w:rsidDel="00FD22B7">
        <w:t>, FSFYC</w:t>
      </w:r>
      <w:r>
        <w:t xml:space="preserve"> and many other foods in </w:t>
      </w:r>
      <w:r w:rsidR="00EF01C8">
        <w:t xml:space="preserve">at least 37 </w:t>
      </w:r>
      <w:r w:rsidR="00745695">
        <w:t>overseas</w:t>
      </w:r>
      <w:r>
        <w:t xml:space="preserve"> countries at a range of levels. </w:t>
      </w:r>
      <w:r w:rsidR="005739BB">
        <w:t>Table 1 outlines some international permissions for 2′-FL alone</w:t>
      </w:r>
      <w:r w:rsidR="005739BB">
        <w:rPr>
          <w:rStyle w:val="FootnoteReference"/>
        </w:rPr>
        <w:footnoteReference w:id="6"/>
      </w:r>
      <w:r w:rsidR="005739BB">
        <w:t>.</w:t>
      </w:r>
    </w:p>
    <w:p w14:paraId="3514DEA8" w14:textId="77777777" w:rsidR="00840743" w:rsidRDefault="00840743" w:rsidP="00E8122F">
      <w:pPr>
        <w:widowControl/>
      </w:pPr>
      <w:r>
        <w:br w:type="page"/>
      </w:r>
    </w:p>
    <w:p w14:paraId="2DC1F221" w14:textId="3870A6FB" w:rsidR="005663E7" w:rsidRDefault="005663E7" w:rsidP="00E8122F">
      <w:pPr>
        <w:pStyle w:val="FSTableHeading"/>
        <w:widowControl/>
        <w:spacing w:after="240"/>
      </w:pPr>
      <w:r>
        <w:lastRenderedPageBreak/>
        <w:t xml:space="preserve">Table 1: International permissions for use of </w:t>
      </w:r>
      <w:r w:rsidR="00996312">
        <w:t>2</w:t>
      </w:r>
      <w:r w:rsidR="000E2F70">
        <w:t>′</w:t>
      </w:r>
      <w:r w:rsidR="00CA3B49">
        <w:t>-</w:t>
      </w:r>
      <w:r w:rsidR="00996312">
        <w:t>FL</w:t>
      </w:r>
      <w:r w:rsidR="005018B7">
        <w:t xml:space="preserve"> in </w:t>
      </w:r>
      <w:r w:rsidR="007E7533">
        <w:t>Infant formula*</w:t>
      </w:r>
    </w:p>
    <w:tbl>
      <w:tblPr>
        <w:tblStyle w:val="TableGrid"/>
        <w:tblW w:w="5665" w:type="dxa"/>
        <w:jc w:val="center"/>
        <w:tblLook w:val="04A0" w:firstRow="1" w:lastRow="0" w:firstColumn="1" w:lastColumn="0" w:noHBand="0" w:noVBand="1"/>
        <w:tblCaption w:val="Summary of internatoinal permissions for use of 2'FL and LNnT"/>
        <w:tblDescription w:val="The table lists the maximum permitted amounts for 2'FL and LNnT in infant formula and toddler milk in seven countries. "/>
      </w:tblPr>
      <w:tblGrid>
        <w:gridCol w:w="1838"/>
        <w:gridCol w:w="3827"/>
      </w:tblGrid>
      <w:tr w:rsidR="00F47122" w14:paraId="7D728434" w14:textId="77777777" w:rsidTr="00AB5319">
        <w:trPr>
          <w:trHeight w:val="516"/>
          <w:tblHeader/>
          <w:jc w:val="center"/>
        </w:trPr>
        <w:tc>
          <w:tcPr>
            <w:tcW w:w="1838" w:type="dxa"/>
            <w:shd w:val="clear" w:color="auto" w:fill="DBE5F1" w:themeFill="accent1" w:themeFillTint="33"/>
            <w:vAlign w:val="center"/>
          </w:tcPr>
          <w:p w14:paraId="04729C81" w14:textId="43155ACD" w:rsidR="00F47122" w:rsidRPr="002D1847" w:rsidRDefault="00F47122" w:rsidP="00E8122F">
            <w:pPr>
              <w:widowControl/>
              <w:jc w:val="center"/>
              <w:rPr>
                <w:b/>
              </w:rPr>
            </w:pPr>
            <w:r w:rsidRPr="002D1847">
              <w:rPr>
                <w:b/>
              </w:rPr>
              <w:t>Country</w:t>
            </w:r>
          </w:p>
        </w:tc>
        <w:tc>
          <w:tcPr>
            <w:tcW w:w="3827" w:type="dxa"/>
            <w:shd w:val="clear" w:color="auto" w:fill="DBE5F1" w:themeFill="accent1" w:themeFillTint="33"/>
            <w:vAlign w:val="center"/>
          </w:tcPr>
          <w:p w14:paraId="6299ADB5" w14:textId="4F653238" w:rsidR="00F47122" w:rsidRPr="002D1847" w:rsidRDefault="00F47122" w:rsidP="00E8122F">
            <w:pPr>
              <w:widowControl/>
              <w:jc w:val="center"/>
              <w:rPr>
                <w:b/>
              </w:rPr>
            </w:pPr>
          </w:p>
          <w:p w14:paraId="11E4B8E8" w14:textId="4F653238" w:rsidR="00F47122" w:rsidRPr="002D1847" w:rsidRDefault="005018B7" w:rsidP="00E8122F">
            <w:pPr>
              <w:widowControl/>
              <w:jc w:val="center"/>
              <w:rPr>
                <w:b/>
              </w:rPr>
            </w:pPr>
            <w:r>
              <w:rPr>
                <w:b/>
              </w:rPr>
              <w:t>Max use level</w:t>
            </w:r>
          </w:p>
          <w:p w14:paraId="3BEAC366" w14:textId="0E964A11" w:rsidR="00F47122" w:rsidRPr="002D1847" w:rsidRDefault="00F47122" w:rsidP="00E8122F">
            <w:pPr>
              <w:widowControl/>
              <w:jc w:val="center"/>
              <w:rPr>
                <w:b/>
              </w:rPr>
            </w:pPr>
          </w:p>
        </w:tc>
      </w:tr>
      <w:tr w:rsidR="00F47122" w14:paraId="563C4D9F" w14:textId="77777777" w:rsidTr="00E136FB">
        <w:trPr>
          <w:jc w:val="center"/>
        </w:trPr>
        <w:tc>
          <w:tcPr>
            <w:tcW w:w="1838" w:type="dxa"/>
            <w:vAlign w:val="center"/>
          </w:tcPr>
          <w:p w14:paraId="1AC2D99F" w14:textId="25495253" w:rsidR="00F47122" w:rsidRDefault="00F47122" w:rsidP="00E8122F">
            <w:pPr>
              <w:widowControl/>
              <w:spacing w:before="120" w:after="120"/>
              <w:jc w:val="center"/>
            </w:pPr>
            <w:r>
              <w:t>United States</w:t>
            </w:r>
          </w:p>
        </w:tc>
        <w:tc>
          <w:tcPr>
            <w:tcW w:w="3827" w:type="dxa"/>
            <w:vAlign w:val="center"/>
          </w:tcPr>
          <w:p w14:paraId="2C08AE9F" w14:textId="001A1452" w:rsidR="00F47122" w:rsidRDefault="00F47122" w:rsidP="00E8122F">
            <w:pPr>
              <w:widowControl/>
              <w:spacing w:before="120" w:after="120"/>
              <w:jc w:val="center"/>
            </w:pPr>
            <w:r>
              <w:t>2.4 g/L</w:t>
            </w:r>
          </w:p>
        </w:tc>
      </w:tr>
      <w:tr w:rsidR="00F47122" w14:paraId="3E57B54A" w14:textId="77777777" w:rsidTr="00E136FB">
        <w:trPr>
          <w:trHeight w:val="252"/>
          <w:jc w:val="center"/>
        </w:trPr>
        <w:tc>
          <w:tcPr>
            <w:tcW w:w="1838" w:type="dxa"/>
            <w:vAlign w:val="center"/>
          </w:tcPr>
          <w:p w14:paraId="627AA46D" w14:textId="77777777" w:rsidR="00F47122" w:rsidRDefault="00F47122" w:rsidP="00E8122F">
            <w:pPr>
              <w:widowControl/>
              <w:spacing w:before="120" w:after="120"/>
              <w:jc w:val="center"/>
            </w:pPr>
            <w:r>
              <w:t>Canada</w:t>
            </w:r>
            <w:r w:rsidRPr="00C563CA">
              <w:rPr>
                <w:vertAlign w:val="superscript"/>
              </w:rPr>
              <w:t>#</w:t>
            </w:r>
          </w:p>
        </w:tc>
        <w:tc>
          <w:tcPr>
            <w:tcW w:w="3827" w:type="dxa"/>
            <w:vAlign w:val="center"/>
          </w:tcPr>
          <w:p w14:paraId="060D0EF6" w14:textId="155E3E81" w:rsidR="00F47122" w:rsidRDefault="00F47122" w:rsidP="00E8122F">
            <w:pPr>
              <w:widowControl/>
              <w:spacing w:before="120" w:after="120"/>
              <w:jc w:val="center"/>
            </w:pPr>
            <w:r>
              <w:t>1.2 g/L</w:t>
            </w:r>
          </w:p>
        </w:tc>
      </w:tr>
      <w:tr w:rsidR="00F47122" w14:paraId="59233F68" w14:textId="77777777" w:rsidTr="00E136FB">
        <w:trPr>
          <w:trHeight w:val="252"/>
          <w:jc w:val="center"/>
        </w:trPr>
        <w:tc>
          <w:tcPr>
            <w:tcW w:w="1838" w:type="dxa"/>
            <w:vAlign w:val="center"/>
          </w:tcPr>
          <w:p w14:paraId="45D2A8CE" w14:textId="08E80A8E" w:rsidR="00F47122" w:rsidRDefault="00F47122" w:rsidP="00E8122F">
            <w:pPr>
              <w:widowControl/>
              <w:spacing w:before="120" w:after="120"/>
              <w:jc w:val="center"/>
            </w:pPr>
            <w:r>
              <w:t>Singapore</w:t>
            </w:r>
          </w:p>
        </w:tc>
        <w:tc>
          <w:tcPr>
            <w:tcW w:w="3827" w:type="dxa"/>
            <w:vAlign w:val="center"/>
          </w:tcPr>
          <w:p w14:paraId="28C37324" w14:textId="4F3FD505" w:rsidR="00F47122" w:rsidRDefault="00F47122" w:rsidP="00E8122F">
            <w:pPr>
              <w:widowControl/>
              <w:spacing w:before="120" w:after="120"/>
              <w:jc w:val="center"/>
            </w:pPr>
            <w:r>
              <w:t>1.2 g/L</w:t>
            </w:r>
          </w:p>
        </w:tc>
      </w:tr>
      <w:tr w:rsidR="00F47122" w14:paraId="2CAA0135" w14:textId="77777777" w:rsidTr="00E136FB">
        <w:trPr>
          <w:trHeight w:val="252"/>
          <w:jc w:val="center"/>
        </w:trPr>
        <w:tc>
          <w:tcPr>
            <w:tcW w:w="1838" w:type="dxa"/>
            <w:vAlign w:val="center"/>
          </w:tcPr>
          <w:p w14:paraId="384460EF" w14:textId="414E2C38" w:rsidR="00F47122" w:rsidRDefault="000D14A7" w:rsidP="00E8122F">
            <w:pPr>
              <w:widowControl/>
              <w:spacing w:before="120" w:after="120"/>
              <w:jc w:val="center"/>
            </w:pPr>
            <w:r>
              <w:t>European Union</w:t>
            </w:r>
          </w:p>
        </w:tc>
        <w:tc>
          <w:tcPr>
            <w:tcW w:w="3827" w:type="dxa"/>
            <w:vAlign w:val="center"/>
          </w:tcPr>
          <w:p w14:paraId="7AA2CFD4" w14:textId="0846ABC2" w:rsidR="00F47122" w:rsidRDefault="00F47122" w:rsidP="00E8122F">
            <w:pPr>
              <w:widowControl/>
              <w:spacing w:before="120" w:after="120"/>
              <w:jc w:val="center"/>
            </w:pPr>
            <w:r>
              <w:t>1.2 g/L</w:t>
            </w:r>
          </w:p>
        </w:tc>
      </w:tr>
      <w:tr w:rsidR="00F47122" w14:paraId="4F3FB9DA" w14:textId="77777777" w:rsidTr="00E136FB">
        <w:trPr>
          <w:trHeight w:val="252"/>
          <w:jc w:val="center"/>
        </w:trPr>
        <w:tc>
          <w:tcPr>
            <w:tcW w:w="1838" w:type="dxa"/>
            <w:vAlign w:val="center"/>
          </w:tcPr>
          <w:p w14:paraId="10FD112B" w14:textId="77777777" w:rsidR="00F47122" w:rsidRDefault="00F47122" w:rsidP="00E8122F">
            <w:pPr>
              <w:widowControl/>
              <w:spacing w:before="120" w:after="120"/>
              <w:jc w:val="center"/>
            </w:pPr>
            <w:r>
              <w:t>Israel</w:t>
            </w:r>
          </w:p>
        </w:tc>
        <w:tc>
          <w:tcPr>
            <w:tcW w:w="3827" w:type="dxa"/>
            <w:vAlign w:val="center"/>
          </w:tcPr>
          <w:p w14:paraId="24F02D2D" w14:textId="107D1071" w:rsidR="00F47122" w:rsidRDefault="00F47122" w:rsidP="00E8122F">
            <w:pPr>
              <w:widowControl/>
              <w:spacing w:before="120" w:after="120"/>
              <w:jc w:val="center"/>
            </w:pPr>
            <w:r>
              <w:t>2 g/L</w:t>
            </w:r>
          </w:p>
        </w:tc>
      </w:tr>
      <w:tr w:rsidR="00F47122" w14:paraId="5B6233BC" w14:textId="77777777" w:rsidTr="00E136FB">
        <w:trPr>
          <w:trHeight w:val="252"/>
          <w:jc w:val="center"/>
        </w:trPr>
        <w:tc>
          <w:tcPr>
            <w:tcW w:w="1838" w:type="dxa"/>
            <w:vAlign w:val="center"/>
          </w:tcPr>
          <w:p w14:paraId="5AC9C353" w14:textId="151E9604" w:rsidR="00F47122" w:rsidRDefault="00F47122" w:rsidP="00E8122F">
            <w:pPr>
              <w:widowControl/>
              <w:spacing w:before="120" w:after="120"/>
              <w:jc w:val="center"/>
            </w:pPr>
            <w:r>
              <w:t>Korea</w:t>
            </w:r>
          </w:p>
        </w:tc>
        <w:tc>
          <w:tcPr>
            <w:tcW w:w="3827" w:type="dxa"/>
            <w:vAlign w:val="center"/>
          </w:tcPr>
          <w:p w14:paraId="70628D61" w14:textId="2A4A2E49" w:rsidR="00F47122" w:rsidRDefault="00F47122" w:rsidP="00E8122F">
            <w:pPr>
              <w:widowControl/>
              <w:spacing w:before="120" w:after="120"/>
              <w:jc w:val="center"/>
            </w:pPr>
            <w:r>
              <w:t>2 g/L</w:t>
            </w:r>
          </w:p>
        </w:tc>
      </w:tr>
      <w:tr w:rsidR="00F47122" w14:paraId="676534FE" w14:textId="77777777" w:rsidTr="00E136FB">
        <w:trPr>
          <w:trHeight w:val="252"/>
          <w:jc w:val="center"/>
        </w:trPr>
        <w:tc>
          <w:tcPr>
            <w:tcW w:w="1838" w:type="dxa"/>
            <w:vAlign w:val="center"/>
          </w:tcPr>
          <w:p w14:paraId="61679647" w14:textId="516DD292" w:rsidR="00F47122" w:rsidRDefault="00F47122" w:rsidP="00E8122F">
            <w:pPr>
              <w:widowControl/>
              <w:spacing w:before="120" w:after="120"/>
              <w:jc w:val="center"/>
            </w:pPr>
            <w:r>
              <w:t>Philippines</w:t>
            </w:r>
          </w:p>
        </w:tc>
        <w:tc>
          <w:tcPr>
            <w:tcW w:w="3827" w:type="dxa"/>
            <w:vAlign w:val="center"/>
          </w:tcPr>
          <w:p w14:paraId="4D00AB04" w14:textId="553A228C" w:rsidR="00F47122" w:rsidRDefault="00F47122" w:rsidP="00E8122F">
            <w:pPr>
              <w:widowControl/>
              <w:spacing w:before="120" w:after="120"/>
              <w:jc w:val="center"/>
            </w:pPr>
            <w:r>
              <w:t>1.2 g/L</w:t>
            </w:r>
          </w:p>
        </w:tc>
      </w:tr>
    </w:tbl>
    <w:p w14:paraId="66977EEA" w14:textId="44A891F3" w:rsidR="007E7533" w:rsidRPr="00DC3659" w:rsidRDefault="005663E7" w:rsidP="00E8122F">
      <w:pPr>
        <w:widowControl/>
        <w:ind w:left="1134" w:firstLine="567"/>
        <w:rPr>
          <w:sz w:val="18"/>
          <w:szCs w:val="18"/>
        </w:rPr>
      </w:pPr>
      <w:r w:rsidRPr="00DC3659">
        <w:rPr>
          <w:sz w:val="18"/>
          <w:szCs w:val="18"/>
        </w:rPr>
        <w:t>Notes to table:</w:t>
      </w:r>
    </w:p>
    <w:p w14:paraId="11F3E44F" w14:textId="0717A239" w:rsidR="007E7533" w:rsidRPr="00DC3659" w:rsidRDefault="007E7533" w:rsidP="00E8122F">
      <w:pPr>
        <w:widowControl/>
        <w:ind w:left="1134" w:firstLine="567"/>
        <w:rPr>
          <w:sz w:val="18"/>
          <w:szCs w:val="18"/>
        </w:rPr>
      </w:pPr>
      <w:r w:rsidRPr="00DC3659">
        <w:rPr>
          <w:sz w:val="18"/>
          <w:szCs w:val="18"/>
        </w:rPr>
        <w:t xml:space="preserve">*Infant formula categories vary between countries </w:t>
      </w:r>
    </w:p>
    <w:p w14:paraId="1B54D1F2" w14:textId="03076BA3" w:rsidR="005663E7" w:rsidRPr="00DC3659" w:rsidRDefault="005663E7" w:rsidP="00E8122F">
      <w:pPr>
        <w:widowControl/>
        <w:ind w:left="1134" w:firstLine="567"/>
        <w:rPr>
          <w:sz w:val="18"/>
          <w:szCs w:val="18"/>
        </w:rPr>
      </w:pPr>
      <w:r w:rsidRPr="00DC3659">
        <w:rPr>
          <w:sz w:val="18"/>
          <w:szCs w:val="18"/>
        </w:rPr>
        <w:t># permission as novel food</w:t>
      </w:r>
      <w:r w:rsidR="00460251" w:rsidRPr="00DC3659">
        <w:rPr>
          <w:sz w:val="18"/>
          <w:szCs w:val="18"/>
        </w:rPr>
        <w:t xml:space="preserve"> with support for use in infant formula</w:t>
      </w:r>
    </w:p>
    <w:p w14:paraId="7038FB7E" w14:textId="0B29C697" w:rsidR="007D5394" w:rsidRPr="007D5394" w:rsidRDefault="007D5394" w:rsidP="00E8122F">
      <w:pPr>
        <w:widowControl/>
        <w:ind w:left="1134" w:firstLine="567"/>
        <w:rPr>
          <w:sz w:val="18"/>
        </w:rPr>
      </w:pPr>
    </w:p>
    <w:p w14:paraId="778E1398" w14:textId="77777777" w:rsidR="002A26CD" w:rsidRDefault="005739BB" w:rsidP="00E8122F">
      <w:pPr>
        <w:widowControl/>
      </w:pPr>
      <w:r>
        <w:t xml:space="preserve">Labelling permissions and restrictions differ across countries, some specify the terminology that must be used for the ingredients on labels while others do not. Some countries permit claims on </w:t>
      </w:r>
      <w:r w:rsidR="00FD081B">
        <w:t>IFP</w:t>
      </w:r>
      <w:r w:rsidR="00E043D7">
        <w:t xml:space="preserve"> while other countries do not.</w:t>
      </w:r>
    </w:p>
    <w:p w14:paraId="0724763F" w14:textId="41ABD16D" w:rsidR="005663E7" w:rsidRPr="00201E5C" w:rsidRDefault="002259F7" w:rsidP="00E8122F">
      <w:pPr>
        <w:pStyle w:val="Heading4"/>
        <w:widowControl/>
      </w:pPr>
      <w:r>
        <w:t>1</w:t>
      </w:r>
      <w:r w:rsidR="005663E7" w:rsidRPr="00201E5C">
        <w:t>.3.2.1</w:t>
      </w:r>
      <w:r w:rsidR="005663E7" w:rsidRPr="00201E5C">
        <w:tab/>
        <w:t>Codex standards</w:t>
      </w:r>
    </w:p>
    <w:p w14:paraId="1CD9103A" w14:textId="1536C06F" w:rsidR="005663E7" w:rsidRDefault="005663E7" w:rsidP="00E8122F">
      <w:pPr>
        <w:pStyle w:val="FootnoteText"/>
        <w:widowControl/>
        <w:rPr>
          <w:sz w:val="22"/>
          <w:szCs w:val="22"/>
          <w:lang w:val="en-AU"/>
        </w:rPr>
      </w:pPr>
      <w:r w:rsidRPr="00680762">
        <w:rPr>
          <w:sz w:val="22"/>
          <w:szCs w:val="22"/>
        </w:rPr>
        <w:t xml:space="preserve">The current Codex </w:t>
      </w:r>
      <w:r>
        <w:rPr>
          <w:sz w:val="22"/>
          <w:szCs w:val="22"/>
        </w:rPr>
        <w:t xml:space="preserve">Alimentarius </w:t>
      </w:r>
      <w:r w:rsidRPr="00680762">
        <w:rPr>
          <w:sz w:val="22"/>
          <w:szCs w:val="22"/>
        </w:rPr>
        <w:t>Standards for Infant Formula and Formulas for Special Medical Purposes Intended for Infants (Codex Standard 72-1981)</w:t>
      </w:r>
      <w:r w:rsidR="00460251">
        <w:rPr>
          <w:sz w:val="22"/>
          <w:szCs w:val="22"/>
        </w:rPr>
        <w:t>,</w:t>
      </w:r>
      <w:r w:rsidRPr="00680762">
        <w:rPr>
          <w:sz w:val="22"/>
          <w:szCs w:val="22"/>
        </w:rPr>
        <w:t xml:space="preserve"> and </w:t>
      </w:r>
      <w:r>
        <w:rPr>
          <w:sz w:val="22"/>
          <w:szCs w:val="22"/>
        </w:rPr>
        <w:t xml:space="preserve">for </w:t>
      </w:r>
      <w:r w:rsidRPr="00680762">
        <w:rPr>
          <w:sz w:val="22"/>
          <w:szCs w:val="22"/>
          <w:lang w:bidi="ar-SA"/>
        </w:rPr>
        <w:t>Follow-up Formula</w:t>
      </w:r>
      <w:r w:rsidRPr="00680762">
        <w:rPr>
          <w:rStyle w:val="FootnoteReference"/>
          <w:sz w:val="22"/>
          <w:szCs w:val="22"/>
          <w:lang w:bidi="ar-SA"/>
        </w:rPr>
        <w:footnoteReference w:id="7"/>
      </w:r>
      <w:r w:rsidRPr="00680762">
        <w:rPr>
          <w:sz w:val="22"/>
          <w:szCs w:val="22"/>
          <w:lang w:bidi="ar-SA"/>
        </w:rPr>
        <w:t xml:space="preserve"> (Codex Standard 156-1987)</w:t>
      </w:r>
      <w:r>
        <w:rPr>
          <w:sz w:val="22"/>
          <w:szCs w:val="22"/>
          <w:lang w:bidi="ar-SA"/>
        </w:rPr>
        <w:t>,</w:t>
      </w:r>
      <w:r w:rsidRPr="00680762">
        <w:rPr>
          <w:sz w:val="22"/>
          <w:szCs w:val="22"/>
          <w:lang w:bidi="ar-SA"/>
        </w:rPr>
        <w:t xml:space="preserve"> </w:t>
      </w:r>
      <w:r w:rsidRPr="00680762">
        <w:rPr>
          <w:sz w:val="22"/>
          <w:szCs w:val="22"/>
        </w:rPr>
        <w:t>do not contain specific provisions for 2</w:t>
      </w:r>
      <w:r>
        <w:rPr>
          <w:sz w:val="22"/>
          <w:szCs w:val="22"/>
        </w:rPr>
        <w:t>′</w:t>
      </w:r>
      <w:r w:rsidRPr="00680762">
        <w:rPr>
          <w:sz w:val="22"/>
          <w:szCs w:val="22"/>
        </w:rPr>
        <w:t xml:space="preserve">-FL. However, the </w:t>
      </w:r>
      <w:r>
        <w:rPr>
          <w:sz w:val="22"/>
          <w:szCs w:val="22"/>
        </w:rPr>
        <w:t>s</w:t>
      </w:r>
      <w:r w:rsidRPr="00680762">
        <w:rPr>
          <w:sz w:val="22"/>
          <w:szCs w:val="22"/>
        </w:rPr>
        <w:t xml:space="preserve">tandards contain provisions for ‘optional ingredients’ which </w:t>
      </w:r>
      <w:r>
        <w:rPr>
          <w:sz w:val="22"/>
          <w:szCs w:val="22"/>
        </w:rPr>
        <w:t xml:space="preserve">would </w:t>
      </w:r>
      <w:r w:rsidRPr="00680762">
        <w:rPr>
          <w:sz w:val="22"/>
          <w:szCs w:val="22"/>
        </w:rPr>
        <w:t>apply to the addition of substances such as 2</w:t>
      </w:r>
      <w:r>
        <w:rPr>
          <w:sz w:val="22"/>
          <w:szCs w:val="22"/>
        </w:rPr>
        <w:t>′</w:t>
      </w:r>
      <w:r w:rsidRPr="00680762">
        <w:rPr>
          <w:sz w:val="22"/>
          <w:szCs w:val="22"/>
        </w:rPr>
        <w:t xml:space="preserve">-FL. </w:t>
      </w:r>
      <w:r>
        <w:rPr>
          <w:sz w:val="22"/>
          <w:szCs w:val="22"/>
        </w:rPr>
        <w:t>FSANZ notes that t</w:t>
      </w:r>
      <w:r>
        <w:rPr>
          <w:sz w:val="22"/>
          <w:szCs w:val="22"/>
          <w:lang w:bidi="ar-SA"/>
        </w:rPr>
        <w:t>he Follow-up F</w:t>
      </w:r>
      <w:r w:rsidRPr="00680762">
        <w:rPr>
          <w:sz w:val="22"/>
          <w:szCs w:val="22"/>
          <w:lang w:bidi="ar-SA"/>
        </w:rPr>
        <w:t>ormula</w:t>
      </w:r>
      <w:r w:rsidRPr="00680762">
        <w:rPr>
          <w:sz w:val="22"/>
          <w:szCs w:val="22"/>
          <w:lang w:val="en-AU"/>
        </w:rPr>
        <w:t xml:space="preserve"> Standard is currentl</w:t>
      </w:r>
      <w:r>
        <w:rPr>
          <w:sz w:val="22"/>
          <w:szCs w:val="22"/>
          <w:lang w:val="en-AU"/>
        </w:rPr>
        <w:t xml:space="preserve">y </w:t>
      </w:r>
      <w:r w:rsidR="001B3B8C">
        <w:rPr>
          <w:sz w:val="22"/>
          <w:szCs w:val="22"/>
          <w:lang w:val="en-AU"/>
        </w:rPr>
        <w:t xml:space="preserve">under </w:t>
      </w:r>
      <w:r>
        <w:rPr>
          <w:sz w:val="22"/>
          <w:szCs w:val="22"/>
          <w:lang w:val="en-AU"/>
        </w:rPr>
        <w:t>review</w:t>
      </w:r>
      <w:r w:rsidRPr="00680762">
        <w:rPr>
          <w:rStyle w:val="FootnoteReference"/>
          <w:sz w:val="22"/>
          <w:szCs w:val="22"/>
          <w:lang w:val="en-AU"/>
        </w:rPr>
        <w:footnoteReference w:id="8"/>
      </w:r>
      <w:r>
        <w:rPr>
          <w:sz w:val="22"/>
          <w:szCs w:val="22"/>
          <w:lang w:val="en-AU"/>
        </w:rPr>
        <w:t>.</w:t>
      </w:r>
    </w:p>
    <w:p w14:paraId="45C9B430" w14:textId="4C47CE3A" w:rsidR="00694B01" w:rsidRDefault="00694B01" w:rsidP="00E8122F">
      <w:pPr>
        <w:pStyle w:val="Heading4"/>
        <w:widowControl/>
      </w:pPr>
      <w:r>
        <w:t>1.3.2.2</w:t>
      </w:r>
      <w:r>
        <w:tab/>
        <w:t xml:space="preserve">Countries </w:t>
      </w:r>
      <w:r w:rsidR="000B5C10">
        <w:t>with permissions for the applicant’s 2’</w:t>
      </w:r>
      <w:r w:rsidR="001825A1">
        <w:t>-fucosyllactose</w:t>
      </w:r>
    </w:p>
    <w:p w14:paraId="4E504388" w14:textId="12BF2785" w:rsidR="005663E7" w:rsidRDefault="003E7AB7" w:rsidP="00E8122F">
      <w:pPr>
        <w:pStyle w:val="Heading5"/>
        <w:widowControl/>
      </w:pPr>
      <w:r>
        <w:t>United States</w:t>
      </w:r>
    </w:p>
    <w:p w14:paraId="0B6FE4BC" w14:textId="623EA076" w:rsidR="003039D1" w:rsidRPr="003039D1" w:rsidRDefault="005663E7" w:rsidP="00E8122F">
      <w:pPr>
        <w:widowControl/>
      </w:pPr>
      <w:r w:rsidRPr="00B35A08">
        <w:t>The United States Food and Drug Administration (USFDA) issued ‘no questions’</w:t>
      </w:r>
      <w:r>
        <w:rPr>
          <w:rStyle w:val="FootnoteReference"/>
        </w:rPr>
        <w:footnoteReference w:id="9"/>
      </w:r>
      <w:r w:rsidRPr="00B35A08">
        <w:t xml:space="preserve"> responses to the applicant’s self-assessed Generally Recognized as Safe (GRAS) notifications for 2</w:t>
      </w:r>
      <w:r>
        <w:t>′</w:t>
      </w:r>
      <w:r w:rsidRPr="00B35A08">
        <w:t>-FL</w:t>
      </w:r>
      <w:r w:rsidR="003E7AB7">
        <w:rPr>
          <w:vertAlign w:val="subscript"/>
        </w:rPr>
        <w:t xml:space="preserve"> </w:t>
      </w:r>
      <w:r w:rsidR="003E7AB7">
        <w:t>synthesised</w:t>
      </w:r>
      <w:r w:rsidR="00AB5319">
        <w:t xml:space="preserve"> chemically and through microbi</w:t>
      </w:r>
      <w:r w:rsidR="003E7AB7">
        <w:t xml:space="preserve">al fermentation </w:t>
      </w:r>
      <w:r w:rsidRPr="00B35A08">
        <w:t>for use in various general and special purpose foods</w:t>
      </w:r>
      <w:r>
        <w:t xml:space="preserve"> </w:t>
      </w:r>
      <w:r w:rsidRPr="00034D0B">
        <w:t>(</w:t>
      </w:r>
      <w:r w:rsidR="00E1712F">
        <w:t>USFDA 2015, 2016a</w:t>
      </w:r>
      <w:r>
        <w:t>)</w:t>
      </w:r>
      <w:r w:rsidRPr="00B35A08">
        <w:t>. The maximum intended use level in ‘term infant formula’ and ‘toddler formula</w:t>
      </w:r>
      <w:r>
        <w:t xml:space="preserve">’ (terms used </w:t>
      </w:r>
      <w:r w:rsidR="00A700D5">
        <w:t>in the US) is 2</w:t>
      </w:r>
      <w:r w:rsidRPr="00B35A08">
        <w:t xml:space="preserve"> g/L</w:t>
      </w:r>
      <w:r w:rsidR="00A700D5">
        <w:t xml:space="preserve"> of formula, as consumed</w:t>
      </w:r>
      <w:r w:rsidRPr="00B35A08">
        <w:t xml:space="preserve">. </w:t>
      </w:r>
      <w:r>
        <w:t>The USFDA also issued ‘no questions’ responses to applications of other 2′-FL</w:t>
      </w:r>
      <w:r w:rsidRPr="00795B18">
        <w:t xml:space="preserve"> </w:t>
      </w:r>
      <w:r>
        <w:t>manufacturers who use different GM production strains (</w:t>
      </w:r>
      <w:r w:rsidR="00A700D5">
        <w:rPr>
          <w:rFonts w:cs="Arial"/>
        </w:rPr>
        <w:t>Glycom</w:t>
      </w:r>
      <w:r>
        <w:rPr>
          <w:rFonts w:cs="Arial"/>
        </w:rPr>
        <w:t xml:space="preserve"> (USFDA</w:t>
      </w:r>
      <w:r w:rsidR="00C06299">
        <w:rPr>
          <w:rFonts w:cs="Arial"/>
        </w:rPr>
        <w:t>,</w:t>
      </w:r>
      <w:r>
        <w:rPr>
          <w:rFonts w:cs="Arial"/>
        </w:rPr>
        <w:t xml:space="preserve"> 201</w:t>
      </w:r>
      <w:r w:rsidR="00C06299">
        <w:rPr>
          <w:rFonts w:cs="Arial"/>
        </w:rPr>
        <w:t>6a</w:t>
      </w:r>
      <w:r>
        <w:rPr>
          <w:rFonts w:cs="Arial"/>
        </w:rPr>
        <w:t>),</w:t>
      </w:r>
      <w:r w:rsidRPr="0057313B">
        <w:rPr>
          <w:rFonts w:cs="Arial"/>
        </w:rPr>
        <w:t xml:space="preserve"> FrieslandCampina</w:t>
      </w:r>
      <w:r>
        <w:rPr>
          <w:rFonts w:cs="Arial"/>
        </w:rPr>
        <w:t xml:space="preserve"> (</w:t>
      </w:r>
      <w:r w:rsidRPr="00C06299">
        <w:rPr>
          <w:rFonts w:cs="Arial"/>
        </w:rPr>
        <w:t>USFDA</w:t>
      </w:r>
      <w:r w:rsidR="00C06299" w:rsidRPr="00C06299">
        <w:rPr>
          <w:rFonts w:cs="Arial"/>
        </w:rPr>
        <w:t>,</w:t>
      </w:r>
      <w:r w:rsidRPr="00C06299">
        <w:rPr>
          <w:rFonts w:cs="Arial"/>
        </w:rPr>
        <w:t xml:space="preserve"> 2018a</w:t>
      </w:r>
      <w:r>
        <w:rPr>
          <w:rFonts w:cs="Arial"/>
        </w:rPr>
        <w:t>)</w:t>
      </w:r>
      <w:r w:rsidRPr="0057313B">
        <w:rPr>
          <w:rFonts w:cs="Arial"/>
        </w:rPr>
        <w:t xml:space="preserve"> and Dupont</w:t>
      </w:r>
      <w:r>
        <w:rPr>
          <w:rFonts w:cs="Arial"/>
        </w:rPr>
        <w:t xml:space="preserve"> (</w:t>
      </w:r>
      <w:r w:rsidRPr="00C06299">
        <w:rPr>
          <w:rFonts w:cs="Arial"/>
        </w:rPr>
        <w:t>USFDA</w:t>
      </w:r>
      <w:r w:rsidR="00C06299" w:rsidRPr="00C06299">
        <w:rPr>
          <w:rFonts w:cs="Arial"/>
        </w:rPr>
        <w:t>,</w:t>
      </w:r>
      <w:r w:rsidRPr="00C06299">
        <w:rPr>
          <w:rFonts w:cs="Arial"/>
        </w:rPr>
        <w:t xml:space="preserve"> 2018b</w:t>
      </w:r>
      <w:r>
        <w:rPr>
          <w:rFonts w:cs="Arial"/>
        </w:rPr>
        <w:t>)</w:t>
      </w:r>
      <w:r>
        <w:t xml:space="preserve">. </w:t>
      </w:r>
      <w:r w:rsidR="003039D1">
        <w:t>There are permissions in the US for 2</w:t>
      </w:r>
      <w:r w:rsidR="00FE60E7">
        <w:t>′</w:t>
      </w:r>
      <w:r w:rsidR="003039D1">
        <w:t>-FL to be used alone, or in combination with LNnT.</w:t>
      </w:r>
    </w:p>
    <w:p w14:paraId="04985917" w14:textId="64877EE2" w:rsidR="005663E7" w:rsidRDefault="005663E7" w:rsidP="00E8122F">
      <w:pPr>
        <w:pStyle w:val="Heading5"/>
        <w:widowControl/>
      </w:pPr>
      <w:r>
        <w:lastRenderedPageBreak/>
        <w:t>European Union</w:t>
      </w:r>
    </w:p>
    <w:p w14:paraId="639E80C0" w14:textId="05B714AF" w:rsidR="005663E7" w:rsidRDefault="005663E7" w:rsidP="00E8122F">
      <w:pPr>
        <w:widowControl/>
      </w:pPr>
      <w:r>
        <w:t xml:space="preserve">2′-FL </w:t>
      </w:r>
      <w:r w:rsidR="0095357A">
        <w:t>is</w:t>
      </w:r>
      <w:r>
        <w:t xml:space="preserve"> permitted</w:t>
      </w:r>
      <w:r w:rsidRPr="00E570B3">
        <w:t xml:space="preserve"> </w:t>
      </w:r>
      <w:r>
        <w:t xml:space="preserve">as </w:t>
      </w:r>
      <w:r w:rsidR="0095357A">
        <w:t>a novel food</w:t>
      </w:r>
      <w:r>
        <w:t xml:space="preserve"> in the European Union (EU) for use </w:t>
      </w:r>
      <w:r w:rsidRPr="00C64A22">
        <w:t>in</w:t>
      </w:r>
      <w:r>
        <w:t xml:space="preserve"> a range of general foods (e.g. milk-based products, cereal bars, bread and pasta products) and special purpose foods (</w:t>
      </w:r>
      <w:r w:rsidR="00D9554F" w:rsidRPr="00E672EA">
        <w:t>NFU, 2016</w:t>
      </w:r>
      <w:r>
        <w:t xml:space="preserve">). </w:t>
      </w:r>
      <w:r w:rsidR="00E56B00">
        <w:t>In the EU</w:t>
      </w:r>
      <w:r w:rsidR="003039D1">
        <w:t xml:space="preserve"> permissions also exist for 2</w:t>
      </w:r>
      <w:r w:rsidR="00FE60E7">
        <w:t>′</w:t>
      </w:r>
      <w:r w:rsidR="003039D1">
        <w:t xml:space="preserve">-FL to be used alone, or in combination with LNnT. </w:t>
      </w:r>
      <w:r>
        <w:t>The relevant requirements for infant formula products and milk-based drinks for young children</w:t>
      </w:r>
      <w:r w:rsidRPr="00005CE0">
        <w:rPr>
          <w:rStyle w:val="FootnoteReference"/>
        </w:rPr>
        <w:footnoteReference w:id="10"/>
      </w:r>
      <w:r>
        <w:t xml:space="preserve"> are:</w:t>
      </w:r>
    </w:p>
    <w:p w14:paraId="6397EC79" w14:textId="6FD39957" w:rsidR="005663E7" w:rsidRDefault="005663E7" w:rsidP="00E8122F">
      <w:pPr>
        <w:pStyle w:val="FSBullet1"/>
        <w:numPr>
          <w:ilvl w:val="0"/>
          <w:numId w:val="10"/>
        </w:numPr>
        <w:spacing w:before="120" w:after="120"/>
        <w:ind w:left="567" w:hanging="567"/>
      </w:pPr>
      <w:r w:rsidRPr="001A7C76">
        <w:t>For infant formula and follow-on formula, a maximum level of 1.2 g/L of 2′-FL</w:t>
      </w:r>
      <w:r w:rsidR="0095357A">
        <w:t xml:space="preserve"> </w:t>
      </w:r>
      <w:r w:rsidRPr="00692F48">
        <w:t>in t</w:t>
      </w:r>
      <w:r>
        <w:t>he final ready-to-use product</w:t>
      </w:r>
      <w:r w:rsidR="0095357A">
        <w:t xml:space="preserve"> (less if combined with LNnT)</w:t>
      </w:r>
      <w:r>
        <w:t xml:space="preserve">. </w:t>
      </w:r>
    </w:p>
    <w:p w14:paraId="5657C9C7" w14:textId="622E3F5E" w:rsidR="005663E7" w:rsidRPr="003A772B" w:rsidRDefault="005663E7" w:rsidP="00E8122F">
      <w:pPr>
        <w:pStyle w:val="FSBullet1"/>
        <w:numPr>
          <w:ilvl w:val="0"/>
          <w:numId w:val="10"/>
        </w:numPr>
        <w:spacing w:before="120" w:after="120"/>
        <w:ind w:left="567" w:hanging="567"/>
      </w:pPr>
      <w:r>
        <w:t xml:space="preserve">For milk-based drinks for young children, a maximum of 1.2 g/L of 2′-FL </w:t>
      </w:r>
      <w:r w:rsidRPr="00B35A08">
        <w:t>in the final</w:t>
      </w:r>
      <w:r>
        <w:t xml:space="preserve"> ready-to-use product</w:t>
      </w:r>
      <w:r w:rsidR="0095357A">
        <w:t xml:space="preserve"> (less if combined </w:t>
      </w:r>
      <w:r w:rsidR="00B44C5D">
        <w:t>with</w:t>
      </w:r>
      <w:r w:rsidR="0095357A">
        <w:t xml:space="preserve"> LNnT)</w:t>
      </w:r>
      <w:r>
        <w:t>.</w:t>
      </w:r>
    </w:p>
    <w:p w14:paraId="00E4BFBF" w14:textId="72719740" w:rsidR="005663E7" w:rsidRDefault="005663E7" w:rsidP="00E8122F">
      <w:pPr>
        <w:pStyle w:val="FSBullet1"/>
        <w:numPr>
          <w:ilvl w:val="0"/>
          <w:numId w:val="10"/>
        </w:numPr>
        <w:spacing w:before="120" w:after="120"/>
        <w:ind w:left="567" w:hanging="567"/>
      </w:pPr>
      <w:r w:rsidRPr="00B52AC9">
        <w:t>For foods for special medical purposes</w:t>
      </w:r>
      <w:r>
        <w:t xml:space="preserve"> which</w:t>
      </w:r>
      <w:r w:rsidRPr="00B52AC9">
        <w:t xml:space="preserve"> includes such foods for infants, the maximum level used must be in accordance with the particular nutritional requirements of the persons for </w:t>
      </w:r>
      <w:r w:rsidR="00C5088C">
        <w:t>whom the products are intended.</w:t>
      </w:r>
    </w:p>
    <w:p w14:paraId="629CBDCE" w14:textId="77777777" w:rsidR="005663E7" w:rsidRPr="002909C8" w:rsidRDefault="005663E7" w:rsidP="00E8122F">
      <w:pPr>
        <w:widowControl/>
        <w:rPr>
          <w:lang w:bidi="ar-SA"/>
        </w:rPr>
      </w:pPr>
    </w:p>
    <w:p w14:paraId="322A6340" w14:textId="567DBFC0" w:rsidR="005663E7" w:rsidRPr="00E6254E" w:rsidRDefault="005663E7" w:rsidP="00E8122F">
      <w:pPr>
        <w:pStyle w:val="FSBullet2"/>
        <w:numPr>
          <w:ilvl w:val="0"/>
          <w:numId w:val="0"/>
        </w:numPr>
        <w:rPr>
          <w:rFonts w:cs="Arial"/>
        </w:rPr>
      </w:pPr>
      <w:r w:rsidRPr="00E6254E">
        <w:rPr>
          <w:rFonts w:cs="Arial"/>
        </w:rPr>
        <w:t>Specifications are currently prescribed in the EU for 2′-FL</w:t>
      </w:r>
      <w:r w:rsidR="003039D1">
        <w:rPr>
          <w:rFonts w:cs="Arial"/>
        </w:rPr>
        <w:t xml:space="preserve">, which </w:t>
      </w:r>
      <w:r w:rsidRPr="00E6254E">
        <w:rPr>
          <w:rFonts w:cs="Arial"/>
        </w:rPr>
        <w:t>have recently been modified to be generic based on several equivalence notifications to the EU Commission from manufacturers (</w:t>
      </w:r>
      <w:r w:rsidR="00E1712F">
        <w:rPr>
          <w:rFonts w:cs="Arial"/>
        </w:rPr>
        <w:t xml:space="preserve">EU 2018; MEB 2017a, </w:t>
      </w:r>
      <w:r w:rsidR="00EA417D">
        <w:rPr>
          <w:rFonts w:cs="Arial"/>
        </w:rPr>
        <w:t>2017</w:t>
      </w:r>
      <w:r w:rsidRPr="002964DF">
        <w:rPr>
          <w:rFonts w:cs="Arial"/>
        </w:rPr>
        <w:t>b</w:t>
      </w:r>
      <w:r w:rsidR="00C5088C">
        <w:rPr>
          <w:rFonts w:cs="Arial"/>
        </w:rPr>
        <w:t>).</w:t>
      </w:r>
    </w:p>
    <w:p w14:paraId="1F2E6445" w14:textId="77777777" w:rsidR="005663E7" w:rsidRPr="00E6254E" w:rsidRDefault="005663E7" w:rsidP="00E8122F">
      <w:pPr>
        <w:pStyle w:val="FSBullet2"/>
        <w:numPr>
          <w:ilvl w:val="0"/>
          <w:numId w:val="0"/>
        </w:numPr>
        <w:rPr>
          <w:rFonts w:cs="Arial"/>
        </w:rPr>
      </w:pPr>
    </w:p>
    <w:p w14:paraId="601FF4E1" w14:textId="4A8FE93D" w:rsidR="00694B01" w:rsidRDefault="005663E7" w:rsidP="00E8122F">
      <w:pPr>
        <w:pStyle w:val="FSBullet2"/>
        <w:numPr>
          <w:ilvl w:val="0"/>
          <w:numId w:val="0"/>
        </w:numPr>
        <w:rPr>
          <w:rFonts w:cs="Arial"/>
        </w:rPr>
      </w:pPr>
      <w:r w:rsidRPr="00E6254E">
        <w:rPr>
          <w:rFonts w:cs="Arial"/>
        </w:rPr>
        <w:t>The novel food permissions in Commission Implementing Regulation (EU) 2018/1023</w:t>
      </w:r>
      <w:r w:rsidR="002964DF">
        <w:rPr>
          <w:rFonts w:cs="Arial"/>
        </w:rPr>
        <w:t xml:space="preserve"> (EU, 2018)</w:t>
      </w:r>
      <w:r w:rsidRPr="00E6254E">
        <w:rPr>
          <w:rFonts w:cs="Arial"/>
        </w:rPr>
        <w:t xml:space="preserve"> designates that labelling of the foodstuffs containing 2′-FL need</w:t>
      </w:r>
      <w:r w:rsidR="00E56B00">
        <w:rPr>
          <w:rFonts w:cs="Arial"/>
        </w:rPr>
        <w:t>s</w:t>
      </w:r>
      <w:r w:rsidRPr="00E6254E">
        <w:rPr>
          <w:rFonts w:cs="Arial"/>
        </w:rPr>
        <w:t xml:space="preserve"> to use t</w:t>
      </w:r>
      <w:r w:rsidR="00E56B00">
        <w:rPr>
          <w:rFonts w:cs="Arial"/>
        </w:rPr>
        <w:t>he term ‘2′-fucosyllactose’</w:t>
      </w:r>
      <w:r w:rsidR="00C5088C">
        <w:rPr>
          <w:rFonts w:cs="Arial"/>
        </w:rPr>
        <w:t>.</w:t>
      </w:r>
    </w:p>
    <w:p w14:paraId="6481E0CB" w14:textId="1C187745" w:rsidR="00694B01" w:rsidRDefault="00694B01" w:rsidP="00E8122F">
      <w:pPr>
        <w:pStyle w:val="Heading5"/>
        <w:widowControl/>
      </w:pPr>
      <w:r>
        <w:t>Canada</w:t>
      </w:r>
    </w:p>
    <w:p w14:paraId="1E7DA115" w14:textId="0BCE4180" w:rsidR="00694B01" w:rsidRPr="00694B01" w:rsidRDefault="00694B01" w:rsidP="00E8122F">
      <w:pPr>
        <w:widowControl/>
        <w:rPr>
          <w:lang w:bidi="ar-SA"/>
        </w:rPr>
      </w:pPr>
      <w:r>
        <w:rPr>
          <w:lang w:bidi="ar-SA"/>
        </w:rPr>
        <w:t>Health Canada issued a Letter of No Objection to the use of 2</w:t>
      </w:r>
      <w:r>
        <w:rPr>
          <w:rFonts w:cs="Arial"/>
        </w:rPr>
        <w:t>′</w:t>
      </w:r>
      <w:r>
        <w:rPr>
          <w:lang w:bidi="ar-SA"/>
        </w:rPr>
        <w:t>-FL (see Appendix C to the application) for use in formulas for term infants, and toddler formulas. A maximum concentration of 2 g/L 2</w:t>
      </w:r>
      <w:r>
        <w:rPr>
          <w:rFonts w:cs="Arial"/>
        </w:rPr>
        <w:t>′</w:t>
      </w:r>
      <w:r>
        <w:rPr>
          <w:lang w:bidi="ar-SA"/>
        </w:rPr>
        <w:t>-FL is permitted.</w:t>
      </w:r>
    </w:p>
    <w:p w14:paraId="256DA2A9" w14:textId="3EE007E1" w:rsidR="005663E7" w:rsidRPr="00201E5C" w:rsidRDefault="005663E7" w:rsidP="00E8122F">
      <w:pPr>
        <w:pStyle w:val="Heading5"/>
        <w:widowControl/>
      </w:pPr>
      <w:r w:rsidRPr="00201E5C">
        <w:t>Singapore</w:t>
      </w:r>
    </w:p>
    <w:p w14:paraId="7A05E211" w14:textId="0037F34B" w:rsidR="005663E7" w:rsidRDefault="005D7EED" w:rsidP="00E8122F">
      <w:pPr>
        <w:widowControl/>
      </w:pPr>
      <w:r>
        <w:t>The application states that the</w:t>
      </w:r>
      <w:r w:rsidR="005663E7" w:rsidRPr="00CD2BF0">
        <w:t xml:space="preserve"> Agri-Food </w:t>
      </w:r>
      <w:r w:rsidR="00F8404D">
        <w:t>and</w:t>
      </w:r>
      <w:r w:rsidR="00B44C5D">
        <w:t xml:space="preserve"> </w:t>
      </w:r>
      <w:r w:rsidR="005663E7" w:rsidRPr="00CD2BF0">
        <w:t xml:space="preserve">Veterinary Authority </w:t>
      </w:r>
      <w:r w:rsidR="005663E7">
        <w:t xml:space="preserve">(now known as the Singapore Food Agency) granted permission for the applicant’s </w:t>
      </w:r>
      <w:r w:rsidR="005663E7" w:rsidRPr="00CD2BF0">
        <w:t>2</w:t>
      </w:r>
      <w:r w:rsidR="005663E7">
        <w:t>′</w:t>
      </w:r>
      <w:r w:rsidR="00EA417D">
        <w:t>-FL</w:t>
      </w:r>
      <w:r w:rsidR="005663E7" w:rsidRPr="00CD2BF0">
        <w:t xml:space="preserve"> </w:t>
      </w:r>
      <w:r w:rsidR="005663E7">
        <w:t xml:space="preserve">(up to 1.2 g/L) </w:t>
      </w:r>
      <w:r w:rsidR="005663E7" w:rsidRPr="006C2EF2">
        <w:t xml:space="preserve">in </w:t>
      </w:r>
      <w:r w:rsidR="005663E7">
        <w:t xml:space="preserve">infant formula and </w:t>
      </w:r>
      <w:r>
        <w:t>follow-on formula in 2017</w:t>
      </w:r>
      <w:r w:rsidR="005663E7" w:rsidRPr="006C2EF2">
        <w:t>.</w:t>
      </w:r>
      <w:r>
        <w:t xml:space="preserve"> </w:t>
      </w:r>
      <w:r w:rsidR="00A02AF8">
        <w:t>2</w:t>
      </w:r>
      <w:r w:rsidR="000E2F70">
        <w:rPr>
          <w:rFonts w:cs="Arial"/>
        </w:rPr>
        <w:t>′</w:t>
      </w:r>
      <w:r w:rsidR="00A02AF8">
        <w:t>-FL</w:t>
      </w:r>
      <w:r>
        <w:t xml:space="preserve"> is permitted </w:t>
      </w:r>
      <w:r w:rsidR="00A02AF8">
        <w:t>at an amount not exceeding 1.20 mg</w:t>
      </w:r>
      <w:r w:rsidR="00FE60E7">
        <w:t>/</w:t>
      </w:r>
      <w:r w:rsidR="00A02AF8">
        <w:t>100 mL (as well as in combination with L</w:t>
      </w:r>
      <w:r w:rsidR="00EA417D">
        <w:t>N</w:t>
      </w:r>
      <w:r w:rsidR="00A02AF8">
        <w:t xml:space="preserve">nT) </w:t>
      </w:r>
      <w:r>
        <w:t xml:space="preserve">under </w:t>
      </w:r>
      <w:r w:rsidR="00A02AF8">
        <w:t>the Food R</w:t>
      </w:r>
      <w:r>
        <w:t>egulation 252(6)</w:t>
      </w:r>
      <w:r w:rsidR="00A02AF8">
        <w:t>(g) (SFA 2018).</w:t>
      </w:r>
    </w:p>
    <w:p w14:paraId="4EBE9A9D" w14:textId="77777777" w:rsidR="005663E7" w:rsidRDefault="005663E7" w:rsidP="00E8122F">
      <w:pPr>
        <w:widowControl/>
      </w:pPr>
    </w:p>
    <w:p w14:paraId="40FB0F1B" w14:textId="1B569D99" w:rsidR="000B5C10" w:rsidRDefault="005663E7" w:rsidP="00E8122F">
      <w:pPr>
        <w:widowControl/>
      </w:pPr>
      <w:r>
        <w:t xml:space="preserve">The regulations also include a </w:t>
      </w:r>
      <w:r w:rsidR="00D3629B">
        <w:t>prohibition</w:t>
      </w:r>
      <w:r w:rsidRPr="00E54D36">
        <w:t xml:space="preserve"> on </w:t>
      </w:r>
      <w:r>
        <w:t xml:space="preserve">the use of the terms </w:t>
      </w:r>
      <w:r w:rsidR="00E56B00">
        <w:rPr>
          <w:rFonts w:cs="Arial"/>
        </w:rPr>
        <w:t xml:space="preserve">‘humanised’, ‘maternalised’, </w:t>
      </w:r>
      <w:r w:rsidRPr="00E6254E">
        <w:rPr>
          <w:rFonts w:cs="Arial"/>
        </w:rPr>
        <w:t>or similar term</w:t>
      </w:r>
      <w:r w:rsidR="00D3629B">
        <w:rPr>
          <w:rFonts w:cs="Arial"/>
        </w:rPr>
        <w:t xml:space="preserve">s. There is also a prohibition on </w:t>
      </w:r>
      <w:r w:rsidR="00D3629B">
        <w:t>comparisons of formula</w:t>
      </w:r>
      <w:r w:rsidR="00CA0A75">
        <w:t xml:space="preserve"> to breast</w:t>
      </w:r>
      <w:r>
        <w:t xml:space="preserve">milk. Guidance </w:t>
      </w:r>
      <w:r w:rsidRPr="00E54D36">
        <w:t>document</w:t>
      </w:r>
      <w:r>
        <w:t xml:space="preserve">s for industry </w:t>
      </w:r>
      <w:r w:rsidRPr="00E54D36">
        <w:t xml:space="preserve">on </w:t>
      </w:r>
      <w:r>
        <w:t>labelling provide the following specific examples: “</w:t>
      </w:r>
      <w:r w:rsidRPr="00E54D36">
        <w:t xml:space="preserve">{name of ingredient} sourced/obtained from </w:t>
      </w:r>
      <w:r w:rsidR="00CA0A75">
        <w:t>breast</w:t>
      </w:r>
      <w:r>
        <w:t>milk</w:t>
      </w:r>
      <w:r w:rsidRPr="00E54D36">
        <w:t xml:space="preserve">”, or “{name of ingredient} similar to </w:t>
      </w:r>
      <w:r>
        <w:t>b</w:t>
      </w:r>
      <w:r w:rsidR="00CA0A75">
        <w:t>reast</w:t>
      </w:r>
      <w:r>
        <w:t>milk</w:t>
      </w:r>
      <w:r w:rsidRPr="00E54D36">
        <w:t>”</w:t>
      </w:r>
      <w:r w:rsidR="00C5088C">
        <w:t>.</w:t>
      </w:r>
    </w:p>
    <w:p w14:paraId="7113E1A9" w14:textId="692A33D1" w:rsidR="00E17613" w:rsidRDefault="00E17613" w:rsidP="00E8122F">
      <w:pPr>
        <w:pStyle w:val="Heading5"/>
        <w:widowControl/>
        <w:ind w:left="0" w:firstLine="0"/>
      </w:pPr>
      <w:r w:rsidRPr="00E17613">
        <w:t>The Philippines</w:t>
      </w:r>
    </w:p>
    <w:p w14:paraId="22EB2348" w14:textId="24D068C7" w:rsidR="00E36BAB" w:rsidRDefault="00E36BAB" w:rsidP="00E8122F">
      <w:pPr>
        <w:widowControl/>
        <w:rPr>
          <w:lang w:bidi="ar-SA"/>
        </w:rPr>
      </w:pPr>
      <w:r>
        <w:rPr>
          <w:lang w:bidi="ar-SA"/>
        </w:rPr>
        <w:t>The application states 2’-FL was permitted by the Food and Drug Administration of the</w:t>
      </w:r>
    </w:p>
    <w:p w14:paraId="1312CA25" w14:textId="45E9EC55" w:rsidR="00E17613" w:rsidRPr="00E17613" w:rsidRDefault="00E36BAB" w:rsidP="00E8122F">
      <w:pPr>
        <w:widowControl/>
        <w:rPr>
          <w:lang w:bidi="ar-SA"/>
        </w:rPr>
      </w:pPr>
      <w:r>
        <w:rPr>
          <w:lang w:bidi="ar-SA"/>
        </w:rPr>
        <w:t>Philippines in May 2017 for use up to 1.2 g/L in infant formula and ‘toddler milks’.</w:t>
      </w:r>
    </w:p>
    <w:p w14:paraId="65B0F707" w14:textId="64000D87" w:rsidR="000B5C10" w:rsidRPr="00201E5C" w:rsidRDefault="000B5C10" w:rsidP="00E8122F">
      <w:pPr>
        <w:pStyle w:val="Heading5"/>
        <w:widowControl/>
        <w:ind w:left="0" w:firstLine="0"/>
      </w:pPr>
      <w:r>
        <w:lastRenderedPageBreak/>
        <w:t>Is</w:t>
      </w:r>
      <w:r w:rsidRPr="00201E5C">
        <w:t xml:space="preserve">rael </w:t>
      </w:r>
    </w:p>
    <w:p w14:paraId="33A49911" w14:textId="7B56D737" w:rsidR="000B5C10" w:rsidRPr="00E54D36" w:rsidRDefault="000B5C10" w:rsidP="00E8122F">
      <w:pPr>
        <w:widowControl/>
      </w:pPr>
      <w:bookmarkStart w:id="43" w:name="_Toc11247896"/>
      <w:r>
        <w:t xml:space="preserve">The applicant’s </w:t>
      </w:r>
      <w:r w:rsidRPr="00CD2BF0">
        <w:t>2</w:t>
      </w:r>
      <w:r>
        <w:t>′</w:t>
      </w:r>
      <w:r w:rsidRPr="00CD2BF0">
        <w:t xml:space="preserve">-FL </w:t>
      </w:r>
      <w:r>
        <w:t xml:space="preserve">is permitted for use in milk-based infant food compounds (infant formula) at a maximum concentration of 2 g/L in the final ready-to-use product. 2′-FL is permitted in baby food and hypoallergenic infant and toddler follow-up compounds at a maximum concentration of 1.2 g/L in the final ready-to-use product. 2′-FL is also permitted in combination with </w:t>
      </w:r>
      <w:bookmarkEnd w:id="43"/>
      <w:r>
        <w:t xml:space="preserve">LNnT at reduced levels. </w:t>
      </w:r>
    </w:p>
    <w:p w14:paraId="2671E58C" w14:textId="0FD80598" w:rsidR="00451926" w:rsidRDefault="00F24E39" w:rsidP="00E8122F">
      <w:pPr>
        <w:pStyle w:val="Heading4"/>
        <w:widowControl/>
      </w:pPr>
      <w:r>
        <w:t>1.3.2.7</w:t>
      </w:r>
      <w:r>
        <w:tab/>
      </w:r>
      <w:r w:rsidR="00451926">
        <w:t>Other c</w:t>
      </w:r>
      <w:r>
        <w:t>ountries</w:t>
      </w:r>
    </w:p>
    <w:p w14:paraId="77AE13BD" w14:textId="349E56C0" w:rsidR="000B5C10" w:rsidRDefault="000B5C10" w:rsidP="00E8122F">
      <w:pPr>
        <w:widowControl/>
      </w:pPr>
      <w:r>
        <w:t>The applica</w:t>
      </w:r>
      <w:r w:rsidR="00DA4B28">
        <w:t>tion</w:t>
      </w:r>
      <w:r>
        <w:t xml:space="preserve"> </w:t>
      </w:r>
      <w:r w:rsidR="00E36BAB">
        <w:t>indicate</w:t>
      </w:r>
      <w:r w:rsidR="00DA4B28">
        <w:t>s</w:t>
      </w:r>
      <w:r w:rsidR="00E36BAB">
        <w:t xml:space="preserve"> they </w:t>
      </w:r>
      <w:r w:rsidR="00341C8F">
        <w:t xml:space="preserve">market </w:t>
      </w:r>
      <w:r w:rsidRPr="000B5C10">
        <w:t xml:space="preserve">2′-FL </w:t>
      </w:r>
      <w:r w:rsidR="00341C8F">
        <w:t>in</w:t>
      </w:r>
      <w:r>
        <w:t xml:space="preserve"> IFP and FSFYC equivalent products </w:t>
      </w:r>
      <w:r w:rsidR="00341C8F">
        <w:t xml:space="preserve">in several countries </w:t>
      </w:r>
      <w:r>
        <w:t>at a range of 1.</w:t>
      </w:r>
      <w:r w:rsidR="00DA4B28">
        <w:t>0</w:t>
      </w:r>
      <w:r>
        <w:t xml:space="preserve"> – 2.0 g/L</w:t>
      </w:r>
      <w:r w:rsidR="00341C8F">
        <w:rPr>
          <w:rStyle w:val="FootnoteReference"/>
        </w:rPr>
        <w:footnoteReference w:id="11"/>
      </w:r>
      <w:r w:rsidR="00341C8F">
        <w:t>.</w:t>
      </w:r>
    </w:p>
    <w:p w14:paraId="6E893A90" w14:textId="522EA51C" w:rsidR="00AF387F" w:rsidRPr="000B6AF2" w:rsidRDefault="00F33BB8" w:rsidP="00E8122F">
      <w:pPr>
        <w:pStyle w:val="Heading2"/>
        <w:widowControl/>
        <w:rPr>
          <w:u w:color="FFFF00"/>
        </w:rPr>
      </w:pPr>
      <w:bookmarkStart w:id="44" w:name="_Toc286391007"/>
      <w:bookmarkStart w:id="45" w:name="_Toc300933423"/>
      <w:bookmarkStart w:id="46" w:name="_Toc73104821"/>
      <w:bookmarkStart w:id="47" w:name="_Toc77338768"/>
      <w:bookmarkStart w:id="48" w:name="_Toc175381432"/>
      <w:r>
        <w:rPr>
          <w:u w:color="FFFF00"/>
        </w:rPr>
        <w:t>1</w:t>
      </w:r>
      <w:r w:rsidR="00606C88">
        <w:rPr>
          <w:u w:color="FFFF00"/>
        </w:rPr>
        <w:t>.4</w:t>
      </w:r>
      <w:r w:rsidR="001542D8">
        <w:rPr>
          <w:u w:color="FFFF00"/>
        </w:rPr>
        <w:tab/>
      </w:r>
      <w:r w:rsidR="00741EFE" w:rsidRPr="00C74D25">
        <w:rPr>
          <w:u w:color="FFFF00"/>
        </w:rPr>
        <w:t>Reasons for accepting A</w:t>
      </w:r>
      <w:r w:rsidR="00AF387F" w:rsidRPr="00C74D25">
        <w:rPr>
          <w:u w:color="FFFF00"/>
        </w:rPr>
        <w:t>pplication</w:t>
      </w:r>
      <w:bookmarkEnd w:id="44"/>
      <w:bookmarkEnd w:id="45"/>
      <w:bookmarkEnd w:id="46"/>
      <w:bookmarkEnd w:id="47"/>
    </w:p>
    <w:p w14:paraId="21988B3E" w14:textId="77777777" w:rsidR="00180C41" w:rsidRPr="00C74D25" w:rsidRDefault="00180C41" w:rsidP="00E8122F">
      <w:pPr>
        <w:widowControl/>
      </w:pPr>
      <w:bookmarkStart w:id="49" w:name="_Toc286391008"/>
      <w:bookmarkStart w:id="50" w:name="_Toc11735630"/>
      <w:bookmarkStart w:id="51" w:name="_Toc29883114"/>
      <w:bookmarkStart w:id="52" w:name="_Toc41906801"/>
      <w:bookmarkStart w:id="53" w:name="_Toc41907548"/>
      <w:bookmarkStart w:id="54" w:name="_Toc120358578"/>
      <w:bookmarkStart w:id="55" w:name="_Toc175381435"/>
      <w:bookmarkEnd w:id="5"/>
      <w:bookmarkEnd w:id="6"/>
      <w:bookmarkEnd w:id="7"/>
      <w:bookmarkEnd w:id="8"/>
      <w:bookmarkEnd w:id="9"/>
      <w:bookmarkEnd w:id="48"/>
      <w:r w:rsidRPr="00C74D25">
        <w:t xml:space="preserve">The Application was accepted for assessment </w:t>
      </w:r>
      <w:r w:rsidR="00741EFE" w:rsidRPr="00C74D25">
        <w:t>because</w:t>
      </w:r>
      <w:r w:rsidRPr="00C74D25">
        <w:t>:</w:t>
      </w:r>
    </w:p>
    <w:p w14:paraId="742296C6" w14:textId="77777777" w:rsidR="00180C41" w:rsidRPr="00C74D25" w:rsidRDefault="00180C41" w:rsidP="00E8122F">
      <w:pPr>
        <w:widowControl/>
      </w:pPr>
    </w:p>
    <w:p w14:paraId="6DFF0E2E" w14:textId="1B6F72B0" w:rsidR="00180C41" w:rsidRPr="00C74D25" w:rsidRDefault="000B5C10" w:rsidP="00E8122F">
      <w:pPr>
        <w:pStyle w:val="ListParagraph"/>
        <w:widowControl/>
        <w:numPr>
          <w:ilvl w:val="0"/>
          <w:numId w:val="13"/>
        </w:numPr>
      </w:pPr>
      <w:r>
        <w:t>I</w:t>
      </w:r>
      <w:r w:rsidR="00741EFE" w:rsidRPr="00C74D25">
        <w:t>t complied</w:t>
      </w:r>
      <w:r w:rsidR="00180C41" w:rsidRPr="00C74D25">
        <w:t xml:space="preserve"> with the procedural requirements under s</w:t>
      </w:r>
      <w:r w:rsidR="00944BA4" w:rsidRPr="00C74D25">
        <w:t>ubsection</w:t>
      </w:r>
      <w:r w:rsidR="00180C41" w:rsidRPr="00C74D25">
        <w:t xml:space="preserve"> 22(2)</w:t>
      </w:r>
    </w:p>
    <w:p w14:paraId="0213322C" w14:textId="321DBFCA" w:rsidR="00180C41" w:rsidRPr="00380106" w:rsidRDefault="000B5C10" w:rsidP="00E8122F">
      <w:pPr>
        <w:pStyle w:val="ListParagraph"/>
        <w:widowControl/>
        <w:numPr>
          <w:ilvl w:val="0"/>
          <w:numId w:val="13"/>
        </w:numPr>
      </w:pPr>
      <w:r>
        <w:t>I</w:t>
      </w:r>
      <w:r w:rsidR="00C74D25" w:rsidRPr="00C74D25">
        <w:t xml:space="preserve">t related to a matter that </w:t>
      </w:r>
      <w:r w:rsidR="00741EFE" w:rsidRPr="00C74D25">
        <w:t xml:space="preserve">warranted </w:t>
      </w:r>
      <w:r w:rsidR="00180C41" w:rsidRPr="00C74D25">
        <w:t>the variati</w:t>
      </w:r>
      <w:r w:rsidR="00C74D25" w:rsidRPr="00C74D25">
        <w:t>on of a food regulatory measure</w:t>
      </w:r>
      <w:r w:rsidR="00894AC3">
        <w:t>.</w:t>
      </w:r>
    </w:p>
    <w:p w14:paraId="0093F1A4" w14:textId="77777777" w:rsidR="00DE79D9" w:rsidRDefault="00D3171B" w:rsidP="00E8122F">
      <w:pPr>
        <w:pStyle w:val="Heading2"/>
        <w:widowControl/>
      </w:pPr>
      <w:bookmarkStart w:id="56" w:name="_Toc73104822"/>
      <w:bookmarkStart w:id="57" w:name="_Toc77338769"/>
      <w:r>
        <w:t>1</w:t>
      </w:r>
      <w:r w:rsidR="00606C88">
        <w:t>.5</w:t>
      </w:r>
      <w:r w:rsidR="00DE79D9">
        <w:tab/>
        <w:t>Procedure for assessment</w:t>
      </w:r>
      <w:bookmarkEnd w:id="56"/>
      <w:bookmarkEnd w:id="57"/>
    </w:p>
    <w:p w14:paraId="46A9C2E5" w14:textId="4C3D4095" w:rsidR="00DE79D9" w:rsidRDefault="00DE79D9" w:rsidP="00E8122F">
      <w:pPr>
        <w:widowControl/>
      </w:pPr>
      <w:r w:rsidRPr="00855CA8">
        <w:t>The Application is being assessed under the General</w:t>
      </w:r>
      <w:r w:rsidR="00855CA8" w:rsidRPr="00855CA8">
        <w:t xml:space="preserve"> </w:t>
      </w:r>
      <w:r w:rsidRPr="00855CA8">
        <w:t>Procedure</w:t>
      </w:r>
      <w:r w:rsidRPr="00932F14">
        <w:t>.</w:t>
      </w:r>
    </w:p>
    <w:p w14:paraId="79A6AC5F" w14:textId="77777777" w:rsidR="00DE79D9" w:rsidRPr="00D062E4" w:rsidRDefault="00DE79D9" w:rsidP="00E8122F">
      <w:pPr>
        <w:widowControl/>
      </w:pPr>
    </w:p>
    <w:p w14:paraId="11CB521E" w14:textId="5C8F8A25" w:rsidR="00446538" w:rsidRDefault="00D3171B" w:rsidP="00E8122F">
      <w:pPr>
        <w:pStyle w:val="Heading1"/>
        <w:widowControl/>
      </w:pPr>
      <w:bookmarkStart w:id="58" w:name="_Toc300933424"/>
      <w:bookmarkStart w:id="59" w:name="_Toc73104823"/>
      <w:bookmarkStart w:id="60" w:name="_Toc77338770"/>
      <w:r>
        <w:t>2</w:t>
      </w:r>
      <w:bookmarkStart w:id="61" w:name="_Toc286391009"/>
      <w:bookmarkStart w:id="62" w:name="_Toc300933425"/>
      <w:bookmarkStart w:id="63" w:name="_Toc120358583"/>
      <w:bookmarkStart w:id="64" w:name="_Toc175381440"/>
      <w:bookmarkEnd w:id="49"/>
      <w:bookmarkEnd w:id="58"/>
      <w:r w:rsidR="00271F00">
        <w:tab/>
      </w:r>
      <w:r w:rsidR="004F69F6" w:rsidRPr="00932F14">
        <w:t xml:space="preserve">Risk </w:t>
      </w:r>
      <w:r w:rsidR="002A59D0">
        <w:t xml:space="preserve">and safety </w:t>
      </w:r>
      <w:r w:rsidR="00741EFE">
        <w:t>a</w:t>
      </w:r>
      <w:r w:rsidR="004F69F6" w:rsidRPr="00932F14">
        <w:t>ssessment</w:t>
      </w:r>
      <w:bookmarkEnd w:id="59"/>
      <w:bookmarkEnd w:id="60"/>
      <w:bookmarkEnd w:id="61"/>
      <w:bookmarkEnd w:id="62"/>
      <w:r w:rsidR="004F69F6" w:rsidRPr="00932F14">
        <w:t xml:space="preserve"> </w:t>
      </w:r>
      <w:bookmarkEnd w:id="63"/>
      <w:bookmarkEnd w:id="64"/>
    </w:p>
    <w:p w14:paraId="1A9887F8" w14:textId="2BBB5198" w:rsidR="00686B48" w:rsidRDefault="00686B48" w:rsidP="00E8122F">
      <w:pPr>
        <w:widowControl/>
      </w:pPr>
      <w:r>
        <w:t xml:space="preserve">The ingredient </w:t>
      </w:r>
      <w:r w:rsidR="002A59D0">
        <w:t xml:space="preserve">under assessment </w:t>
      </w:r>
      <w:r w:rsidR="00344DC7">
        <w:t xml:space="preserve">is an oligosaccharide </w:t>
      </w:r>
      <w:r w:rsidR="008019EA" w:rsidRPr="004777D4">
        <w:t>2</w:t>
      </w:r>
      <w:r w:rsidR="008019EA" w:rsidRPr="004777D4">
        <w:rPr>
          <w:rFonts w:cs="Arial"/>
        </w:rPr>
        <w:t>′</w:t>
      </w:r>
      <w:r w:rsidR="008019EA" w:rsidRPr="004777D4">
        <w:t>-</w:t>
      </w:r>
      <w:r w:rsidRPr="004777D4" w:rsidDel="008019EA">
        <w:t>fucosyllactose</w:t>
      </w:r>
      <w:r w:rsidR="00582642">
        <w:rPr>
          <w:rStyle w:val="FootnoteReference"/>
        </w:rPr>
        <w:footnoteReference w:id="12"/>
      </w:r>
      <w:r w:rsidRPr="004777D4">
        <w:t xml:space="preserve"> (2′-FL)</w:t>
      </w:r>
      <w:r>
        <w:t xml:space="preserve">, commonly found in human milk. There is already a permission in the Code to add </w:t>
      </w:r>
      <w:r w:rsidRPr="004777D4">
        <w:t>2′-FL</w:t>
      </w:r>
      <w:r>
        <w:t xml:space="preserve"> </w:t>
      </w:r>
      <w:r w:rsidR="0025036D">
        <w:t>derived</w:t>
      </w:r>
      <w:r w:rsidR="0030376E" w:rsidRPr="0030376E">
        <w:t xml:space="preserve"> from </w:t>
      </w:r>
      <w:r w:rsidR="0030376E" w:rsidRPr="00F5753C">
        <w:rPr>
          <w:i/>
        </w:rPr>
        <w:t>E. coli</w:t>
      </w:r>
      <w:r w:rsidR="0030376E" w:rsidRPr="0030376E">
        <w:t xml:space="preserve"> K-12</w:t>
      </w:r>
      <w:r w:rsidR="0030376E">
        <w:t xml:space="preserve"> </w:t>
      </w:r>
      <w:r>
        <w:t xml:space="preserve">to </w:t>
      </w:r>
      <w:r w:rsidR="00EA417D">
        <w:t>IFP</w:t>
      </w:r>
      <w:r>
        <w:t xml:space="preserve"> to a maximum level of 96 mg/100 kJ or 2.4 g/L. The applicant for A1190 is proposing the addition of 2</w:t>
      </w:r>
      <w:r w:rsidR="00E8333E">
        <w:t xml:space="preserve"> </w:t>
      </w:r>
      <w:r>
        <w:t xml:space="preserve">g/L. While </w:t>
      </w:r>
      <w:r w:rsidR="00527AAB">
        <w:t xml:space="preserve">a </w:t>
      </w:r>
      <w:r>
        <w:t xml:space="preserve">permission </w:t>
      </w:r>
      <w:r w:rsidR="00527AAB">
        <w:t xml:space="preserve">for </w:t>
      </w:r>
      <w:r w:rsidR="00527AAB" w:rsidRPr="004777D4">
        <w:t>2′-FL</w:t>
      </w:r>
      <w:r w:rsidR="00527AAB">
        <w:t xml:space="preserve"> </w:t>
      </w:r>
      <w:r>
        <w:t xml:space="preserve">exists in the Code, the source and specifications of this particular </w:t>
      </w:r>
      <w:r w:rsidRPr="004777D4">
        <w:t>2′-FL</w:t>
      </w:r>
      <w:r>
        <w:t xml:space="preserve"> is different and thus requires a pre-market assessment.</w:t>
      </w:r>
    </w:p>
    <w:p w14:paraId="68A4EDBD" w14:textId="77777777" w:rsidR="00686B48" w:rsidRDefault="00686B48" w:rsidP="00E8122F">
      <w:pPr>
        <w:widowControl/>
      </w:pPr>
    </w:p>
    <w:p w14:paraId="1A4168CB" w14:textId="3902140A" w:rsidR="00686B48" w:rsidRDefault="00686B48" w:rsidP="00E8122F">
      <w:pPr>
        <w:widowControl/>
      </w:pPr>
      <w:r w:rsidRPr="004777D4">
        <w:t>2′-FL</w:t>
      </w:r>
      <w:r>
        <w:t xml:space="preserve"> is manufactured by fermentation, using a unique genetically modified bacterium. A </w:t>
      </w:r>
      <w:r w:rsidRPr="00565D3D">
        <w:rPr>
          <w:b/>
          <w:i/>
        </w:rPr>
        <w:t>microbiological assessment</w:t>
      </w:r>
      <w:r>
        <w:t xml:space="preserve"> concluded </w:t>
      </w:r>
      <w:r w:rsidR="00D13E79">
        <w:t xml:space="preserve">that </w:t>
      </w:r>
      <w:r>
        <w:t>the host strain has a recognised safe history</w:t>
      </w:r>
      <w:r w:rsidR="00344DC7">
        <w:t xml:space="preserve"> of use</w:t>
      </w:r>
      <w:r>
        <w:t xml:space="preserve">. It is derived from </w:t>
      </w:r>
      <w:r w:rsidRPr="004777D4">
        <w:rPr>
          <w:i/>
        </w:rPr>
        <w:t>E</w:t>
      </w:r>
      <w:r w:rsidR="00344DC7">
        <w:rPr>
          <w:i/>
        </w:rPr>
        <w:t>.</w:t>
      </w:r>
      <w:r w:rsidRPr="004777D4">
        <w:rPr>
          <w:i/>
        </w:rPr>
        <w:t xml:space="preserve"> coli</w:t>
      </w:r>
      <w:r w:rsidRPr="004777D4">
        <w:t xml:space="preserve"> BL21</w:t>
      </w:r>
      <w:r w:rsidR="005E5132">
        <w:t>, which</w:t>
      </w:r>
      <w:r w:rsidR="00CD496D">
        <w:t xml:space="preserve"> </w:t>
      </w:r>
      <w:r>
        <w:t xml:space="preserve">is commonly used for large-scale production of industrial compounds and human therapeutics. It is also neither pathogenic nor toxigenic. A </w:t>
      </w:r>
      <w:r w:rsidRPr="00565D3D">
        <w:rPr>
          <w:b/>
          <w:i/>
        </w:rPr>
        <w:t>biotechnology assessment</w:t>
      </w:r>
      <w:r>
        <w:t xml:space="preserve"> found the production strains were as stated </w:t>
      </w:r>
      <w:r w:rsidR="00F477E3">
        <w:t xml:space="preserve">by the applicant </w:t>
      </w:r>
      <w:r>
        <w:t>and are safe.</w:t>
      </w:r>
    </w:p>
    <w:p w14:paraId="5A5DF442" w14:textId="77777777" w:rsidR="00686B48" w:rsidRDefault="00686B48" w:rsidP="00E8122F">
      <w:pPr>
        <w:widowControl/>
      </w:pPr>
    </w:p>
    <w:p w14:paraId="617070E0" w14:textId="77777777" w:rsidR="00686B48" w:rsidRDefault="00686B48" w:rsidP="00E8122F">
      <w:pPr>
        <w:widowControl/>
      </w:pPr>
      <w:r>
        <w:t xml:space="preserve">A </w:t>
      </w:r>
      <w:r w:rsidRPr="00565D3D">
        <w:rPr>
          <w:b/>
          <w:i/>
        </w:rPr>
        <w:t>biochemical assessment</w:t>
      </w:r>
      <w:r>
        <w:t xml:space="preserve"> determined the </w:t>
      </w:r>
      <w:r w:rsidRPr="00990C8B">
        <w:t>2′-FL</w:t>
      </w:r>
      <w:r>
        <w:t xml:space="preserve"> sourced from the microbial fermentation was shown to be</w:t>
      </w:r>
      <w:r w:rsidRPr="00990C8B">
        <w:t xml:space="preserve"> chemically and structurally identical to the naturally occurring 2′-FL in human milk. </w:t>
      </w:r>
      <w:r>
        <w:t>The final product was shown to be free of fermentation-derived contaminants. The purity and other constituents of the final product have been identified and listed in the specification for the product</w:t>
      </w:r>
      <w:r w:rsidRPr="00990C8B">
        <w:t>. The shelf-life and specifications are appropriate for addition to IFP and FSFYC.</w:t>
      </w:r>
    </w:p>
    <w:p w14:paraId="31A7269B" w14:textId="77777777" w:rsidR="00686B48" w:rsidRDefault="00686B48" w:rsidP="00E8122F">
      <w:pPr>
        <w:widowControl/>
      </w:pPr>
    </w:p>
    <w:p w14:paraId="7480CAFE" w14:textId="72DF5470" w:rsidR="00686B48" w:rsidRPr="00115952" w:rsidRDefault="00686B48" w:rsidP="00E8122F">
      <w:pPr>
        <w:widowControl/>
      </w:pPr>
      <w:r>
        <w:lastRenderedPageBreak/>
        <w:t xml:space="preserve">A </w:t>
      </w:r>
      <w:r w:rsidRPr="00565D3D">
        <w:rPr>
          <w:b/>
          <w:i/>
        </w:rPr>
        <w:t xml:space="preserve">dietary </w:t>
      </w:r>
      <w:r w:rsidRPr="00565D3D">
        <w:rPr>
          <w:b/>
          <w:bCs/>
          <w:i/>
        </w:rPr>
        <w:t>intake assessment</w:t>
      </w:r>
      <w:r>
        <w:rPr>
          <w:bCs/>
        </w:rPr>
        <w:t xml:space="preserve"> determined</w:t>
      </w:r>
      <w:r w:rsidRPr="00F61AA4">
        <w:rPr>
          <w:bCs/>
        </w:rPr>
        <w:t xml:space="preserve"> </w:t>
      </w:r>
      <w:r>
        <w:rPr>
          <w:bCs/>
        </w:rPr>
        <w:t>the</w:t>
      </w:r>
      <w:r w:rsidR="003805E3">
        <w:rPr>
          <w:bCs/>
        </w:rPr>
        <w:t xml:space="preserve"> requested</w:t>
      </w:r>
      <w:r>
        <w:rPr>
          <w:bCs/>
        </w:rPr>
        <w:t xml:space="preserve"> level</w:t>
      </w:r>
      <w:r w:rsidR="003805E3">
        <w:rPr>
          <w:bCs/>
        </w:rPr>
        <w:t xml:space="preserve"> of</w:t>
      </w:r>
      <w:r>
        <w:rPr>
          <w:bCs/>
        </w:rPr>
        <w:t xml:space="preserve"> </w:t>
      </w:r>
      <w:r w:rsidRPr="00F61AA4">
        <w:rPr>
          <w:bCs/>
        </w:rPr>
        <w:t>2′-FL</w:t>
      </w:r>
      <w:r>
        <w:rPr>
          <w:bCs/>
        </w:rPr>
        <w:t xml:space="preserve"> </w:t>
      </w:r>
      <w:r>
        <w:t xml:space="preserve">is within the normal </w:t>
      </w:r>
      <w:r w:rsidRPr="00C47EC9">
        <w:t xml:space="preserve">range </w:t>
      </w:r>
      <w:r>
        <w:t xml:space="preserve">of </w:t>
      </w:r>
      <w:r w:rsidRPr="00F61AA4">
        <w:rPr>
          <w:bCs/>
        </w:rPr>
        <w:t>2′-FL</w:t>
      </w:r>
      <w:r>
        <w:rPr>
          <w:bCs/>
        </w:rPr>
        <w:t xml:space="preserve"> reported</w:t>
      </w:r>
      <w:r w:rsidRPr="00F61AA4">
        <w:rPr>
          <w:bCs/>
        </w:rPr>
        <w:t xml:space="preserve"> </w:t>
      </w:r>
      <w:r>
        <w:rPr>
          <w:bCs/>
        </w:rPr>
        <w:t>in human milk (</w:t>
      </w:r>
      <w:r w:rsidRPr="00C47EC9">
        <w:t>0</w:t>
      </w:r>
      <w:r>
        <w:t>.6</w:t>
      </w:r>
      <w:r w:rsidRPr="00C47EC9">
        <w:rPr>
          <w:lang w:val="en-AU"/>
        </w:rPr>
        <w:t xml:space="preserve"> – 7.8 g/L</w:t>
      </w:r>
      <w:r>
        <w:rPr>
          <w:lang w:val="en-AU"/>
        </w:rPr>
        <w:t>).</w:t>
      </w:r>
      <w:r w:rsidRPr="00F61AA4">
        <w:t xml:space="preserve"> </w:t>
      </w:r>
      <w:r>
        <w:t>This range is found in</w:t>
      </w:r>
      <w:r w:rsidR="00931901">
        <w:t xml:space="preserve"> the</w:t>
      </w:r>
      <w:r>
        <w:t xml:space="preserve"> 70-80% </w:t>
      </w:r>
      <w:r w:rsidR="003805E3">
        <w:t xml:space="preserve">of </w:t>
      </w:r>
      <w:r>
        <w:t xml:space="preserve">women who have the ability to make </w:t>
      </w:r>
      <w:r w:rsidRPr="00F61AA4">
        <w:rPr>
          <w:bCs/>
        </w:rPr>
        <w:t>2′-FL</w:t>
      </w:r>
      <w:r>
        <w:rPr>
          <w:bCs/>
        </w:rPr>
        <w:t xml:space="preserve">. The </w:t>
      </w:r>
      <w:r>
        <w:t>e</w:t>
      </w:r>
      <w:r w:rsidRPr="00C47EC9">
        <w:t>stimate</w:t>
      </w:r>
      <w:r>
        <w:t>d</w:t>
      </w:r>
      <w:r w:rsidRPr="00C47EC9">
        <w:t xml:space="preserve"> dietary intakes of </w:t>
      </w:r>
      <w:r w:rsidRPr="00C47EC9">
        <w:rPr>
          <w:lang w:val="en-AU"/>
        </w:rPr>
        <w:t>2′-FL</w:t>
      </w:r>
      <w:r w:rsidRPr="00C47EC9">
        <w:t xml:space="preserve"> for infants up to 12 months ranged between 0.1</w:t>
      </w:r>
      <w:r>
        <w:rPr>
          <w:lang w:val="en-AU"/>
        </w:rPr>
        <w:t xml:space="preserve"> – </w:t>
      </w:r>
      <w:r w:rsidRPr="00C47EC9">
        <w:t>0.33 g/kg bw/day at the mean and 0.2</w:t>
      </w:r>
      <w:r>
        <w:rPr>
          <w:lang w:val="en-AU"/>
        </w:rPr>
        <w:t xml:space="preserve"> – </w:t>
      </w:r>
      <w:r w:rsidRPr="00C47EC9">
        <w:t>0.66 g/kg bw/day at the 90</w:t>
      </w:r>
      <w:r w:rsidRPr="00C47EC9">
        <w:rPr>
          <w:vertAlign w:val="superscript"/>
        </w:rPr>
        <w:t>th</w:t>
      </w:r>
      <w:r w:rsidRPr="00C47EC9">
        <w:t xml:space="preserve"> percentile, and for children 2-3 years from 0.077</w:t>
      </w:r>
      <w:r>
        <w:rPr>
          <w:lang w:val="en-AU"/>
        </w:rPr>
        <w:t xml:space="preserve"> – </w:t>
      </w:r>
      <w:r w:rsidRPr="00C47EC9">
        <w:t>0.15 g/kg bw/day at the mean and 0.15</w:t>
      </w:r>
      <w:r>
        <w:rPr>
          <w:lang w:val="en-AU"/>
        </w:rPr>
        <w:t xml:space="preserve"> – </w:t>
      </w:r>
      <w:r w:rsidRPr="00C47EC9">
        <w:t xml:space="preserve">0.31 </w:t>
      </w:r>
      <w:r w:rsidR="00CA2669" w:rsidRPr="00C47EC9">
        <w:t>g/kg bw/day</w:t>
      </w:r>
      <w:r w:rsidRPr="00C47EC9">
        <w:t xml:space="preserve"> at the 90</w:t>
      </w:r>
      <w:r w:rsidRPr="00C47EC9">
        <w:rPr>
          <w:vertAlign w:val="superscript"/>
        </w:rPr>
        <w:t>th</w:t>
      </w:r>
      <w:r w:rsidRPr="00C47EC9">
        <w:t xml:space="preserve"> percentile.</w:t>
      </w:r>
    </w:p>
    <w:p w14:paraId="0BF86571" w14:textId="77777777" w:rsidR="00686B48" w:rsidRDefault="00686B48" w:rsidP="00E8122F">
      <w:pPr>
        <w:widowControl/>
      </w:pPr>
    </w:p>
    <w:p w14:paraId="19702514" w14:textId="77777777" w:rsidR="004E63D0" w:rsidRDefault="00FE5FD5" w:rsidP="00E8122F">
      <w:pPr>
        <w:widowControl/>
      </w:pPr>
      <w:r>
        <w:rPr>
          <w:lang w:val="en-AU"/>
        </w:rPr>
        <w:t xml:space="preserve">FSANZ’s previous </w:t>
      </w:r>
      <w:r w:rsidR="00686B48" w:rsidRPr="00565D3D">
        <w:rPr>
          <w:b/>
          <w:i/>
          <w:lang w:val="en-AU"/>
        </w:rPr>
        <w:t>toxicological</w:t>
      </w:r>
      <w:r w:rsidR="004E63D0">
        <w:rPr>
          <w:b/>
          <w:i/>
          <w:lang w:val="en-AU"/>
        </w:rPr>
        <w:t xml:space="preserve"> assessment</w:t>
      </w:r>
      <w:r w:rsidR="004E63D0" w:rsidRPr="004E63D0">
        <w:rPr>
          <w:lang w:val="en-AU"/>
        </w:rPr>
        <w:t xml:space="preserve"> of</w:t>
      </w:r>
      <w:r w:rsidR="00686B48" w:rsidRPr="00990C8B">
        <w:rPr>
          <w:lang w:val="en-AU"/>
        </w:rPr>
        <w:t xml:space="preserve"> </w:t>
      </w:r>
      <w:r w:rsidR="00686B48">
        <w:rPr>
          <w:lang w:val="en-AU"/>
        </w:rPr>
        <w:t>2′-FL concluded</w:t>
      </w:r>
      <w:r w:rsidR="00686B48" w:rsidRPr="00990C8B">
        <w:rPr>
          <w:lang w:val="en-AU"/>
        </w:rPr>
        <w:t xml:space="preserve"> there are</w:t>
      </w:r>
      <w:r w:rsidR="00686B48">
        <w:rPr>
          <w:lang w:val="en-AU"/>
        </w:rPr>
        <w:t xml:space="preserve"> no </w:t>
      </w:r>
      <w:r w:rsidR="00686B48" w:rsidRPr="00990C8B">
        <w:rPr>
          <w:lang w:val="en-AU"/>
        </w:rPr>
        <w:t xml:space="preserve">safety concerns associated with </w:t>
      </w:r>
      <w:r w:rsidR="00686B48" w:rsidRPr="00990C8B">
        <w:rPr>
          <w:rFonts w:cs="Arial"/>
        </w:rPr>
        <w:t xml:space="preserve">the addition of 2′-FL </w:t>
      </w:r>
      <w:r w:rsidR="00686B48" w:rsidRPr="00990C8B">
        <w:rPr>
          <w:lang w:val="en-AU"/>
        </w:rPr>
        <w:t>at concentrations up to 2.4 g/L</w:t>
      </w:r>
      <w:r w:rsidR="00686B48" w:rsidRPr="00965992">
        <w:rPr>
          <w:lang w:val="en-AU"/>
        </w:rPr>
        <w:t>.</w:t>
      </w:r>
      <w:r w:rsidR="00686B48" w:rsidRPr="00965992">
        <w:rPr>
          <w:rFonts w:cs="Arial"/>
        </w:rPr>
        <w:t xml:space="preserve"> </w:t>
      </w:r>
      <w:r w:rsidR="00686B48">
        <w:rPr>
          <w:lang w:val="en-AU" w:eastAsia="en-AU"/>
        </w:rPr>
        <w:t xml:space="preserve">Further </w:t>
      </w:r>
      <w:r w:rsidR="00686B48" w:rsidRPr="004E63D0">
        <w:rPr>
          <w:lang w:val="en-AU" w:eastAsia="en-AU"/>
        </w:rPr>
        <w:t>assessment</w:t>
      </w:r>
      <w:r w:rsidR="00686B48">
        <w:rPr>
          <w:lang w:val="en-AU" w:eastAsia="en-AU"/>
        </w:rPr>
        <w:t xml:space="preserve"> </w:t>
      </w:r>
      <w:r>
        <w:rPr>
          <w:lang w:val="en-AU" w:eastAsia="en-AU"/>
        </w:rPr>
        <w:t xml:space="preserve">of new studies as a part of this application did not indicate a reason to change this conclusion. </w:t>
      </w:r>
      <w:r>
        <w:rPr>
          <w:szCs w:val="22"/>
          <w:lang w:val="en-AU" w:eastAsia="en-AU"/>
        </w:rPr>
        <w:t>2′-</w:t>
      </w:r>
      <w:r w:rsidRPr="00990C8B">
        <w:rPr>
          <w:szCs w:val="22"/>
          <w:lang w:val="en-AU" w:eastAsia="en-AU"/>
        </w:rPr>
        <w:t>FL</w:t>
      </w:r>
      <w:r>
        <w:rPr>
          <w:szCs w:val="22"/>
          <w:lang w:val="en-AU" w:eastAsia="en-AU"/>
        </w:rPr>
        <w:t xml:space="preserve"> </w:t>
      </w:r>
      <w:r w:rsidRPr="00990C8B">
        <w:rPr>
          <w:szCs w:val="22"/>
          <w:lang w:val="en-AU" w:eastAsia="en-AU"/>
        </w:rPr>
        <w:t>was not genotoxic</w:t>
      </w:r>
      <w:r w:rsidRPr="00FE5FD5">
        <w:rPr>
          <w:szCs w:val="22"/>
          <w:lang w:val="en-AU" w:eastAsia="en-AU"/>
        </w:rPr>
        <w:t xml:space="preserve"> and no</w:t>
      </w:r>
      <w:r w:rsidRPr="00990C8B">
        <w:rPr>
          <w:szCs w:val="22"/>
          <w:lang w:val="en-AU" w:eastAsia="en-AU"/>
        </w:rPr>
        <w:t xml:space="preserve"> adverse effects were observed in </w:t>
      </w:r>
      <w:r>
        <w:rPr>
          <w:szCs w:val="22"/>
          <w:lang w:val="en-AU" w:eastAsia="en-AU"/>
        </w:rPr>
        <w:t xml:space="preserve">multiple short-term </w:t>
      </w:r>
      <w:r w:rsidRPr="00990C8B">
        <w:rPr>
          <w:szCs w:val="22"/>
          <w:lang w:val="en-AU" w:eastAsia="en-AU"/>
        </w:rPr>
        <w:t xml:space="preserve">oral toxicity studies in </w:t>
      </w:r>
      <w:r>
        <w:rPr>
          <w:szCs w:val="22"/>
          <w:lang w:val="en-AU" w:eastAsia="en-AU"/>
        </w:rPr>
        <w:t>neonatal</w:t>
      </w:r>
      <w:r w:rsidRPr="00990C8B">
        <w:rPr>
          <w:szCs w:val="22"/>
          <w:lang w:val="en-AU" w:eastAsia="en-AU"/>
        </w:rPr>
        <w:t xml:space="preserve"> rats</w:t>
      </w:r>
      <w:r>
        <w:rPr>
          <w:szCs w:val="22"/>
          <w:lang w:val="en-AU" w:eastAsia="en-AU"/>
        </w:rPr>
        <w:t xml:space="preserve">, </w:t>
      </w:r>
      <w:r w:rsidRPr="00990C8B">
        <w:rPr>
          <w:szCs w:val="22"/>
          <w:lang w:val="en-AU" w:eastAsia="en-AU"/>
        </w:rPr>
        <w:t xml:space="preserve">older rats </w:t>
      </w:r>
      <w:r>
        <w:rPr>
          <w:szCs w:val="22"/>
          <w:lang w:val="en-AU" w:eastAsia="en-AU"/>
        </w:rPr>
        <w:t xml:space="preserve">and </w:t>
      </w:r>
      <w:r w:rsidRPr="00990C8B">
        <w:rPr>
          <w:szCs w:val="22"/>
          <w:lang w:val="en-AU" w:eastAsia="en-AU"/>
        </w:rPr>
        <w:t xml:space="preserve">neonatal piglets. </w:t>
      </w:r>
      <w:r w:rsidRPr="00990C8B">
        <w:rPr>
          <w:lang w:val="en-AU"/>
        </w:rPr>
        <w:t xml:space="preserve">In human studies, infant formula supplemented with 2′-FL was well tolerated with </w:t>
      </w:r>
      <w:r w:rsidRPr="00990C8B">
        <w:t>no significant increases in adverse events. 2′-FL was also well tolerated in studies with children and adults.</w:t>
      </w:r>
      <w:r w:rsidR="004E63D0">
        <w:t xml:space="preserve"> </w:t>
      </w:r>
    </w:p>
    <w:p w14:paraId="1FF80332" w14:textId="77777777" w:rsidR="004E63D0" w:rsidRDefault="004E63D0" w:rsidP="00E8122F">
      <w:pPr>
        <w:widowControl/>
      </w:pPr>
    </w:p>
    <w:p w14:paraId="44BDD22A" w14:textId="0EEFC8D3" w:rsidR="00FE5FD5" w:rsidRDefault="00FE5FD5" w:rsidP="00E8122F">
      <w:pPr>
        <w:widowControl/>
        <w:rPr>
          <w:lang w:val="en-AU"/>
        </w:rPr>
      </w:pPr>
      <w:r>
        <w:rPr>
          <w:lang w:val="en-AU"/>
        </w:rPr>
        <w:t>Protein was not detected in the 2′-FL</w:t>
      </w:r>
      <w:r>
        <w:rPr>
          <w:vertAlign w:val="subscript"/>
          <w:lang w:val="en-AU"/>
        </w:rPr>
        <w:t xml:space="preserve"> </w:t>
      </w:r>
      <w:r>
        <w:rPr>
          <w:lang w:val="en-AU"/>
        </w:rPr>
        <w:t xml:space="preserve">product, therefore 2′-FL is unlikely to pose an allergenicity concern. </w:t>
      </w:r>
    </w:p>
    <w:p w14:paraId="5A72C85F" w14:textId="77777777" w:rsidR="00686B48" w:rsidRDefault="00686B48" w:rsidP="00E8122F">
      <w:pPr>
        <w:pStyle w:val="NoSpacing"/>
        <w:widowControl/>
      </w:pPr>
    </w:p>
    <w:p w14:paraId="007DC58C" w14:textId="2E8BB1A5" w:rsidR="00686B48" w:rsidRPr="00990C8B" w:rsidRDefault="00686B48" w:rsidP="00E8122F">
      <w:pPr>
        <w:widowControl/>
        <w:rPr>
          <w:rFonts w:cs="Arial"/>
          <w:iCs/>
          <w:lang w:val="en-AU" w:eastAsia="en-GB"/>
        </w:rPr>
      </w:pPr>
      <w:r>
        <w:rPr>
          <w:rFonts w:cs="Arial"/>
          <w:iCs/>
          <w:lang w:val="en-AU" w:eastAsia="en-GB"/>
        </w:rPr>
        <w:t>A</w:t>
      </w:r>
      <w:r w:rsidRPr="00990C8B">
        <w:rPr>
          <w:rFonts w:cs="Arial"/>
          <w:iCs/>
          <w:lang w:val="en-AU" w:eastAsia="en-GB"/>
        </w:rPr>
        <w:t xml:space="preserve"> </w:t>
      </w:r>
      <w:r w:rsidRPr="00565D3D">
        <w:rPr>
          <w:rFonts w:cs="Arial"/>
          <w:b/>
          <w:i/>
          <w:iCs/>
          <w:lang w:val="en-AU" w:eastAsia="en-GB"/>
        </w:rPr>
        <w:t>nutritional assessment</w:t>
      </w:r>
      <w:r w:rsidRPr="00990C8B">
        <w:rPr>
          <w:rFonts w:cs="Arial"/>
          <w:iCs/>
          <w:lang w:val="en-AU" w:eastAsia="en-GB"/>
        </w:rPr>
        <w:t xml:space="preserve"> concluded </w:t>
      </w:r>
      <w:r>
        <w:rPr>
          <w:rFonts w:cs="Arial"/>
          <w:iCs/>
          <w:lang w:val="en-AU" w:eastAsia="en-GB"/>
        </w:rPr>
        <w:t xml:space="preserve">the addition of </w:t>
      </w:r>
      <w:r w:rsidRPr="009843EC">
        <w:rPr>
          <w:lang w:val="en-AU"/>
        </w:rPr>
        <w:t>2</w:t>
      </w:r>
      <w:r>
        <w:rPr>
          <w:lang w:val="en-AU"/>
        </w:rPr>
        <w:t>′</w:t>
      </w:r>
      <w:r w:rsidRPr="009843EC">
        <w:rPr>
          <w:lang w:val="en-AU"/>
        </w:rPr>
        <w:t>-FL</w:t>
      </w:r>
      <w:r>
        <w:rPr>
          <w:lang w:val="en-AU"/>
        </w:rPr>
        <w:t xml:space="preserve"> </w:t>
      </w:r>
      <w:r w:rsidR="00C149CB">
        <w:rPr>
          <w:lang w:val="en-AU"/>
        </w:rPr>
        <w:t xml:space="preserve">to infant formula </w:t>
      </w:r>
      <w:r>
        <w:rPr>
          <w:lang w:val="en-AU"/>
        </w:rPr>
        <w:t xml:space="preserve">is not expected to </w:t>
      </w:r>
      <w:r w:rsidR="00C149CB">
        <w:rPr>
          <w:lang w:val="en-AU"/>
        </w:rPr>
        <w:t>affect</w:t>
      </w:r>
      <w:r>
        <w:rPr>
          <w:lang w:val="en-AU"/>
        </w:rPr>
        <w:t xml:space="preserve"> the </w:t>
      </w:r>
      <w:r w:rsidRPr="001E641B">
        <w:rPr>
          <w:lang w:val="en-AU" w:eastAsia="en-AU" w:bidi="ar-SA"/>
        </w:rPr>
        <w:t xml:space="preserve">growth </w:t>
      </w:r>
      <w:r>
        <w:rPr>
          <w:lang w:val="en-AU" w:eastAsia="en-AU" w:bidi="ar-SA"/>
        </w:rPr>
        <w:t>profil</w:t>
      </w:r>
      <w:r w:rsidR="00C149CB">
        <w:rPr>
          <w:lang w:val="en-AU" w:eastAsia="en-AU" w:bidi="ar-SA"/>
        </w:rPr>
        <w:t>es of infants</w:t>
      </w:r>
      <w:r>
        <w:rPr>
          <w:lang w:val="en-AU" w:eastAsia="en-AU" w:bidi="ar-SA"/>
        </w:rPr>
        <w:t>.</w:t>
      </w:r>
      <w:r w:rsidRPr="0044469B">
        <w:rPr>
          <w:rFonts w:cs="Arial"/>
          <w:iCs/>
          <w:lang w:val="en-AU" w:eastAsia="en-GB"/>
        </w:rPr>
        <w:t xml:space="preserve"> </w:t>
      </w:r>
      <w:r>
        <w:rPr>
          <w:lang w:val="en-AU"/>
        </w:rPr>
        <w:t xml:space="preserve">Combined with </w:t>
      </w:r>
      <w:r w:rsidRPr="00990C8B">
        <w:rPr>
          <w:lang w:val="en-AU"/>
        </w:rPr>
        <w:t>the limited gastrointestinal absorption of 2′-FL, there is no evidence to indicate a nutritional concern at concentrations that are typically observed in human milk.</w:t>
      </w:r>
    </w:p>
    <w:p w14:paraId="741047F3" w14:textId="77777777" w:rsidR="00686B48" w:rsidRDefault="00686B48" w:rsidP="00E8122F">
      <w:pPr>
        <w:widowControl/>
        <w:rPr>
          <w:lang w:val="en-AU"/>
        </w:rPr>
      </w:pPr>
    </w:p>
    <w:p w14:paraId="2FA5290B" w14:textId="1FB43E45" w:rsidR="00686B48" w:rsidRDefault="0003370B" w:rsidP="00E8122F">
      <w:pPr>
        <w:widowControl/>
      </w:pPr>
      <w:r>
        <w:rPr>
          <w:lang w:val="en-AU"/>
        </w:rPr>
        <w:t xml:space="preserve">As part of the assessment, </w:t>
      </w:r>
      <w:r w:rsidR="002A59D0">
        <w:rPr>
          <w:lang w:val="en-AU"/>
        </w:rPr>
        <w:t xml:space="preserve">FSANZ </w:t>
      </w:r>
      <w:r w:rsidR="00527AAB">
        <w:rPr>
          <w:lang w:val="en-AU"/>
        </w:rPr>
        <w:t>must</w:t>
      </w:r>
      <w:r w:rsidR="002A59D0">
        <w:rPr>
          <w:lang w:val="en-AU"/>
        </w:rPr>
        <w:t xml:space="preserve"> have regard to</w:t>
      </w:r>
      <w:r w:rsidR="00686B48">
        <w:rPr>
          <w:lang w:val="en-AU"/>
        </w:rPr>
        <w:t xml:space="preserve"> </w:t>
      </w:r>
      <w:r>
        <w:rPr>
          <w:lang w:val="en-AU"/>
        </w:rPr>
        <w:t xml:space="preserve">the </w:t>
      </w:r>
      <w:r w:rsidR="00686B48" w:rsidRPr="00527AAB">
        <w:rPr>
          <w:lang w:val="en-AU"/>
        </w:rPr>
        <w:t xml:space="preserve">Ministerial </w:t>
      </w:r>
      <w:r w:rsidR="00527AAB">
        <w:rPr>
          <w:lang w:val="en-AU"/>
        </w:rPr>
        <w:t>P</w:t>
      </w:r>
      <w:r w:rsidR="00686B48" w:rsidRPr="00527AAB">
        <w:rPr>
          <w:lang w:val="en-AU"/>
        </w:rPr>
        <w:t xml:space="preserve">olicy </w:t>
      </w:r>
      <w:r w:rsidR="00527AAB">
        <w:rPr>
          <w:lang w:val="en-AU"/>
        </w:rPr>
        <w:t>G</w:t>
      </w:r>
      <w:r w:rsidR="00686B48" w:rsidRPr="00527AAB">
        <w:rPr>
          <w:lang w:val="en-AU"/>
        </w:rPr>
        <w:t>uideline</w:t>
      </w:r>
      <w:r w:rsidR="00527AAB">
        <w:rPr>
          <w:lang w:val="en-AU"/>
        </w:rPr>
        <w:t>’s</w:t>
      </w:r>
      <w:r w:rsidR="00686B48" w:rsidRPr="00527AAB">
        <w:rPr>
          <w:lang w:val="en-AU"/>
        </w:rPr>
        <w:t xml:space="preserve"> on the regulation of </w:t>
      </w:r>
      <w:r w:rsidR="00FD081B">
        <w:rPr>
          <w:lang w:val="en-AU"/>
        </w:rPr>
        <w:t>IFP</w:t>
      </w:r>
      <w:r w:rsidR="00527AAB">
        <w:rPr>
          <w:lang w:val="en-AU"/>
        </w:rPr>
        <w:t xml:space="preserve"> and special purpose foods</w:t>
      </w:r>
      <w:r w:rsidR="00FD081B">
        <w:rPr>
          <w:lang w:val="en-AU"/>
        </w:rPr>
        <w:t xml:space="preserve"> (including FSFYC)</w:t>
      </w:r>
      <w:r w:rsidR="002A59D0">
        <w:rPr>
          <w:lang w:val="en-AU"/>
        </w:rPr>
        <w:t>.</w:t>
      </w:r>
      <w:r w:rsidR="00686B48">
        <w:rPr>
          <w:lang w:val="en-AU"/>
        </w:rPr>
        <w:t xml:space="preserve"> FSANZ concluded </w:t>
      </w:r>
      <w:r w:rsidR="00D13E79">
        <w:rPr>
          <w:lang w:val="en-AU"/>
        </w:rPr>
        <w:t xml:space="preserve">through a </w:t>
      </w:r>
      <w:r w:rsidR="00D13E79" w:rsidRPr="00785898">
        <w:rPr>
          <w:b/>
          <w:i/>
          <w:lang w:val="en-AU"/>
        </w:rPr>
        <w:t>benefit assessment</w:t>
      </w:r>
      <w:r w:rsidR="00D13E79">
        <w:rPr>
          <w:lang w:val="en-AU"/>
        </w:rPr>
        <w:t xml:space="preserve"> that </w:t>
      </w:r>
      <w:r w:rsidR="00686B48">
        <w:rPr>
          <w:lang w:val="en-AU"/>
        </w:rPr>
        <w:t xml:space="preserve">there is </w:t>
      </w:r>
      <w:r w:rsidR="00686B48" w:rsidRPr="009843EC">
        <w:rPr>
          <w:lang w:val="en-AU"/>
        </w:rPr>
        <w:t>evidence to support</w:t>
      </w:r>
      <w:r w:rsidR="00686B48">
        <w:rPr>
          <w:lang w:val="en-AU"/>
        </w:rPr>
        <w:t xml:space="preserve"> a role for 2′-FL</w:t>
      </w:r>
      <w:r w:rsidR="00686B48" w:rsidRPr="009843EC">
        <w:rPr>
          <w:lang w:val="en-AU"/>
        </w:rPr>
        <w:t xml:space="preserve"> </w:t>
      </w:r>
      <w:r w:rsidR="00686B48">
        <w:rPr>
          <w:lang w:val="en-AU"/>
        </w:rPr>
        <w:t>in promoting a</w:t>
      </w:r>
      <w:r w:rsidR="00686B48" w:rsidRPr="009843EC">
        <w:rPr>
          <w:lang w:val="en-AU"/>
        </w:rPr>
        <w:t xml:space="preserve"> bifidogenic effect</w:t>
      </w:r>
      <w:r>
        <w:rPr>
          <w:lang w:val="en-AU"/>
        </w:rPr>
        <w:t xml:space="preserve"> </w:t>
      </w:r>
      <w:r w:rsidR="00A94113">
        <w:rPr>
          <w:lang w:val="en-AU"/>
        </w:rPr>
        <w:t xml:space="preserve">in infants </w:t>
      </w:r>
      <w:r w:rsidR="00686B48">
        <w:rPr>
          <w:lang w:val="en-AU"/>
        </w:rPr>
        <w:t xml:space="preserve">and </w:t>
      </w:r>
      <w:r w:rsidR="00874CC6">
        <w:rPr>
          <w:lang w:val="en-AU"/>
        </w:rPr>
        <w:t>limiting</w:t>
      </w:r>
      <w:r w:rsidR="00686B48" w:rsidRPr="009843EC">
        <w:rPr>
          <w:lang w:val="en-AU"/>
        </w:rPr>
        <w:t xml:space="preserve"> infection by pathogenic strains of </w:t>
      </w:r>
      <w:r w:rsidR="00686B48" w:rsidRPr="00956448">
        <w:rPr>
          <w:i/>
          <w:lang w:val="en-AU"/>
        </w:rPr>
        <w:t>Campylobacter jejuni</w:t>
      </w:r>
      <w:r w:rsidR="00F27B12">
        <w:rPr>
          <w:lang w:val="en-AU"/>
        </w:rPr>
        <w:t xml:space="preserve"> in infants and young children</w:t>
      </w:r>
      <w:r>
        <w:rPr>
          <w:lang w:val="en-AU"/>
        </w:rPr>
        <w:t xml:space="preserve">. </w:t>
      </w:r>
      <w:r w:rsidR="00250CDB" w:rsidRPr="00250CDB">
        <w:rPr>
          <w:lang w:val="en-AU"/>
        </w:rPr>
        <w:t xml:space="preserve">Of note, the evidence </w:t>
      </w:r>
      <w:r w:rsidR="00A94113">
        <w:rPr>
          <w:lang w:val="en-AU"/>
        </w:rPr>
        <w:t xml:space="preserve">base for these </w:t>
      </w:r>
      <w:r w:rsidR="00D13E79">
        <w:rPr>
          <w:lang w:val="en-AU"/>
        </w:rPr>
        <w:t xml:space="preserve">effects </w:t>
      </w:r>
      <w:r w:rsidR="00A94113">
        <w:rPr>
          <w:lang w:val="en-AU"/>
        </w:rPr>
        <w:t xml:space="preserve">in </w:t>
      </w:r>
      <w:r w:rsidR="00250CDB" w:rsidRPr="00250CDB">
        <w:rPr>
          <w:lang w:val="en-AU"/>
        </w:rPr>
        <w:t xml:space="preserve">young children is </w:t>
      </w:r>
      <w:r w:rsidR="00A94113">
        <w:rPr>
          <w:lang w:val="en-AU"/>
        </w:rPr>
        <w:t>fairly</w:t>
      </w:r>
      <w:r w:rsidR="00A94113" w:rsidRPr="00250CDB">
        <w:rPr>
          <w:lang w:val="en-AU"/>
        </w:rPr>
        <w:t xml:space="preserve"> </w:t>
      </w:r>
      <w:r w:rsidR="00250CDB" w:rsidRPr="00250CDB">
        <w:rPr>
          <w:lang w:val="en-AU"/>
        </w:rPr>
        <w:t>limited.</w:t>
      </w:r>
      <w:r w:rsidR="00250CDB">
        <w:rPr>
          <w:lang w:val="en-AU"/>
        </w:rPr>
        <w:t xml:space="preserve"> </w:t>
      </w:r>
    </w:p>
    <w:p w14:paraId="6E24626F" w14:textId="77777777" w:rsidR="00686B48" w:rsidRDefault="00686B48" w:rsidP="00E8122F">
      <w:pPr>
        <w:widowControl/>
      </w:pPr>
    </w:p>
    <w:p w14:paraId="6295656A" w14:textId="34A21EB3" w:rsidR="0004369D" w:rsidRDefault="00686B48" w:rsidP="00E8122F">
      <w:pPr>
        <w:widowControl/>
        <w:rPr>
          <w:rFonts w:cs="Arial"/>
          <w:color w:val="000000" w:themeColor="text1"/>
          <w:szCs w:val="20"/>
        </w:rPr>
      </w:pPr>
      <w:r w:rsidRPr="0058396B">
        <w:rPr>
          <w:b/>
          <w:i/>
          <w:lang w:val="en-AU"/>
        </w:rPr>
        <w:t>In summary</w:t>
      </w:r>
      <w:r>
        <w:rPr>
          <w:lang w:val="en-AU"/>
        </w:rPr>
        <w:t>, 2′</w:t>
      </w:r>
      <w:r w:rsidRPr="00E41E19">
        <w:rPr>
          <w:lang w:val="en-AU"/>
        </w:rPr>
        <w:t xml:space="preserve">-FL </w:t>
      </w:r>
      <w:r>
        <w:rPr>
          <w:lang w:val="en-AU"/>
        </w:rPr>
        <w:t>is</w:t>
      </w:r>
      <w:r w:rsidRPr="00E41E19">
        <w:rPr>
          <w:lang w:val="en-AU"/>
        </w:rPr>
        <w:t xml:space="preserve"> </w:t>
      </w:r>
      <w:r w:rsidR="006A4385" w:rsidRPr="00E41E19">
        <w:rPr>
          <w:lang w:val="en-AU"/>
        </w:rPr>
        <w:t xml:space="preserve">naturally present in human milk in a range of concentrations, providing a history of safe human exposure. FSANZ concludes there are no safety concerns associated with the addition of </w:t>
      </w:r>
      <w:r w:rsidR="006A4385">
        <w:rPr>
          <w:lang w:val="en-AU"/>
        </w:rPr>
        <w:t>2′</w:t>
      </w:r>
      <w:r w:rsidR="006A4385" w:rsidRPr="00E41E19">
        <w:rPr>
          <w:lang w:val="en-AU"/>
        </w:rPr>
        <w:t xml:space="preserve">-FL </w:t>
      </w:r>
      <w:r w:rsidR="00712F8D">
        <w:rPr>
          <w:lang w:val="en-AU"/>
        </w:rPr>
        <w:t xml:space="preserve">derived from </w:t>
      </w:r>
      <w:r w:rsidR="00712F8D" w:rsidRPr="004777D4">
        <w:rPr>
          <w:i/>
        </w:rPr>
        <w:t>E</w:t>
      </w:r>
      <w:r w:rsidR="00712F8D">
        <w:rPr>
          <w:i/>
        </w:rPr>
        <w:t>.</w:t>
      </w:r>
      <w:r w:rsidR="00712F8D" w:rsidRPr="004777D4">
        <w:rPr>
          <w:i/>
        </w:rPr>
        <w:t xml:space="preserve"> coli</w:t>
      </w:r>
      <w:r w:rsidR="00712F8D" w:rsidRPr="004777D4">
        <w:t xml:space="preserve"> BL21</w:t>
      </w:r>
      <w:r w:rsidR="00712F8D">
        <w:t xml:space="preserve"> and </w:t>
      </w:r>
      <w:r w:rsidR="00874CC6">
        <w:rPr>
          <w:lang w:val="en-AU"/>
        </w:rPr>
        <w:t>produced by microbial fermentation</w:t>
      </w:r>
      <w:r w:rsidR="00712F8D">
        <w:rPr>
          <w:lang w:val="en-AU"/>
        </w:rPr>
        <w:t>,</w:t>
      </w:r>
      <w:r w:rsidR="00874CC6">
        <w:rPr>
          <w:lang w:val="en-AU"/>
        </w:rPr>
        <w:t xml:space="preserve"> </w:t>
      </w:r>
      <w:r w:rsidR="006A4385" w:rsidRPr="00E41E19">
        <w:rPr>
          <w:lang w:val="en-AU"/>
        </w:rPr>
        <w:t xml:space="preserve">to </w:t>
      </w:r>
      <w:r w:rsidR="00527AAB">
        <w:t>IFP</w:t>
      </w:r>
      <w:r w:rsidR="006A4385">
        <w:t xml:space="preserve"> </w:t>
      </w:r>
      <w:r w:rsidR="006A4385" w:rsidDel="00CA2E60">
        <w:t xml:space="preserve">and </w:t>
      </w:r>
      <w:r w:rsidR="00527AAB">
        <w:t>FSFYC</w:t>
      </w:r>
      <w:r>
        <w:t>,</w:t>
      </w:r>
      <w:r w:rsidR="006A4385" w:rsidRPr="00E41E19" w:rsidDel="00CA2E60">
        <w:rPr>
          <w:lang w:val="en-AU"/>
        </w:rPr>
        <w:t xml:space="preserve"> </w:t>
      </w:r>
      <w:r w:rsidR="006A4385" w:rsidRPr="00E41E19">
        <w:rPr>
          <w:lang w:val="en-AU"/>
        </w:rPr>
        <w:t>at the requested level</w:t>
      </w:r>
      <w:r w:rsidR="0057620E">
        <w:rPr>
          <w:lang w:val="en-AU"/>
        </w:rPr>
        <w:t xml:space="preserve"> of 2</w:t>
      </w:r>
      <w:r w:rsidR="001617DA">
        <w:rPr>
          <w:lang w:val="en-AU"/>
        </w:rPr>
        <w:t> </w:t>
      </w:r>
      <w:r w:rsidR="0057620E">
        <w:rPr>
          <w:lang w:val="en-AU"/>
        </w:rPr>
        <w:t>g/L</w:t>
      </w:r>
      <w:r w:rsidR="006A4385" w:rsidRPr="00E41E19">
        <w:rPr>
          <w:lang w:val="en-AU"/>
        </w:rPr>
        <w:t xml:space="preserve">, or at higher estimated dietary intakes based on </w:t>
      </w:r>
      <w:r>
        <w:rPr>
          <w:lang w:val="en-AU"/>
        </w:rPr>
        <w:t xml:space="preserve">the </w:t>
      </w:r>
      <w:r w:rsidR="00712F8D">
        <w:rPr>
          <w:lang w:val="en-AU"/>
        </w:rPr>
        <w:t xml:space="preserve">existing </w:t>
      </w:r>
      <w:r>
        <w:rPr>
          <w:lang w:val="en-AU"/>
        </w:rPr>
        <w:t>permitted level</w:t>
      </w:r>
      <w:r w:rsidR="0004369D">
        <w:rPr>
          <w:lang w:val="en-AU"/>
        </w:rPr>
        <w:t xml:space="preserve"> in the </w:t>
      </w:r>
      <w:r>
        <w:rPr>
          <w:lang w:val="en-AU"/>
        </w:rPr>
        <w:t>Code (</w:t>
      </w:r>
      <w:r w:rsidRPr="00E41E19">
        <w:rPr>
          <w:lang w:val="en-AU"/>
        </w:rPr>
        <w:t>2.4</w:t>
      </w:r>
      <w:r w:rsidR="001617DA">
        <w:rPr>
          <w:lang w:val="en-AU"/>
        </w:rPr>
        <w:t> </w:t>
      </w:r>
      <w:r w:rsidRPr="00E41E19">
        <w:rPr>
          <w:lang w:val="en-AU"/>
        </w:rPr>
        <w:t>g/L</w:t>
      </w:r>
      <w:r>
        <w:rPr>
          <w:lang w:val="en-AU"/>
        </w:rPr>
        <w:t>).</w:t>
      </w:r>
    </w:p>
    <w:p w14:paraId="224E7C0C" w14:textId="77777777" w:rsidR="006A4385" w:rsidRPr="007177E5" w:rsidRDefault="006A4385" w:rsidP="00E8122F">
      <w:pPr>
        <w:widowControl/>
        <w:rPr>
          <w:lang w:bidi="ar-SA"/>
        </w:rPr>
      </w:pPr>
    </w:p>
    <w:p w14:paraId="3B724558" w14:textId="58253C4E" w:rsidR="00897C20" w:rsidRDefault="00C74D25" w:rsidP="00E8122F">
      <w:pPr>
        <w:pStyle w:val="Heading1"/>
        <w:widowControl/>
      </w:pPr>
      <w:bookmarkStart w:id="65" w:name="_Toc175381442"/>
      <w:bookmarkStart w:id="66" w:name="_Toc286391010"/>
      <w:bookmarkStart w:id="67" w:name="_Toc300933426"/>
      <w:bookmarkStart w:id="68" w:name="_Toc73104824"/>
      <w:bookmarkStart w:id="69" w:name="_Toc77338771"/>
      <w:r>
        <w:t>3</w:t>
      </w:r>
      <w:r w:rsidR="00271F00">
        <w:tab/>
      </w:r>
      <w:bookmarkEnd w:id="65"/>
      <w:bookmarkEnd w:id="66"/>
      <w:bookmarkEnd w:id="67"/>
      <w:r w:rsidR="0045556F">
        <w:t>R</w:t>
      </w:r>
      <w:r w:rsidR="00707E72">
        <w:t>isk m</w:t>
      </w:r>
      <w:r w:rsidR="008A35FB">
        <w:t>anagement</w:t>
      </w:r>
      <w:bookmarkEnd w:id="68"/>
      <w:bookmarkEnd w:id="69"/>
    </w:p>
    <w:p w14:paraId="7079B054" w14:textId="66BAB674" w:rsidR="00ED4CC3" w:rsidRDefault="00ED4CC3" w:rsidP="00E8122F">
      <w:pPr>
        <w:widowControl/>
        <w:rPr>
          <w:szCs w:val="22"/>
        </w:rPr>
      </w:pPr>
      <w:r>
        <w:rPr>
          <w:szCs w:val="22"/>
        </w:rPr>
        <w:t>Breastfeeding is the recommended way to feed infants. As infants are a vulnerable population group, a safe and nutritious substitute is necessary when breastfeeding is not possible. Any changes to the composition of infant formula products must be established as safe and suitable prior to being permitted.</w:t>
      </w:r>
    </w:p>
    <w:p w14:paraId="163813B3" w14:textId="094CB8F5" w:rsidR="00ED4CC3" w:rsidRDefault="00ED4CC3" w:rsidP="00E8122F">
      <w:pPr>
        <w:pStyle w:val="Heading2"/>
        <w:widowControl/>
      </w:pPr>
      <w:bookmarkStart w:id="70" w:name="_Toc77338772"/>
      <w:r>
        <w:t xml:space="preserve">3.1 </w:t>
      </w:r>
      <w:r w:rsidRPr="00E567E8">
        <w:t>FSANZ’s approach and consideration of the policy guidelines</w:t>
      </w:r>
      <w:bookmarkEnd w:id="70"/>
    </w:p>
    <w:p w14:paraId="094C858F" w14:textId="0DB49908" w:rsidR="00731256" w:rsidRDefault="00C47FF7" w:rsidP="00E8122F">
      <w:pPr>
        <w:widowControl/>
      </w:pPr>
      <w:r>
        <w:rPr>
          <w:lang w:bidi="ar-SA"/>
        </w:rPr>
        <w:t xml:space="preserve">The application seeks permission for the voluntary addition of </w:t>
      </w:r>
      <w:r w:rsidRPr="00893334">
        <w:t>2′-FL</w:t>
      </w:r>
      <w:r>
        <w:t xml:space="preserve"> </w:t>
      </w:r>
      <w:r>
        <w:rPr>
          <w:lang w:bidi="ar-SA"/>
        </w:rPr>
        <w:t xml:space="preserve">to both IFP and FSFYC. </w:t>
      </w:r>
      <w:r w:rsidR="00731256">
        <w:rPr>
          <w:lang w:bidi="ar-SA"/>
        </w:rPr>
        <w:t xml:space="preserve">FSANZ’s safety assessment indicated </w:t>
      </w:r>
      <w:r w:rsidR="00731256" w:rsidRPr="00E41E19">
        <w:rPr>
          <w:lang w:val="en-AU"/>
        </w:rPr>
        <w:t xml:space="preserve">no concerns with the addition of </w:t>
      </w:r>
      <w:r w:rsidR="00731256">
        <w:rPr>
          <w:lang w:val="en-AU"/>
        </w:rPr>
        <w:t>2′</w:t>
      </w:r>
      <w:r w:rsidR="00731256" w:rsidRPr="00E41E19">
        <w:rPr>
          <w:lang w:val="en-AU"/>
        </w:rPr>
        <w:t xml:space="preserve">-FL </w:t>
      </w:r>
      <w:r w:rsidR="00731256">
        <w:rPr>
          <w:lang w:val="en-AU"/>
        </w:rPr>
        <w:t xml:space="preserve">produced by microbial fermentation </w:t>
      </w:r>
      <w:r w:rsidR="00731256" w:rsidRPr="00E41E19">
        <w:rPr>
          <w:lang w:val="en-AU"/>
        </w:rPr>
        <w:t xml:space="preserve">to </w:t>
      </w:r>
      <w:r w:rsidR="00731256">
        <w:rPr>
          <w:lang w:val="en-AU"/>
        </w:rPr>
        <w:t>IFP</w:t>
      </w:r>
      <w:r w:rsidR="00731256" w:rsidRPr="00E41E19">
        <w:rPr>
          <w:lang w:val="en-AU"/>
        </w:rPr>
        <w:t xml:space="preserve"> </w:t>
      </w:r>
      <w:r w:rsidR="00731256" w:rsidRPr="00E41E19" w:rsidDel="00CA2E60">
        <w:rPr>
          <w:lang w:val="en-AU"/>
        </w:rPr>
        <w:t>and FSFYC</w:t>
      </w:r>
      <w:r w:rsidR="00731256">
        <w:rPr>
          <w:lang w:val="en-AU"/>
        </w:rPr>
        <w:t xml:space="preserve"> at the highest permitted </w:t>
      </w:r>
      <w:r w:rsidR="00731256">
        <w:rPr>
          <w:lang w:val="en-AU"/>
        </w:rPr>
        <w:lastRenderedPageBreak/>
        <w:t>use level of 2.4 g/L</w:t>
      </w:r>
      <w:r w:rsidR="00731256">
        <w:rPr>
          <w:lang w:bidi="ar-SA"/>
        </w:rPr>
        <w:t xml:space="preserve">. It also concluded that there are plausible beneficial health outcomes for infants and young children in consuming </w:t>
      </w:r>
      <w:r w:rsidR="00731256" w:rsidRPr="00893334">
        <w:t>2′-FL</w:t>
      </w:r>
      <w:r w:rsidR="00731256">
        <w:t xml:space="preserve"> (though the evidence is weak</w:t>
      </w:r>
      <w:r w:rsidR="00ED4CC3">
        <w:t>er</w:t>
      </w:r>
      <w:r w:rsidR="00731256">
        <w:t xml:space="preserve"> in young children).</w:t>
      </w:r>
    </w:p>
    <w:p w14:paraId="45FE4DCF" w14:textId="77777777" w:rsidR="00731256" w:rsidRDefault="00731256" w:rsidP="00E8122F">
      <w:pPr>
        <w:widowControl/>
        <w:rPr>
          <w:lang w:bidi="ar-SA"/>
        </w:rPr>
      </w:pPr>
    </w:p>
    <w:p w14:paraId="72A3B815" w14:textId="5873FEE3" w:rsidR="00C47FF7" w:rsidRDefault="00C47FF7" w:rsidP="00E8122F">
      <w:pPr>
        <w:widowControl/>
      </w:pPr>
      <w:r>
        <w:rPr>
          <w:lang w:bidi="ar-SA"/>
        </w:rPr>
        <w:t>W</w:t>
      </w:r>
      <w:r>
        <w:t>here an infant is not breastfed or is partially breastfed, commercial infant formulas are the only</w:t>
      </w:r>
      <w:r>
        <w:rPr>
          <w:lang w:bidi="ar-SA"/>
        </w:rPr>
        <w:t xml:space="preserve"> safe </w:t>
      </w:r>
      <w:r>
        <w:t xml:space="preserve">alternative to human milk to be used until 12 months of age (NHMRC 2012; NZ MoH 2012). </w:t>
      </w:r>
      <w:r>
        <w:rPr>
          <w:lang w:val="en-AU"/>
        </w:rPr>
        <w:t>Th</w:t>
      </w:r>
      <w:r w:rsidRPr="0039004B">
        <w:rPr>
          <w:lang w:val="en-AU"/>
        </w:rPr>
        <w:t xml:space="preserve">e purpose of FSFYC is </w:t>
      </w:r>
      <w:r w:rsidR="00F11A4C">
        <w:rPr>
          <w:lang w:val="en-AU"/>
        </w:rPr>
        <w:t xml:space="preserve">different to IFP, in that it is </w:t>
      </w:r>
      <w:r w:rsidRPr="0039004B">
        <w:rPr>
          <w:lang w:val="en-AU"/>
        </w:rPr>
        <w:t>to ensure nutritional adequacy in children aged 1 to &lt;4 years</w:t>
      </w:r>
      <w:r>
        <w:t>. Australian Infant Feeding Guidelines state that FSFYC are not required for healthy children over the age of twelve months as they should be consuming adequate nutrients from regular foods (NHMRC 2012).</w:t>
      </w:r>
    </w:p>
    <w:p w14:paraId="7ED4D9F6" w14:textId="3AB5CC3C" w:rsidR="00BA265D" w:rsidRDefault="00BA265D" w:rsidP="00E8122F">
      <w:pPr>
        <w:widowControl/>
        <w:rPr>
          <w:lang w:bidi="ar-SA"/>
        </w:rPr>
      </w:pPr>
    </w:p>
    <w:p w14:paraId="1D3B6C99" w14:textId="71F0523F" w:rsidR="00BA265D" w:rsidRDefault="00BA265D" w:rsidP="00E8122F">
      <w:pPr>
        <w:widowControl/>
        <w:rPr>
          <w:lang w:val="en-AU"/>
        </w:rPr>
      </w:pPr>
      <w:r w:rsidRPr="00975D1C">
        <w:rPr>
          <w:lang w:eastAsia="en-AU" w:bidi="ar-SA"/>
        </w:rPr>
        <w:t xml:space="preserve">As the safety assessment concluded that </w:t>
      </w:r>
      <w:r>
        <w:rPr>
          <w:lang w:eastAsia="en-AU" w:bidi="ar-SA"/>
        </w:rPr>
        <w:t xml:space="preserve">the addition of the applicant’s 2′-FL </w:t>
      </w:r>
      <w:r w:rsidRPr="00975D1C">
        <w:rPr>
          <w:lang w:eastAsia="en-AU" w:bidi="ar-SA"/>
        </w:rPr>
        <w:t xml:space="preserve">to </w:t>
      </w:r>
      <w:r>
        <w:rPr>
          <w:lang w:eastAsia="en-AU" w:bidi="ar-SA"/>
        </w:rPr>
        <w:t>IFP</w:t>
      </w:r>
      <w:r w:rsidRPr="00975D1C">
        <w:rPr>
          <w:lang w:eastAsia="en-AU" w:bidi="ar-SA"/>
        </w:rPr>
        <w:t xml:space="preserve"> at the </w:t>
      </w:r>
      <w:r>
        <w:rPr>
          <w:lang w:eastAsia="en-AU" w:bidi="ar-SA"/>
        </w:rPr>
        <w:t xml:space="preserve">requested </w:t>
      </w:r>
      <w:r w:rsidRPr="00975D1C">
        <w:rPr>
          <w:lang w:eastAsia="en-AU" w:bidi="ar-SA"/>
        </w:rPr>
        <w:t xml:space="preserve">levels, </w:t>
      </w:r>
      <w:r w:rsidRPr="00744DD2">
        <w:rPr>
          <w:lang w:eastAsia="en-AU" w:bidi="ar-SA"/>
        </w:rPr>
        <w:t>or at higher estimated levels of dietary intakes based on 2.4 g/L</w:t>
      </w:r>
      <w:r>
        <w:rPr>
          <w:lang w:eastAsia="en-AU" w:bidi="ar-SA"/>
        </w:rPr>
        <w:t xml:space="preserve"> 2′-FL, and for the reasons stated in this report</w:t>
      </w:r>
      <w:r w:rsidR="002C1538">
        <w:rPr>
          <w:lang w:eastAsia="en-AU" w:bidi="ar-SA"/>
        </w:rPr>
        <w:t xml:space="preserve"> (including under section 5)</w:t>
      </w:r>
      <w:r>
        <w:rPr>
          <w:lang w:eastAsia="en-AU" w:bidi="ar-SA"/>
        </w:rPr>
        <w:t xml:space="preserve">, FSANZ is proposing to permit that </w:t>
      </w:r>
      <w:r>
        <w:rPr>
          <w:lang w:val="en-AU"/>
        </w:rPr>
        <w:t>2′</w:t>
      </w:r>
      <w:r w:rsidRPr="00E41E19">
        <w:rPr>
          <w:lang w:val="en-AU"/>
        </w:rPr>
        <w:t>-FL</w:t>
      </w:r>
      <w:r>
        <w:rPr>
          <w:lang w:val="en-AU"/>
        </w:rPr>
        <w:t xml:space="preserve"> to IFP.</w:t>
      </w:r>
    </w:p>
    <w:p w14:paraId="11E71147" w14:textId="77777777" w:rsidR="00887EC6" w:rsidRDefault="00887EC6" w:rsidP="00E8122F">
      <w:pPr>
        <w:widowControl/>
        <w:rPr>
          <w:lang w:val="en-AU"/>
        </w:rPr>
      </w:pPr>
    </w:p>
    <w:p w14:paraId="615B4469" w14:textId="413B6FC6" w:rsidR="00F11A4C" w:rsidRDefault="00BA265D" w:rsidP="00E8122F">
      <w:pPr>
        <w:widowControl/>
        <w:rPr>
          <w:lang w:bidi="ar-SA"/>
        </w:rPr>
      </w:pPr>
      <w:r>
        <w:rPr>
          <w:lang w:val="en-AU"/>
        </w:rPr>
        <w:t xml:space="preserve">FSANZ’s is proposing to not </w:t>
      </w:r>
      <w:r>
        <w:t xml:space="preserve">permit the applicant’s </w:t>
      </w:r>
      <w:r>
        <w:rPr>
          <w:lang w:val="en-AU"/>
        </w:rPr>
        <w:t>2′</w:t>
      </w:r>
      <w:r w:rsidRPr="00E41E19">
        <w:rPr>
          <w:lang w:val="en-AU"/>
        </w:rPr>
        <w:t>-FL</w:t>
      </w:r>
      <w:r>
        <w:t xml:space="preserve"> in FSFYC.</w:t>
      </w:r>
      <w:r w:rsidR="00ED4CC3">
        <w:rPr>
          <w:lang w:bidi="ar-SA"/>
        </w:rPr>
        <w:t xml:space="preserve"> </w:t>
      </w:r>
      <w:r>
        <w:rPr>
          <w:lang w:bidi="ar-SA"/>
        </w:rPr>
        <w:t xml:space="preserve">In assessing the addition of the </w:t>
      </w:r>
      <w:r>
        <w:t>applicant’s</w:t>
      </w:r>
      <w:r>
        <w:rPr>
          <w:lang w:bidi="ar-SA"/>
        </w:rPr>
        <w:t xml:space="preserve"> </w:t>
      </w:r>
      <w:r>
        <w:rPr>
          <w:lang w:val="en-AU"/>
        </w:rPr>
        <w:t>2′</w:t>
      </w:r>
      <w:r w:rsidRPr="00E41E19">
        <w:rPr>
          <w:lang w:val="en-AU"/>
        </w:rPr>
        <w:t>-FL</w:t>
      </w:r>
      <w:r>
        <w:t xml:space="preserve"> in FSFYC</w:t>
      </w:r>
      <w:r>
        <w:rPr>
          <w:lang w:bidi="ar-SA"/>
        </w:rPr>
        <w:t>, FSANZ had regard to:</w:t>
      </w:r>
    </w:p>
    <w:p w14:paraId="055C4E69" w14:textId="32C2B07C" w:rsidR="00F11A4C" w:rsidRDefault="00F11A4C" w:rsidP="00E8122F">
      <w:pPr>
        <w:pStyle w:val="ListParagraph"/>
        <w:widowControl/>
        <w:numPr>
          <w:ilvl w:val="0"/>
          <w:numId w:val="34"/>
        </w:numPr>
        <w:spacing w:before="120" w:after="120"/>
        <w:ind w:left="714" w:hanging="357"/>
        <w:contextualSpacing w:val="0"/>
      </w:pPr>
      <w:r>
        <w:t>the safety, risk and beneficial health outcomes assessment at SD1 and summarised above in section 2;</w:t>
      </w:r>
    </w:p>
    <w:p w14:paraId="71F952AB" w14:textId="58BDDB5C" w:rsidR="00887EC6" w:rsidRPr="00EB7304" w:rsidRDefault="00F10D0C" w:rsidP="00E8122F">
      <w:pPr>
        <w:pStyle w:val="ListParagraph"/>
        <w:widowControl/>
        <w:numPr>
          <w:ilvl w:val="0"/>
          <w:numId w:val="34"/>
        </w:numPr>
        <w:spacing w:before="120" w:after="120"/>
        <w:ind w:left="714" w:hanging="357"/>
        <w:contextualSpacing w:val="0"/>
      </w:pPr>
      <w:r>
        <w:t xml:space="preserve">section 29 and subsection 18 of the </w:t>
      </w:r>
      <w:r w:rsidR="00887EC6">
        <w:t>FSANZ Act and relevant m</w:t>
      </w:r>
      <w:r>
        <w:t xml:space="preserve">inisterial policy guidelines, including </w:t>
      </w:r>
      <w:r w:rsidR="00887EC6">
        <w:t>costs and benefits at section 5.1.1</w:t>
      </w:r>
      <w:r w:rsidR="00D86BB2">
        <w:t>;</w:t>
      </w:r>
    </w:p>
    <w:p w14:paraId="4138B297" w14:textId="36C3AC7A" w:rsidR="00F11A4C" w:rsidRPr="004F018C" w:rsidRDefault="00F11A4C" w:rsidP="00E8122F">
      <w:pPr>
        <w:pStyle w:val="ListParagraph"/>
        <w:widowControl/>
        <w:numPr>
          <w:ilvl w:val="0"/>
          <w:numId w:val="34"/>
        </w:numPr>
        <w:spacing w:before="120" w:after="120"/>
        <w:contextualSpacing w:val="0"/>
      </w:pPr>
      <w:r>
        <w:t>the justification for the FSANZ position outlined in the A1155 Approval Report</w:t>
      </w:r>
      <w:r>
        <w:rPr>
          <w:rStyle w:val="FootnoteReference"/>
          <w:lang w:bidi="ar-SA"/>
        </w:rPr>
        <w:footnoteReference w:id="13"/>
      </w:r>
      <w:r>
        <w:t xml:space="preserve"> and Review Report</w:t>
      </w:r>
      <w:r>
        <w:rPr>
          <w:rStyle w:val="FootnoteReference"/>
          <w:lang w:bidi="ar-SA"/>
        </w:rPr>
        <w:footnoteReference w:id="14"/>
      </w:r>
      <w:r>
        <w:t xml:space="preserve"> to permit </w:t>
      </w:r>
      <w:r w:rsidRPr="004F018C">
        <w:t>2′-FL</w:t>
      </w:r>
      <w:r>
        <w:t xml:space="preserve"> in both IFP and FSFYC; </w:t>
      </w:r>
    </w:p>
    <w:p w14:paraId="4BA25D5C" w14:textId="6E1753CC" w:rsidR="00F11A4C" w:rsidRDefault="00F11A4C" w:rsidP="00E8122F">
      <w:pPr>
        <w:pStyle w:val="ListParagraph"/>
        <w:widowControl/>
        <w:numPr>
          <w:ilvl w:val="0"/>
          <w:numId w:val="34"/>
        </w:numPr>
        <w:spacing w:before="120" w:after="120"/>
        <w:contextualSpacing w:val="0"/>
      </w:pPr>
      <w:r>
        <w:t xml:space="preserve">the March 2020 review request and associated rationale made by </w:t>
      </w:r>
      <w:r w:rsidR="0011599E">
        <w:t>j</w:t>
      </w:r>
      <w:r>
        <w:t>urisdictions</w:t>
      </w:r>
      <w:r w:rsidR="0060443F">
        <w:t>; and</w:t>
      </w:r>
    </w:p>
    <w:p w14:paraId="5FE79733" w14:textId="7B7E9D5D" w:rsidR="00C47FF7" w:rsidRPr="000F2E89" w:rsidRDefault="00C47FF7" w:rsidP="00E8122F">
      <w:pPr>
        <w:pStyle w:val="ListParagraph"/>
        <w:widowControl/>
        <w:numPr>
          <w:ilvl w:val="0"/>
          <w:numId w:val="34"/>
        </w:numPr>
        <w:spacing w:before="120" w:after="240"/>
        <w:ind w:left="714" w:hanging="357"/>
        <w:contextualSpacing w:val="0"/>
      </w:pPr>
      <w:r w:rsidRPr="00F11A4C">
        <w:rPr>
          <w:lang w:val="en-AU"/>
        </w:rPr>
        <w:t>the decision and justification by the Food Ministers’ Meeting</w:t>
      </w:r>
      <w:r>
        <w:rPr>
          <w:rStyle w:val="FootnoteReference"/>
          <w:lang w:val="en-AU"/>
        </w:rPr>
        <w:footnoteReference w:id="15"/>
      </w:r>
      <w:r w:rsidRPr="00F11A4C">
        <w:rPr>
          <w:lang w:val="en-AU"/>
        </w:rPr>
        <w:t xml:space="preserve"> to amend the drafting to not permit 2′-FL in FSFYC and their associated concerns that FSFYC are not intende</w:t>
      </w:r>
      <w:r w:rsidR="002242C0">
        <w:rPr>
          <w:lang w:val="en-AU"/>
        </w:rPr>
        <w:t>d to be human milk substitutes.</w:t>
      </w:r>
    </w:p>
    <w:p w14:paraId="55A5AA7B" w14:textId="77777777" w:rsidR="00BA265D" w:rsidRPr="000F2E89" w:rsidRDefault="00BA265D" w:rsidP="00E8122F">
      <w:pPr>
        <w:widowControl/>
      </w:pPr>
      <w:r>
        <w:rPr>
          <w:lang w:val="en-AU"/>
        </w:rPr>
        <w:t xml:space="preserve">FSANZ considered the applicant’s justification for permitting their </w:t>
      </w:r>
      <w:r w:rsidRPr="004F018C">
        <w:rPr>
          <w:lang w:val="en-AU"/>
        </w:rPr>
        <w:t>2′-FL</w:t>
      </w:r>
      <w:r>
        <w:rPr>
          <w:lang w:val="en-AU"/>
        </w:rPr>
        <w:t xml:space="preserve"> product in FSFYC and note the application states:</w:t>
      </w:r>
    </w:p>
    <w:p w14:paraId="4F8A117E" w14:textId="77777777" w:rsidR="00BA265D" w:rsidRPr="002C22B7" w:rsidRDefault="00BA265D" w:rsidP="00E8122F">
      <w:pPr>
        <w:pStyle w:val="ListParagraph"/>
        <w:widowControl/>
        <w:numPr>
          <w:ilvl w:val="0"/>
          <w:numId w:val="35"/>
        </w:numPr>
        <w:spacing w:before="120" w:after="120"/>
        <w:ind w:left="714" w:hanging="357"/>
        <w:contextualSpacing w:val="0"/>
      </w:pPr>
      <w:r w:rsidRPr="002C22B7">
        <w:t>the benefits of 2</w:t>
      </w:r>
      <w:r w:rsidRPr="004777D4">
        <w:t>′</w:t>
      </w:r>
      <w:r w:rsidRPr="002C22B7">
        <w:t>-FL are hypothesised to extend past infancy into toddlerhood; and</w:t>
      </w:r>
    </w:p>
    <w:p w14:paraId="7ECDDC52" w14:textId="77777777" w:rsidR="00BA265D" w:rsidRPr="002C22B7" w:rsidRDefault="00BA265D" w:rsidP="00E8122F">
      <w:pPr>
        <w:pStyle w:val="ListParagraph"/>
        <w:widowControl/>
        <w:numPr>
          <w:ilvl w:val="0"/>
          <w:numId w:val="35"/>
        </w:numPr>
        <w:spacing w:before="120" w:after="120"/>
        <w:ind w:left="714" w:hanging="357"/>
        <w:contextualSpacing w:val="0"/>
      </w:pPr>
      <w:r w:rsidRPr="002C22B7">
        <w:t>thus Jennewein (now Chr. Hansen) 2</w:t>
      </w:r>
      <w:r w:rsidRPr="004777D4">
        <w:t>′</w:t>
      </w:r>
      <w:r w:rsidRPr="002C22B7">
        <w:t>-FL will be beneficial in ‘toddler formula’; and</w:t>
      </w:r>
    </w:p>
    <w:p w14:paraId="63434339" w14:textId="32D63FA5" w:rsidR="00BA265D" w:rsidRPr="00F4122E" w:rsidRDefault="00BA265D" w:rsidP="00E8122F">
      <w:pPr>
        <w:pStyle w:val="ListParagraph"/>
        <w:widowControl/>
        <w:numPr>
          <w:ilvl w:val="0"/>
          <w:numId w:val="35"/>
        </w:numPr>
        <w:spacing w:before="120" w:after="240"/>
        <w:ind w:left="714" w:hanging="357"/>
        <w:contextualSpacing w:val="0"/>
      </w:pPr>
      <w:r w:rsidRPr="002C22B7">
        <w:t>that human milk is given to those toddlers who continue to breastfeed after their first year of life, and therefore the permission would</w:t>
      </w:r>
      <w:r>
        <w:t xml:space="preserve"> allow FSFYC</w:t>
      </w:r>
      <w:r w:rsidRPr="002C22B7">
        <w:t xml:space="preserve"> ingredients to align more closely to human milk for formula-fed babies.</w:t>
      </w:r>
    </w:p>
    <w:p w14:paraId="36A93D24" w14:textId="46AA8698" w:rsidR="00BA265D" w:rsidRPr="00BD7912" w:rsidRDefault="00BA265D" w:rsidP="00E8122F">
      <w:pPr>
        <w:widowControl/>
        <w:rPr>
          <w:lang w:val="en-AU"/>
        </w:rPr>
      </w:pPr>
      <w:r w:rsidRPr="000F2E89">
        <w:rPr>
          <w:lang w:val="en-AU"/>
        </w:rPr>
        <w:t xml:space="preserve">FSANZ acknowledges that the evidence to support beneficial health effects from the consumption of 2′-FL in young </w:t>
      </w:r>
      <w:r>
        <w:rPr>
          <w:lang w:val="en-AU"/>
        </w:rPr>
        <w:t>children is weak</w:t>
      </w:r>
      <w:r w:rsidRPr="000F2E89">
        <w:rPr>
          <w:lang w:val="en-AU"/>
        </w:rPr>
        <w:t xml:space="preserve">. </w:t>
      </w:r>
      <w:r>
        <w:rPr>
          <w:lang w:val="en-AU"/>
        </w:rPr>
        <w:t xml:space="preserve">FSANZ also notes </w:t>
      </w:r>
      <w:r w:rsidRPr="000F2E89">
        <w:rPr>
          <w:lang w:val="en-AU"/>
        </w:rPr>
        <w:t>the ap</w:t>
      </w:r>
      <w:r>
        <w:rPr>
          <w:lang w:val="en-AU"/>
        </w:rPr>
        <w:t xml:space="preserve">plicant cannot, at this time, provide additional data or information </w:t>
      </w:r>
      <w:r w:rsidRPr="000F2E89">
        <w:rPr>
          <w:lang w:val="en-AU"/>
        </w:rPr>
        <w:t xml:space="preserve">to support or </w:t>
      </w:r>
      <w:r w:rsidRPr="000F2E89">
        <w:rPr>
          <w:lang w:val="en-AU"/>
        </w:rPr>
        <w:lastRenderedPageBreak/>
        <w:t>strengthen the plausible beneficial health effects of 2′-FL</w:t>
      </w:r>
      <w:r>
        <w:rPr>
          <w:lang w:val="en-AU"/>
        </w:rPr>
        <w:t xml:space="preserve"> in young children, nor has FSANZ been able to identify any in the scientific literature. </w:t>
      </w:r>
    </w:p>
    <w:p w14:paraId="6D796911" w14:textId="77777777" w:rsidR="00E567E8" w:rsidRPr="00F4122E" w:rsidRDefault="00E567E8" w:rsidP="00E8122F">
      <w:pPr>
        <w:widowControl/>
        <w:rPr>
          <w:lang w:val="en-AU"/>
        </w:rPr>
      </w:pPr>
    </w:p>
    <w:p w14:paraId="159B5E1B" w14:textId="77777777" w:rsidR="00BA265D" w:rsidRDefault="00BA265D" w:rsidP="00E8122F">
      <w:pPr>
        <w:widowControl/>
        <w:rPr>
          <w:lang w:val="en-AU"/>
        </w:rPr>
      </w:pPr>
      <w:r>
        <w:rPr>
          <w:lang w:val="en-AU"/>
        </w:rPr>
        <w:t>FSANZ also noted</w:t>
      </w:r>
      <w:r w:rsidDel="00956026">
        <w:rPr>
          <w:lang w:val="en-AU"/>
        </w:rPr>
        <w:t xml:space="preserve"> </w:t>
      </w:r>
      <w:r>
        <w:rPr>
          <w:lang w:val="en-AU"/>
        </w:rPr>
        <w:t xml:space="preserve">the applicant’s justification for </w:t>
      </w:r>
      <w:r w:rsidRPr="000F2E89">
        <w:rPr>
          <w:lang w:val="en-AU"/>
        </w:rPr>
        <w:t>2′-FL</w:t>
      </w:r>
      <w:r>
        <w:rPr>
          <w:lang w:val="en-AU"/>
        </w:rPr>
        <w:t xml:space="preserve"> addition in FSFYC does not </w:t>
      </w:r>
      <w:r w:rsidRPr="0008667C">
        <w:rPr>
          <w:i/>
          <w:lang w:val="en-AU"/>
        </w:rPr>
        <w:t>directly</w:t>
      </w:r>
      <w:r>
        <w:rPr>
          <w:lang w:val="en-AU"/>
        </w:rPr>
        <w:t xml:space="preserve"> align with the intention of FSFYC (i.e. because </w:t>
      </w:r>
      <w:r w:rsidRPr="0039004B">
        <w:rPr>
          <w:lang w:val="en-AU"/>
        </w:rPr>
        <w:t>2</w:t>
      </w:r>
      <w:r w:rsidRPr="004777D4">
        <w:t>′</w:t>
      </w:r>
      <w:r w:rsidRPr="0039004B">
        <w:rPr>
          <w:lang w:val="en-AU"/>
        </w:rPr>
        <w:t>-FL</w:t>
      </w:r>
      <w:r>
        <w:rPr>
          <w:lang w:val="en-AU"/>
        </w:rPr>
        <w:t xml:space="preserve"> is naturally found in human milk only, and FSFYC is not a human milk substitute). </w:t>
      </w:r>
    </w:p>
    <w:p w14:paraId="0475E4FD" w14:textId="77777777" w:rsidR="00BA265D" w:rsidRDefault="00BA265D" w:rsidP="00E8122F">
      <w:pPr>
        <w:widowControl/>
        <w:rPr>
          <w:lang w:val="en-AU"/>
        </w:rPr>
      </w:pPr>
    </w:p>
    <w:p w14:paraId="37FFE41F" w14:textId="70BCA96F" w:rsidR="00BA265D" w:rsidRDefault="00BA265D" w:rsidP="00E8122F">
      <w:pPr>
        <w:widowControl/>
      </w:pPr>
      <w:r>
        <w:rPr>
          <w:lang w:val="en-AU"/>
        </w:rPr>
        <w:t>In light of the above</w:t>
      </w:r>
      <w:r w:rsidR="00E567E8">
        <w:rPr>
          <w:lang w:val="en-AU"/>
        </w:rPr>
        <w:t>,</w:t>
      </w:r>
      <w:r>
        <w:rPr>
          <w:lang w:val="en-AU"/>
        </w:rPr>
        <w:t xml:space="preserve"> including the position taken by the Food Ministers’ Meeting on this issue, and noting the absence of any new data or information on the beneficial health effects for </w:t>
      </w:r>
      <w:r w:rsidRPr="004F018C">
        <w:rPr>
          <w:lang w:val="en-AU"/>
        </w:rPr>
        <w:t>2′-FL</w:t>
      </w:r>
      <w:r>
        <w:rPr>
          <w:lang w:val="en-AU"/>
        </w:rPr>
        <w:t xml:space="preserve"> in young children, FSANZ assessment was not to </w:t>
      </w:r>
      <w:r>
        <w:t xml:space="preserve">permit the applicant’s </w:t>
      </w:r>
      <w:r>
        <w:rPr>
          <w:lang w:val="en-AU"/>
        </w:rPr>
        <w:t>2′</w:t>
      </w:r>
      <w:r w:rsidRPr="00E41E19">
        <w:rPr>
          <w:lang w:val="en-AU"/>
        </w:rPr>
        <w:t>-FL</w:t>
      </w:r>
      <w:r>
        <w:t xml:space="preserve"> in FSFYC.</w:t>
      </w:r>
    </w:p>
    <w:p w14:paraId="74D977B2" w14:textId="091B5B90" w:rsidR="00F04954" w:rsidRDefault="00C74D25" w:rsidP="00E8122F">
      <w:pPr>
        <w:pStyle w:val="Heading2"/>
        <w:widowControl/>
      </w:pPr>
      <w:bookmarkStart w:id="71" w:name="_Toc73104826"/>
      <w:bookmarkStart w:id="72" w:name="_Toc77338773"/>
      <w:bookmarkStart w:id="73" w:name="_Toc300761910"/>
      <w:r w:rsidRPr="00CC2F2B">
        <w:t>3</w:t>
      </w:r>
      <w:r w:rsidR="00F04954" w:rsidRPr="00CC2F2B">
        <w:t>.</w:t>
      </w:r>
      <w:r w:rsidR="00711858">
        <w:t>2</w:t>
      </w:r>
      <w:r w:rsidR="00F04954">
        <w:tab/>
        <w:t>Labelling</w:t>
      </w:r>
      <w:bookmarkEnd w:id="71"/>
      <w:bookmarkEnd w:id="72"/>
    </w:p>
    <w:p w14:paraId="38E674B2" w14:textId="5FCB7438" w:rsidR="006824C6" w:rsidRDefault="009945FB" w:rsidP="00E8122F">
      <w:pPr>
        <w:widowControl/>
      </w:pPr>
      <w:r>
        <w:t xml:space="preserve">Given </w:t>
      </w:r>
      <w:r w:rsidR="00230E09">
        <w:t>the risk management approach excludes</w:t>
      </w:r>
      <w:r>
        <w:t xml:space="preserve"> FSFYC, </w:t>
      </w:r>
      <w:r w:rsidR="00230E09">
        <w:t xml:space="preserve">the application of </w:t>
      </w:r>
      <w:r>
        <w:t>l</w:t>
      </w:r>
      <w:r w:rsidR="006824C6" w:rsidRPr="006824C6">
        <w:t>abelling</w:t>
      </w:r>
      <w:r w:rsidR="006824C6">
        <w:t xml:space="preserve"> requirements </w:t>
      </w:r>
      <w:r w:rsidR="00230E09">
        <w:t xml:space="preserve">for the proposed permission for addition of </w:t>
      </w:r>
      <w:r w:rsidR="00230E09" w:rsidRPr="004F018C">
        <w:rPr>
          <w:lang w:val="en-AU"/>
        </w:rPr>
        <w:t>2′-FL</w:t>
      </w:r>
      <w:r w:rsidR="00230E09">
        <w:rPr>
          <w:lang w:val="en-AU"/>
        </w:rPr>
        <w:t xml:space="preserve"> in </w:t>
      </w:r>
      <w:r w:rsidR="006824C6">
        <w:t>IFP</w:t>
      </w:r>
      <w:r w:rsidR="00230E09">
        <w:t xml:space="preserve"> are discussed below</w:t>
      </w:r>
      <w:r w:rsidR="006824C6">
        <w:t>.</w:t>
      </w:r>
    </w:p>
    <w:p w14:paraId="1F932A37" w14:textId="2CE1004E" w:rsidR="00EB7729" w:rsidRDefault="00EB7729" w:rsidP="00E8122F">
      <w:pPr>
        <w:pStyle w:val="Heading3"/>
        <w:widowControl/>
      </w:pPr>
      <w:bookmarkStart w:id="74" w:name="_Toc73104827"/>
      <w:bookmarkStart w:id="75" w:name="_Toc77338774"/>
      <w:r>
        <w:t>3.</w:t>
      </w:r>
      <w:r w:rsidR="00711858">
        <w:t>2</w:t>
      </w:r>
      <w:r>
        <w:t>.</w:t>
      </w:r>
      <w:r w:rsidR="00CC2F2B">
        <w:t>1</w:t>
      </w:r>
      <w:r>
        <w:tab/>
        <w:t>Statement of ingredients</w:t>
      </w:r>
      <w:bookmarkEnd w:id="74"/>
      <w:bookmarkEnd w:id="75"/>
    </w:p>
    <w:p w14:paraId="6BC73CD2" w14:textId="1628C426" w:rsidR="00EB7729" w:rsidRDefault="00EB7729" w:rsidP="00E8122F">
      <w:pPr>
        <w:widowControl/>
      </w:pPr>
      <w:r>
        <w:t xml:space="preserve">Standard 1.2.4 requires food for sale to be labelled with a statement of ingredients unless exempt. The label on a package of </w:t>
      </w:r>
      <w:r w:rsidR="00C8043F">
        <w:t>IFP</w:t>
      </w:r>
      <w:r>
        <w:t xml:space="preserve"> must contain a statement of ingredients. Should manufacturers choose to add </w:t>
      </w:r>
      <w:r w:rsidR="00A3654D">
        <w:t xml:space="preserve">the applicant’s </w:t>
      </w:r>
      <w:r>
        <w:t xml:space="preserve">2′-FL </w:t>
      </w:r>
      <w:r w:rsidR="00A3654D">
        <w:rPr>
          <w:lang w:bidi="ar-SA"/>
        </w:rPr>
        <w:t xml:space="preserve">alone or combined with LNnT </w:t>
      </w:r>
      <w:r>
        <w:t xml:space="preserve">to </w:t>
      </w:r>
      <w:r w:rsidR="00230E09">
        <w:t>IFP</w:t>
      </w:r>
      <w:r>
        <w:t xml:space="preserve">, then this substance </w:t>
      </w:r>
      <w:r w:rsidR="00CC2F2B">
        <w:t xml:space="preserve">must </w:t>
      </w:r>
      <w:r>
        <w:t>be declared in the statement of ingredients.</w:t>
      </w:r>
    </w:p>
    <w:p w14:paraId="55753102" w14:textId="77777777" w:rsidR="00EB7729" w:rsidRDefault="00EB7729" w:rsidP="00E8122F">
      <w:pPr>
        <w:widowControl/>
      </w:pPr>
    </w:p>
    <w:p w14:paraId="099F40A0" w14:textId="52C4343B" w:rsidR="008D3211" w:rsidRDefault="00D44442" w:rsidP="00E8122F">
      <w:pPr>
        <w:widowControl/>
      </w:pPr>
      <w:r>
        <w:rPr>
          <w:lang w:bidi="ar-SA"/>
        </w:rPr>
        <w:t>Generic ingredient labelling</w:t>
      </w:r>
      <w:r w:rsidR="00EB7729">
        <w:t xml:space="preserve"> provisions in section 1.2.4—4 require ingredients to be identified using a name by which they are commonly known, or a name that describes its true nature, or a generic ingredient name if o</w:t>
      </w:r>
      <w:r w:rsidR="00EC6BBC">
        <w:t>ne is specified in Schedule 10</w:t>
      </w:r>
      <w:r w:rsidR="00EB7729">
        <w:t xml:space="preserve"> </w:t>
      </w:r>
      <w:r w:rsidR="00EB7729" w:rsidRPr="00EC6BBC">
        <w:rPr>
          <w:i/>
        </w:rPr>
        <w:t>Generic names of ingredients and conditions for their use</w:t>
      </w:r>
      <w:r w:rsidR="00EB7729">
        <w:t>.</w:t>
      </w:r>
      <w:r w:rsidR="008D3211">
        <w:t xml:space="preserve"> </w:t>
      </w:r>
    </w:p>
    <w:p w14:paraId="1653D852" w14:textId="77777777" w:rsidR="008D3211" w:rsidRDefault="008D3211" w:rsidP="00E8122F">
      <w:pPr>
        <w:widowControl/>
      </w:pPr>
    </w:p>
    <w:p w14:paraId="211D8955" w14:textId="5AB58553" w:rsidR="004F6201" w:rsidRDefault="0025456F" w:rsidP="00E8122F">
      <w:pPr>
        <w:widowControl/>
      </w:pPr>
      <w:r w:rsidRPr="00F2395B">
        <w:t>Noting the existing prohibited representations in paragraphs 2.9.1—24(1)(ca) and (cb) (refer section 3.</w:t>
      </w:r>
      <w:r w:rsidR="00ED5A11">
        <w:t>2</w:t>
      </w:r>
      <w:r w:rsidRPr="00F2395B">
        <w:t>.3 below),</w:t>
      </w:r>
      <w:r>
        <w:t xml:space="preserve"> the</w:t>
      </w:r>
      <w:r w:rsidR="00CB518C">
        <w:t>se existing</w:t>
      </w:r>
      <w:r w:rsidR="008D3211">
        <w:t xml:space="preserve"> ingredient naming requirements </w:t>
      </w:r>
      <w:r w:rsidR="00CB518C">
        <w:t xml:space="preserve">would </w:t>
      </w:r>
      <w:r w:rsidR="008D3211">
        <w:t>apply</w:t>
      </w:r>
      <w:r w:rsidR="00CB518C">
        <w:t xml:space="preserve"> to 2′-FL, </w:t>
      </w:r>
      <w:r w:rsidR="006877FC">
        <w:t>enabling i</w:t>
      </w:r>
      <w:r w:rsidR="007D6410">
        <w:t xml:space="preserve">ndustry </w:t>
      </w:r>
      <w:r w:rsidR="006877FC">
        <w:t>to</w:t>
      </w:r>
      <w:r w:rsidR="007D6410">
        <w:t xml:space="preserve"> have flexibility in how they declare this ingredient</w:t>
      </w:r>
      <w:r w:rsidR="006877FC">
        <w:t xml:space="preserve"> </w:t>
      </w:r>
      <w:r w:rsidR="006877FC" w:rsidDel="009945FB">
        <w:t>(for example,</w:t>
      </w:r>
      <w:r w:rsidR="007D6410" w:rsidDel="009945FB">
        <w:t xml:space="preserve"> using </w:t>
      </w:r>
      <w:r w:rsidR="003867E6" w:rsidDel="009945FB">
        <w:t xml:space="preserve">the scientific name </w:t>
      </w:r>
      <w:r w:rsidR="007D6410" w:rsidRPr="007D6410" w:rsidDel="009945FB">
        <w:t>‘2</w:t>
      </w:r>
      <w:r w:rsidR="00046731" w:rsidDel="009945FB">
        <w:t>′</w:t>
      </w:r>
      <w:r w:rsidR="007D6410" w:rsidRPr="007D6410" w:rsidDel="009945FB">
        <w:t>-fucosyllactose’</w:t>
      </w:r>
      <w:r w:rsidR="006877FC" w:rsidDel="009945FB">
        <w:t>).</w:t>
      </w:r>
      <w:r w:rsidR="007D6410" w:rsidDel="009945FB">
        <w:t xml:space="preserve"> </w:t>
      </w:r>
    </w:p>
    <w:p w14:paraId="12F9AE1B" w14:textId="2A95EE21" w:rsidR="00EB7729" w:rsidRDefault="00EB7729" w:rsidP="00E8122F">
      <w:pPr>
        <w:pStyle w:val="Heading3"/>
        <w:widowControl/>
      </w:pPr>
      <w:bookmarkStart w:id="76" w:name="_Toc73104828"/>
      <w:bookmarkStart w:id="77" w:name="_Toc77338775"/>
      <w:r>
        <w:t>3.</w:t>
      </w:r>
      <w:r w:rsidR="00711858">
        <w:t>2</w:t>
      </w:r>
      <w:r w:rsidR="00CC2F2B">
        <w:t>.2</w:t>
      </w:r>
      <w:r>
        <w:tab/>
        <w:t>Mandatory nutrition information</w:t>
      </w:r>
      <w:bookmarkEnd w:id="76"/>
      <w:bookmarkEnd w:id="77"/>
    </w:p>
    <w:p w14:paraId="7A517FD3" w14:textId="4B712FB4" w:rsidR="00EB7729" w:rsidRPr="003E7621" w:rsidRDefault="00EB7729" w:rsidP="00E8122F">
      <w:pPr>
        <w:widowControl/>
      </w:pPr>
      <w:r>
        <w:t>S</w:t>
      </w:r>
      <w:r w:rsidRPr="003E7621">
        <w:t>ection 2.9.1—21 regulates the declaration of nutrition information in a nutrition information statement on the label</w:t>
      </w:r>
      <w:r w:rsidR="006D3300">
        <w:t xml:space="preserve"> of IFP</w:t>
      </w:r>
      <w:r w:rsidRPr="003E7621">
        <w:t xml:space="preserve">. The </w:t>
      </w:r>
      <w:r w:rsidR="00225692">
        <w:t>nutrition information statement</w:t>
      </w:r>
      <w:r w:rsidR="007732F1">
        <w:t xml:space="preserve"> (NIS)</w:t>
      </w:r>
      <w:r w:rsidR="00225692">
        <w:t xml:space="preserve"> is a </w:t>
      </w:r>
      <w:r w:rsidRPr="003E7621">
        <w:t xml:space="preserve">single statement and may be in the form of a table, as </w:t>
      </w:r>
      <w:r w:rsidR="00763CAC">
        <w:t xml:space="preserve">indicated in section S29—10 </w:t>
      </w:r>
      <w:r w:rsidRPr="00763CAC">
        <w:rPr>
          <w:i/>
        </w:rPr>
        <w:t>Guidelines for infant formula products</w:t>
      </w:r>
      <w:r w:rsidRPr="00303B58">
        <w:t xml:space="preserve">. </w:t>
      </w:r>
    </w:p>
    <w:p w14:paraId="23A1C959" w14:textId="77777777" w:rsidR="00EB7729" w:rsidRPr="003E7621" w:rsidRDefault="00EB7729" w:rsidP="00E8122F">
      <w:pPr>
        <w:widowControl/>
      </w:pPr>
    </w:p>
    <w:p w14:paraId="10B63360" w14:textId="6AA573D1" w:rsidR="00EB7729" w:rsidRPr="003E7621" w:rsidRDefault="00EB7729" w:rsidP="00E8122F">
      <w:pPr>
        <w:widowControl/>
      </w:pPr>
      <w:r w:rsidRPr="003E7621">
        <w:t xml:space="preserve">Paragraph 2.9.1—21(1)(iii) requires the average amount of </w:t>
      </w:r>
      <w:r w:rsidR="00303B58">
        <w:t xml:space="preserve">any </w:t>
      </w:r>
      <w:r w:rsidRPr="003E7621">
        <w:t xml:space="preserve">substance </w:t>
      </w:r>
      <w:r w:rsidRPr="00303B58">
        <w:t>used as a nutritive substance</w:t>
      </w:r>
      <w:r w:rsidRPr="003E7621">
        <w:t xml:space="preserve"> permitted by the standard to be declared in the </w:t>
      </w:r>
      <w:r w:rsidR="001F257F">
        <w:t>NIS</w:t>
      </w:r>
      <w:r w:rsidRPr="003E7621">
        <w:t xml:space="preserve">. </w:t>
      </w:r>
      <w:r w:rsidR="008B0E51">
        <w:t>T</w:t>
      </w:r>
      <w:r w:rsidR="009B05F3">
        <w:t xml:space="preserve">he specific </w:t>
      </w:r>
      <w:r w:rsidRPr="003E7621">
        <w:t>2′-FL</w:t>
      </w:r>
      <w:r w:rsidR="009B05F3">
        <w:t xml:space="preserve"> in this application</w:t>
      </w:r>
      <w:r w:rsidR="009B05F3" w:rsidDel="008B0E51">
        <w:t xml:space="preserve"> </w:t>
      </w:r>
      <w:r w:rsidR="008B0E51">
        <w:t xml:space="preserve">would need to </w:t>
      </w:r>
      <w:r w:rsidRPr="003E7621">
        <w:t xml:space="preserve">be declared in the </w:t>
      </w:r>
      <w:r w:rsidR="001F257F">
        <w:t>NIS</w:t>
      </w:r>
      <w:r w:rsidR="009B46A8" w:rsidRPr="009B46A8">
        <w:t xml:space="preserve"> </w:t>
      </w:r>
      <w:r w:rsidR="009B46A8" w:rsidRPr="003E7621">
        <w:t xml:space="preserve">when </w:t>
      </w:r>
      <w:r w:rsidR="009B46A8">
        <w:t xml:space="preserve">it is </w:t>
      </w:r>
      <w:r w:rsidR="00230E09">
        <w:t>voluntarily added to a IFP</w:t>
      </w:r>
      <w:r w:rsidRPr="003E7621">
        <w:t xml:space="preserve">. </w:t>
      </w:r>
    </w:p>
    <w:p w14:paraId="77941C65" w14:textId="7F4A8E6A" w:rsidR="00B34235" w:rsidRDefault="00C74D25" w:rsidP="00E8122F">
      <w:pPr>
        <w:pStyle w:val="Heading3"/>
        <w:widowControl/>
      </w:pPr>
      <w:bookmarkStart w:id="78" w:name="_Toc73104829"/>
      <w:bookmarkStart w:id="79" w:name="_Toc77338776"/>
      <w:r>
        <w:t>3.</w:t>
      </w:r>
      <w:r w:rsidR="00711858">
        <w:t>2</w:t>
      </w:r>
      <w:r w:rsidR="00CC2F2B">
        <w:t>.3</w:t>
      </w:r>
      <w:r w:rsidR="00B34235">
        <w:tab/>
        <w:t>Prohibited representations</w:t>
      </w:r>
      <w:bookmarkEnd w:id="78"/>
      <w:bookmarkEnd w:id="79"/>
      <w:r w:rsidR="0072623E">
        <w:t xml:space="preserve"> </w:t>
      </w:r>
    </w:p>
    <w:p w14:paraId="7F942149" w14:textId="77777777" w:rsidR="00ED5A11" w:rsidRDefault="00ED5A11" w:rsidP="00E8122F">
      <w:pPr>
        <w:widowControl/>
        <w:rPr>
          <w:rFonts w:cs="Arial"/>
          <w:szCs w:val="22"/>
        </w:rPr>
      </w:pPr>
      <w:r>
        <w:rPr>
          <w:rFonts w:cs="Arial"/>
          <w:szCs w:val="22"/>
        </w:rPr>
        <w:t>P</w:t>
      </w:r>
      <w:r w:rsidRPr="00325272">
        <w:t xml:space="preserve">aragraph 2.9.1—24(1)(ca) prohibits the use of the words ‘human milk oligosaccharide’, ‘human milk identical oligosaccharide’ or any word or words having the same or similar effect. In addition, paragraph 2.9.1—24(1)(cb) prohibits the use of </w:t>
      </w:r>
      <w:r w:rsidRPr="00325272">
        <w:lastRenderedPageBreak/>
        <w:t>the abbreviations ‘HMO’ or ‘HiMO’ or any abbreviation having the same or similar effect.</w:t>
      </w:r>
      <w:r>
        <w:t xml:space="preserve"> The words and abbreviations in these provisions cannot be </w:t>
      </w:r>
      <w:r w:rsidRPr="00225692">
        <w:t xml:space="preserve">used </w:t>
      </w:r>
      <w:r>
        <w:t xml:space="preserve">anywhere on the label of a package of IFP. </w:t>
      </w:r>
    </w:p>
    <w:p w14:paraId="528D56E3" w14:textId="3B59F1AE" w:rsidR="00ED5A11" w:rsidRDefault="00ED5A11" w:rsidP="00E8122F">
      <w:pPr>
        <w:pStyle w:val="Heading3"/>
        <w:widowControl/>
      </w:pPr>
      <w:bookmarkStart w:id="80" w:name="_Toc77338777"/>
      <w:r>
        <w:t>3.2.4</w:t>
      </w:r>
      <w:r>
        <w:tab/>
        <w:t>Voluntary representations</w:t>
      </w:r>
      <w:bookmarkEnd w:id="80"/>
    </w:p>
    <w:p w14:paraId="2428F58B" w14:textId="77777777" w:rsidR="00ED5A11" w:rsidRDefault="00ED5A11" w:rsidP="00E8122F">
      <w:pPr>
        <w:widowControl/>
      </w:pPr>
      <w:r w:rsidRPr="00EB7729">
        <w:t xml:space="preserve">Subsection 1.2.7—4(b) of Standard 1.2.7 states that a nutrition content or health claim must not be made about an </w:t>
      </w:r>
      <w:r>
        <w:t>IFP</w:t>
      </w:r>
      <w:r w:rsidRPr="00EB7729">
        <w:t>.</w:t>
      </w:r>
      <w:r>
        <w:t xml:space="preserve"> </w:t>
      </w:r>
      <w:r w:rsidRPr="00EB7729">
        <w:t xml:space="preserve">The prohibition is also set out in section 2.9.1—24 (1)(f) of Standard 2.9.1, which prohibits a reference to the presence of a nutrient or substance that may be used as a nutritive substance, except for a statement relating to lactose, </w:t>
      </w:r>
      <w:r>
        <w:t xml:space="preserve">in the </w:t>
      </w:r>
      <w:r w:rsidRPr="00EB7729">
        <w:t xml:space="preserve">statement of ingredients or </w:t>
      </w:r>
      <w:r>
        <w:t>the NIS</w:t>
      </w:r>
      <w:r w:rsidRPr="00EB7729">
        <w:t>.</w:t>
      </w:r>
      <w:r>
        <w:t xml:space="preserve"> </w:t>
      </w:r>
      <w:r w:rsidRPr="000462EA">
        <w:t>Th</w:t>
      </w:r>
      <w:r>
        <w:t xml:space="preserve">is </w:t>
      </w:r>
      <w:r w:rsidRPr="000462EA">
        <w:t xml:space="preserve">existing prohibition for nutrition content and health claims for </w:t>
      </w:r>
      <w:r>
        <w:t>IFPs</w:t>
      </w:r>
      <w:r w:rsidRPr="000462EA">
        <w:t xml:space="preserve"> would</w:t>
      </w:r>
      <w:r w:rsidRPr="000462EA" w:rsidDel="00724A02">
        <w:t xml:space="preserve"> </w:t>
      </w:r>
      <w:r w:rsidRPr="000462EA">
        <w:t xml:space="preserve">apply to 2′-FL. </w:t>
      </w:r>
    </w:p>
    <w:p w14:paraId="6B926D29" w14:textId="7C9C98FA" w:rsidR="00F04954" w:rsidRDefault="00C74D25" w:rsidP="00E8122F">
      <w:pPr>
        <w:pStyle w:val="Heading3"/>
        <w:widowControl/>
      </w:pPr>
      <w:bookmarkStart w:id="81" w:name="_Toc73104830"/>
      <w:bookmarkStart w:id="82" w:name="_Toc77338778"/>
      <w:r>
        <w:t>3.</w:t>
      </w:r>
      <w:r w:rsidR="00711858">
        <w:t>2</w:t>
      </w:r>
      <w:r w:rsidR="00CC2F2B">
        <w:t>.</w:t>
      </w:r>
      <w:r w:rsidR="00ED5A11">
        <w:t>5</w:t>
      </w:r>
      <w:r w:rsidR="00F04954">
        <w:tab/>
        <w:t>Labelling as ‘genetically modified’</w:t>
      </w:r>
      <w:bookmarkEnd w:id="81"/>
      <w:bookmarkEnd w:id="82"/>
    </w:p>
    <w:p w14:paraId="7BD1BC0C" w14:textId="5D1D1BA1" w:rsidR="00711858" w:rsidRDefault="00B34235" w:rsidP="00E8122F">
      <w:pPr>
        <w:widowControl/>
      </w:pPr>
      <w:r>
        <w:t xml:space="preserve">As discussed in the </w:t>
      </w:r>
      <w:r w:rsidR="00901EAF" w:rsidRPr="002543AF">
        <w:t>safety and risk</w:t>
      </w:r>
      <w:r w:rsidRPr="002543AF">
        <w:t xml:space="preserve"> assessment</w:t>
      </w:r>
      <w:r w:rsidR="002543AF" w:rsidRPr="002543AF">
        <w:t xml:space="preserve"> report</w:t>
      </w:r>
      <w:r w:rsidRPr="002543AF">
        <w:t xml:space="preserve"> (SD1),</w:t>
      </w:r>
      <w:r>
        <w:t xml:space="preserve"> </w:t>
      </w:r>
      <w:r w:rsidR="00191532">
        <w:t xml:space="preserve">the applicant’s </w:t>
      </w:r>
      <w:r w:rsidR="00171374" w:rsidRPr="003E7621">
        <w:t xml:space="preserve">2′-FL </w:t>
      </w:r>
      <w:r w:rsidR="00171374">
        <w:t xml:space="preserve">is </w:t>
      </w:r>
      <w:r w:rsidR="00171374" w:rsidRPr="003E7621">
        <w:t xml:space="preserve">highly </w:t>
      </w:r>
      <w:r w:rsidR="00171374" w:rsidRPr="003E7621">
        <w:rPr>
          <w:rFonts w:cs="Arial"/>
        </w:rPr>
        <w:t>unlikely to contain</w:t>
      </w:r>
      <w:r w:rsidR="00171374" w:rsidRPr="003E7621">
        <w:t xml:space="preserve"> novel protein or DNA </w:t>
      </w:r>
      <w:r w:rsidR="00171374" w:rsidRPr="003E7621">
        <w:rPr>
          <w:rFonts w:cs="Arial"/>
        </w:rPr>
        <w:t xml:space="preserve">due to </w:t>
      </w:r>
      <w:r w:rsidR="00171374" w:rsidRPr="003E7621">
        <w:t xml:space="preserve">the </w:t>
      </w:r>
      <w:r w:rsidR="00171374" w:rsidRPr="003E7621">
        <w:rPr>
          <w:rFonts w:cs="Arial"/>
        </w:rPr>
        <w:t>purification step used</w:t>
      </w:r>
      <w:r w:rsidR="00171374" w:rsidRPr="003E7621">
        <w:t xml:space="preserve"> in the production of </w:t>
      </w:r>
      <w:r w:rsidR="00171374" w:rsidRPr="003E7621">
        <w:rPr>
          <w:rFonts w:cs="Arial"/>
        </w:rPr>
        <w:t>th</w:t>
      </w:r>
      <w:r w:rsidR="00171374">
        <w:rPr>
          <w:rFonts w:cs="Arial"/>
        </w:rPr>
        <w:t xml:space="preserve">is </w:t>
      </w:r>
      <w:r w:rsidR="00171374" w:rsidRPr="003E7621">
        <w:rPr>
          <w:rFonts w:cs="Arial"/>
        </w:rPr>
        <w:t>oligosaccharide</w:t>
      </w:r>
      <w:r w:rsidR="00171374" w:rsidRPr="003E7621">
        <w:t>.</w:t>
      </w:r>
      <w:r w:rsidR="00171374">
        <w:t xml:space="preserve"> </w:t>
      </w:r>
      <w:r w:rsidR="00171374" w:rsidRPr="003E7621">
        <w:t>It is therefore highly unlikely that novel protein</w:t>
      </w:r>
      <w:r w:rsidR="002543AF">
        <w:t xml:space="preserve"> or DNA</w:t>
      </w:r>
      <w:r w:rsidR="00171374" w:rsidRPr="003E7621">
        <w:t xml:space="preserve"> will be present in an </w:t>
      </w:r>
      <w:r w:rsidR="00C8043F">
        <w:t>IFP</w:t>
      </w:r>
      <w:r w:rsidR="00171374" w:rsidRPr="003E7621">
        <w:t xml:space="preserve"> </w:t>
      </w:r>
      <w:r w:rsidR="0025456F">
        <w:t>t</w:t>
      </w:r>
      <w:r w:rsidR="00171374" w:rsidRPr="003E7621">
        <w:t xml:space="preserve">hat contains </w:t>
      </w:r>
      <w:r w:rsidR="00191532">
        <w:t xml:space="preserve">this </w:t>
      </w:r>
      <w:r w:rsidR="00171374" w:rsidRPr="003E7621">
        <w:t>2′-FL</w:t>
      </w:r>
      <w:r w:rsidR="00351795">
        <w:t xml:space="preserve"> </w:t>
      </w:r>
      <w:r w:rsidR="00171374" w:rsidRPr="003E7621">
        <w:t xml:space="preserve">as </w:t>
      </w:r>
      <w:r w:rsidR="00351795">
        <w:t xml:space="preserve">an </w:t>
      </w:r>
      <w:r w:rsidR="00171374" w:rsidRPr="003E7621">
        <w:t>ingredient. However, where novel protein is present, the requirement to label 2′-FL as ‘genetically modified’ w</w:t>
      </w:r>
      <w:r w:rsidR="00351795">
        <w:t>ould</w:t>
      </w:r>
      <w:r w:rsidR="00171374" w:rsidRPr="003E7621">
        <w:t xml:space="preserve"> apply in accordance with section 1.5.2—4 of Standard 1.5.2. </w:t>
      </w:r>
    </w:p>
    <w:p w14:paraId="79E21DA7" w14:textId="7821188C" w:rsidR="00711858" w:rsidRDefault="00711858" w:rsidP="00E8122F">
      <w:pPr>
        <w:pStyle w:val="Heading2"/>
        <w:widowControl/>
      </w:pPr>
      <w:bookmarkStart w:id="83" w:name="_Toc73104831"/>
      <w:bookmarkStart w:id="84" w:name="_Toc77338779"/>
      <w:r>
        <w:t>3.3</w:t>
      </w:r>
      <w:r>
        <w:tab/>
      </w:r>
      <w:r w:rsidR="00F4122E">
        <w:t>P</w:t>
      </w:r>
      <w:r>
        <w:t xml:space="preserve">ermitted use of </w:t>
      </w:r>
      <w:r>
        <w:rPr>
          <w:lang w:val="en-AU"/>
        </w:rPr>
        <w:t>2′</w:t>
      </w:r>
      <w:r w:rsidRPr="00E41E19">
        <w:rPr>
          <w:lang w:val="en-AU"/>
        </w:rPr>
        <w:t>-FL</w:t>
      </w:r>
      <w:bookmarkEnd w:id="83"/>
      <w:bookmarkEnd w:id="84"/>
    </w:p>
    <w:p w14:paraId="729875CB" w14:textId="6C2F2946" w:rsidR="00711858" w:rsidRDefault="00711858" w:rsidP="00E8122F">
      <w:pPr>
        <w:widowControl/>
        <w:rPr>
          <w:lang w:val="en-AU"/>
        </w:rPr>
      </w:pPr>
      <w:r>
        <w:rPr>
          <w:lang w:bidi="ar-SA"/>
        </w:rPr>
        <w:t xml:space="preserve">FSANZ notes the applicant has requested a maximum use level for their </w:t>
      </w:r>
      <w:r>
        <w:rPr>
          <w:lang w:val="en-AU"/>
        </w:rPr>
        <w:t>2′</w:t>
      </w:r>
      <w:r w:rsidRPr="00E41E19">
        <w:rPr>
          <w:lang w:val="en-AU"/>
        </w:rPr>
        <w:t>-FL</w:t>
      </w:r>
      <w:r>
        <w:rPr>
          <w:lang w:val="en-AU"/>
        </w:rPr>
        <w:t xml:space="preserve"> of 2 g/L. The risk and safety assessment (see SD1) confirmed 2′</w:t>
      </w:r>
      <w:r w:rsidRPr="00E41E19">
        <w:rPr>
          <w:lang w:val="en-AU"/>
        </w:rPr>
        <w:t>-FL</w:t>
      </w:r>
      <w:r>
        <w:rPr>
          <w:lang w:val="en-AU"/>
        </w:rPr>
        <w:t xml:space="preserve"> is safe at the higher level of 2.4 g/L. 2′</w:t>
      </w:r>
      <w:r w:rsidRPr="00E41E19">
        <w:rPr>
          <w:lang w:val="en-AU"/>
        </w:rPr>
        <w:t>-FL</w:t>
      </w:r>
      <w:r>
        <w:rPr>
          <w:lang w:val="en-AU"/>
        </w:rPr>
        <w:t xml:space="preserve"> </w:t>
      </w:r>
      <w:r w:rsidR="0025036D">
        <w:t>derived</w:t>
      </w:r>
      <w:r w:rsidR="0025036D" w:rsidRPr="0030376E">
        <w:t xml:space="preserve"> from </w:t>
      </w:r>
      <w:r w:rsidR="0025036D" w:rsidRPr="00650D32">
        <w:rPr>
          <w:i/>
        </w:rPr>
        <w:t>E. coli</w:t>
      </w:r>
      <w:r w:rsidR="0025036D" w:rsidRPr="0030376E">
        <w:t xml:space="preserve"> K-12</w:t>
      </w:r>
      <w:r w:rsidR="0025036D">
        <w:t xml:space="preserve"> </w:t>
      </w:r>
      <w:r>
        <w:rPr>
          <w:lang w:val="en-AU"/>
        </w:rPr>
        <w:t xml:space="preserve">is already permitted in the Code at this higher level and FSANZ highlights this is </w:t>
      </w:r>
      <w:r w:rsidR="003E57C0">
        <w:rPr>
          <w:lang w:val="en-AU"/>
        </w:rPr>
        <w:t xml:space="preserve">within </w:t>
      </w:r>
      <w:r>
        <w:rPr>
          <w:lang w:val="en-AU"/>
        </w:rPr>
        <w:t xml:space="preserve">the </w:t>
      </w:r>
      <w:r w:rsidR="003E57C0">
        <w:rPr>
          <w:lang w:val="en-AU"/>
        </w:rPr>
        <w:t>range of concentrations</w:t>
      </w:r>
      <w:r>
        <w:rPr>
          <w:lang w:val="en-AU"/>
        </w:rPr>
        <w:t xml:space="preserve"> of 2′</w:t>
      </w:r>
      <w:r w:rsidRPr="00E41E19">
        <w:rPr>
          <w:lang w:val="en-AU"/>
        </w:rPr>
        <w:t>-FL</w:t>
      </w:r>
      <w:r>
        <w:rPr>
          <w:lang w:val="en-AU"/>
        </w:rPr>
        <w:t xml:space="preserve"> found naturally in mature human milk</w:t>
      </w:r>
      <w:r w:rsidR="00F545DD">
        <w:rPr>
          <w:lang w:val="en-AU"/>
        </w:rPr>
        <w:t>. A</w:t>
      </w:r>
      <w:r>
        <w:rPr>
          <w:lang w:val="en-AU"/>
        </w:rPr>
        <w:t>dditionally, the higher use level promotes a competitive food supply and will provide industry with product innovation opportunities.</w:t>
      </w:r>
    </w:p>
    <w:p w14:paraId="5DEBDCC3" w14:textId="77777777" w:rsidR="00711858" w:rsidRDefault="00711858" w:rsidP="00E8122F">
      <w:pPr>
        <w:widowControl/>
        <w:rPr>
          <w:lang w:val="en-AU"/>
        </w:rPr>
      </w:pPr>
    </w:p>
    <w:p w14:paraId="3C8113F6" w14:textId="5CB8C164" w:rsidR="00711858" w:rsidRDefault="00711858" w:rsidP="00E8122F">
      <w:pPr>
        <w:widowControl/>
      </w:pPr>
      <w:r>
        <w:rPr>
          <w:lang w:val="en-AU"/>
        </w:rPr>
        <w:t xml:space="preserve">FSANZ is therefore proposing a permission for the higher use level of 2.4 g/L or (for the purposes of the draft variation in the Code) </w:t>
      </w:r>
      <w:r w:rsidRPr="00475703">
        <w:t>96 mg/100 kJ</w:t>
      </w:r>
      <w:r>
        <w:t>.</w:t>
      </w:r>
    </w:p>
    <w:p w14:paraId="36DFFA5C" w14:textId="68857573" w:rsidR="00F4122E" w:rsidRDefault="00F4122E" w:rsidP="00E8122F">
      <w:pPr>
        <w:widowControl/>
      </w:pPr>
    </w:p>
    <w:p w14:paraId="62F7A53A" w14:textId="3854C245" w:rsidR="00F4122E" w:rsidRDefault="00F4122E" w:rsidP="00E8122F">
      <w:pPr>
        <w:widowControl/>
      </w:pPr>
      <w:r>
        <w:t xml:space="preserve">FSANZ </w:t>
      </w:r>
      <w:r w:rsidR="004C53E8">
        <w:t xml:space="preserve">has previously </w:t>
      </w:r>
      <w:r>
        <w:t xml:space="preserve">assessed </w:t>
      </w:r>
      <w:r w:rsidR="004C53E8">
        <w:t>an</w:t>
      </w:r>
      <w:r w:rsidR="00F545DD">
        <w:t>d</w:t>
      </w:r>
      <w:r w:rsidR="004C53E8">
        <w:t xml:space="preserve"> permitted </w:t>
      </w:r>
      <w:r>
        <w:rPr>
          <w:lang w:val="en-AU"/>
        </w:rPr>
        <w:t>2′</w:t>
      </w:r>
      <w:r w:rsidRPr="00E41E19">
        <w:rPr>
          <w:lang w:val="en-AU"/>
        </w:rPr>
        <w:t>-FL</w:t>
      </w:r>
      <w:r>
        <w:rPr>
          <w:lang w:val="en-AU"/>
        </w:rPr>
        <w:t xml:space="preserve"> alone or in combination with LnNT</w:t>
      </w:r>
      <w:r w:rsidR="004C53E8">
        <w:rPr>
          <w:lang w:val="en-AU"/>
        </w:rPr>
        <w:t xml:space="preserve"> at specific concentrations</w:t>
      </w:r>
      <w:r>
        <w:rPr>
          <w:lang w:val="en-AU"/>
        </w:rPr>
        <w:t xml:space="preserve">. FSANZ has no concerns with these existing permissions applying to the </w:t>
      </w:r>
      <w:r w:rsidR="004C53E8">
        <w:rPr>
          <w:lang w:val="en-AU"/>
        </w:rPr>
        <w:t xml:space="preserve">A1190 </w:t>
      </w:r>
      <w:r>
        <w:rPr>
          <w:lang w:val="en-AU"/>
        </w:rPr>
        <w:t>applicant</w:t>
      </w:r>
      <w:r w:rsidR="004C53E8">
        <w:rPr>
          <w:lang w:val="en-AU"/>
        </w:rPr>
        <w:t>’</w:t>
      </w:r>
      <w:r>
        <w:rPr>
          <w:lang w:val="en-AU"/>
        </w:rPr>
        <w:t>s 2′</w:t>
      </w:r>
      <w:r w:rsidRPr="00E41E19">
        <w:rPr>
          <w:lang w:val="en-AU"/>
        </w:rPr>
        <w:t>-FL</w:t>
      </w:r>
      <w:r w:rsidR="000962FB">
        <w:rPr>
          <w:lang w:val="en-AU"/>
        </w:rPr>
        <w:t>, noting exclusive use of LnNT in the Code applies at this time</w:t>
      </w:r>
      <w:r w:rsidR="004C53E8">
        <w:rPr>
          <w:lang w:val="en-AU"/>
        </w:rPr>
        <w:t xml:space="preserve"> for a specific brand</w:t>
      </w:r>
      <w:r>
        <w:rPr>
          <w:lang w:val="en-AU"/>
        </w:rPr>
        <w:t>.</w:t>
      </w:r>
    </w:p>
    <w:p w14:paraId="3EE78628" w14:textId="2582A453" w:rsidR="00711858" w:rsidRDefault="00711858" w:rsidP="00E8122F">
      <w:pPr>
        <w:pStyle w:val="Heading2"/>
        <w:widowControl/>
        <w:ind w:left="0" w:firstLine="0"/>
      </w:pPr>
      <w:bookmarkStart w:id="85" w:name="_Toc73104832"/>
      <w:bookmarkStart w:id="86" w:name="_Toc77338780"/>
      <w:r>
        <w:t>3.4</w:t>
      </w:r>
      <w:r>
        <w:tab/>
        <w:t xml:space="preserve">Common substance names for </w:t>
      </w:r>
      <w:r w:rsidRPr="00FD4EC3">
        <w:t>2′-FL</w:t>
      </w:r>
      <w:bookmarkEnd w:id="85"/>
      <w:bookmarkEnd w:id="86"/>
    </w:p>
    <w:p w14:paraId="0D7B748B" w14:textId="45AC01CB" w:rsidR="00BD7912" w:rsidRDefault="00711858" w:rsidP="00E8122F">
      <w:pPr>
        <w:widowControl/>
        <w:rPr>
          <w:lang w:bidi="ar-SA"/>
        </w:rPr>
      </w:pPr>
      <w:r>
        <w:rPr>
          <w:lang w:bidi="ar-SA"/>
        </w:rPr>
        <w:t xml:space="preserve">FSANZ understands there are at least </w:t>
      </w:r>
      <w:r w:rsidR="00FD2CB0">
        <w:rPr>
          <w:lang w:bidi="ar-SA"/>
        </w:rPr>
        <w:t xml:space="preserve">three </w:t>
      </w:r>
      <w:r>
        <w:rPr>
          <w:lang w:bidi="ar-SA"/>
        </w:rPr>
        <w:t xml:space="preserve">possible common substance names for </w:t>
      </w:r>
      <w:r w:rsidRPr="00FD4EC3">
        <w:t>2′-FL</w:t>
      </w:r>
      <w:r>
        <w:rPr>
          <w:lang w:bidi="ar-SA"/>
        </w:rPr>
        <w:t>: “2</w:t>
      </w:r>
      <w:r w:rsidRPr="00FD4EC3">
        <w:t>′</w:t>
      </w:r>
      <w:r>
        <w:rPr>
          <w:lang w:bidi="ar-SA"/>
        </w:rPr>
        <w:t>-fucosyllactose” and “2</w:t>
      </w:r>
      <w:r w:rsidRPr="00FD4EC3">
        <w:t>′</w:t>
      </w:r>
      <w:r>
        <w:rPr>
          <w:lang w:bidi="ar-SA"/>
        </w:rPr>
        <w:t>-</w:t>
      </w:r>
      <w:r w:rsidRPr="00757A3E">
        <w:rPr>
          <w:lang w:bidi="ar-SA"/>
        </w:rPr>
        <w:t>O</w:t>
      </w:r>
      <w:r>
        <w:rPr>
          <w:lang w:bidi="ar-SA"/>
        </w:rPr>
        <w:t xml:space="preserve">-fucosyllactose” and ”2′-fucosyl-D-lactose”. In previous application A1155 (which also included a permission for </w:t>
      </w:r>
      <w:r w:rsidRPr="00FD4EC3">
        <w:t>2′-FL</w:t>
      </w:r>
      <w:r>
        <w:t>)</w:t>
      </w:r>
      <w:r>
        <w:rPr>
          <w:lang w:bidi="ar-SA"/>
        </w:rPr>
        <w:t>, FSANZ adopted the common name used by the applicant “2</w:t>
      </w:r>
      <w:r w:rsidRPr="00FD4EC3">
        <w:t>′</w:t>
      </w:r>
      <w:r>
        <w:rPr>
          <w:lang w:bidi="ar-SA"/>
        </w:rPr>
        <w:t>-</w:t>
      </w:r>
      <w:r w:rsidRPr="00757A3E">
        <w:rPr>
          <w:lang w:bidi="ar-SA"/>
        </w:rPr>
        <w:t>O</w:t>
      </w:r>
      <w:r>
        <w:rPr>
          <w:lang w:bidi="ar-SA"/>
        </w:rPr>
        <w:t xml:space="preserve">-fucosyllactose” in the Code permissions. The applicant for A1190 </w:t>
      </w:r>
      <w:r w:rsidR="00FD2CB0">
        <w:rPr>
          <w:lang w:bidi="ar-SA"/>
        </w:rPr>
        <w:t xml:space="preserve">has </w:t>
      </w:r>
      <w:r>
        <w:rPr>
          <w:lang w:bidi="ar-SA"/>
        </w:rPr>
        <w:t xml:space="preserve">requested FSANZ use </w:t>
      </w:r>
      <w:r w:rsidR="00BD7912">
        <w:rPr>
          <w:lang w:bidi="ar-SA"/>
        </w:rPr>
        <w:t>the</w:t>
      </w:r>
      <w:r>
        <w:rPr>
          <w:lang w:bidi="ar-SA"/>
        </w:rPr>
        <w:t xml:space="preserve"> common name “2</w:t>
      </w:r>
      <w:r w:rsidRPr="00FD4EC3">
        <w:t>′</w:t>
      </w:r>
      <w:r>
        <w:rPr>
          <w:lang w:bidi="ar-SA"/>
        </w:rPr>
        <w:t xml:space="preserve">-fucosyllactose”. </w:t>
      </w:r>
    </w:p>
    <w:p w14:paraId="41133D86" w14:textId="124B2F47" w:rsidR="00BD7912" w:rsidRDefault="00BD7912" w:rsidP="00E8122F">
      <w:pPr>
        <w:widowControl/>
        <w:rPr>
          <w:lang w:bidi="ar-SA"/>
        </w:rPr>
      </w:pPr>
    </w:p>
    <w:p w14:paraId="44EA55B9" w14:textId="16A07169" w:rsidR="00C3302C" w:rsidRDefault="00711858" w:rsidP="00E8122F">
      <w:pPr>
        <w:widowControl/>
        <w:rPr>
          <w:lang w:bidi="ar-SA"/>
        </w:rPr>
      </w:pPr>
      <w:r>
        <w:rPr>
          <w:lang w:bidi="ar-SA"/>
        </w:rPr>
        <w:t xml:space="preserve">During the A1190 assessment period, </w:t>
      </w:r>
      <w:r w:rsidR="00BD7912">
        <w:rPr>
          <w:lang w:bidi="ar-SA"/>
        </w:rPr>
        <w:t xml:space="preserve">FSANZ consulted with the A1155 applicant on the use of different common substance names to describe the same substance in the Code. </w:t>
      </w:r>
      <w:r>
        <w:rPr>
          <w:lang w:bidi="ar-SA"/>
        </w:rPr>
        <w:t xml:space="preserve">FSANZ considers it appropriate to amend Schedule 26 to reference a single </w:t>
      </w:r>
      <w:r w:rsidR="00BD7912">
        <w:rPr>
          <w:lang w:bidi="ar-SA"/>
        </w:rPr>
        <w:t xml:space="preserve">common </w:t>
      </w:r>
      <w:r>
        <w:rPr>
          <w:lang w:bidi="ar-SA"/>
        </w:rPr>
        <w:t>substance name “2</w:t>
      </w:r>
      <w:r w:rsidRPr="00FD4EC3">
        <w:t>′</w:t>
      </w:r>
      <w:r>
        <w:rPr>
          <w:lang w:bidi="ar-SA"/>
        </w:rPr>
        <w:t>-fucosyllactose”.</w:t>
      </w:r>
    </w:p>
    <w:p w14:paraId="636582FA" w14:textId="7DC84341" w:rsidR="00C3302C" w:rsidRDefault="00C3302C" w:rsidP="00E8122F">
      <w:pPr>
        <w:pStyle w:val="Heading2"/>
        <w:widowControl/>
      </w:pPr>
      <w:bookmarkStart w:id="87" w:name="_Toc77338781"/>
      <w:r>
        <w:lastRenderedPageBreak/>
        <w:t>3.5</w:t>
      </w:r>
      <w:r>
        <w:tab/>
        <w:t>Exclusivity</w:t>
      </w:r>
      <w:bookmarkEnd w:id="87"/>
    </w:p>
    <w:p w14:paraId="2B0E96E0" w14:textId="77777777" w:rsidR="005D6015" w:rsidRDefault="00C3302C" w:rsidP="00E8122F">
      <w:pPr>
        <w:widowControl/>
      </w:pPr>
      <w:r>
        <w:t xml:space="preserve">An applicant may request exclusive permission for a period of 15 months to recognise the investment made in developing the food or ingredient or nutritive substance and the need to achieve return on this investment, thereby supporting innovation. The applicant has requested exclusivity for their specific brand of 2′-FL on the basis that they have invested significantly in the technology development and safety studies. </w:t>
      </w:r>
    </w:p>
    <w:p w14:paraId="68487E26" w14:textId="0EF99F89" w:rsidR="005D6015" w:rsidRDefault="005D6015" w:rsidP="00E8122F">
      <w:pPr>
        <w:widowControl/>
      </w:pPr>
    </w:p>
    <w:p w14:paraId="754FA918" w14:textId="18975809" w:rsidR="00C3302C" w:rsidRDefault="00C3302C" w:rsidP="00E8122F">
      <w:pPr>
        <w:widowControl/>
      </w:pPr>
      <w:r>
        <w:t>Following the 15 month period, the permission would revert to a general approval for the class of food. An exclusivity permission in the Code does not, and cannot, prevent approval of second or subsequent applications either within the exclusive use period or during the progression of an application, for the use of the same food or ingredient by other food companies, providing the application process is undertaken.</w:t>
      </w:r>
    </w:p>
    <w:p w14:paraId="011916CF" w14:textId="7BE5DCCA" w:rsidR="005D6015" w:rsidRDefault="005D6015" w:rsidP="00E8122F">
      <w:pPr>
        <w:widowControl/>
      </w:pPr>
    </w:p>
    <w:p w14:paraId="3C542898" w14:textId="7A3F6316" w:rsidR="005D6015" w:rsidRPr="00C3302C" w:rsidRDefault="005D6015" w:rsidP="00E8122F">
      <w:pPr>
        <w:widowControl/>
        <w:rPr>
          <w:lang w:bidi="ar-SA"/>
        </w:rPr>
      </w:pPr>
      <w:r>
        <w:t>FSANZ’s proposed approach is to provide 15 months exclusivity from the date of gazettal for the applicant’s brand of 2′-FL</w:t>
      </w:r>
      <w:r w:rsidR="00A2072D">
        <w:t>, linked to the specific gene-gene donor information</w:t>
      </w:r>
      <w:r>
        <w:t>.</w:t>
      </w:r>
    </w:p>
    <w:p w14:paraId="740CED13" w14:textId="7C95587A" w:rsidR="00E34839" w:rsidRPr="00895302" w:rsidRDefault="001C01B2" w:rsidP="00E8122F">
      <w:pPr>
        <w:pStyle w:val="Heading2"/>
        <w:widowControl/>
        <w:rPr>
          <w:sz w:val="22"/>
          <w:lang w:bidi="en-US"/>
        </w:rPr>
      </w:pPr>
      <w:bookmarkStart w:id="88" w:name="_Toc73104833"/>
      <w:bookmarkStart w:id="89" w:name="_Toc77338782"/>
      <w:r>
        <w:t>3.</w:t>
      </w:r>
      <w:r w:rsidR="00EB63FF">
        <w:t>6</w:t>
      </w:r>
      <w:r>
        <w:tab/>
      </w:r>
      <w:r w:rsidR="00E34839">
        <w:t>Risk management conclusion</w:t>
      </w:r>
      <w:bookmarkEnd w:id="88"/>
      <w:bookmarkEnd w:id="89"/>
    </w:p>
    <w:p w14:paraId="7A267AFA" w14:textId="3665004F" w:rsidR="000962FB" w:rsidRDefault="000962FB" w:rsidP="00E8122F">
      <w:pPr>
        <w:widowControl/>
      </w:pPr>
      <w:r>
        <w:t xml:space="preserve">Having considered all aspects of the assessment against the statutory requirements, including relevant Ministerial Policy Guidelines, FSANZ has prepared a draft variation to permit the voluntary addition of the applicant’s 2′-FL to IFP. </w:t>
      </w:r>
    </w:p>
    <w:p w14:paraId="3148C6B3" w14:textId="5A87A367" w:rsidR="000962FB" w:rsidRDefault="000962FB" w:rsidP="00E8122F">
      <w:pPr>
        <w:widowControl/>
      </w:pPr>
    </w:p>
    <w:p w14:paraId="0843F1DD" w14:textId="77777777" w:rsidR="000962FB" w:rsidRDefault="000962FB" w:rsidP="00E8122F">
      <w:pPr>
        <w:widowControl/>
        <w:spacing w:after="240"/>
      </w:pPr>
      <w:r>
        <w:t>The addition of the applicant’s 2′-FL to IFP will be subject to the following Code requirements or conditions.</w:t>
      </w:r>
    </w:p>
    <w:p w14:paraId="384BAB2D" w14:textId="2A4772AE" w:rsidR="00E82BB2" w:rsidRPr="00E82BB2" w:rsidRDefault="000962FB" w:rsidP="00E8122F">
      <w:pPr>
        <w:pStyle w:val="FSBullet1"/>
        <w:numPr>
          <w:ilvl w:val="0"/>
          <w:numId w:val="11"/>
        </w:numPr>
        <w:spacing w:before="240" w:after="240"/>
      </w:pPr>
      <w:r>
        <w:t xml:space="preserve">It may be added </w:t>
      </w:r>
      <w:r w:rsidR="00E82BB2">
        <w:t xml:space="preserve">alone or in combination with LnNT </w:t>
      </w:r>
      <w:r>
        <w:t xml:space="preserve">up to a </w:t>
      </w:r>
      <w:r w:rsidRPr="00475703">
        <w:t xml:space="preserve">maximum </w:t>
      </w:r>
      <w:r>
        <w:t>level</w:t>
      </w:r>
      <w:r w:rsidRPr="00475703">
        <w:t xml:space="preserve"> of 2.4 g/L for 2′-FL, as consumed (i.e. in powder or </w:t>
      </w:r>
      <w:r>
        <w:t>liquid</w:t>
      </w:r>
      <w:r w:rsidRPr="00475703">
        <w:t xml:space="preserve"> form)</w:t>
      </w:r>
      <w:r w:rsidR="00E82BB2">
        <w:t>.</w:t>
      </w:r>
    </w:p>
    <w:p w14:paraId="3ADB4A61" w14:textId="77777777" w:rsidR="000962FB" w:rsidRPr="00DE25A4" w:rsidRDefault="000962FB" w:rsidP="00E8122F">
      <w:pPr>
        <w:pStyle w:val="FSBullet1"/>
        <w:numPr>
          <w:ilvl w:val="0"/>
          <w:numId w:val="11"/>
        </w:numPr>
        <w:spacing w:before="240" w:after="240"/>
      </w:pPr>
      <w:r>
        <w:t xml:space="preserve">The existing prohibition for the use of 2′-FL with </w:t>
      </w:r>
      <w:r w:rsidRPr="00DE25A4">
        <w:rPr>
          <w:rFonts w:eastAsia="Calibri"/>
        </w:rPr>
        <w:t xml:space="preserve">galacto-oligosaccharides and inulin-type fructans would apply to IFP that contain the applicants </w:t>
      </w:r>
      <w:r>
        <w:t>2′-FL</w:t>
      </w:r>
      <w:r w:rsidRPr="00DE25A4">
        <w:rPr>
          <w:rFonts w:eastAsia="Calibri"/>
        </w:rPr>
        <w:t>.</w:t>
      </w:r>
    </w:p>
    <w:p w14:paraId="09C130DA" w14:textId="77777777" w:rsidR="000962FB" w:rsidRDefault="000962FB" w:rsidP="00E8122F">
      <w:pPr>
        <w:pStyle w:val="FSBullet1"/>
        <w:numPr>
          <w:ilvl w:val="0"/>
          <w:numId w:val="11"/>
        </w:numPr>
        <w:spacing w:after="120"/>
      </w:pPr>
      <w:r>
        <w:t>The existing prohibition for the use of the words ‘human milk identical oligosaccharide’ or ‘human milk oligosaccharide’,</w:t>
      </w:r>
      <w:r w:rsidRPr="00E00735">
        <w:t xml:space="preserve"> </w:t>
      </w:r>
      <w:r>
        <w:t xml:space="preserve">and abbreviations ‘HMO’, ‘HiMO’, or any word or words or abbreviations having the same or similar effect, would apply to IFP that contain the applicant’s </w:t>
      </w:r>
      <w:r w:rsidRPr="00E00735">
        <w:t>2′-FL</w:t>
      </w:r>
      <w:r>
        <w:t xml:space="preserve">. </w:t>
      </w:r>
    </w:p>
    <w:p w14:paraId="537BC4DB" w14:textId="77777777" w:rsidR="000962FB" w:rsidRDefault="000962FB" w:rsidP="00E8122F">
      <w:pPr>
        <w:pStyle w:val="FSBullet1"/>
        <w:numPr>
          <w:ilvl w:val="0"/>
          <w:numId w:val="11"/>
        </w:numPr>
        <w:spacing w:after="120"/>
      </w:pPr>
      <w:r>
        <w:t>An e</w:t>
      </w:r>
      <w:r w:rsidRPr="0091535D">
        <w:t>xclusive permission</w:t>
      </w:r>
      <w:r>
        <w:t xml:space="preserve"> to use </w:t>
      </w:r>
      <w:r>
        <w:rPr>
          <w:rFonts w:eastAsia="Calibri"/>
        </w:rPr>
        <w:t xml:space="preserve">the applicant’s </w:t>
      </w:r>
      <w:r>
        <w:t xml:space="preserve">2′-FLwould apply </w:t>
      </w:r>
      <w:r w:rsidRPr="0091535D">
        <w:t>for a period of 15 months</w:t>
      </w:r>
      <w:r>
        <w:t>, linked to the applicant’s brand name ‘CHR. HANSEN™ 2′</w:t>
      </w:r>
      <w:r w:rsidRPr="0091535D">
        <w:t>-FL</w:t>
      </w:r>
      <w:r>
        <w:t xml:space="preserve">’, </w:t>
      </w:r>
      <w:r w:rsidRPr="0091535D">
        <w:t>commencing on the date of gazettal of the variation</w:t>
      </w:r>
      <w:r>
        <w:t>.</w:t>
      </w:r>
    </w:p>
    <w:p w14:paraId="4E3BDF19" w14:textId="77777777" w:rsidR="000962FB" w:rsidRDefault="000962FB" w:rsidP="00E8122F">
      <w:pPr>
        <w:pStyle w:val="ListParagraph"/>
        <w:widowControl/>
        <w:numPr>
          <w:ilvl w:val="0"/>
          <w:numId w:val="11"/>
        </w:numPr>
        <w:rPr>
          <w:lang w:bidi="ar-SA"/>
        </w:rPr>
      </w:pPr>
      <w:r>
        <w:t>Schedule 3 of the Code will set a specific specification for the applicant’s 2′-FL, with which it must comply.</w:t>
      </w:r>
    </w:p>
    <w:p w14:paraId="18249505" w14:textId="1A20F9CF" w:rsidR="000962FB" w:rsidRDefault="000962FB" w:rsidP="00E8122F">
      <w:pPr>
        <w:widowControl/>
      </w:pPr>
    </w:p>
    <w:p w14:paraId="68BB55A5" w14:textId="5BE2741A" w:rsidR="00711858" w:rsidRPr="00711858" w:rsidRDefault="000962FB" w:rsidP="00E8122F">
      <w:pPr>
        <w:widowControl/>
        <w:rPr>
          <w:lang w:val="en-AU"/>
        </w:rPr>
      </w:pPr>
      <w:r>
        <w:t>The draft variation reflecting this option is at Attachment A. The draft explanatory statement for the variation is in Attachment B.</w:t>
      </w:r>
      <w:r w:rsidDel="000962FB">
        <w:t xml:space="preserve"> </w:t>
      </w:r>
    </w:p>
    <w:p w14:paraId="02736354" w14:textId="77777777" w:rsidR="00E9020E" w:rsidRDefault="00E9020E" w:rsidP="00E8122F">
      <w:pPr>
        <w:widowControl/>
      </w:pPr>
    </w:p>
    <w:p w14:paraId="6217151A" w14:textId="53034F95" w:rsidR="00E520FE" w:rsidRPr="00932F14" w:rsidRDefault="00C74D25" w:rsidP="00E8122F">
      <w:pPr>
        <w:pStyle w:val="Heading1"/>
        <w:widowControl/>
      </w:pPr>
      <w:bookmarkStart w:id="90" w:name="_Toc300933435"/>
      <w:bookmarkStart w:id="91" w:name="_Toc73104834"/>
      <w:bookmarkStart w:id="92" w:name="_Toc77338783"/>
      <w:r>
        <w:lastRenderedPageBreak/>
        <w:t>4</w:t>
      </w:r>
      <w:r w:rsidR="00E520FE">
        <w:tab/>
        <w:t>Risk communication</w:t>
      </w:r>
      <w:bookmarkEnd w:id="90"/>
      <w:bookmarkEnd w:id="91"/>
      <w:bookmarkEnd w:id="92"/>
      <w:r w:rsidR="00E520FE">
        <w:t xml:space="preserve"> </w:t>
      </w:r>
    </w:p>
    <w:p w14:paraId="2A916143" w14:textId="3321BF10" w:rsidR="00E520FE" w:rsidRPr="00022DBC" w:rsidRDefault="00C74D25" w:rsidP="00E8122F">
      <w:pPr>
        <w:pStyle w:val="Heading2"/>
        <w:widowControl/>
      </w:pPr>
      <w:bookmarkStart w:id="93" w:name="_Toc300933437"/>
      <w:bookmarkStart w:id="94" w:name="_Toc73104835"/>
      <w:bookmarkStart w:id="95" w:name="_Toc77338784"/>
      <w:bookmarkStart w:id="96" w:name="_Toc286391012"/>
      <w:r>
        <w:t>4</w:t>
      </w:r>
      <w:r w:rsidR="00E520FE" w:rsidRPr="00022DBC">
        <w:t>.1</w:t>
      </w:r>
      <w:r w:rsidR="00E520FE" w:rsidRPr="00022DBC">
        <w:tab/>
        <w:t>Consultation</w:t>
      </w:r>
      <w:bookmarkEnd w:id="93"/>
      <w:bookmarkEnd w:id="94"/>
      <w:bookmarkEnd w:id="95"/>
    </w:p>
    <w:p w14:paraId="4124F470" w14:textId="4E9A80B5" w:rsidR="005C323B" w:rsidRPr="005C323B" w:rsidRDefault="0027513D" w:rsidP="00E8122F">
      <w:pPr>
        <w:widowControl/>
        <w:rPr>
          <w:color w:val="000000" w:themeColor="text1"/>
          <w:szCs w:val="22"/>
        </w:rPr>
      </w:pPr>
      <w:r w:rsidRPr="0027513D">
        <w:rPr>
          <w:szCs w:val="22"/>
        </w:rPr>
        <w:t>Consultation is a key part of FSANZ’s</w:t>
      </w:r>
      <w:r w:rsidR="005C323B">
        <w:rPr>
          <w:szCs w:val="22"/>
        </w:rPr>
        <w:t xml:space="preserve"> standards development process. </w:t>
      </w:r>
      <w:r w:rsidR="005C323B" w:rsidRPr="005C323B">
        <w:rPr>
          <w:szCs w:val="22"/>
        </w:rPr>
        <w:t xml:space="preserve">FSANZ developed a communication strategy for this application. Subscribers and interested parties were notified </w:t>
      </w:r>
      <w:r w:rsidR="005C323B" w:rsidRPr="005C323B">
        <w:rPr>
          <w:color w:val="000000" w:themeColor="text1"/>
          <w:szCs w:val="22"/>
        </w:rPr>
        <w:t>about public consultation periods via the FSANZ Notification Circular, media release</w:t>
      </w:r>
      <w:r w:rsidR="00011899">
        <w:rPr>
          <w:color w:val="000000" w:themeColor="text1"/>
          <w:szCs w:val="22"/>
        </w:rPr>
        <w:t>,</w:t>
      </w:r>
      <w:r w:rsidR="005C323B" w:rsidRPr="005C323B">
        <w:rPr>
          <w:color w:val="000000" w:themeColor="text1"/>
          <w:szCs w:val="22"/>
        </w:rPr>
        <w:t xml:space="preserve"> </w:t>
      </w:r>
      <w:r w:rsidR="00011899" w:rsidRPr="005C323B">
        <w:rPr>
          <w:color w:val="000000" w:themeColor="text1"/>
          <w:szCs w:val="22"/>
        </w:rPr>
        <w:t xml:space="preserve">Food Standards News </w:t>
      </w:r>
      <w:r w:rsidR="005C323B" w:rsidRPr="005C323B">
        <w:rPr>
          <w:color w:val="000000" w:themeColor="text1"/>
          <w:szCs w:val="22"/>
        </w:rPr>
        <w:t>and through FSANZ’s social media tools.</w:t>
      </w:r>
    </w:p>
    <w:p w14:paraId="3A8C392B" w14:textId="6DE29049" w:rsidR="0027513D" w:rsidRPr="005C323B" w:rsidRDefault="0027513D" w:rsidP="00E8122F">
      <w:pPr>
        <w:widowControl/>
        <w:rPr>
          <w:color w:val="000000" w:themeColor="text1"/>
          <w:szCs w:val="22"/>
        </w:rPr>
      </w:pPr>
    </w:p>
    <w:p w14:paraId="5D2BB299" w14:textId="3AFE36A3" w:rsidR="00FB67A3" w:rsidRPr="005C323B" w:rsidRDefault="005C323B" w:rsidP="00E8122F">
      <w:pPr>
        <w:widowControl/>
        <w:rPr>
          <w:color w:val="000000" w:themeColor="text1"/>
          <w:szCs w:val="22"/>
        </w:rPr>
      </w:pPr>
      <w:r w:rsidRPr="005C323B">
        <w:rPr>
          <w:color w:val="000000" w:themeColor="text1"/>
          <w:szCs w:val="22"/>
        </w:rPr>
        <w:t xml:space="preserve">FSANZ welcomes submissions from individuals and organisations on this application and FSANZ’s assessment. </w:t>
      </w:r>
      <w:r w:rsidR="00FB67A3" w:rsidRPr="005C323B">
        <w:rPr>
          <w:color w:val="000000" w:themeColor="text1"/>
          <w:szCs w:val="22"/>
        </w:rPr>
        <w:t xml:space="preserve">All comments are valued and contribute to the rigour of our assessment. </w:t>
      </w:r>
    </w:p>
    <w:p w14:paraId="23B15904" w14:textId="7A912BB0" w:rsidR="00E520FE" w:rsidRPr="00022DBC" w:rsidRDefault="00210C5C" w:rsidP="00E8122F">
      <w:pPr>
        <w:pStyle w:val="Heading2"/>
        <w:widowControl/>
      </w:pPr>
      <w:bookmarkStart w:id="97" w:name="_Toc300761912"/>
      <w:bookmarkStart w:id="98" w:name="_Toc300933439"/>
      <w:bookmarkStart w:id="99" w:name="_Toc73104836"/>
      <w:bookmarkStart w:id="100" w:name="_Toc77338785"/>
      <w:bookmarkEnd w:id="96"/>
      <w:r>
        <w:t>4</w:t>
      </w:r>
      <w:r w:rsidR="00022DBC" w:rsidRPr="00022DBC">
        <w:t>.</w:t>
      </w:r>
      <w:r>
        <w:t>2</w:t>
      </w:r>
      <w:r w:rsidR="00E520FE" w:rsidRPr="00022DBC">
        <w:tab/>
        <w:t>World Trade Organization (WTO)</w:t>
      </w:r>
      <w:bookmarkEnd w:id="97"/>
      <w:bookmarkEnd w:id="98"/>
      <w:bookmarkEnd w:id="99"/>
      <w:bookmarkEnd w:id="100"/>
    </w:p>
    <w:p w14:paraId="65B0A706" w14:textId="77777777" w:rsidR="00E520FE" w:rsidRPr="004D4837" w:rsidRDefault="00E520FE" w:rsidP="00E8122F">
      <w:pPr>
        <w:widowControl/>
        <w:rPr>
          <w:rFonts w:cs="Arial"/>
          <w:color w:val="000000" w:themeColor="text1"/>
        </w:rPr>
      </w:pPr>
      <w:r w:rsidRPr="004D4837">
        <w:rPr>
          <w:rFonts w:cs="Arial"/>
          <w:color w:val="000000" w:themeColor="text1"/>
        </w:rPr>
        <w:t>As members of the World Trade Organization (WTO), Australia and New Zealand are obliged to notify WTO member</w:t>
      </w:r>
      <w:r w:rsidR="00BB5930" w:rsidRPr="004D4837">
        <w:rPr>
          <w:rFonts w:cs="Arial"/>
          <w:color w:val="000000" w:themeColor="text1"/>
        </w:rPr>
        <w:t>s</w:t>
      </w:r>
      <w:r w:rsidRPr="004D4837">
        <w:rPr>
          <w:rFonts w:cs="Arial"/>
          <w:color w:val="000000" w:themeColor="text1"/>
        </w:rPr>
        <w:t xml:space="preserve"> where proposed mandatory regulatory measures are inconsistent with any existing or imminent international standards and the proposed measure may have a significant effect on trade.</w:t>
      </w:r>
    </w:p>
    <w:p w14:paraId="5031274B" w14:textId="77777777" w:rsidR="005C323B" w:rsidRPr="004D4837" w:rsidRDefault="005C323B" w:rsidP="00E8122F">
      <w:pPr>
        <w:widowControl/>
        <w:tabs>
          <w:tab w:val="left" w:pos="1560"/>
        </w:tabs>
        <w:rPr>
          <w:color w:val="000000" w:themeColor="text1"/>
        </w:rPr>
      </w:pPr>
    </w:p>
    <w:p w14:paraId="71BA6BFA" w14:textId="50AB66FA" w:rsidR="00E520FE" w:rsidRDefault="00E520FE" w:rsidP="00E8122F">
      <w:pPr>
        <w:widowControl/>
        <w:tabs>
          <w:tab w:val="left" w:pos="1560"/>
        </w:tabs>
        <w:rPr>
          <w:rFonts w:cs="Arial"/>
          <w:iCs/>
          <w:color w:val="000000" w:themeColor="text1"/>
        </w:rPr>
      </w:pPr>
      <w:r w:rsidRPr="004D4837">
        <w:rPr>
          <w:rFonts w:cs="Arial"/>
          <w:color w:val="000000" w:themeColor="text1"/>
        </w:rPr>
        <w:t xml:space="preserve">There are relevant </w:t>
      </w:r>
      <w:r w:rsidR="005C323B" w:rsidRPr="004D4837">
        <w:rPr>
          <w:rFonts w:cs="Arial"/>
          <w:color w:val="000000" w:themeColor="text1"/>
        </w:rPr>
        <w:t>overseas</w:t>
      </w:r>
      <w:r w:rsidRPr="004D4837">
        <w:rPr>
          <w:rFonts w:cs="Arial"/>
          <w:color w:val="000000" w:themeColor="text1"/>
        </w:rPr>
        <w:t xml:space="preserve"> standards and amending the Code to </w:t>
      </w:r>
      <w:r w:rsidR="005C323B" w:rsidRPr="004D4837">
        <w:rPr>
          <w:rFonts w:cs="Arial"/>
          <w:color w:val="000000" w:themeColor="text1"/>
        </w:rPr>
        <w:t xml:space="preserve">permit the voluntary addition of </w:t>
      </w:r>
      <w:r w:rsidR="00372383">
        <w:rPr>
          <w:rFonts w:cs="Arial"/>
          <w:color w:val="000000" w:themeColor="text1"/>
        </w:rPr>
        <w:t>the appl</w:t>
      </w:r>
      <w:r w:rsidR="003D5C55">
        <w:rPr>
          <w:rFonts w:cs="Arial"/>
          <w:color w:val="000000" w:themeColor="text1"/>
        </w:rPr>
        <w:t>i</w:t>
      </w:r>
      <w:r w:rsidR="00372383">
        <w:rPr>
          <w:rFonts w:cs="Arial"/>
          <w:color w:val="000000" w:themeColor="text1"/>
        </w:rPr>
        <w:t xml:space="preserve">cant’s </w:t>
      </w:r>
      <w:r w:rsidR="00245386" w:rsidRPr="00FD4EC3">
        <w:t>2′-FL</w:t>
      </w:r>
      <w:r w:rsidR="00F27B12">
        <w:rPr>
          <w:vertAlign w:val="subscript"/>
        </w:rPr>
        <w:t xml:space="preserve"> </w:t>
      </w:r>
      <w:r w:rsidR="005C323B" w:rsidRPr="004D4837">
        <w:rPr>
          <w:rFonts w:cs="Arial"/>
          <w:color w:val="000000" w:themeColor="text1"/>
        </w:rPr>
        <w:t xml:space="preserve">to </w:t>
      </w:r>
      <w:r w:rsidR="00372383">
        <w:rPr>
          <w:rFonts w:cs="Arial"/>
          <w:color w:val="000000" w:themeColor="text1"/>
        </w:rPr>
        <w:t>IFP</w:t>
      </w:r>
      <w:r w:rsidR="005C323B" w:rsidRPr="004D4837">
        <w:rPr>
          <w:rFonts w:cs="Arial"/>
          <w:color w:val="000000" w:themeColor="text1"/>
        </w:rPr>
        <w:t xml:space="preserve"> </w:t>
      </w:r>
      <w:r w:rsidR="00245386">
        <w:rPr>
          <w:rFonts w:cs="Arial"/>
          <w:color w:val="000000" w:themeColor="text1"/>
        </w:rPr>
        <w:t xml:space="preserve">as proposed </w:t>
      </w:r>
      <w:r w:rsidRPr="004D4837">
        <w:rPr>
          <w:rFonts w:cs="Arial"/>
          <w:color w:val="000000" w:themeColor="text1"/>
        </w:rPr>
        <w:t xml:space="preserve">is unlikely to have a significant effect on international trade as </w:t>
      </w:r>
      <w:r w:rsidR="00372383" w:rsidRPr="004D4837">
        <w:rPr>
          <w:rFonts w:cs="Arial"/>
          <w:color w:val="000000" w:themeColor="text1"/>
        </w:rPr>
        <w:t>th</w:t>
      </w:r>
      <w:r w:rsidR="00372383">
        <w:rPr>
          <w:rFonts w:cs="Arial"/>
          <w:color w:val="000000" w:themeColor="text1"/>
        </w:rPr>
        <w:t>is</w:t>
      </w:r>
      <w:r w:rsidR="00372383" w:rsidRPr="004D4837">
        <w:rPr>
          <w:rFonts w:cs="Arial"/>
          <w:color w:val="000000" w:themeColor="text1"/>
        </w:rPr>
        <w:t xml:space="preserve"> </w:t>
      </w:r>
      <w:r w:rsidR="005C323B" w:rsidRPr="004D4837">
        <w:rPr>
          <w:rFonts w:cs="Arial"/>
          <w:color w:val="000000" w:themeColor="text1"/>
        </w:rPr>
        <w:t>substance</w:t>
      </w:r>
      <w:r w:rsidR="00372383">
        <w:rPr>
          <w:rFonts w:cs="Arial"/>
          <w:color w:val="000000" w:themeColor="text1"/>
        </w:rPr>
        <w:t xml:space="preserve"> is</w:t>
      </w:r>
      <w:r w:rsidR="005C323B" w:rsidRPr="004D4837">
        <w:rPr>
          <w:rFonts w:cs="Arial"/>
          <w:color w:val="000000" w:themeColor="text1"/>
        </w:rPr>
        <w:t xml:space="preserve"> already permitted in similar products in some countries overseas</w:t>
      </w:r>
      <w:r w:rsidRPr="004D4837">
        <w:rPr>
          <w:rFonts w:cs="Arial"/>
          <w:color w:val="000000" w:themeColor="text1"/>
        </w:rPr>
        <w:t xml:space="preserve">. </w:t>
      </w:r>
      <w:r w:rsidRPr="004D4837">
        <w:rPr>
          <w:rFonts w:cs="Arial"/>
          <w:iCs/>
          <w:color w:val="000000" w:themeColor="text1"/>
        </w:rPr>
        <w:t xml:space="preserve">Therefore, a notification to the WTO under </w:t>
      </w:r>
      <w:r w:rsidRPr="004D4837">
        <w:rPr>
          <w:rFonts w:cs="Arial"/>
          <w:color w:val="000000" w:themeColor="text1"/>
        </w:rPr>
        <w:t>Australia’s and New Zealand’s</w:t>
      </w:r>
      <w:r w:rsidRPr="004D4837">
        <w:rPr>
          <w:rFonts w:cs="Arial"/>
          <w:iCs/>
          <w:color w:val="000000" w:themeColor="text1"/>
        </w:rPr>
        <w:t xml:space="preserve"> obligations under the WTO Technical Barriers to Trade or </w:t>
      </w:r>
      <w:r w:rsidR="00D04529" w:rsidRPr="004D4837">
        <w:rPr>
          <w:rFonts w:cs="Arial"/>
          <w:iCs/>
          <w:color w:val="000000" w:themeColor="text1"/>
        </w:rPr>
        <w:t xml:space="preserve">Application of </w:t>
      </w:r>
      <w:r w:rsidRPr="004D4837">
        <w:rPr>
          <w:rFonts w:cs="Arial"/>
          <w:iCs/>
          <w:color w:val="000000" w:themeColor="text1"/>
        </w:rPr>
        <w:t>Sanitary and Phytosanitary Measures Agreement was not considered necessary.</w:t>
      </w:r>
    </w:p>
    <w:p w14:paraId="2E2E0BAE" w14:textId="77777777" w:rsidR="00210C5C" w:rsidRPr="004D4837" w:rsidRDefault="00210C5C" w:rsidP="00E8122F">
      <w:pPr>
        <w:widowControl/>
        <w:tabs>
          <w:tab w:val="left" w:pos="1560"/>
        </w:tabs>
        <w:rPr>
          <w:rFonts w:cs="Arial"/>
          <w:iCs/>
          <w:color w:val="000000" w:themeColor="text1"/>
        </w:rPr>
      </w:pPr>
    </w:p>
    <w:p w14:paraId="38959684" w14:textId="612F783E" w:rsidR="00E520FE" w:rsidRDefault="00210C5C" w:rsidP="00E8122F">
      <w:pPr>
        <w:pStyle w:val="Heading1"/>
        <w:widowControl/>
      </w:pPr>
      <w:bookmarkStart w:id="101" w:name="_Toc73104837"/>
      <w:bookmarkStart w:id="102" w:name="_Toc77338786"/>
      <w:r>
        <w:t>5</w:t>
      </w:r>
      <w:r w:rsidR="00022DBC">
        <w:tab/>
        <w:t>FSANZ Act assessment requirements</w:t>
      </w:r>
      <w:bookmarkEnd w:id="101"/>
      <w:bookmarkEnd w:id="102"/>
    </w:p>
    <w:p w14:paraId="167E1084" w14:textId="4B9DBE1F" w:rsidR="00726C2F" w:rsidRPr="00914030" w:rsidRDefault="00210C5C" w:rsidP="00E8122F">
      <w:pPr>
        <w:pStyle w:val="Heading2"/>
        <w:widowControl/>
      </w:pPr>
      <w:bookmarkStart w:id="103" w:name="_Toc73104838"/>
      <w:bookmarkStart w:id="104" w:name="_Toc77338787"/>
      <w:r>
        <w:t>5.1</w:t>
      </w:r>
      <w:r w:rsidR="00726C2F">
        <w:tab/>
        <w:t>Section</w:t>
      </w:r>
      <w:r w:rsidR="00726C2F" w:rsidRPr="00A55886">
        <w:t xml:space="preserve"> 29</w:t>
      </w:r>
      <w:bookmarkEnd w:id="103"/>
      <w:bookmarkEnd w:id="104"/>
    </w:p>
    <w:p w14:paraId="413FF008" w14:textId="77777777" w:rsidR="00981E04" w:rsidRPr="00981E04" w:rsidRDefault="00981E04" w:rsidP="00E8122F">
      <w:pPr>
        <w:widowControl/>
      </w:pPr>
      <w:bookmarkStart w:id="105" w:name="_Toc73104839"/>
      <w:r w:rsidRPr="00981E04">
        <w:t xml:space="preserve">When assessing this application and the subsequent development of food regulatory measures, FSANZ has had regard to the </w:t>
      </w:r>
      <w:r w:rsidRPr="00981E04" w:rsidDel="00932F14">
        <w:t xml:space="preserve">following </w:t>
      </w:r>
      <w:r w:rsidRPr="00981E04">
        <w:t>matters in section 29 of the FSANZ Act:</w:t>
      </w:r>
    </w:p>
    <w:p w14:paraId="7D4C42CF" w14:textId="7D63B79C" w:rsidR="00726C2F" w:rsidRDefault="00210C5C" w:rsidP="00E8122F">
      <w:pPr>
        <w:pStyle w:val="Heading3"/>
        <w:widowControl/>
      </w:pPr>
      <w:bookmarkStart w:id="106" w:name="_Toc77338788"/>
      <w:r>
        <w:t>5</w:t>
      </w:r>
      <w:r w:rsidR="00195254">
        <w:t>.</w:t>
      </w:r>
      <w:r>
        <w:t>1.1</w:t>
      </w:r>
      <w:r w:rsidR="00195254">
        <w:tab/>
        <w:t>Co</w:t>
      </w:r>
      <w:r w:rsidR="00195254">
        <w:rPr>
          <w:lang w:val="en-AU"/>
        </w:rPr>
        <w:t>nsideration of costs and benefits</w:t>
      </w:r>
      <w:bookmarkEnd w:id="105"/>
      <w:bookmarkEnd w:id="106"/>
    </w:p>
    <w:p w14:paraId="4567CB3E" w14:textId="77777777" w:rsidR="00E82BB2" w:rsidRDefault="00E82BB2" w:rsidP="00E8122F">
      <w:pPr>
        <w:widowControl/>
      </w:pPr>
      <w:r>
        <w:t>The Office of Best Practice Regulation (OBPR) granted FSANZ a standing exemption from</w:t>
      </w:r>
    </w:p>
    <w:p w14:paraId="39ECDE0B" w14:textId="77777777" w:rsidR="00E82BB2" w:rsidRDefault="00E82BB2" w:rsidP="00E8122F">
      <w:pPr>
        <w:widowControl/>
      </w:pPr>
      <w:r>
        <w:t xml:space="preserve">the requirement to develop a Regulatory Impact Statement (RIS) for permitting genetically </w:t>
      </w:r>
    </w:p>
    <w:p w14:paraId="4F0F21A3" w14:textId="77777777" w:rsidR="00E82BB2" w:rsidRDefault="00E82BB2" w:rsidP="00E8122F">
      <w:pPr>
        <w:widowControl/>
      </w:pPr>
      <w:r>
        <w:t>modified foods (OBPR correspondence dated 24 November 2010, reference 12065) and for</w:t>
      </w:r>
    </w:p>
    <w:p w14:paraId="128A5BA9" w14:textId="77777777" w:rsidR="00E82BB2" w:rsidRDefault="00E82BB2" w:rsidP="00E8122F">
      <w:pPr>
        <w:widowControl/>
      </w:pPr>
      <w:r>
        <w:t>the voluntary addition of nutritive substances to foods (OBPR correspondence dated 16 April</w:t>
      </w:r>
    </w:p>
    <w:p w14:paraId="72680FF5" w14:textId="1827D130" w:rsidR="00F63D02" w:rsidRPr="00023745" w:rsidRDefault="00E82BB2" w:rsidP="00E8122F">
      <w:pPr>
        <w:widowControl/>
      </w:pPr>
      <w:r>
        <w:t>2013, reference 14943).</w:t>
      </w:r>
    </w:p>
    <w:p w14:paraId="52BFE4CB" w14:textId="77777777" w:rsidR="0045496A" w:rsidRDefault="0045496A" w:rsidP="00E8122F">
      <w:pPr>
        <w:widowControl/>
        <w:rPr>
          <w:rFonts w:cs="Arial"/>
        </w:rPr>
      </w:pPr>
    </w:p>
    <w:p w14:paraId="4285B7DC" w14:textId="2E1517F0" w:rsidR="00283A95" w:rsidRPr="00023745" w:rsidRDefault="00283A95" w:rsidP="00E8122F">
      <w:pPr>
        <w:widowControl/>
        <w:rPr>
          <w:rFonts w:cs="Arial"/>
        </w:rPr>
      </w:pPr>
      <w:r w:rsidRPr="00023745">
        <w:rPr>
          <w:rFonts w:cs="Arial"/>
        </w:rPr>
        <w:t xml:space="preserve">FSANZ, however, has given consideration to the costs and benefits that may arise from the proposed measure for the purposes of meeting FSANZ Act considerations. </w:t>
      </w:r>
      <w:r w:rsidRPr="0043509B">
        <w:rPr>
          <w:rFonts w:cs="Arial"/>
        </w:rPr>
        <w:t xml:space="preserve">The FSANZ Act requires FSANZ to have regard to whether costs that would </w:t>
      </w:r>
      <w:r w:rsidRPr="0043509B">
        <w:rPr>
          <w:rFonts w:cs="Arial"/>
        </w:rPr>
        <w:lastRenderedPageBreak/>
        <w:t xml:space="preserve">arise from the proposed measure outweigh the direct and indirect benefits to the community, government or industry that would arise from the proposed measure </w:t>
      </w:r>
      <w:r w:rsidRPr="00023745">
        <w:rPr>
          <w:rFonts w:cs="Arial"/>
        </w:rPr>
        <w:t xml:space="preserve">(paragraph 29(2)(a)). </w:t>
      </w:r>
    </w:p>
    <w:p w14:paraId="270B3B41" w14:textId="77777777" w:rsidR="00283A95" w:rsidRPr="00023745" w:rsidRDefault="00283A95" w:rsidP="00E8122F">
      <w:pPr>
        <w:widowControl/>
        <w:rPr>
          <w:rFonts w:cs="Arial"/>
        </w:rPr>
      </w:pPr>
    </w:p>
    <w:p w14:paraId="4D1A040C" w14:textId="6E933BC3" w:rsidR="006F4F3F" w:rsidRDefault="00283A95" w:rsidP="00E8122F">
      <w:pPr>
        <w:widowControl/>
        <w:spacing w:after="240"/>
        <w:rPr>
          <w:rFonts w:cs="Arial"/>
        </w:rPr>
      </w:pPr>
      <w:r w:rsidRPr="00023745" w:rsidDel="007A476B">
        <w:t xml:space="preserve">The purpose of this consideration is to determine if the community, government, and industry as a whole is likely to benefit, on balance, from a move from the status quo (where status quo is </w:t>
      </w:r>
      <w:r w:rsidR="006F4F3F">
        <w:t>Option 1</w:t>
      </w:r>
      <w:r w:rsidR="00746E4B">
        <w:t>:</w:t>
      </w:r>
      <w:r w:rsidRPr="00023745">
        <w:t xml:space="preserve"> </w:t>
      </w:r>
      <w:r w:rsidRPr="00023745" w:rsidDel="007A476B">
        <w:t>rejecting the application)</w:t>
      </w:r>
      <w:r w:rsidRPr="00023745">
        <w:t>. This analysis considers</w:t>
      </w:r>
      <w:r w:rsidR="007A476B">
        <w:t xml:space="preserve"> costs and benefits to the community, government, and industry</w:t>
      </w:r>
      <w:r w:rsidRPr="00023745">
        <w:rPr>
          <w:rFonts w:cs="Arial"/>
        </w:rPr>
        <w:t xml:space="preserve"> </w:t>
      </w:r>
      <w:r w:rsidR="00E07AE9" w:rsidRPr="00023745">
        <w:rPr>
          <w:rFonts w:cs="Arial"/>
        </w:rPr>
        <w:t xml:space="preserve">of two </w:t>
      </w:r>
      <w:r w:rsidR="006F4F3F">
        <w:rPr>
          <w:rFonts w:cs="Arial"/>
        </w:rPr>
        <w:t>other</w:t>
      </w:r>
      <w:r w:rsidR="00E07AE9" w:rsidRPr="00023745">
        <w:rPr>
          <w:rFonts w:cs="Arial"/>
        </w:rPr>
        <w:t xml:space="preserve"> options: </w:t>
      </w:r>
    </w:p>
    <w:p w14:paraId="2A87FDF2" w14:textId="5C3CDFCB" w:rsidR="006F4F3F" w:rsidRPr="00596FD1" w:rsidRDefault="00E07AE9" w:rsidP="00E8122F">
      <w:pPr>
        <w:pStyle w:val="AARBullet"/>
        <w:numPr>
          <w:ilvl w:val="0"/>
          <w:numId w:val="30"/>
        </w:numPr>
        <w:rPr>
          <w:sz w:val="22"/>
        </w:rPr>
      </w:pPr>
      <w:r w:rsidRPr="00596FD1">
        <w:rPr>
          <w:sz w:val="22"/>
        </w:rPr>
        <w:t xml:space="preserve">Option </w:t>
      </w:r>
      <w:r w:rsidR="00803A10" w:rsidRPr="00596FD1">
        <w:rPr>
          <w:sz w:val="22"/>
        </w:rPr>
        <w:t>2</w:t>
      </w:r>
      <w:r w:rsidR="006F4F3F" w:rsidRPr="00596FD1">
        <w:rPr>
          <w:sz w:val="22"/>
        </w:rPr>
        <w:t xml:space="preserve"> </w:t>
      </w:r>
      <w:r w:rsidRPr="00596FD1">
        <w:rPr>
          <w:sz w:val="22"/>
        </w:rPr>
        <w:t xml:space="preserve">is permitting the use of the applicant’s </w:t>
      </w:r>
      <w:r w:rsidR="00803A10" w:rsidRPr="00596FD1">
        <w:rPr>
          <w:sz w:val="22"/>
        </w:rPr>
        <w:t>2′-FL</w:t>
      </w:r>
      <w:r w:rsidRPr="00596FD1">
        <w:rPr>
          <w:sz w:val="22"/>
        </w:rPr>
        <w:t xml:space="preserve"> in </w:t>
      </w:r>
      <w:r w:rsidR="007A476B" w:rsidRPr="00596FD1">
        <w:rPr>
          <w:sz w:val="22"/>
        </w:rPr>
        <w:t>IFP</w:t>
      </w:r>
      <w:r w:rsidRPr="00596FD1">
        <w:rPr>
          <w:sz w:val="22"/>
        </w:rPr>
        <w:t xml:space="preserve"> only</w:t>
      </w:r>
      <w:r w:rsidR="006F4F3F" w:rsidRPr="00596FD1">
        <w:rPr>
          <w:sz w:val="22"/>
        </w:rPr>
        <w:t>, and</w:t>
      </w:r>
    </w:p>
    <w:p w14:paraId="4B03C8C5" w14:textId="005F2425" w:rsidR="006F4F3F" w:rsidRPr="00596FD1" w:rsidRDefault="00E07AE9" w:rsidP="00E8122F">
      <w:pPr>
        <w:pStyle w:val="AARBullet"/>
        <w:numPr>
          <w:ilvl w:val="0"/>
          <w:numId w:val="30"/>
        </w:numPr>
        <w:rPr>
          <w:sz w:val="22"/>
        </w:rPr>
      </w:pPr>
      <w:r w:rsidRPr="00596FD1">
        <w:rPr>
          <w:sz w:val="22"/>
        </w:rPr>
        <w:t xml:space="preserve">Option </w:t>
      </w:r>
      <w:r w:rsidR="006F4F3F" w:rsidRPr="00596FD1">
        <w:rPr>
          <w:sz w:val="22"/>
        </w:rPr>
        <w:t xml:space="preserve">3 </w:t>
      </w:r>
      <w:r w:rsidRPr="00596FD1">
        <w:rPr>
          <w:sz w:val="22"/>
        </w:rPr>
        <w:t xml:space="preserve">is permitting the use of the applicant’s </w:t>
      </w:r>
      <w:r w:rsidR="00803A10" w:rsidRPr="00596FD1">
        <w:rPr>
          <w:sz w:val="22"/>
        </w:rPr>
        <w:t>2′-FL</w:t>
      </w:r>
      <w:r w:rsidRPr="00596FD1">
        <w:rPr>
          <w:sz w:val="22"/>
        </w:rPr>
        <w:t xml:space="preserve"> in </w:t>
      </w:r>
      <w:r w:rsidR="006F4F3F" w:rsidRPr="00596FD1">
        <w:rPr>
          <w:sz w:val="22"/>
        </w:rPr>
        <w:t xml:space="preserve">both </w:t>
      </w:r>
      <w:r w:rsidR="007A476B" w:rsidRPr="00596FD1">
        <w:rPr>
          <w:sz w:val="22"/>
        </w:rPr>
        <w:t>IFP</w:t>
      </w:r>
      <w:r w:rsidRPr="00596FD1">
        <w:rPr>
          <w:sz w:val="22"/>
        </w:rPr>
        <w:t xml:space="preserve"> </w:t>
      </w:r>
      <w:r w:rsidR="006F4F3F" w:rsidRPr="00596FD1">
        <w:rPr>
          <w:sz w:val="22"/>
        </w:rPr>
        <w:t>and FSFYC</w:t>
      </w:r>
      <w:r w:rsidRPr="00596FD1">
        <w:rPr>
          <w:sz w:val="22"/>
        </w:rPr>
        <w:t>.</w:t>
      </w:r>
      <w:r w:rsidR="00283A95" w:rsidRPr="00596FD1">
        <w:rPr>
          <w:sz w:val="22"/>
        </w:rPr>
        <w:t xml:space="preserve"> </w:t>
      </w:r>
    </w:p>
    <w:p w14:paraId="1EEB529C" w14:textId="51BC9743" w:rsidR="00283A95" w:rsidRDefault="00283A95" w:rsidP="00E8122F">
      <w:pPr>
        <w:widowControl/>
        <w:spacing w:before="240"/>
      </w:pPr>
      <w:r>
        <w:t>FSANZ is of the view that no other realistic food regulatory measures exist, however information received may result in FSANZ arriving at a different outcome.</w:t>
      </w:r>
    </w:p>
    <w:p w14:paraId="43A46E51" w14:textId="77777777" w:rsidR="00283A95" w:rsidRDefault="00283A95" w:rsidP="00E8122F">
      <w:pPr>
        <w:widowControl/>
      </w:pPr>
    </w:p>
    <w:p w14:paraId="44CCDC6D" w14:textId="50F0B3EC" w:rsidR="00283A95" w:rsidRDefault="00283A95" w:rsidP="00E8122F">
      <w:pPr>
        <w:widowControl/>
      </w:pPr>
      <w:r w:rsidRPr="00824CF4">
        <w:t>The consideration of the costs and benefits in this section is not intended to be an exhaustive, quantitative economic analysis of the proposed measures</w:t>
      </w:r>
      <w:r w:rsidR="007316BF">
        <w:t>.</w:t>
      </w:r>
      <w:r w:rsidRPr="00824CF4">
        <w:t xml:space="preserve"> </w:t>
      </w:r>
      <w:r w:rsidR="007316BF">
        <w:t>I</w:t>
      </w:r>
      <w:r w:rsidRPr="00824CF4">
        <w:t xml:space="preserve">n fact, most of the effects that were considered cannot easily be assigned a dollar value. Rather, the assessment seeks to highlight the likely positives and negatives of </w:t>
      </w:r>
      <w:r w:rsidR="00E372FF">
        <w:t xml:space="preserve">permitting the use of the applicant’s </w:t>
      </w:r>
      <w:r w:rsidR="00803A10" w:rsidRPr="00FD4EC3">
        <w:t>2′-FL</w:t>
      </w:r>
      <w:r w:rsidR="007A476B">
        <w:t xml:space="preserve"> in IFP </w:t>
      </w:r>
      <w:r w:rsidR="00746E4B">
        <w:t>only</w:t>
      </w:r>
      <w:r w:rsidR="007A476B">
        <w:t xml:space="preserve"> and </w:t>
      </w:r>
      <w:r w:rsidR="00746E4B">
        <w:t xml:space="preserve">then </w:t>
      </w:r>
      <w:r w:rsidR="006F4F3F">
        <w:t xml:space="preserve">in both IFP </w:t>
      </w:r>
      <w:r w:rsidR="007A476B">
        <w:t>and FSFYC</w:t>
      </w:r>
      <w:r w:rsidRPr="00824CF4">
        <w:t>.</w:t>
      </w:r>
    </w:p>
    <w:p w14:paraId="3D333F19" w14:textId="2FFF5031" w:rsidR="00694A93" w:rsidRDefault="00694A93" w:rsidP="00E8122F">
      <w:pPr>
        <w:widowControl/>
      </w:pPr>
    </w:p>
    <w:p w14:paraId="3CD0EF97" w14:textId="775B8BC4" w:rsidR="00CC7360" w:rsidRDefault="00CC7360" w:rsidP="00E8122F">
      <w:pPr>
        <w:widowControl/>
      </w:pPr>
      <w:r>
        <w:t>FSANZ’s assessment of the applicant’s 2</w:t>
      </w:r>
      <w:r>
        <w:rPr>
          <w:lang w:val="en-AU"/>
        </w:rPr>
        <w:t>′</w:t>
      </w:r>
      <w:r>
        <w:t>-FL concluded it is chemically and structurally identical to that naturally present in human milk, and will not propose a health or safety risk for consumers. The applicant’s 2</w:t>
      </w:r>
      <w:r>
        <w:rPr>
          <w:lang w:val="en-AU"/>
        </w:rPr>
        <w:t>′</w:t>
      </w:r>
      <w:r>
        <w:t>-FL is also chemically and structurally identical to the 2</w:t>
      </w:r>
      <w:r>
        <w:rPr>
          <w:lang w:val="en-AU"/>
        </w:rPr>
        <w:t>′</w:t>
      </w:r>
      <w:r>
        <w:t>-FL already permitted in the Code.</w:t>
      </w:r>
    </w:p>
    <w:p w14:paraId="4B74DA87" w14:textId="4F571E28" w:rsidR="00CC7360" w:rsidDel="00CC7360" w:rsidRDefault="00CC7360" w:rsidP="00E8122F">
      <w:pPr>
        <w:widowControl/>
      </w:pPr>
    </w:p>
    <w:p w14:paraId="70B43054" w14:textId="3250D6F0" w:rsidR="00694A93" w:rsidRDefault="00694A93" w:rsidP="00E8122F">
      <w:pPr>
        <w:widowControl/>
      </w:pPr>
      <w:r>
        <w:t xml:space="preserve">As discussed in section </w:t>
      </w:r>
      <w:r w:rsidRPr="00901ABC">
        <w:t>2.3. of this report</w:t>
      </w:r>
      <w:r>
        <w:t>, F</w:t>
      </w:r>
      <w:r w:rsidRPr="00D86CEA">
        <w:t xml:space="preserve">SANZ concludes that </w:t>
      </w:r>
      <w:r>
        <w:t xml:space="preserve">the </w:t>
      </w:r>
      <w:r w:rsidRPr="00D86CEA">
        <w:t xml:space="preserve">bifidogenic effect </w:t>
      </w:r>
      <w:r>
        <w:t xml:space="preserve">and </w:t>
      </w:r>
      <w:r w:rsidRPr="00D86CEA">
        <w:t>anti</w:t>
      </w:r>
      <w:r>
        <w:noBreakHyphen/>
      </w:r>
      <w:r w:rsidRPr="00D86CEA">
        <w:t>infective</w:t>
      </w:r>
      <w:r>
        <w:t xml:space="preserve"> effect against invasive </w:t>
      </w:r>
      <w:r>
        <w:rPr>
          <w:i/>
        </w:rPr>
        <w:t>C.</w:t>
      </w:r>
      <w:r w:rsidRPr="00D86CEA">
        <w:rPr>
          <w:i/>
        </w:rPr>
        <w:t xml:space="preserve"> </w:t>
      </w:r>
      <w:r>
        <w:rPr>
          <w:i/>
        </w:rPr>
        <w:t>jejuni</w:t>
      </w:r>
      <w:r w:rsidRPr="00D86CEA">
        <w:t xml:space="preserve"> are biologically plausible</w:t>
      </w:r>
      <w:r>
        <w:t xml:space="preserve"> in</w:t>
      </w:r>
      <w:r w:rsidR="007D2623">
        <w:t xml:space="preserve"> both</w:t>
      </w:r>
      <w:r>
        <w:t xml:space="preserve"> infants and young children</w:t>
      </w:r>
      <w:r w:rsidR="00922B9C">
        <w:t>, though the evidence is weaker in young children</w:t>
      </w:r>
      <w:r>
        <w:t>.</w:t>
      </w:r>
    </w:p>
    <w:p w14:paraId="6111F04B" w14:textId="6A869F44" w:rsidR="00507995" w:rsidRDefault="00507995" w:rsidP="00E8122F">
      <w:pPr>
        <w:widowControl/>
      </w:pPr>
    </w:p>
    <w:p w14:paraId="076C8187" w14:textId="7DEA9684" w:rsidR="00507995" w:rsidRDefault="00E82BB2" w:rsidP="00E8122F">
      <w:pPr>
        <w:widowControl/>
      </w:pPr>
      <w:r>
        <w:t>If the draft variation is approved, during an ‘exclusive use period’ (</w:t>
      </w:r>
      <w:r w:rsidRPr="00187B14">
        <w:t xml:space="preserve">the period commencing on the date of gazettal of the </w:t>
      </w:r>
      <w:r>
        <w:t>draft variation</w:t>
      </w:r>
      <w:r w:rsidRPr="00187B14">
        <w:t xml:space="preserve"> and ending 15 months after that date</w:t>
      </w:r>
      <w:r>
        <w:t xml:space="preserve">), the applicant’s 2’-FL could only be sold under the brand </w:t>
      </w:r>
      <w:r w:rsidRPr="00187B14">
        <w:t>CHR. HANSEN™ 2′-FL</w:t>
      </w:r>
      <w:r>
        <w:t>. Once this period ends, the exclusive use permission would revert to a general permission, meaning that the permission to add the applicant’s 2’-FL to IFP would apply to all brands of this 2′-FL that meet the specific source and associated specifications in Schedule 3.</w:t>
      </w:r>
      <w:r w:rsidR="00507995">
        <w:t xml:space="preserve">  </w:t>
      </w:r>
    </w:p>
    <w:p w14:paraId="3C6D8CFB" w14:textId="7D1AF408" w:rsidR="008F3CBF" w:rsidRDefault="00A5600E" w:rsidP="00E8122F">
      <w:pPr>
        <w:pStyle w:val="Heading4"/>
        <w:widowControl/>
        <w:ind w:left="0" w:firstLine="0"/>
      </w:pPr>
      <w:r w:rsidRPr="00576F2F">
        <w:t xml:space="preserve">Option </w:t>
      </w:r>
      <w:r w:rsidR="006F4F3F" w:rsidRPr="00576F2F">
        <w:t>2</w:t>
      </w:r>
      <w:r w:rsidRPr="00576F2F">
        <w:t xml:space="preserve"> </w:t>
      </w:r>
      <w:r w:rsidR="00F63D02" w:rsidRPr="00576F2F">
        <w:t xml:space="preserve">Costs and benefits </w:t>
      </w:r>
      <w:r w:rsidR="00A55886" w:rsidRPr="00576F2F">
        <w:t xml:space="preserve">of permitting the use of </w:t>
      </w:r>
      <w:r w:rsidR="00391CEC" w:rsidRPr="00576F2F">
        <w:t xml:space="preserve">the applicant’s </w:t>
      </w:r>
      <w:r w:rsidR="00A55886" w:rsidRPr="00576F2F">
        <w:t xml:space="preserve">2′-FL in infant formula products </w:t>
      </w:r>
      <w:r w:rsidR="006F4F3F" w:rsidRPr="00576F2F">
        <w:t>only</w:t>
      </w:r>
    </w:p>
    <w:p w14:paraId="07BD5466" w14:textId="713E1BE2" w:rsidR="007D2623" w:rsidRDefault="008F3CBF" w:rsidP="00E8122F">
      <w:pPr>
        <w:widowControl/>
      </w:pPr>
      <w:r>
        <w:t xml:space="preserve">As the proposed permission </w:t>
      </w:r>
      <w:r w:rsidR="00BA244D">
        <w:t xml:space="preserve">would be </w:t>
      </w:r>
      <w:r>
        <w:t>voluntary, industry will use</w:t>
      </w:r>
      <w:r w:rsidR="00E6136E">
        <w:t xml:space="preserve"> this new</w:t>
      </w:r>
      <w:r>
        <w:t xml:space="preserve"> 2′-FL</w:t>
      </w:r>
      <w:r w:rsidR="00E6136E">
        <w:t xml:space="preserve"> permission</w:t>
      </w:r>
      <w:r>
        <w:t xml:space="preserve"> only where they believe a net benefit exists</w:t>
      </w:r>
      <w:r w:rsidR="007316BF">
        <w:t xml:space="preserve"> for them</w:t>
      </w:r>
      <w:r w:rsidR="00E6136E">
        <w:t xml:space="preserve"> over using the existing permitted source of 2′-FL</w:t>
      </w:r>
      <w:r>
        <w:t xml:space="preserve">. </w:t>
      </w:r>
    </w:p>
    <w:p w14:paraId="38F724B7" w14:textId="62CC9560" w:rsidR="007D02D7" w:rsidRDefault="007D02D7" w:rsidP="00E8122F">
      <w:pPr>
        <w:widowControl/>
      </w:pPr>
    </w:p>
    <w:p w14:paraId="307A3ACD" w14:textId="12D68B79" w:rsidR="00507995" w:rsidRDefault="00507995" w:rsidP="00E8122F">
      <w:pPr>
        <w:widowControl/>
      </w:pPr>
      <w:r>
        <w:t xml:space="preserve">Option 2 would permit </w:t>
      </w:r>
      <w:r w:rsidR="00887EC6">
        <w:t>an additional</w:t>
      </w:r>
      <w:r>
        <w:t xml:space="preserve"> source of 2′-FL for IFPs. </w:t>
      </w:r>
      <w:r w:rsidR="00887EC6">
        <w:t xml:space="preserve">This </w:t>
      </w:r>
      <w:r>
        <w:t xml:space="preserve">would increase competition in the manufacturing processes. Costs of producing and purchasing IFPs might then reduce and availability might increase, </w:t>
      </w:r>
      <w:r w:rsidR="00400FB1">
        <w:t>potentially bene</w:t>
      </w:r>
      <w:r>
        <w:t>fitting both industry and consumers.</w:t>
      </w:r>
    </w:p>
    <w:p w14:paraId="250023B7" w14:textId="0E6736C8" w:rsidR="007D2623" w:rsidRPr="006A020A" w:rsidRDefault="007D2623" w:rsidP="00E8122F">
      <w:pPr>
        <w:widowControl/>
      </w:pPr>
    </w:p>
    <w:p w14:paraId="49DD3426" w14:textId="32B9D32D" w:rsidR="00CC7360" w:rsidRPr="00E7415E" w:rsidRDefault="007D2623" w:rsidP="00E8122F">
      <w:pPr>
        <w:widowControl/>
      </w:pPr>
      <w:r w:rsidRPr="00E7415E">
        <w:lastRenderedPageBreak/>
        <w:t xml:space="preserve">A potentially greater supply and lower cost of </w:t>
      </w:r>
      <w:r>
        <w:t>2′-FL from this proposed permission</w:t>
      </w:r>
      <w:r w:rsidRPr="00E7415E">
        <w:t xml:space="preserve"> </w:t>
      </w:r>
      <w:r w:rsidR="006A0CBB" w:rsidRPr="00E7415E">
        <w:t>c</w:t>
      </w:r>
      <w:r w:rsidR="00FB792E" w:rsidRPr="00E7415E">
        <w:t xml:space="preserve">ould </w:t>
      </w:r>
      <w:r w:rsidR="00507995">
        <w:t>also</w:t>
      </w:r>
      <w:r w:rsidR="00FB792E" w:rsidRPr="00E7415E">
        <w:t xml:space="preserve"> help IFP export</w:t>
      </w:r>
      <w:r w:rsidRPr="00E7415E">
        <w:t>er</w:t>
      </w:r>
      <w:r w:rsidR="00FB792E" w:rsidRPr="00E7415E">
        <w:t xml:space="preserve">s that want to use 2′-FL in their products </w:t>
      </w:r>
      <w:r w:rsidR="00BA244D">
        <w:t xml:space="preserve">to </w:t>
      </w:r>
      <w:r w:rsidR="00FB792E" w:rsidRPr="00E7415E">
        <w:t>compete internationally.</w:t>
      </w:r>
      <w:r w:rsidR="00686BB3" w:rsidRPr="00E7415E">
        <w:t xml:space="preserve"> IFP exports are important to Australia and New Zealand</w:t>
      </w:r>
      <w:r w:rsidR="00C51F7E" w:rsidRPr="00E7415E">
        <w:t xml:space="preserve">. </w:t>
      </w:r>
      <w:r w:rsidR="00786689" w:rsidRPr="00E7415E">
        <w:t>Excluding</w:t>
      </w:r>
      <w:r w:rsidR="00C51F7E" w:rsidRPr="00E7415E">
        <w:t xml:space="preserve"> FSFYC, annual IFP exports are </w:t>
      </w:r>
      <w:r w:rsidR="00AD59C8" w:rsidRPr="00E7415E">
        <w:t xml:space="preserve">approximately </w:t>
      </w:r>
      <w:r w:rsidR="00C51F7E" w:rsidRPr="00E7415E">
        <w:t>valued at over AU$ 700 million for Australia and over NZ$ 1 billion for New Zealand</w:t>
      </w:r>
      <w:r w:rsidR="00F11614" w:rsidRPr="00E7415E">
        <w:rPr>
          <w:rStyle w:val="FootnoteReference"/>
        </w:rPr>
        <w:footnoteReference w:id="16"/>
      </w:r>
      <w:r w:rsidR="00C51F7E" w:rsidRPr="00E7415E">
        <w:t xml:space="preserve">. </w:t>
      </w:r>
    </w:p>
    <w:p w14:paraId="75431760" w14:textId="77777777" w:rsidR="00CC7360" w:rsidRPr="00E7415E" w:rsidRDefault="00CC7360" w:rsidP="00E8122F">
      <w:pPr>
        <w:widowControl/>
      </w:pPr>
    </w:p>
    <w:p w14:paraId="0EB43F45" w14:textId="342C02A4" w:rsidR="00F73383" w:rsidRPr="00E7415E" w:rsidRDefault="00C51F7E" w:rsidP="00E8122F">
      <w:pPr>
        <w:widowControl/>
      </w:pPr>
      <w:r w:rsidRPr="00E7415E">
        <w:t xml:space="preserve">There is a risk that not permitting further </w:t>
      </w:r>
      <w:r w:rsidR="00507995">
        <w:t>sources</w:t>
      </w:r>
      <w:r w:rsidRPr="00E7415E">
        <w:t xml:space="preserve"> of</w:t>
      </w:r>
      <w:r w:rsidR="00786689" w:rsidRPr="00E7415E">
        <w:t xml:space="preserve"> 2′-FL (beyon</w:t>
      </w:r>
      <w:r w:rsidR="00E53E4A" w:rsidRPr="00E7415E">
        <w:t>d</w:t>
      </w:r>
      <w:r w:rsidR="00786689" w:rsidRPr="00E7415E">
        <w:t xml:space="preserve"> current permissions) and rejecting this application</w:t>
      </w:r>
      <w:r w:rsidR="002162EC" w:rsidRPr="00E7415E">
        <w:t xml:space="preserve"> </w:t>
      </w:r>
      <w:r w:rsidRPr="00E7415E">
        <w:t xml:space="preserve">could </w:t>
      </w:r>
      <w:r w:rsidR="00FB792E" w:rsidRPr="00E7415E">
        <w:t xml:space="preserve">constrain product innovation </w:t>
      </w:r>
      <w:r w:rsidR="00487B49" w:rsidRPr="00E7415E">
        <w:t xml:space="preserve">that </w:t>
      </w:r>
      <w:r w:rsidR="00507995">
        <w:t>could be</w:t>
      </w:r>
      <w:r w:rsidR="00487B49" w:rsidRPr="00E7415E">
        <w:t xml:space="preserve"> </w:t>
      </w:r>
      <w:r w:rsidR="00FB792E" w:rsidRPr="00E7415E">
        <w:t xml:space="preserve">enabled by </w:t>
      </w:r>
      <w:r w:rsidR="006A0CBB" w:rsidRPr="00E7415E">
        <w:t>greater supply and</w:t>
      </w:r>
      <w:r w:rsidR="00CC7360" w:rsidRPr="00E7415E">
        <w:t xml:space="preserve"> </w:t>
      </w:r>
      <w:r w:rsidR="006A0CBB" w:rsidRPr="00E7415E">
        <w:t xml:space="preserve">lower </w:t>
      </w:r>
      <w:r w:rsidR="00CC7360" w:rsidRPr="00E7415E">
        <w:t xml:space="preserve">price of </w:t>
      </w:r>
      <w:r w:rsidR="00FB792E" w:rsidRPr="00E7415E">
        <w:t xml:space="preserve">2′-FL, </w:t>
      </w:r>
      <w:r w:rsidRPr="00E7415E">
        <w:t xml:space="preserve">reduce </w:t>
      </w:r>
      <w:r w:rsidR="00B84E76" w:rsidRPr="00E7415E">
        <w:t xml:space="preserve">long-term </w:t>
      </w:r>
      <w:r w:rsidRPr="00E7415E">
        <w:t>compe</w:t>
      </w:r>
      <w:r w:rsidR="00BA244D">
        <w:t>t</w:t>
      </w:r>
      <w:r w:rsidRPr="00E7415E">
        <w:t>itiveness of Australia</w:t>
      </w:r>
      <w:r w:rsidR="00BA244D">
        <w:t xml:space="preserve"> and </w:t>
      </w:r>
      <w:r w:rsidRPr="00E7415E">
        <w:t>New Zealand exports over time</w:t>
      </w:r>
      <w:r w:rsidR="00224C4B" w:rsidRPr="00E7415E">
        <w:t xml:space="preserve"> and reduce employment opportunities</w:t>
      </w:r>
      <w:r w:rsidRPr="00E7415E">
        <w:t>.</w:t>
      </w:r>
      <w:r w:rsidR="00AD59C8" w:rsidRPr="00E7415E">
        <w:t xml:space="preserve"> </w:t>
      </w:r>
      <w:r w:rsidR="00B84E76" w:rsidRPr="00E7415E">
        <w:t>That is because overseas producers of IFPs</w:t>
      </w:r>
      <w:r w:rsidR="00487B49" w:rsidRPr="00E7415E">
        <w:t xml:space="preserve"> can</w:t>
      </w:r>
      <w:r w:rsidR="00B84E76" w:rsidRPr="00E7415E">
        <w:t xml:space="preserve"> access </w:t>
      </w:r>
      <w:r w:rsidR="00887EC6">
        <w:t>multiple</w:t>
      </w:r>
      <w:r w:rsidR="00887EC6" w:rsidRPr="00E7415E">
        <w:t xml:space="preserve"> </w:t>
      </w:r>
      <w:r w:rsidR="00887EC6">
        <w:t>brands</w:t>
      </w:r>
      <w:r w:rsidR="00887EC6" w:rsidRPr="00E7415E">
        <w:t xml:space="preserve"> </w:t>
      </w:r>
      <w:r w:rsidR="00B84E76" w:rsidRPr="00E7415E">
        <w:t xml:space="preserve">of 2′-FL than </w:t>
      </w:r>
      <w:r w:rsidR="006A0CBB" w:rsidRPr="00E7415E">
        <w:t xml:space="preserve">are </w:t>
      </w:r>
      <w:r w:rsidR="00B84E76" w:rsidRPr="00E7415E">
        <w:t>currently permitted in Australia</w:t>
      </w:r>
      <w:r w:rsidR="00BA244D">
        <w:t xml:space="preserve"> and </w:t>
      </w:r>
      <w:r w:rsidR="00B84E76" w:rsidRPr="00E7415E">
        <w:t>N</w:t>
      </w:r>
      <w:r w:rsidR="00BA244D">
        <w:t xml:space="preserve">ew </w:t>
      </w:r>
      <w:r w:rsidR="00B84E76" w:rsidRPr="00E7415E">
        <w:t>Z</w:t>
      </w:r>
      <w:r w:rsidR="00BA244D">
        <w:t>ealand</w:t>
      </w:r>
      <w:r w:rsidR="00B84E76" w:rsidRPr="00E7415E">
        <w:t>.</w:t>
      </w:r>
      <w:r w:rsidR="007D2623" w:rsidRPr="00E7415E">
        <w:t xml:space="preserve"> Permitting </w:t>
      </w:r>
      <w:r w:rsidR="007D2623">
        <w:t>this application</w:t>
      </w:r>
      <w:r w:rsidR="007D2623">
        <w:rPr>
          <w:vertAlign w:val="subscript"/>
        </w:rPr>
        <w:t xml:space="preserve"> </w:t>
      </w:r>
      <w:r w:rsidR="007D2623" w:rsidRPr="00F73383">
        <w:t xml:space="preserve">would </w:t>
      </w:r>
      <w:r w:rsidR="007D2623">
        <w:rPr>
          <w:szCs w:val="22"/>
        </w:rPr>
        <w:t xml:space="preserve">improve harmonisation with international regulations </w:t>
      </w:r>
      <w:r w:rsidR="006A4E14">
        <w:rPr>
          <w:szCs w:val="22"/>
        </w:rPr>
        <w:t>by allowing</w:t>
      </w:r>
      <w:r w:rsidR="007D2623">
        <w:rPr>
          <w:szCs w:val="22"/>
        </w:rPr>
        <w:t xml:space="preserve"> </w:t>
      </w:r>
      <w:r w:rsidR="00887EC6">
        <w:rPr>
          <w:szCs w:val="22"/>
        </w:rPr>
        <w:t xml:space="preserve">additional </w:t>
      </w:r>
      <w:r w:rsidR="007D2623">
        <w:rPr>
          <w:szCs w:val="22"/>
        </w:rPr>
        <w:t xml:space="preserve">sources </w:t>
      </w:r>
      <w:r w:rsidR="007D2623" w:rsidRPr="00E7415E">
        <w:rPr>
          <w:szCs w:val="22"/>
        </w:rPr>
        <w:t xml:space="preserve">of </w:t>
      </w:r>
      <w:r w:rsidR="007D2623" w:rsidRPr="00E7415E">
        <w:t>2′-FL</w:t>
      </w:r>
      <w:r w:rsidR="004424CC">
        <w:t xml:space="preserve"> onto the market</w:t>
      </w:r>
      <w:r w:rsidR="007D2623" w:rsidRPr="00E7415E">
        <w:t>.</w:t>
      </w:r>
    </w:p>
    <w:p w14:paraId="66178FC7" w14:textId="690848C9" w:rsidR="00B84E76" w:rsidRDefault="00B84E76" w:rsidP="00E8122F">
      <w:pPr>
        <w:widowControl/>
        <w:rPr>
          <w:highlight w:val="yellow"/>
        </w:rPr>
      </w:pPr>
    </w:p>
    <w:p w14:paraId="04DCAD28" w14:textId="762EDE7D" w:rsidR="007D2623" w:rsidRDefault="007D2623" w:rsidP="00E8122F">
      <w:pPr>
        <w:widowControl/>
      </w:pPr>
      <w:r>
        <w:rPr>
          <w:lang w:bidi="ar-SA"/>
        </w:rPr>
        <w:t xml:space="preserve">Permitting </w:t>
      </w:r>
      <w:r w:rsidR="006A0CBB">
        <w:rPr>
          <w:lang w:bidi="ar-SA"/>
        </w:rPr>
        <w:t xml:space="preserve">this additional </w:t>
      </w:r>
      <w:r w:rsidR="00887EC6">
        <w:rPr>
          <w:lang w:bidi="ar-SA"/>
        </w:rPr>
        <w:t xml:space="preserve">brand </w:t>
      </w:r>
      <w:r w:rsidR="006A0CBB">
        <w:rPr>
          <w:lang w:bidi="ar-SA"/>
        </w:rPr>
        <w:t>of</w:t>
      </w:r>
      <w:r>
        <w:rPr>
          <w:lang w:bidi="ar-SA"/>
        </w:rPr>
        <w:t xml:space="preserve"> </w:t>
      </w:r>
      <w:r w:rsidRPr="00E9174B">
        <w:t>2′-FL</w:t>
      </w:r>
      <w:r>
        <w:rPr>
          <w:lang w:bidi="ar-SA"/>
        </w:rPr>
        <w:t xml:space="preserve"> </w:t>
      </w:r>
      <w:r w:rsidRPr="00F9067B">
        <w:rPr>
          <w:lang w:bidi="ar-SA"/>
        </w:rPr>
        <w:t xml:space="preserve">may result in a small </w:t>
      </w:r>
      <w:r>
        <w:rPr>
          <w:lang w:bidi="ar-SA"/>
        </w:rPr>
        <w:t xml:space="preserve">but likely inconsequential </w:t>
      </w:r>
      <w:r w:rsidRPr="00F9067B">
        <w:rPr>
          <w:lang w:bidi="ar-SA"/>
        </w:rPr>
        <w:t xml:space="preserve">cost to government in terms </w:t>
      </w:r>
      <w:r>
        <w:rPr>
          <w:lang w:bidi="ar-SA"/>
        </w:rPr>
        <w:t xml:space="preserve">of </w:t>
      </w:r>
      <w:r w:rsidRPr="00F9067B">
        <w:rPr>
          <w:lang w:bidi="ar-SA"/>
        </w:rPr>
        <w:t>compliance</w:t>
      </w:r>
      <w:r>
        <w:rPr>
          <w:lang w:bidi="ar-SA"/>
        </w:rPr>
        <w:t xml:space="preserve"> monitoring for </w:t>
      </w:r>
      <w:r w:rsidR="00887EC6">
        <w:rPr>
          <w:lang w:bidi="ar-SA"/>
        </w:rPr>
        <w:t xml:space="preserve">an additional </w:t>
      </w:r>
      <w:r w:rsidRPr="00E9174B">
        <w:t>2′-FL</w:t>
      </w:r>
      <w:r w:rsidR="00EB07C1">
        <w:t xml:space="preserve"> source</w:t>
      </w:r>
      <w:r>
        <w:t>.</w:t>
      </w:r>
    </w:p>
    <w:p w14:paraId="5EAC2BF8" w14:textId="1CDD90F4" w:rsidR="008163B5" w:rsidRPr="00576F2F" w:rsidRDefault="00A24A0A" w:rsidP="00E8122F">
      <w:pPr>
        <w:pStyle w:val="Heading4"/>
        <w:widowControl/>
        <w:ind w:left="0" w:firstLine="0"/>
      </w:pPr>
      <w:r w:rsidRPr="00576F2F">
        <w:rPr>
          <w:rStyle w:val="Heading4Char"/>
          <w:b/>
          <w:bCs/>
          <w:i/>
          <w:iCs/>
        </w:rPr>
        <w:t>Option</w:t>
      </w:r>
      <w:r w:rsidRPr="00576F2F" w:rsidDel="006F4F3F">
        <w:rPr>
          <w:rStyle w:val="Heading4Char"/>
          <w:b/>
          <w:bCs/>
          <w:i/>
          <w:iCs/>
        </w:rPr>
        <w:t xml:space="preserve"> </w:t>
      </w:r>
      <w:r w:rsidR="006F4F3F" w:rsidRPr="00576F2F">
        <w:rPr>
          <w:rStyle w:val="Heading4Char"/>
          <w:b/>
          <w:bCs/>
          <w:i/>
          <w:iCs/>
        </w:rPr>
        <w:t>3</w:t>
      </w:r>
      <w:r w:rsidRPr="00576F2F">
        <w:rPr>
          <w:rStyle w:val="Heading4Char"/>
          <w:b/>
          <w:bCs/>
          <w:i/>
          <w:iCs/>
        </w:rPr>
        <w:t xml:space="preserve"> </w:t>
      </w:r>
      <w:r w:rsidR="00A0684B" w:rsidRPr="00576F2F">
        <w:rPr>
          <w:rStyle w:val="Heading4Char"/>
          <w:b/>
          <w:bCs/>
          <w:i/>
          <w:iCs/>
        </w:rPr>
        <w:t xml:space="preserve">Costs and benefits of permitting the use of the applicant’s 2′-FL in </w:t>
      </w:r>
      <w:r w:rsidR="006F4F3F" w:rsidRPr="00576F2F">
        <w:rPr>
          <w:rStyle w:val="Heading4Char"/>
          <w:b/>
          <w:bCs/>
          <w:i/>
          <w:iCs/>
        </w:rPr>
        <w:t>IFP and FSFYC</w:t>
      </w:r>
    </w:p>
    <w:p w14:paraId="1FBA76A8" w14:textId="3FE8B2A4" w:rsidR="00283B5D" w:rsidRDefault="00283B5D" w:rsidP="00E8122F">
      <w:pPr>
        <w:pStyle w:val="CommentText"/>
        <w:widowControl/>
        <w:rPr>
          <w:sz w:val="22"/>
          <w:lang w:val="en-AU"/>
        </w:rPr>
      </w:pPr>
      <w:r>
        <w:rPr>
          <w:sz w:val="22"/>
          <w:lang w:val="en-AU"/>
        </w:rPr>
        <w:t>FSANZ acknowledges that permitting</w:t>
      </w:r>
      <w:r w:rsidR="008163B5">
        <w:rPr>
          <w:sz w:val="22"/>
          <w:lang w:val="en-AU"/>
        </w:rPr>
        <w:t xml:space="preserve"> voluntary addition of</w:t>
      </w:r>
      <w:r>
        <w:rPr>
          <w:sz w:val="22"/>
          <w:lang w:val="en-AU"/>
        </w:rPr>
        <w:t xml:space="preserve"> </w:t>
      </w:r>
      <w:r w:rsidRPr="00283B5D">
        <w:rPr>
          <w:sz w:val="22"/>
          <w:lang w:val="en-AU"/>
        </w:rPr>
        <w:t>2′-FL</w:t>
      </w:r>
      <w:r>
        <w:rPr>
          <w:sz w:val="22"/>
          <w:lang w:val="en-AU"/>
        </w:rPr>
        <w:t xml:space="preserve"> in </w:t>
      </w:r>
      <w:r w:rsidR="00E53E4A">
        <w:rPr>
          <w:sz w:val="22"/>
          <w:lang w:val="en-AU"/>
        </w:rPr>
        <w:t xml:space="preserve">both IFP and </w:t>
      </w:r>
      <w:r>
        <w:rPr>
          <w:sz w:val="22"/>
          <w:lang w:val="en-AU"/>
        </w:rPr>
        <w:t xml:space="preserve">FSFYC </w:t>
      </w:r>
      <w:r w:rsidR="00130139">
        <w:rPr>
          <w:sz w:val="22"/>
          <w:lang w:val="en-AU"/>
        </w:rPr>
        <w:t>may</w:t>
      </w:r>
      <w:r>
        <w:rPr>
          <w:sz w:val="22"/>
          <w:lang w:val="en-AU"/>
        </w:rPr>
        <w:t xml:space="preserve"> </w:t>
      </w:r>
      <w:r w:rsidR="002162EC">
        <w:rPr>
          <w:sz w:val="22"/>
          <w:lang w:val="en-AU"/>
        </w:rPr>
        <w:t xml:space="preserve">further </w:t>
      </w:r>
      <w:r>
        <w:rPr>
          <w:sz w:val="22"/>
          <w:lang w:val="en-AU"/>
        </w:rPr>
        <w:t>benefit industry</w:t>
      </w:r>
      <w:r w:rsidR="002162EC">
        <w:rPr>
          <w:sz w:val="22"/>
          <w:lang w:val="en-AU"/>
        </w:rPr>
        <w:t xml:space="preserve"> relative to Option 2 and the Status Quo</w:t>
      </w:r>
      <w:r w:rsidR="00CC7360">
        <w:rPr>
          <w:sz w:val="22"/>
          <w:lang w:val="en-AU"/>
        </w:rPr>
        <w:t xml:space="preserve"> and</w:t>
      </w:r>
      <w:r w:rsidR="007D2623">
        <w:rPr>
          <w:sz w:val="22"/>
          <w:lang w:val="en-AU"/>
        </w:rPr>
        <w:t xml:space="preserve"> further</w:t>
      </w:r>
      <w:r w:rsidR="00CC7360">
        <w:rPr>
          <w:sz w:val="22"/>
          <w:lang w:val="en-AU"/>
        </w:rPr>
        <w:t xml:space="preserve"> promote trade with other countries</w:t>
      </w:r>
      <w:r w:rsidR="002162EC">
        <w:rPr>
          <w:sz w:val="22"/>
          <w:lang w:val="en-AU"/>
        </w:rPr>
        <w:t xml:space="preserve">. </w:t>
      </w:r>
      <w:r w:rsidR="00CC7360">
        <w:rPr>
          <w:sz w:val="22"/>
          <w:lang w:val="en-AU"/>
        </w:rPr>
        <w:t>C</w:t>
      </w:r>
      <w:r w:rsidR="00224C4B">
        <w:rPr>
          <w:sz w:val="22"/>
          <w:lang w:val="en-AU"/>
        </w:rPr>
        <w:t xml:space="preserve">onsumers might </w:t>
      </w:r>
      <w:r w:rsidR="00CC7360">
        <w:rPr>
          <w:sz w:val="22"/>
          <w:lang w:val="en-AU"/>
        </w:rPr>
        <w:t xml:space="preserve">also </w:t>
      </w:r>
      <w:r w:rsidR="00224C4B">
        <w:rPr>
          <w:sz w:val="22"/>
          <w:lang w:val="en-AU"/>
        </w:rPr>
        <w:t>benefit from a greater choice of foods</w:t>
      </w:r>
      <w:r w:rsidR="001131A1" w:rsidDel="00224C4B">
        <w:rPr>
          <w:sz w:val="22"/>
          <w:lang w:val="en-AU"/>
        </w:rPr>
        <w:t>.</w:t>
      </w:r>
    </w:p>
    <w:p w14:paraId="5EE9203C" w14:textId="7A84C433" w:rsidR="0039004B" w:rsidRPr="00C221AA" w:rsidRDefault="0039004B" w:rsidP="00E8122F">
      <w:pPr>
        <w:pStyle w:val="CommentText"/>
        <w:widowControl/>
        <w:rPr>
          <w:sz w:val="22"/>
          <w:lang w:val="en-AU"/>
        </w:rPr>
      </w:pPr>
    </w:p>
    <w:p w14:paraId="2E067D22" w14:textId="6301228D" w:rsidR="00E26BBC" w:rsidRPr="00E26BBC" w:rsidRDefault="0008667C" w:rsidP="00E8122F">
      <w:pPr>
        <w:pStyle w:val="CommentText"/>
        <w:widowControl/>
        <w:rPr>
          <w:sz w:val="22"/>
          <w:lang w:val="en-AU"/>
        </w:rPr>
      </w:pPr>
      <w:r>
        <w:rPr>
          <w:sz w:val="22"/>
          <w:lang w:val="en-AU"/>
        </w:rPr>
        <w:t xml:space="preserve">That said, </w:t>
      </w:r>
      <w:r w:rsidR="00815206">
        <w:rPr>
          <w:sz w:val="22"/>
          <w:lang w:val="en-AU"/>
        </w:rPr>
        <w:t xml:space="preserve">the </w:t>
      </w:r>
      <w:r w:rsidR="00815206" w:rsidRPr="00815206">
        <w:rPr>
          <w:sz w:val="22"/>
          <w:lang w:val="en-AU"/>
        </w:rPr>
        <w:t>Australian Infant Feeding Guidelines state that FSFYC are not required for healthy children over the age of twelve months as they should be consuming adequate nutrients from regular foods (NHMRC 2012)</w:t>
      </w:r>
      <w:r w:rsidR="00815206">
        <w:rPr>
          <w:sz w:val="22"/>
          <w:lang w:val="en-AU"/>
        </w:rPr>
        <w:t xml:space="preserve">, therefore </w:t>
      </w:r>
      <w:r>
        <w:rPr>
          <w:sz w:val="22"/>
          <w:lang w:val="en-AU"/>
        </w:rPr>
        <w:t xml:space="preserve">most healthy </w:t>
      </w:r>
      <w:r w:rsidR="00E26BBC">
        <w:rPr>
          <w:sz w:val="22"/>
          <w:lang w:val="en-AU"/>
        </w:rPr>
        <w:t xml:space="preserve">young </w:t>
      </w:r>
      <w:r>
        <w:rPr>
          <w:sz w:val="22"/>
          <w:lang w:val="en-AU"/>
        </w:rPr>
        <w:t xml:space="preserve">children have no nutritional requirement for </w:t>
      </w:r>
      <w:r w:rsidR="00815206">
        <w:rPr>
          <w:sz w:val="22"/>
          <w:lang w:val="en-AU"/>
        </w:rPr>
        <w:t>FSFYC</w:t>
      </w:r>
      <w:r>
        <w:rPr>
          <w:sz w:val="22"/>
          <w:lang w:val="en-AU"/>
        </w:rPr>
        <w:t xml:space="preserve">. </w:t>
      </w:r>
      <w:r w:rsidR="00E26BBC">
        <w:rPr>
          <w:sz w:val="22"/>
          <w:lang w:val="en-AU"/>
        </w:rPr>
        <w:t xml:space="preserve">FSANZ acknowledges the importance of ensuring caregivers are not </w:t>
      </w:r>
      <w:r w:rsidR="00C221AA">
        <w:rPr>
          <w:sz w:val="22"/>
          <w:lang w:val="en-AU"/>
        </w:rPr>
        <w:t>confused</w:t>
      </w:r>
      <w:r w:rsidR="00E26BBC">
        <w:rPr>
          <w:sz w:val="22"/>
          <w:lang w:val="en-AU"/>
        </w:rPr>
        <w:t xml:space="preserve"> around the purpose or intent of FSFYC </w:t>
      </w:r>
      <w:r w:rsidR="00C221AA">
        <w:rPr>
          <w:sz w:val="22"/>
          <w:lang w:val="en-AU"/>
        </w:rPr>
        <w:t xml:space="preserve">and do not buy foods that </w:t>
      </w:r>
      <w:r w:rsidR="0066578A">
        <w:rPr>
          <w:sz w:val="22"/>
          <w:lang w:val="en-AU"/>
        </w:rPr>
        <w:t>are not needed.</w:t>
      </w:r>
      <w:r w:rsidR="00922B9C">
        <w:rPr>
          <w:sz w:val="22"/>
          <w:lang w:val="en-AU"/>
        </w:rPr>
        <w:t xml:space="preserve"> FSANZ also acknowledges that the evidence supporting beneficial health outcomes in young children from the consumption of FSFYC containing </w:t>
      </w:r>
      <w:r w:rsidR="00922B9C" w:rsidRPr="00283B5D">
        <w:rPr>
          <w:sz w:val="22"/>
          <w:lang w:val="en-AU"/>
        </w:rPr>
        <w:t>2′-FL</w:t>
      </w:r>
      <w:r w:rsidR="00922B9C">
        <w:rPr>
          <w:sz w:val="22"/>
          <w:lang w:val="en-AU"/>
        </w:rPr>
        <w:t xml:space="preserve"> is weak.</w:t>
      </w:r>
      <w:r w:rsidR="00E26BBC">
        <w:rPr>
          <w:sz w:val="22"/>
          <w:lang w:val="en-AU"/>
        </w:rPr>
        <w:t xml:space="preserve"> </w:t>
      </w:r>
      <w:r w:rsidR="00815206">
        <w:rPr>
          <w:sz w:val="22"/>
          <w:lang w:val="en-AU"/>
        </w:rPr>
        <w:t xml:space="preserve">For this reason, Option 3 may not be the most beneficial option for </w:t>
      </w:r>
      <w:r w:rsidR="00922B9C">
        <w:rPr>
          <w:sz w:val="22"/>
          <w:lang w:val="en-AU"/>
        </w:rPr>
        <w:t xml:space="preserve">all </w:t>
      </w:r>
      <w:r w:rsidR="00815206">
        <w:rPr>
          <w:sz w:val="22"/>
          <w:lang w:val="en-AU"/>
        </w:rPr>
        <w:t>consumers.</w:t>
      </w:r>
    </w:p>
    <w:p w14:paraId="5D5315DB" w14:textId="13F60EDB" w:rsidR="00A5600E" w:rsidRDefault="00A5600E" w:rsidP="00E8122F">
      <w:pPr>
        <w:pStyle w:val="Heading4"/>
        <w:widowControl/>
      </w:pPr>
      <w:r w:rsidRPr="00FC4551">
        <w:t>Conclusions</w:t>
      </w:r>
      <w:r>
        <w:t xml:space="preserve"> from cost benefit considerations</w:t>
      </w:r>
    </w:p>
    <w:p w14:paraId="08C03F77" w14:textId="381AA9BB" w:rsidR="00A5600E" w:rsidRDefault="00A5600E" w:rsidP="00E8122F">
      <w:pPr>
        <w:widowControl/>
        <w:rPr>
          <w:bCs/>
        </w:rPr>
      </w:pPr>
      <w:r w:rsidRPr="00E929E9">
        <w:rPr>
          <w:bCs/>
        </w:rPr>
        <w:t>FSANZ’</w:t>
      </w:r>
      <w:r>
        <w:rPr>
          <w:bCs/>
        </w:rPr>
        <w:t>s</w:t>
      </w:r>
      <w:r w:rsidRPr="00E929E9">
        <w:rPr>
          <w:bCs/>
        </w:rPr>
        <w:t xml:space="preserve"> assessment is that the direct and indirect benefits that would arise from </w:t>
      </w:r>
      <w:r>
        <w:rPr>
          <w:bCs/>
        </w:rPr>
        <w:t xml:space="preserve">both </w:t>
      </w:r>
      <w:r w:rsidRPr="00906194">
        <w:rPr>
          <w:bCs/>
        </w:rPr>
        <w:t>Options</w:t>
      </w:r>
      <w:r w:rsidR="008163B5">
        <w:rPr>
          <w:bCs/>
        </w:rPr>
        <w:t xml:space="preserve"> 2</w:t>
      </w:r>
      <w:r>
        <w:rPr>
          <w:bCs/>
        </w:rPr>
        <w:t xml:space="preserve"> and </w:t>
      </w:r>
      <w:r w:rsidR="008163B5">
        <w:rPr>
          <w:bCs/>
        </w:rPr>
        <w:t>3</w:t>
      </w:r>
      <w:r>
        <w:rPr>
          <w:rFonts w:cs="Arial"/>
          <w:bCs/>
          <w:szCs w:val="22"/>
        </w:rPr>
        <w:t xml:space="preserve">, </w:t>
      </w:r>
      <w:r w:rsidRPr="00E929E9">
        <w:rPr>
          <w:bCs/>
        </w:rPr>
        <w:t>most likely outweigh the</w:t>
      </w:r>
      <w:r>
        <w:rPr>
          <w:bCs/>
        </w:rPr>
        <w:t xml:space="preserve"> associated</w:t>
      </w:r>
      <w:r w:rsidRPr="00E929E9">
        <w:rPr>
          <w:bCs/>
        </w:rPr>
        <w:t xml:space="preserve"> costs.</w:t>
      </w:r>
      <w:r>
        <w:rPr>
          <w:bCs/>
        </w:rPr>
        <w:t xml:space="preserve"> </w:t>
      </w:r>
    </w:p>
    <w:p w14:paraId="524F6736" w14:textId="77777777" w:rsidR="00A5600E" w:rsidRDefault="00A5600E" w:rsidP="00E8122F">
      <w:pPr>
        <w:widowControl/>
        <w:rPr>
          <w:bCs/>
        </w:rPr>
      </w:pPr>
    </w:p>
    <w:p w14:paraId="68408E3B" w14:textId="07611A5E" w:rsidR="00584C6C" w:rsidRPr="00DC1AB4" w:rsidRDefault="00487B49" w:rsidP="00E8122F">
      <w:pPr>
        <w:widowControl/>
        <w:rPr>
          <w:lang w:val="en-AU"/>
        </w:rPr>
      </w:pPr>
      <w:r>
        <w:rPr>
          <w:bCs/>
        </w:rPr>
        <w:t>Option 3 gives</w:t>
      </w:r>
      <w:r w:rsidR="00A5600E">
        <w:rPr>
          <w:bCs/>
        </w:rPr>
        <w:t xml:space="preserve"> more flexibility for industry</w:t>
      </w:r>
      <w:r w:rsidR="00D10FD7">
        <w:rPr>
          <w:bCs/>
        </w:rPr>
        <w:t xml:space="preserve"> and international consistency</w:t>
      </w:r>
      <w:r w:rsidR="00400FB1">
        <w:rPr>
          <w:bCs/>
        </w:rPr>
        <w:t>. That said,</w:t>
      </w:r>
      <w:r w:rsidR="0066578A">
        <w:rPr>
          <w:bCs/>
        </w:rPr>
        <w:t xml:space="preserve"> any benefits</w:t>
      </w:r>
      <w:r w:rsidR="00347ACD">
        <w:t xml:space="preserve"> of </w:t>
      </w:r>
      <w:r w:rsidR="0066578A">
        <w:rPr>
          <w:bCs/>
        </w:rPr>
        <w:t xml:space="preserve">Option 3 </w:t>
      </w:r>
      <w:r w:rsidR="00400FB1">
        <w:rPr>
          <w:bCs/>
        </w:rPr>
        <w:t>above</w:t>
      </w:r>
      <w:r w:rsidR="0066578A">
        <w:rPr>
          <w:bCs/>
        </w:rPr>
        <w:t xml:space="preserve"> Option 2 would depend on the extent that</w:t>
      </w:r>
      <w:r w:rsidR="00347ACD">
        <w:t xml:space="preserve"> consumers </w:t>
      </w:r>
      <w:r w:rsidR="00FC227C">
        <w:rPr>
          <w:bCs/>
        </w:rPr>
        <w:t>understand the purpose of FSFYC and</w:t>
      </w:r>
      <w:r w:rsidR="0066578A">
        <w:rPr>
          <w:bCs/>
        </w:rPr>
        <w:t xml:space="preserve"> </w:t>
      </w:r>
      <w:r w:rsidR="00FC227C">
        <w:rPr>
          <w:bCs/>
        </w:rPr>
        <w:t xml:space="preserve">purchase </w:t>
      </w:r>
      <w:r w:rsidR="0066578A">
        <w:rPr>
          <w:bCs/>
        </w:rPr>
        <w:t xml:space="preserve">FSFYC </w:t>
      </w:r>
      <w:r w:rsidR="00FC227C">
        <w:t xml:space="preserve">according to </w:t>
      </w:r>
      <w:r w:rsidR="00347ACD">
        <w:t xml:space="preserve">their </w:t>
      </w:r>
      <w:r w:rsidR="0066578A">
        <w:rPr>
          <w:bCs/>
        </w:rPr>
        <w:t>young children’s needs</w:t>
      </w:r>
      <w:r w:rsidR="00211106">
        <w:rPr>
          <w:bCs/>
        </w:rPr>
        <w:t>.</w:t>
      </w:r>
    </w:p>
    <w:p w14:paraId="06FF629A" w14:textId="315A66D9" w:rsidR="00726C2F" w:rsidRPr="00210C5C" w:rsidRDefault="00210C5C" w:rsidP="00E8122F">
      <w:pPr>
        <w:pStyle w:val="Heading3"/>
        <w:widowControl/>
      </w:pPr>
      <w:bookmarkStart w:id="107" w:name="_Toc73104840"/>
      <w:bookmarkStart w:id="108" w:name="_Toc77338789"/>
      <w:r w:rsidRPr="00210C5C">
        <w:lastRenderedPageBreak/>
        <w:t>5.1.2</w:t>
      </w:r>
      <w:r w:rsidR="00726C2F" w:rsidRPr="00210C5C">
        <w:tab/>
        <w:t>Other measures</w:t>
      </w:r>
      <w:bookmarkEnd w:id="107"/>
      <w:bookmarkEnd w:id="108"/>
    </w:p>
    <w:p w14:paraId="0E765A3B" w14:textId="596DE184" w:rsidR="00726C2F" w:rsidRPr="0060443F" w:rsidRDefault="00726C2F" w:rsidP="00E8122F">
      <w:pPr>
        <w:widowControl/>
      </w:pPr>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w:t>
      </w:r>
      <w:r w:rsidRPr="009F2C07">
        <w:rPr>
          <w:color w:val="000000" w:themeColor="text1"/>
        </w:rPr>
        <w:t xml:space="preserve">result of the </w:t>
      </w:r>
      <w:r w:rsidR="009F2C07" w:rsidRPr="009F2C07">
        <w:rPr>
          <w:color w:val="000000" w:themeColor="text1"/>
        </w:rPr>
        <w:t>application</w:t>
      </w:r>
      <w:r w:rsidRPr="009F2C07">
        <w:rPr>
          <w:color w:val="000000" w:themeColor="text1"/>
        </w:rPr>
        <w:t>.</w:t>
      </w:r>
    </w:p>
    <w:p w14:paraId="6D704A52" w14:textId="77777777" w:rsidR="00726C2F" w:rsidRDefault="008B0075" w:rsidP="00E8122F">
      <w:pPr>
        <w:pStyle w:val="Heading4"/>
        <w:widowControl/>
      </w:pPr>
      <w:r>
        <w:t>2.5.1.3</w:t>
      </w:r>
      <w:r>
        <w:tab/>
        <w:t>A</w:t>
      </w:r>
      <w:r w:rsidR="00726C2F" w:rsidRPr="00914030">
        <w:t>ny relevant New Zealand standards</w:t>
      </w:r>
    </w:p>
    <w:p w14:paraId="07E0112C" w14:textId="1D476B3F" w:rsidR="008B0075" w:rsidRDefault="006B4059" w:rsidP="00E8122F">
      <w:pPr>
        <w:widowControl/>
        <w:rPr>
          <w:lang w:bidi="ar-SA"/>
        </w:rPr>
      </w:pPr>
      <w:r>
        <w:rPr>
          <w:lang w:bidi="ar-SA"/>
        </w:rPr>
        <w:t xml:space="preserve">Relevant standards apply in both Australia and New Zealand. </w:t>
      </w:r>
      <w:r w:rsidR="008B0075">
        <w:rPr>
          <w:lang w:bidi="ar-SA"/>
        </w:rPr>
        <w:t xml:space="preserve">There are no relevant New Zealand </w:t>
      </w:r>
      <w:r>
        <w:rPr>
          <w:lang w:bidi="ar-SA"/>
        </w:rPr>
        <w:t xml:space="preserve">only </w:t>
      </w:r>
      <w:r w:rsidR="00803A10">
        <w:rPr>
          <w:lang w:bidi="ar-SA"/>
        </w:rPr>
        <w:t>s</w:t>
      </w:r>
      <w:r w:rsidR="008B0075">
        <w:rPr>
          <w:lang w:bidi="ar-SA"/>
        </w:rPr>
        <w:t>tandards</w:t>
      </w:r>
      <w:r w:rsidR="006D1F03">
        <w:rPr>
          <w:lang w:bidi="ar-SA"/>
        </w:rPr>
        <w:t xml:space="preserve"> </w:t>
      </w:r>
      <w:r w:rsidR="00141B48">
        <w:rPr>
          <w:lang w:bidi="ar-SA"/>
        </w:rPr>
        <w:t xml:space="preserve">at </w:t>
      </w:r>
      <w:r w:rsidR="006D1F03">
        <w:rPr>
          <w:lang w:bidi="ar-SA"/>
        </w:rPr>
        <w:t>the time</w:t>
      </w:r>
      <w:r w:rsidR="00141B48">
        <w:rPr>
          <w:lang w:bidi="ar-SA"/>
        </w:rPr>
        <w:t xml:space="preserve"> of writing</w:t>
      </w:r>
      <w:r w:rsidR="006D1F03">
        <w:rPr>
          <w:lang w:bidi="ar-SA"/>
        </w:rPr>
        <w:t>.</w:t>
      </w:r>
    </w:p>
    <w:p w14:paraId="1BD4C8DD" w14:textId="4475A0CC" w:rsidR="008B5567" w:rsidRDefault="00BE3818" w:rsidP="00E8122F">
      <w:pPr>
        <w:pStyle w:val="Heading4"/>
        <w:widowControl/>
      </w:pPr>
      <w:r>
        <w:t>2.5.1.4</w:t>
      </w:r>
      <w:r>
        <w:tab/>
      </w:r>
      <w:r w:rsidR="0027513D">
        <w:t>A</w:t>
      </w:r>
      <w:r>
        <w:t>ny other relevant matters</w:t>
      </w:r>
    </w:p>
    <w:p w14:paraId="4D2A8D2B" w14:textId="77777777" w:rsidR="00BE3818" w:rsidRDefault="008B5567" w:rsidP="00E8122F">
      <w:pPr>
        <w:widowControl/>
        <w:rPr>
          <w:lang w:bidi="ar-SA"/>
        </w:rPr>
      </w:pPr>
      <w:r>
        <w:t>Other relevant matters are considered below</w:t>
      </w:r>
      <w:r w:rsidR="00BE3818">
        <w:rPr>
          <w:lang w:bidi="ar-SA"/>
        </w:rPr>
        <w:t>.</w:t>
      </w:r>
      <w:r>
        <w:t xml:space="preserve"> </w:t>
      </w:r>
    </w:p>
    <w:p w14:paraId="74767E03" w14:textId="02506921" w:rsidR="00022DBC" w:rsidRPr="00914030" w:rsidRDefault="00576F2F" w:rsidP="00E8122F">
      <w:pPr>
        <w:pStyle w:val="Heading2"/>
        <w:widowControl/>
      </w:pPr>
      <w:bookmarkStart w:id="109" w:name="_Toc73104841"/>
      <w:bookmarkStart w:id="110" w:name="_Toc77338790"/>
      <w:bookmarkStart w:id="111" w:name="_Toc300761897"/>
      <w:bookmarkStart w:id="112" w:name="_Toc300933440"/>
      <w:r>
        <w:t>5</w:t>
      </w:r>
      <w:r w:rsidR="00BE3818">
        <w:t>.</w:t>
      </w:r>
      <w:r>
        <w:t>2.</w:t>
      </w:r>
      <w:r w:rsidR="00022DBC" w:rsidRPr="00914030">
        <w:tab/>
      </w:r>
      <w:r w:rsidR="00BE3818">
        <w:t>Subsection 18(1)</w:t>
      </w:r>
      <w:bookmarkEnd w:id="109"/>
      <w:bookmarkEnd w:id="110"/>
      <w:r w:rsidR="00BE3818">
        <w:t xml:space="preserve"> </w:t>
      </w:r>
      <w:bookmarkEnd w:id="111"/>
      <w:bookmarkEnd w:id="112"/>
    </w:p>
    <w:p w14:paraId="00CD3FAA" w14:textId="77777777" w:rsidR="00022DBC" w:rsidRPr="00914030" w:rsidRDefault="00022DBC" w:rsidP="00E8122F">
      <w:pPr>
        <w:widowControl/>
      </w:pPr>
      <w:r w:rsidRPr="00914030">
        <w:rPr>
          <w:rFonts w:cs="Arial"/>
        </w:rPr>
        <w:t xml:space="preserve">FSANZ has also </w:t>
      </w:r>
      <w:r w:rsidRPr="00914030">
        <w:t xml:space="preserve">considered the three objectives in subsection 18(1) of the </w:t>
      </w:r>
      <w:r>
        <w:t>FSANZ Act during the assessment.</w:t>
      </w:r>
    </w:p>
    <w:p w14:paraId="5D1018EC" w14:textId="42C85BFA" w:rsidR="00022DBC" w:rsidRPr="00914030" w:rsidRDefault="00576F2F" w:rsidP="00E8122F">
      <w:pPr>
        <w:pStyle w:val="Heading3"/>
        <w:widowControl/>
      </w:pPr>
      <w:bookmarkStart w:id="113" w:name="_Toc297029117"/>
      <w:bookmarkStart w:id="114" w:name="_Toc300761898"/>
      <w:bookmarkStart w:id="115" w:name="_Toc300933441"/>
      <w:bookmarkStart w:id="116" w:name="_Toc73104842"/>
      <w:bookmarkStart w:id="117" w:name="_Toc77338791"/>
      <w:r>
        <w:t>5</w:t>
      </w:r>
      <w:r w:rsidR="00BE3818">
        <w:t>.2</w:t>
      </w:r>
      <w:r w:rsidR="00022DBC" w:rsidRPr="00914030">
        <w:t>.1</w:t>
      </w:r>
      <w:r w:rsidR="00022DBC" w:rsidRPr="00914030">
        <w:tab/>
        <w:t>Protection of public health and safety</w:t>
      </w:r>
      <w:bookmarkEnd w:id="113"/>
      <w:bookmarkEnd w:id="114"/>
      <w:bookmarkEnd w:id="115"/>
      <w:bookmarkEnd w:id="116"/>
      <w:bookmarkEnd w:id="117"/>
    </w:p>
    <w:p w14:paraId="126878E1" w14:textId="3958B713" w:rsidR="00B06D26" w:rsidRDefault="009F2C07" w:rsidP="00E8122F">
      <w:pPr>
        <w:widowControl/>
      </w:pPr>
      <w:bookmarkStart w:id="118" w:name="_Toc300761899"/>
      <w:bookmarkStart w:id="119" w:name="_Toc300933442"/>
      <w:r w:rsidRPr="001A6DFD">
        <w:t>F</w:t>
      </w:r>
      <w:r>
        <w:t xml:space="preserve">SANZ completed a </w:t>
      </w:r>
      <w:r w:rsidRPr="004424CC">
        <w:t>safety</w:t>
      </w:r>
      <w:r w:rsidR="00F50571" w:rsidRPr="004424CC">
        <w:t xml:space="preserve"> and risk</w:t>
      </w:r>
      <w:r w:rsidRPr="004424CC">
        <w:t xml:space="preserve"> assessment (SD1)</w:t>
      </w:r>
      <w:r w:rsidRPr="001A6DFD">
        <w:t xml:space="preserve"> which is summarised in </w:t>
      </w:r>
      <w:r w:rsidRPr="001C01B2">
        <w:t xml:space="preserve">section </w:t>
      </w:r>
      <w:r w:rsidR="001C01B2">
        <w:t>2 of this report</w:t>
      </w:r>
      <w:r w:rsidRPr="001A6DFD">
        <w:t>. The assessment concluded that the addition of 2</w:t>
      </w:r>
      <w:r>
        <w:t>′</w:t>
      </w:r>
      <w:r w:rsidRPr="001A6DFD">
        <w:t>-FL</w:t>
      </w:r>
      <w:r w:rsidR="004F47BF">
        <w:t xml:space="preserve">, in powder or liquid form, </w:t>
      </w:r>
      <w:r w:rsidRPr="001A6DFD">
        <w:t xml:space="preserve">to </w:t>
      </w:r>
      <w:r w:rsidR="006D1F03">
        <w:t>IFP</w:t>
      </w:r>
      <w:r w:rsidRPr="001A6DFD">
        <w:t xml:space="preserve"> and </w:t>
      </w:r>
      <w:r w:rsidRPr="006D7863">
        <w:t xml:space="preserve">FSFYC </w:t>
      </w:r>
      <w:r w:rsidRPr="006D7863" w:rsidDel="00CA3B49">
        <w:t xml:space="preserve">at </w:t>
      </w:r>
      <w:r w:rsidR="00B06D26">
        <w:t>concentrations up to</w:t>
      </w:r>
      <w:r w:rsidRPr="006D7863">
        <w:t xml:space="preserve"> 2.4 g/L</w:t>
      </w:r>
      <w:r w:rsidR="00B06D26">
        <w:t xml:space="preserve"> is safe</w:t>
      </w:r>
      <w:r w:rsidR="004F47BF">
        <w:t>.</w:t>
      </w:r>
      <w:r w:rsidR="00AE162D">
        <w:t xml:space="preserve"> </w:t>
      </w:r>
    </w:p>
    <w:p w14:paraId="1638486F" w14:textId="77777777" w:rsidR="0062554B" w:rsidRDefault="0062554B" w:rsidP="00E8122F">
      <w:pPr>
        <w:widowControl/>
      </w:pPr>
    </w:p>
    <w:p w14:paraId="2605277A" w14:textId="7732E502" w:rsidR="001201A0" w:rsidRDefault="00BA265D" w:rsidP="00E8122F">
      <w:pPr>
        <w:widowControl/>
      </w:pPr>
      <w:r>
        <w:t>For the re</w:t>
      </w:r>
      <w:r w:rsidR="0045496A">
        <w:t>a</w:t>
      </w:r>
      <w:r>
        <w:t>son</w:t>
      </w:r>
      <w:r w:rsidR="00BC43E6">
        <w:t xml:space="preserve">s </w:t>
      </w:r>
      <w:r w:rsidR="00B44C5D">
        <w:t>explained</w:t>
      </w:r>
      <w:r w:rsidR="00BC43E6">
        <w:t xml:space="preserve"> in section 3, FSANZ’</w:t>
      </w:r>
      <w:r>
        <w:t xml:space="preserve">s assessment was not to permit </w:t>
      </w:r>
      <w:r w:rsidRPr="00893334">
        <w:t>2′-FL</w:t>
      </w:r>
      <w:r>
        <w:t xml:space="preserve"> in FSFYC.</w:t>
      </w:r>
    </w:p>
    <w:p w14:paraId="04199EC5" w14:textId="6E7890E5" w:rsidR="00022DBC" w:rsidRPr="00914030" w:rsidRDefault="00BE3818" w:rsidP="00E8122F">
      <w:pPr>
        <w:pStyle w:val="Heading3"/>
        <w:widowControl/>
      </w:pPr>
      <w:bookmarkStart w:id="120" w:name="_Toc73104843"/>
      <w:bookmarkStart w:id="121" w:name="_Toc77338792"/>
      <w:r>
        <w:t>5.2</w:t>
      </w:r>
      <w:r w:rsidR="00022DBC">
        <w:t>.</w:t>
      </w:r>
      <w:r w:rsidR="00022DBC" w:rsidRPr="00914030">
        <w:t>2</w:t>
      </w:r>
      <w:r w:rsidR="00022DBC" w:rsidRPr="00914030">
        <w:tab/>
        <w:t>The provision of adequate information relating to food to enable consumers to make informed choices</w:t>
      </w:r>
      <w:bookmarkEnd w:id="118"/>
      <w:bookmarkEnd w:id="119"/>
      <w:bookmarkEnd w:id="120"/>
      <w:bookmarkEnd w:id="121"/>
    </w:p>
    <w:p w14:paraId="65EC9081" w14:textId="6B3A899D" w:rsidR="00022DBC" w:rsidRPr="003B1DB4" w:rsidRDefault="003B1DB4" w:rsidP="00E8122F">
      <w:pPr>
        <w:widowControl/>
      </w:pPr>
      <w:r w:rsidRPr="003B1DB4">
        <w:t>C</w:t>
      </w:r>
      <w:r>
        <w:t xml:space="preserve">urrent labelling requirements </w:t>
      </w:r>
      <w:r w:rsidR="003C3538">
        <w:t xml:space="preserve">discussed in </w:t>
      </w:r>
      <w:r w:rsidR="003C3538" w:rsidRPr="004424CC">
        <w:t>section 3.</w:t>
      </w:r>
      <w:r w:rsidR="00711858">
        <w:t>2</w:t>
      </w:r>
      <w:r w:rsidR="00F353F5">
        <w:t xml:space="preserve"> </w:t>
      </w:r>
      <w:r>
        <w:t xml:space="preserve">would apply to </w:t>
      </w:r>
      <w:r w:rsidR="001C01B2">
        <w:t xml:space="preserve">the applicant’s </w:t>
      </w:r>
      <w:r w:rsidRPr="003B1DB4">
        <w:t>2′-FL</w:t>
      </w:r>
      <w:r>
        <w:t xml:space="preserve"> when added to </w:t>
      </w:r>
      <w:r w:rsidR="006D1F03">
        <w:t>IFP</w:t>
      </w:r>
      <w:r w:rsidR="003C3538">
        <w:t xml:space="preserve"> and would provide</w:t>
      </w:r>
      <w:r>
        <w:t xml:space="preserve"> information to enable consumers to make an informed choice.</w:t>
      </w:r>
    </w:p>
    <w:p w14:paraId="3F7093C2" w14:textId="7CE62000" w:rsidR="00022DBC" w:rsidRPr="00914030" w:rsidRDefault="00BE3818" w:rsidP="00E8122F">
      <w:pPr>
        <w:pStyle w:val="Heading3"/>
        <w:widowControl/>
      </w:pPr>
      <w:bookmarkStart w:id="122" w:name="_Toc300761900"/>
      <w:bookmarkStart w:id="123" w:name="_Toc300933443"/>
      <w:bookmarkStart w:id="124" w:name="_Toc73104844"/>
      <w:bookmarkStart w:id="125" w:name="_Toc77338793"/>
      <w:r>
        <w:t>5.2</w:t>
      </w:r>
      <w:r w:rsidR="00022DBC">
        <w:t>.</w:t>
      </w:r>
      <w:r w:rsidR="00022DBC" w:rsidRPr="00914030">
        <w:t>3</w:t>
      </w:r>
      <w:r w:rsidR="00022DBC" w:rsidRPr="00914030">
        <w:tab/>
        <w:t>The prevention of misleading or deceptive conduct</w:t>
      </w:r>
      <w:bookmarkEnd w:id="122"/>
      <w:bookmarkEnd w:id="123"/>
      <w:bookmarkEnd w:id="124"/>
      <w:bookmarkEnd w:id="125"/>
    </w:p>
    <w:p w14:paraId="6BD5D592" w14:textId="4ECB8898" w:rsidR="00242F5B" w:rsidRDefault="003B1DB4" w:rsidP="00E8122F">
      <w:pPr>
        <w:widowControl/>
        <w:rPr>
          <w:rFonts w:cs="Arial"/>
          <w:szCs w:val="22"/>
        </w:rPr>
      </w:pPr>
      <w:bookmarkStart w:id="126" w:name="_Toc300761901"/>
      <w:bookmarkStart w:id="127" w:name="_Toc300933444"/>
      <w:r w:rsidRPr="003E7621">
        <w:rPr>
          <w:rFonts w:cs="Arial"/>
          <w:szCs w:val="22"/>
        </w:rPr>
        <w:t>Current labelling requirements</w:t>
      </w:r>
      <w:r w:rsidR="00AB4BBD">
        <w:rPr>
          <w:rFonts w:cs="Arial"/>
          <w:szCs w:val="22"/>
        </w:rPr>
        <w:t xml:space="preserve">, including prohibited representations described in </w:t>
      </w:r>
      <w:r w:rsidR="00AB4BBD" w:rsidRPr="004424CC">
        <w:rPr>
          <w:rFonts w:cs="Arial"/>
          <w:szCs w:val="22"/>
        </w:rPr>
        <w:t>section 3.</w:t>
      </w:r>
      <w:r w:rsidR="00711858" w:rsidRPr="004424CC">
        <w:rPr>
          <w:rFonts w:cs="Arial"/>
          <w:szCs w:val="22"/>
        </w:rPr>
        <w:t>2</w:t>
      </w:r>
      <w:r w:rsidR="00AB4BBD" w:rsidRPr="004424CC">
        <w:rPr>
          <w:rFonts w:cs="Arial"/>
          <w:szCs w:val="22"/>
        </w:rPr>
        <w:t>.3,</w:t>
      </w:r>
      <w:r w:rsidR="00AB4BBD">
        <w:rPr>
          <w:rFonts w:cs="Arial"/>
          <w:szCs w:val="22"/>
        </w:rPr>
        <w:t xml:space="preserve"> which </w:t>
      </w:r>
      <w:r w:rsidRPr="003E7621">
        <w:rPr>
          <w:rFonts w:cs="Arial"/>
          <w:szCs w:val="22"/>
        </w:rPr>
        <w:t xml:space="preserve">aim to prevent misleading or deceptive conduct, would apply to </w:t>
      </w:r>
      <w:r w:rsidR="001C01B2">
        <w:rPr>
          <w:rFonts w:cs="Arial"/>
          <w:szCs w:val="22"/>
        </w:rPr>
        <w:t xml:space="preserve">the applicant’s </w:t>
      </w:r>
      <w:r w:rsidRPr="003E7621">
        <w:t>2′-FL when added</w:t>
      </w:r>
      <w:r w:rsidRPr="003E7621">
        <w:rPr>
          <w:rFonts w:cs="Arial"/>
          <w:szCs w:val="22"/>
        </w:rPr>
        <w:t xml:space="preserve"> to </w:t>
      </w:r>
      <w:r w:rsidR="001C01B2">
        <w:t>IFP</w:t>
      </w:r>
      <w:r w:rsidR="00AB4BBD">
        <w:rPr>
          <w:rFonts w:cs="Arial"/>
          <w:szCs w:val="22"/>
        </w:rPr>
        <w:t>.</w:t>
      </w:r>
    </w:p>
    <w:p w14:paraId="4A49277A" w14:textId="534C4841" w:rsidR="00022DBC" w:rsidRPr="00914030" w:rsidRDefault="00576F2F" w:rsidP="00E8122F">
      <w:pPr>
        <w:pStyle w:val="Heading2"/>
        <w:widowControl/>
      </w:pPr>
      <w:bookmarkStart w:id="128" w:name="_Toc73104845"/>
      <w:bookmarkStart w:id="129" w:name="_Toc77338794"/>
      <w:r>
        <w:t>5.3</w:t>
      </w:r>
      <w:r w:rsidR="00022DBC" w:rsidRPr="00914030">
        <w:tab/>
        <w:t>Subsection 18(2)</w:t>
      </w:r>
      <w:bookmarkEnd w:id="126"/>
      <w:bookmarkEnd w:id="127"/>
      <w:bookmarkEnd w:id="128"/>
      <w:bookmarkEnd w:id="129"/>
    </w:p>
    <w:p w14:paraId="737C5E17" w14:textId="07804713" w:rsidR="00022DBC" w:rsidRPr="00914030" w:rsidRDefault="00022DBC" w:rsidP="00E8122F">
      <w:pPr>
        <w:widowControl/>
        <w:rPr>
          <w:rFonts w:cs="Arial"/>
        </w:rPr>
      </w:pPr>
      <w:r w:rsidRPr="00914030">
        <w:rPr>
          <w:rFonts w:cs="Arial"/>
        </w:rPr>
        <w:t>FSANZ has also had regard to:</w:t>
      </w:r>
    </w:p>
    <w:p w14:paraId="05329258" w14:textId="77777777" w:rsidR="00022DBC" w:rsidRPr="00914030" w:rsidRDefault="00022DBC" w:rsidP="00E8122F">
      <w:pPr>
        <w:widowControl/>
        <w:rPr>
          <w:rFonts w:cs="Arial"/>
        </w:rPr>
      </w:pPr>
    </w:p>
    <w:p w14:paraId="0024E25C" w14:textId="77777777" w:rsidR="00022DBC" w:rsidRPr="008828D9" w:rsidRDefault="00022DBC" w:rsidP="00E8122F">
      <w:pPr>
        <w:pStyle w:val="FSBullet1"/>
        <w:rPr>
          <w:b/>
        </w:rPr>
      </w:pPr>
      <w:r w:rsidRPr="008828D9">
        <w:rPr>
          <w:b/>
        </w:rPr>
        <w:t>the need for standards to be based on risk analysis using the best available scientific evidence</w:t>
      </w:r>
    </w:p>
    <w:p w14:paraId="220C933A" w14:textId="77777777" w:rsidR="008828D9" w:rsidRDefault="008828D9" w:rsidP="00E8122F">
      <w:pPr>
        <w:widowControl/>
        <w:rPr>
          <w:lang w:bidi="ar-SA"/>
        </w:rPr>
      </w:pPr>
    </w:p>
    <w:p w14:paraId="553E9F34" w14:textId="77ECE896" w:rsidR="008828D9" w:rsidRDefault="00CC1CF4" w:rsidP="00E8122F">
      <w:pPr>
        <w:widowControl/>
      </w:pPr>
      <w:r w:rsidRPr="00B224B6">
        <w:t>FSANZ has used the risk analysis framework and considered the best available evidence to reach its conclusion</w:t>
      </w:r>
      <w:r>
        <w:t xml:space="preserve">s on the safety, technical and </w:t>
      </w:r>
      <w:r w:rsidR="00AE162D">
        <w:t xml:space="preserve">beneficial </w:t>
      </w:r>
      <w:r>
        <w:t xml:space="preserve">health </w:t>
      </w:r>
      <w:r w:rsidR="00E65F88">
        <w:t>outcomes</w:t>
      </w:r>
      <w:r>
        <w:t xml:space="preserve"> of the</w:t>
      </w:r>
      <w:r w:rsidR="006D1B35">
        <w:t xml:space="preserve"> </w:t>
      </w:r>
      <w:r>
        <w:t xml:space="preserve">applicant’s </w:t>
      </w:r>
      <w:r w:rsidR="00803A10" w:rsidRPr="00FD4EC3">
        <w:t>2′-FL</w:t>
      </w:r>
      <w:r w:rsidRPr="00B224B6">
        <w:t xml:space="preserve">. </w:t>
      </w:r>
      <w:r w:rsidRPr="00087609">
        <w:t xml:space="preserve">The applicant submitted a dossier of scientific </w:t>
      </w:r>
      <w:r w:rsidRPr="003E7621">
        <w:t xml:space="preserve">studies as part </w:t>
      </w:r>
      <w:r w:rsidR="00E65F88">
        <w:t>A1190</w:t>
      </w:r>
      <w:r>
        <w:t>, and FSANZ was able to draw on conclusions from previous assessments</w:t>
      </w:r>
      <w:r w:rsidR="00F303A0">
        <w:t xml:space="preserve"> undertaken for application A1155</w:t>
      </w:r>
      <w:r w:rsidRPr="003E7621">
        <w:t xml:space="preserve">. Other relevant information including </w:t>
      </w:r>
      <w:r w:rsidRPr="003E7621">
        <w:lastRenderedPageBreak/>
        <w:t>scientific literature was also</w:t>
      </w:r>
      <w:r>
        <w:t xml:space="preserve"> identified through a literature review and</w:t>
      </w:r>
      <w:r w:rsidRPr="003E7621">
        <w:t xml:space="preserve"> used in assessing the application. </w:t>
      </w:r>
      <w:r>
        <w:t xml:space="preserve">During the assessment the </w:t>
      </w:r>
      <w:r w:rsidRPr="003E7621">
        <w:t xml:space="preserve">applicant was asked to provide any additional </w:t>
      </w:r>
      <w:r w:rsidR="000A416E">
        <w:t>evidence</w:t>
      </w:r>
      <w:r w:rsidR="00C16F80">
        <w:t xml:space="preserve"> on the safety or beneficial health effects of their </w:t>
      </w:r>
      <w:r w:rsidR="00C16F80" w:rsidRPr="00FD4EC3">
        <w:t>2′-FL</w:t>
      </w:r>
      <w:r w:rsidRPr="003E7621">
        <w:t xml:space="preserve">. This was to ensure the assessment was based on the </w:t>
      </w:r>
      <w:r>
        <w:t>most current</w:t>
      </w:r>
      <w:r w:rsidR="00AE162D">
        <w:t xml:space="preserve"> and</w:t>
      </w:r>
      <w:r>
        <w:t xml:space="preserve"> </w:t>
      </w:r>
      <w:r w:rsidRPr="003E7621">
        <w:t>best available evidence.</w:t>
      </w:r>
      <w:r w:rsidR="00C16F80">
        <w:t xml:space="preserve"> No further information was provided.</w:t>
      </w:r>
    </w:p>
    <w:p w14:paraId="1D1F5C6B" w14:textId="77777777" w:rsidR="00CC1CF4" w:rsidRPr="008828D9" w:rsidRDefault="00CC1CF4" w:rsidP="00E8122F">
      <w:pPr>
        <w:widowControl/>
        <w:rPr>
          <w:lang w:bidi="ar-SA"/>
        </w:rPr>
      </w:pPr>
    </w:p>
    <w:p w14:paraId="5E6E6B53" w14:textId="77777777" w:rsidR="00022DBC" w:rsidRPr="008828D9" w:rsidRDefault="00022DBC" w:rsidP="00E8122F">
      <w:pPr>
        <w:pStyle w:val="FSBullet1"/>
        <w:spacing w:after="240"/>
        <w:rPr>
          <w:b/>
        </w:rPr>
      </w:pPr>
      <w:r w:rsidRPr="008828D9">
        <w:rPr>
          <w:b/>
        </w:rPr>
        <w:t>the promotion of consistency between domestic and international food standards</w:t>
      </w:r>
    </w:p>
    <w:p w14:paraId="3210AB36" w14:textId="13611688" w:rsidR="000A416E" w:rsidRDefault="00CC1CF4" w:rsidP="00E8122F">
      <w:pPr>
        <w:widowControl/>
      </w:pPr>
      <w:r w:rsidRPr="007313CD">
        <w:t>FSANZ has considered the promotion of consistency between domestic and international food standards and the desirability of an efficient and internatio</w:t>
      </w:r>
      <w:r>
        <w:t xml:space="preserve">nally competitive food industry. </w:t>
      </w:r>
      <w:r w:rsidRPr="00B224B6">
        <w:t xml:space="preserve">As discussed in </w:t>
      </w:r>
      <w:r w:rsidRPr="00DA1513">
        <w:t>section 1.3.2</w:t>
      </w:r>
      <w:r w:rsidRPr="00B224B6">
        <w:t xml:space="preserve">, </w:t>
      </w:r>
      <w:r w:rsidR="00AE162D">
        <w:t>2′-FL</w:t>
      </w:r>
      <w:r w:rsidRPr="00B224B6">
        <w:t xml:space="preserve"> </w:t>
      </w:r>
      <w:r w:rsidR="00AE162D">
        <w:t>is</w:t>
      </w:r>
      <w:r w:rsidR="00AE162D" w:rsidRPr="00B224B6">
        <w:t xml:space="preserve"> </w:t>
      </w:r>
      <w:r w:rsidRPr="00B224B6">
        <w:t>permitted for use</w:t>
      </w:r>
      <w:r w:rsidR="00AE162D">
        <w:t xml:space="preserve"> alone o</w:t>
      </w:r>
      <w:r w:rsidR="00C872FB">
        <w:t>r</w:t>
      </w:r>
      <w:r w:rsidR="00AE162D">
        <w:t xml:space="preserve"> </w:t>
      </w:r>
      <w:r w:rsidR="000A416E">
        <w:t xml:space="preserve">in combination </w:t>
      </w:r>
      <w:r w:rsidR="00AE162D">
        <w:t xml:space="preserve">with </w:t>
      </w:r>
      <w:r w:rsidR="000A416E">
        <w:t>LNnT</w:t>
      </w:r>
      <w:r w:rsidRPr="00B224B6">
        <w:t xml:space="preserve"> </w:t>
      </w:r>
      <w:r w:rsidR="00AE162D">
        <w:t>around the world</w:t>
      </w:r>
      <w:r w:rsidR="00C872FB">
        <w:t>,</w:t>
      </w:r>
      <w:r w:rsidR="00AE162D">
        <w:t xml:space="preserve"> </w:t>
      </w:r>
      <w:r w:rsidRPr="00B224B6">
        <w:t>in</w:t>
      </w:r>
      <w:r w:rsidR="00B87CDE">
        <w:t xml:space="preserve"> equivalent</w:t>
      </w:r>
      <w:r w:rsidR="00AE162D">
        <w:t xml:space="preserve"> IFP</w:t>
      </w:r>
      <w:r w:rsidRPr="00B224B6">
        <w:t xml:space="preserve"> </w:t>
      </w:r>
      <w:r w:rsidRPr="00B224B6" w:rsidDel="00CA3B49">
        <w:t xml:space="preserve">and </w:t>
      </w:r>
      <w:r w:rsidDel="00CA3B49">
        <w:t>FSFYC</w:t>
      </w:r>
      <w:r w:rsidR="00C872FB">
        <w:t>,</w:t>
      </w:r>
      <w:r w:rsidRPr="00B224B6" w:rsidDel="00CA3B49">
        <w:t xml:space="preserve"> </w:t>
      </w:r>
      <w:r>
        <w:t>at a range of levels and with country-specific labelling requirements</w:t>
      </w:r>
      <w:r w:rsidRPr="00B224B6">
        <w:t xml:space="preserve">. </w:t>
      </w:r>
    </w:p>
    <w:p w14:paraId="2263EA64" w14:textId="77777777" w:rsidR="000A416E" w:rsidRDefault="000A416E" w:rsidP="00E8122F">
      <w:pPr>
        <w:keepNext/>
        <w:keepLines/>
        <w:widowControl/>
      </w:pPr>
    </w:p>
    <w:p w14:paraId="50CF63FC" w14:textId="7C962082" w:rsidR="008828D9" w:rsidRPr="008828D9" w:rsidRDefault="00C16F80" w:rsidP="00E8122F">
      <w:pPr>
        <w:widowControl/>
        <w:spacing w:after="240"/>
        <w:rPr>
          <w:lang w:bidi="ar-SA"/>
        </w:rPr>
      </w:pPr>
      <w:r w:rsidRPr="00C16F80">
        <w:t>FSANZ considers that the permission to add the applicant’s 2′-FL to IFP would contrib</w:t>
      </w:r>
      <w:r w:rsidR="00BD392D">
        <w:t>u</w:t>
      </w:r>
      <w:r w:rsidRPr="00C16F80">
        <w:t>te to the consistency between domestic and international food standards. For the reasons explained above, FSANZ assessment was not to permit the addition of that 2′-FL to FSFYC. The latter is consistent with current permissions in the Code.</w:t>
      </w:r>
    </w:p>
    <w:p w14:paraId="3F3B9D14" w14:textId="77777777" w:rsidR="00022DBC" w:rsidRPr="008828D9" w:rsidRDefault="00022DBC" w:rsidP="00E8122F">
      <w:pPr>
        <w:pStyle w:val="FSBullet1"/>
        <w:rPr>
          <w:b/>
        </w:rPr>
      </w:pPr>
      <w:r w:rsidRPr="008828D9">
        <w:rPr>
          <w:b/>
        </w:rPr>
        <w:t>the desirability of an efficient and internationally competitive food industry</w:t>
      </w:r>
    </w:p>
    <w:p w14:paraId="6D05DCA2" w14:textId="77777777" w:rsidR="008828D9" w:rsidRDefault="008828D9" w:rsidP="00E8122F">
      <w:pPr>
        <w:widowControl/>
        <w:rPr>
          <w:lang w:bidi="ar-SA"/>
        </w:rPr>
      </w:pPr>
    </w:p>
    <w:p w14:paraId="0E71D122" w14:textId="74A79D6F" w:rsidR="008828D9" w:rsidRDefault="00CC1CF4" w:rsidP="00E8122F">
      <w:pPr>
        <w:widowControl/>
        <w:rPr>
          <w:lang w:bidi="ar-SA"/>
        </w:rPr>
      </w:pPr>
      <w:r>
        <w:t>The proposed permission would support</w:t>
      </w:r>
      <w:r w:rsidRPr="00B21422">
        <w:t xml:space="preserve"> an internationally competitive food industry</w:t>
      </w:r>
      <w:r>
        <w:t xml:space="preserve"> in relation to the addition of 2′-FL to </w:t>
      </w:r>
      <w:r w:rsidR="008D3727">
        <w:t>IFP, and is consistent with existing permissions in the Code for 2′-FL</w:t>
      </w:r>
      <w:r>
        <w:t>.</w:t>
      </w:r>
      <w:r w:rsidRPr="00B21422">
        <w:t xml:space="preserve"> </w:t>
      </w:r>
      <w:r w:rsidR="00C16F80" w:rsidRPr="00C16F80">
        <w:t>FSANZ assessment was not to permit the addition of that 2′-FL</w:t>
      </w:r>
      <w:r w:rsidR="002A6B85">
        <w:t xml:space="preserve"> to FSFYC</w:t>
      </w:r>
      <w:r w:rsidR="00C16F80" w:rsidRPr="00C16F80">
        <w:t xml:space="preserve">. </w:t>
      </w:r>
    </w:p>
    <w:p w14:paraId="1D454D1E" w14:textId="77777777" w:rsidR="00CC1CF4" w:rsidRPr="008828D9" w:rsidRDefault="00CC1CF4" w:rsidP="00E8122F">
      <w:pPr>
        <w:widowControl/>
        <w:rPr>
          <w:lang w:bidi="ar-SA"/>
        </w:rPr>
      </w:pPr>
    </w:p>
    <w:p w14:paraId="3F70BF32" w14:textId="77777777" w:rsidR="00022DBC" w:rsidRPr="008828D9" w:rsidRDefault="00022DBC" w:rsidP="00E8122F">
      <w:pPr>
        <w:pStyle w:val="FSBullet1"/>
        <w:rPr>
          <w:b/>
        </w:rPr>
      </w:pPr>
      <w:r w:rsidRPr="008828D9">
        <w:rPr>
          <w:b/>
        </w:rPr>
        <w:t>the promotion of fair trading in food</w:t>
      </w:r>
    </w:p>
    <w:p w14:paraId="6363C3B1" w14:textId="77777777" w:rsidR="008828D9" w:rsidRDefault="008828D9" w:rsidP="00E8122F">
      <w:pPr>
        <w:widowControl/>
        <w:rPr>
          <w:lang w:bidi="ar-SA"/>
        </w:rPr>
      </w:pPr>
    </w:p>
    <w:p w14:paraId="02D918FB" w14:textId="23E61CAF" w:rsidR="008828D9" w:rsidRDefault="00CC1CF4" w:rsidP="00E8122F">
      <w:pPr>
        <w:widowControl/>
      </w:pPr>
      <w:r w:rsidRPr="00E63BE9">
        <w:t>No negative impact is anticipated on fair trading.</w:t>
      </w:r>
    </w:p>
    <w:p w14:paraId="4DE73812" w14:textId="77777777" w:rsidR="00784FA6" w:rsidRPr="008828D9" w:rsidRDefault="00784FA6" w:rsidP="00E8122F">
      <w:pPr>
        <w:widowControl/>
        <w:rPr>
          <w:lang w:bidi="ar-SA"/>
        </w:rPr>
      </w:pPr>
    </w:p>
    <w:p w14:paraId="5DA00224" w14:textId="77777777" w:rsidR="00022DBC" w:rsidRPr="005E2F53" w:rsidRDefault="00022DBC" w:rsidP="00E8122F">
      <w:pPr>
        <w:pStyle w:val="FSBullet1"/>
      </w:pPr>
      <w:r w:rsidRPr="008828D9">
        <w:rPr>
          <w:b/>
        </w:rPr>
        <w:t xml:space="preserve">any written policy guidelines formulated by the </w:t>
      </w:r>
      <w:r w:rsidR="006E527D">
        <w:rPr>
          <w:b/>
        </w:rPr>
        <w:t>Forum on Food Regulation</w:t>
      </w:r>
    </w:p>
    <w:p w14:paraId="39925392" w14:textId="5BFCCF69" w:rsidR="00784FA6" w:rsidRPr="002C1A3B" w:rsidRDefault="00784FA6" w:rsidP="00E8122F">
      <w:pPr>
        <w:widowControl/>
        <w:rPr>
          <w:lang w:bidi="ar-SA"/>
        </w:rPr>
      </w:pPr>
    </w:p>
    <w:p w14:paraId="3D9CE2B4" w14:textId="56C7235F" w:rsidR="00784FA6" w:rsidRDefault="009D77C3" w:rsidP="00E8122F">
      <w:pPr>
        <w:widowControl/>
        <w:autoSpaceDE w:val="0"/>
        <w:autoSpaceDN w:val="0"/>
        <w:adjustRightInd w:val="0"/>
      </w:pPr>
      <w:r>
        <w:t xml:space="preserve">As part of A1190, FSANZ has </w:t>
      </w:r>
      <w:r>
        <w:rPr>
          <w:szCs w:val="22"/>
        </w:rPr>
        <w:t xml:space="preserve">had regard to both high order and specific policy principles in relevant Ministerial </w:t>
      </w:r>
      <w:r w:rsidR="00E5384F">
        <w:rPr>
          <w:szCs w:val="22"/>
        </w:rPr>
        <w:t>P</w:t>
      </w:r>
      <w:r>
        <w:rPr>
          <w:szCs w:val="22"/>
        </w:rPr>
        <w:t xml:space="preserve">olicy </w:t>
      </w:r>
      <w:r w:rsidR="00E5384F">
        <w:rPr>
          <w:szCs w:val="22"/>
        </w:rPr>
        <w:t>G</w:t>
      </w:r>
      <w:r>
        <w:rPr>
          <w:szCs w:val="22"/>
        </w:rPr>
        <w:t>uidelines.</w:t>
      </w:r>
      <w:r>
        <w:t xml:space="preserve"> </w:t>
      </w:r>
      <w:r w:rsidR="00784FA6">
        <w:t>Two</w:t>
      </w:r>
      <w:r w:rsidR="00784FA6" w:rsidRPr="00BF53F9">
        <w:t xml:space="preserve"> Ministerial Policy Guideline</w:t>
      </w:r>
      <w:r w:rsidR="00784FA6">
        <w:t>s</w:t>
      </w:r>
      <w:r>
        <w:t xml:space="preserve"> specifically</w:t>
      </w:r>
      <w:r w:rsidR="00784FA6">
        <w:t xml:space="preserve"> apply to this application:</w:t>
      </w:r>
    </w:p>
    <w:p w14:paraId="31AA9055" w14:textId="77777777" w:rsidR="00784FA6" w:rsidRDefault="00784FA6" w:rsidP="00E8122F">
      <w:pPr>
        <w:pStyle w:val="ListParagraph"/>
        <w:widowControl/>
        <w:numPr>
          <w:ilvl w:val="0"/>
          <w:numId w:val="27"/>
        </w:numPr>
        <w:spacing w:before="120" w:after="120"/>
        <w:ind w:left="714" w:hanging="357"/>
        <w:contextualSpacing w:val="0"/>
      </w:pPr>
      <w:r w:rsidRPr="00B10359">
        <w:t>Regulation of Infant Formula Products</w:t>
      </w:r>
      <w:r>
        <w:t xml:space="preserve"> </w:t>
      </w:r>
    </w:p>
    <w:p w14:paraId="19D37F73" w14:textId="01C92CEA" w:rsidR="00784FA6" w:rsidRDefault="00784FA6" w:rsidP="00E8122F">
      <w:pPr>
        <w:pStyle w:val="ListParagraph"/>
        <w:widowControl/>
        <w:numPr>
          <w:ilvl w:val="0"/>
          <w:numId w:val="27"/>
        </w:numPr>
        <w:spacing w:before="120"/>
        <w:ind w:left="714" w:hanging="357"/>
        <w:contextualSpacing w:val="0"/>
      </w:pPr>
      <w:r w:rsidRPr="00B10359">
        <w:t>Intent of Part 2.9 – Special Purpose Foods</w:t>
      </w:r>
      <w:r w:rsidR="0060443F">
        <w:t>.</w:t>
      </w:r>
    </w:p>
    <w:p w14:paraId="445BF0C0" w14:textId="77777777" w:rsidR="002A6B85" w:rsidRDefault="002A6B85" w:rsidP="00E8122F">
      <w:pPr>
        <w:widowControl/>
        <w:rPr>
          <w:lang w:bidi="ar-SA"/>
        </w:rPr>
      </w:pPr>
    </w:p>
    <w:p w14:paraId="208C40C2" w14:textId="7E6D5B7E" w:rsidR="00293F07" w:rsidRDefault="00293F07" w:rsidP="00E8122F">
      <w:pPr>
        <w:widowControl/>
        <w:rPr>
          <w:lang w:bidi="ar-SA"/>
        </w:rPr>
      </w:pPr>
      <w:r>
        <w:rPr>
          <w:lang w:bidi="ar-SA"/>
        </w:rPr>
        <w:t>FSANZ considers that</w:t>
      </w:r>
      <w:r w:rsidR="00F10D0C">
        <w:rPr>
          <w:lang w:bidi="ar-SA"/>
        </w:rPr>
        <w:t xml:space="preserve"> through the proposed permission for </w:t>
      </w:r>
      <w:r w:rsidR="00F10D0C" w:rsidRPr="00C16F80">
        <w:t>2′-FL</w:t>
      </w:r>
      <w:r w:rsidR="00F10D0C">
        <w:rPr>
          <w:lang w:bidi="ar-SA"/>
        </w:rPr>
        <w:t xml:space="preserve"> to be added to IFP,</w:t>
      </w:r>
      <w:r w:rsidR="00503757">
        <w:rPr>
          <w:lang w:bidi="ar-SA"/>
        </w:rPr>
        <w:t xml:space="preserve"> </w:t>
      </w:r>
      <w:r w:rsidR="00C16F80">
        <w:rPr>
          <w:lang w:bidi="ar-SA"/>
        </w:rPr>
        <w:t>these policy guidelines have been met</w:t>
      </w:r>
      <w:r w:rsidR="00A722AB">
        <w:rPr>
          <w:lang w:bidi="ar-SA"/>
        </w:rPr>
        <w:t>.</w:t>
      </w:r>
    </w:p>
    <w:p w14:paraId="24DFA58F" w14:textId="48783EF2" w:rsidR="00E520FE" w:rsidRDefault="00E520FE" w:rsidP="00E8122F">
      <w:pPr>
        <w:pStyle w:val="AARBullet"/>
        <w:numPr>
          <w:ilvl w:val="0"/>
          <w:numId w:val="0"/>
        </w:numPr>
      </w:pPr>
    </w:p>
    <w:p w14:paraId="32DF2B01" w14:textId="506D6F36" w:rsidR="005F7342" w:rsidRPr="00613231" w:rsidRDefault="000E1950" w:rsidP="00E8122F">
      <w:pPr>
        <w:pStyle w:val="Heading1"/>
        <w:widowControl/>
      </w:pPr>
      <w:bookmarkStart w:id="130" w:name="_Toc286391014"/>
      <w:bookmarkStart w:id="131" w:name="_Toc175381455"/>
      <w:bookmarkStart w:id="132" w:name="_Toc300933445"/>
      <w:bookmarkStart w:id="133" w:name="_Toc73104846"/>
      <w:bookmarkStart w:id="134" w:name="_Toc77338795"/>
      <w:bookmarkEnd w:id="50"/>
      <w:bookmarkEnd w:id="51"/>
      <w:bookmarkEnd w:id="52"/>
      <w:bookmarkEnd w:id="53"/>
      <w:bookmarkEnd w:id="54"/>
      <w:bookmarkEnd w:id="55"/>
      <w:bookmarkEnd w:id="73"/>
      <w:r>
        <w:t>6</w:t>
      </w:r>
      <w:r w:rsidR="00F604DE" w:rsidRPr="00613231">
        <w:tab/>
      </w:r>
      <w:bookmarkEnd w:id="130"/>
      <w:bookmarkEnd w:id="131"/>
      <w:bookmarkEnd w:id="132"/>
      <w:r w:rsidR="00D14405" w:rsidRPr="00613231">
        <w:t>Draft variation</w:t>
      </w:r>
      <w:bookmarkEnd w:id="133"/>
      <w:bookmarkEnd w:id="134"/>
    </w:p>
    <w:p w14:paraId="368186DA" w14:textId="2B60D7CE" w:rsidR="00D209C9" w:rsidRPr="00613231" w:rsidRDefault="00D209C9" w:rsidP="00E8122F">
      <w:pPr>
        <w:widowControl/>
      </w:pPr>
      <w:r w:rsidRPr="00613231">
        <w:t xml:space="preserve">The draft variation to the Code is at Attachment A and is intended to take effect on </w:t>
      </w:r>
      <w:r w:rsidR="000564DE" w:rsidRPr="00613231">
        <w:t>gazettal</w:t>
      </w:r>
      <w:r w:rsidR="00613231" w:rsidRPr="00613231">
        <w:t>.</w:t>
      </w:r>
    </w:p>
    <w:p w14:paraId="221F2998" w14:textId="77777777" w:rsidR="00D209C9" w:rsidRPr="00613231" w:rsidRDefault="00D209C9" w:rsidP="00E8122F">
      <w:pPr>
        <w:widowControl/>
      </w:pPr>
    </w:p>
    <w:p w14:paraId="208B823D" w14:textId="77777777" w:rsidR="00A12B44" w:rsidRPr="00613231" w:rsidRDefault="002C4A91" w:rsidP="00E8122F">
      <w:pPr>
        <w:widowControl/>
        <w:rPr>
          <w:u w:val="single"/>
        </w:rPr>
      </w:pPr>
      <w:r w:rsidRPr="00613231">
        <w:lastRenderedPageBreak/>
        <w:t>A</w:t>
      </w:r>
      <w:r w:rsidR="005358B0" w:rsidRPr="00613231">
        <w:t xml:space="preserve"> draft explanatory statement </w:t>
      </w:r>
      <w:r w:rsidRPr="00613231">
        <w:t>is</w:t>
      </w:r>
      <w:r w:rsidR="005358B0" w:rsidRPr="00613231">
        <w:t xml:space="preserve"> at Attachment B. </w:t>
      </w:r>
      <w:r w:rsidR="00D26814" w:rsidRPr="00613231">
        <w:t>An explanatory statement is required to accompany an instrument if it is lodged on the Federal Register of Legislati</w:t>
      </w:r>
      <w:r w:rsidR="004D6BBF" w:rsidRPr="00613231">
        <w:t>on</w:t>
      </w:r>
      <w:r w:rsidR="00D26814" w:rsidRPr="00613231">
        <w:t xml:space="preserve">. </w:t>
      </w:r>
    </w:p>
    <w:p w14:paraId="0E215AB6" w14:textId="77777777" w:rsidR="00D26814" w:rsidRPr="00613231" w:rsidRDefault="00D26814" w:rsidP="00E8122F">
      <w:pPr>
        <w:widowControl/>
        <w:rPr>
          <w:rFonts w:cs="Arial"/>
        </w:rPr>
      </w:pPr>
      <w:bookmarkStart w:id="135" w:name="_Toc11735643"/>
      <w:bookmarkStart w:id="136" w:name="_Toc29883130"/>
      <w:bookmarkStart w:id="137" w:name="_Toc41906817"/>
      <w:bookmarkStart w:id="138" w:name="_Toc41907564"/>
      <w:bookmarkStart w:id="139" w:name="_Toc43112360"/>
    </w:p>
    <w:p w14:paraId="30A1B3E9" w14:textId="5D0A93E2" w:rsidR="00924C80" w:rsidRPr="00613231" w:rsidRDefault="000E1950" w:rsidP="00E8122F">
      <w:pPr>
        <w:pStyle w:val="Heading1"/>
        <w:widowControl/>
      </w:pPr>
      <w:bookmarkStart w:id="140" w:name="_Toc300933452"/>
      <w:bookmarkStart w:id="141" w:name="_Toc73104847"/>
      <w:bookmarkStart w:id="142" w:name="_Toc77338796"/>
      <w:r>
        <w:t>7</w:t>
      </w:r>
      <w:r w:rsidR="00924C80" w:rsidRPr="00613231">
        <w:tab/>
        <w:t>R</w:t>
      </w:r>
      <w:bookmarkEnd w:id="140"/>
      <w:r w:rsidR="006C28E2" w:rsidRPr="00613231">
        <w:t>eferences</w:t>
      </w:r>
      <w:bookmarkEnd w:id="141"/>
      <w:bookmarkEnd w:id="142"/>
    </w:p>
    <w:p w14:paraId="56FEBB55" w14:textId="370D13DF" w:rsidR="002964DF" w:rsidRPr="009E1BA3" w:rsidRDefault="002964DF" w:rsidP="00E8122F">
      <w:pPr>
        <w:widowControl/>
        <w:spacing w:after="120"/>
        <w:rPr>
          <w:sz w:val="20"/>
          <w:szCs w:val="20"/>
        </w:rPr>
      </w:pPr>
      <w:r w:rsidRPr="009E1BA3">
        <w:rPr>
          <w:sz w:val="20"/>
          <w:szCs w:val="20"/>
        </w:rPr>
        <w:t xml:space="preserve">EU (2016) </w:t>
      </w:r>
      <w:hyperlink r:id="rId19" w:history="1">
        <w:r w:rsidRPr="009E1BA3">
          <w:rPr>
            <w:rStyle w:val="Hyperlink"/>
            <w:sz w:val="20"/>
            <w:szCs w:val="20"/>
          </w:rPr>
          <w:t>Commis</w:t>
        </w:r>
        <w:r w:rsidR="00210C5C" w:rsidRPr="009E1BA3">
          <w:rPr>
            <w:rStyle w:val="Hyperlink"/>
            <w:sz w:val="20"/>
            <w:szCs w:val="20"/>
          </w:rPr>
          <w:t>s</w:t>
        </w:r>
        <w:r w:rsidRPr="009E1BA3">
          <w:rPr>
            <w:rStyle w:val="Hyperlink"/>
            <w:sz w:val="20"/>
            <w:szCs w:val="20"/>
          </w:rPr>
          <w:t>ion Delegated Regulation</w:t>
        </w:r>
      </w:hyperlink>
      <w:r w:rsidRPr="009E1BA3">
        <w:rPr>
          <w:sz w:val="20"/>
          <w:szCs w:val="20"/>
        </w:rPr>
        <w:t xml:space="preserve"> (EU) 2016/127 of 25 September 2015 </w:t>
      </w:r>
      <w:r w:rsidRPr="009E1BA3">
        <w:rPr>
          <w:sz w:val="20"/>
          <w:szCs w:val="20"/>
          <w:lang w:val="en"/>
        </w:rPr>
        <w:t>supplementing Regulation (EU) No 609/2013 of the European Parliament and of the Council as regards the specific compositional and information requirements for infant formula and follow-on formula and as regards requirements on information relating to infant and young child feeding. Accessed 12 February 2020</w:t>
      </w:r>
    </w:p>
    <w:p w14:paraId="7A608B8A" w14:textId="77777777" w:rsidR="00210C5C" w:rsidRPr="009E1BA3" w:rsidRDefault="00210C5C" w:rsidP="00E8122F">
      <w:pPr>
        <w:widowControl/>
        <w:spacing w:after="120"/>
        <w:rPr>
          <w:sz w:val="20"/>
          <w:szCs w:val="20"/>
        </w:rPr>
      </w:pPr>
      <w:r w:rsidRPr="009E1BA3">
        <w:rPr>
          <w:sz w:val="20"/>
          <w:szCs w:val="20"/>
        </w:rPr>
        <w:t xml:space="preserve">EU (2017) </w:t>
      </w:r>
      <w:hyperlink r:id="rId20" w:history="1">
        <w:r w:rsidRPr="009E1BA3">
          <w:rPr>
            <w:rStyle w:val="Hyperlink"/>
            <w:sz w:val="20"/>
            <w:szCs w:val="20"/>
          </w:rPr>
          <w:t>Commission Implementing Decision</w:t>
        </w:r>
      </w:hyperlink>
      <w:r w:rsidRPr="009E1BA3">
        <w:rPr>
          <w:sz w:val="20"/>
          <w:szCs w:val="20"/>
        </w:rPr>
        <w:t xml:space="preserve"> (EU) 2017/2201 of 27 November 2017 authorising the placing on the market of 2′-fucosyllactose produced with Escherichia coli strain BL21 as a novel food ingredient under Regulation (EC) No 258/97 of the European Parliament and of the Council (notified under document C(2017) 7662). Accessed 17 September 2018.</w:t>
      </w:r>
    </w:p>
    <w:p w14:paraId="64CD499E" w14:textId="5C3CF6FC" w:rsidR="008012E8" w:rsidRPr="009E1BA3" w:rsidRDefault="008012E8" w:rsidP="00E8122F">
      <w:pPr>
        <w:widowControl/>
        <w:spacing w:after="120"/>
        <w:rPr>
          <w:sz w:val="20"/>
          <w:szCs w:val="20"/>
        </w:rPr>
      </w:pPr>
      <w:r w:rsidRPr="009E1BA3">
        <w:rPr>
          <w:sz w:val="20"/>
          <w:szCs w:val="20"/>
        </w:rPr>
        <w:t xml:space="preserve">EU (2018) </w:t>
      </w:r>
      <w:hyperlink r:id="rId21" w:history="1">
        <w:r w:rsidRPr="009E1BA3">
          <w:rPr>
            <w:rStyle w:val="Hyperlink"/>
            <w:sz w:val="20"/>
            <w:szCs w:val="20"/>
          </w:rPr>
          <w:t>Commission Implementing Regulation</w:t>
        </w:r>
      </w:hyperlink>
      <w:r w:rsidRPr="009E1BA3">
        <w:rPr>
          <w:sz w:val="20"/>
          <w:szCs w:val="20"/>
        </w:rPr>
        <w:t xml:space="preserve"> (EU) 2018/1023 of 23 July 2018 correcting Implementing Regulation (EU) 2017/2470 establishing the Union list of novel foods. Accessed 17 February 2020.</w:t>
      </w:r>
    </w:p>
    <w:p w14:paraId="67F1BE3D" w14:textId="77EAE460" w:rsidR="00E34DB7" w:rsidRPr="009E1BA3" w:rsidRDefault="00E34DB7" w:rsidP="00E8122F">
      <w:pPr>
        <w:widowControl/>
        <w:spacing w:after="120"/>
        <w:rPr>
          <w:sz w:val="20"/>
          <w:szCs w:val="20"/>
        </w:rPr>
      </w:pPr>
      <w:r w:rsidRPr="009E1BA3">
        <w:rPr>
          <w:sz w:val="20"/>
          <w:szCs w:val="20"/>
        </w:rPr>
        <w:t>MEB (2017a) 2′-Fucosyllactose (2), Assessment of substantial equivalence for a notification, in accordance with European Regulation 258/97 concerning novel foods and novel food ingredients. Novel Foods Unit, Medicines Evaluation Board (MEB).</w:t>
      </w:r>
    </w:p>
    <w:p w14:paraId="11EE5263" w14:textId="117C8A13" w:rsidR="00E34DB7" w:rsidRPr="009E1BA3" w:rsidRDefault="00E34DB7" w:rsidP="00E8122F">
      <w:pPr>
        <w:widowControl/>
        <w:spacing w:after="120"/>
        <w:rPr>
          <w:sz w:val="20"/>
          <w:szCs w:val="20"/>
        </w:rPr>
      </w:pPr>
      <w:r w:rsidRPr="009E1BA3">
        <w:rPr>
          <w:sz w:val="20"/>
          <w:szCs w:val="20"/>
        </w:rPr>
        <w:t>MEB (2017b) 2′-Fucosyllactose (3), Assessment of substantial equivalence for a notification, in accordance with European Regulation 258/97 concerning novel foods and novel food ingredients. Novel Foods Unit, MEB.</w:t>
      </w:r>
    </w:p>
    <w:p w14:paraId="4B3B01CE" w14:textId="5EE32706" w:rsidR="002950D6" w:rsidRPr="00B44097" w:rsidRDefault="004720B6" w:rsidP="00E8122F">
      <w:pPr>
        <w:widowControl/>
        <w:spacing w:after="120"/>
        <w:rPr>
          <w:lang w:val="en-AU"/>
        </w:rPr>
      </w:pPr>
      <w:r w:rsidRPr="009E1BA3">
        <w:rPr>
          <w:sz w:val="20"/>
          <w:szCs w:val="20"/>
          <w:lang w:val="en-AU"/>
        </w:rPr>
        <w:t xml:space="preserve">National Health and Medical Research Council (NHMRC) (2012) </w:t>
      </w:r>
      <w:r w:rsidRPr="009E1BA3">
        <w:rPr>
          <w:rFonts w:cstheme="minorBidi"/>
          <w:iCs/>
          <w:sz w:val="20"/>
          <w:szCs w:val="20"/>
          <w:lang w:val="en-AU"/>
        </w:rPr>
        <w:t>Infant Feeding Guidelines</w:t>
      </w:r>
      <w:r w:rsidRPr="009E1BA3">
        <w:rPr>
          <w:sz w:val="20"/>
          <w:szCs w:val="20"/>
          <w:lang w:val="en-AU"/>
        </w:rPr>
        <w:t xml:space="preserve">. Available at </w:t>
      </w:r>
      <w:hyperlink r:id="rId22" w:history="1">
        <w:r w:rsidR="00E50D63" w:rsidRPr="004A1F7C">
          <w:rPr>
            <w:rStyle w:val="Hyperlink"/>
            <w:sz w:val="20"/>
            <w:szCs w:val="20"/>
            <w:lang w:val="en-AU"/>
          </w:rPr>
          <w:t>https://www.nhmrc.gov.au/about-us/publications/infant-feeding-guidelines-information-health-workers</w:t>
        </w:r>
      </w:hyperlink>
      <w:r w:rsidR="00E50D63">
        <w:rPr>
          <w:sz w:val="20"/>
          <w:szCs w:val="20"/>
          <w:lang w:val="en-AU"/>
        </w:rPr>
        <w:t xml:space="preserve">. </w:t>
      </w:r>
    </w:p>
    <w:p w14:paraId="43041DA3" w14:textId="6360479B" w:rsidR="002950D6" w:rsidRPr="00B44097" w:rsidRDefault="002950D6" w:rsidP="00E8122F">
      <w:pPr>
        <w:widowControl/>
        <w:spacing w:after="120"/>
        <w:rPr>
          <w:sz w:val="18"/>
          <w:szCs w:val="20"/>
          <w:lang w:val="en-AU"/>
        </w:rPr>
      </w:pPr>
      <w:r w:rsidRPr="00B44097">
        <w:rPr>
          <w:sz w:val="20"/>
        </w:rPr>
        <w:t>New Zealand Ministry of Health</w:t>
      </w:r>
      <w:r w:rsidR="00CD496D">
        <w:rPr>
          <w:sz w:val="20"/>
        </w:rPr>
        <w:t xml:space="preserve"> (NZ MoH)</w:t>
      </w:r>
      <w:r w:rsidRPr="00B44097">
        <w:rPr>
          <w:sz w:val="20"/>
        </w:rPr>
        <w:t xml:space="preserve"> (2012) Food and Nutrition Guidelines for Healthy Infants and Toddlers (Aged 0–2). Available at </w:t>
      </w:r>
      <w:hyperlink r:id="rId23" w:history="1">
        <w:r w:rsidR="00B44097" w:rsidRPr="00795727">
          <w:rPr>
            <w:rStyle w:val="Hyperlink"/>
            <w:sz w:val="20"/>
          </w:rPr>
          <w:t>https://www.health.govt.nz/publication/food-and-nutritionguidelines-healthy-infants-and-toddlers-aged-0-2-background-paper-partially</w:t>
        </w:r>
      </w:hyperlink>
      <w:r w:rsidR="00B44097">
        <w:rPr>
          <w:sz w:val="20"/>
        </w:rPr>
        <w:t xml:space="preserve">. </w:t>
      </w:r>
    </w:p>
    <w:p w14:paraId="22598404" w14:textId="13F1EC8F" w:rsidR="00E672EA" w:rsidRPr="009E1BA3" w:rsidRDefault="00E672EA" w:rsidP="00E8122F">
      <w:pPr>
        <w:widowControl/>
        <w:spacing w:after="120"/>
        <w:rPr>
          <w:rFonts w:cs="Arial"/>
          <w:sz w:val="20"/>
          <w:szCs w:val="20"/>
        </w:rPr>
      </w:pPr>
      <w:r w:rsidRPr="009E1BA3">
        <w:rPr>
          <w:rFonts w:cs="Arial"/>
          <w:sz w:val="20"/>
          <w:szCs w:val="20"/>
        </w:rPr>
        <w:t>NFU (2016) 2</w:t>
      </w:r>
      <w:r w:rsidR="00B9643D" w:rsidRPr="004777D4">
        <w:t>′</w:t>
      </w:r>
      <w:r w:rsidRPr="009E1BA3">
        <w:rPr>
          <w:rFonts w:cs="Arial"/>
          <w:sz w:val="20"/>
          <w:szCs w:val="20"/>
        </w:rPr>
        <w:t xml:space="preserve">-Fucosyllactose: Assessment of safety for the consumer, in accordance with </w:t>
      </w:r>
      <w:r w:rsidR="00DD6349" w:rsidRPr="009E1BA3">
        <w:rPr>
          <w:rFonts w:cs="Arial"/>
          <w:sz w:val="20"/>
          <w:szCs w:val="20"/>
        </w:rPr>
        <w:t xml:space="preserve">European Regulation 258/97 concerning novel foods and novel food ingredients. Novel </w:t>
      </w:r>
      <w:r w:rsidR="00F2052C">
        <w:rPr>
          <w:rFonts w:cs="Arial"/>
          <w:sz w:val="20"/>
          <w:szCs w:val="20"/>
        </w:rPr>
        <w:t>F</w:t>
      </w:r>
      <w:r w:rsidR="00DD6349" w:rsidRPr="009E1BA3">
        <w:rPr>
          <w:rFonts w:cs="Arial"/>
          <w:sz w:val="20"/>
          <w:szCs w:val="20"/>
        </w:rPr>
        <w:t>oods Unit, Medicines Evaluation Board, Netherlands.</w:t>
      </w:r>
    </w:p>
    <w:p w14:paraId="36CBFAD2" w14:textId="5D5A13E3" w:rsidR="00A02AF8" w:rsidRPr="009E1BA3" w:rsidRDefault="00A02AF8" w:rsidP="00E8122F">
      <w:pPr>
        <w:widowControl/>
        <w:spacing w:after="120"/>
        <w:rPr>
          <w:rFonts w:cs="Arial"/>
          <w:sz w:val="20"/>
          <w:szCs w:val="20"/>
          <w:lang w:val="en-AU" w:eastAsia="en-GB"/>
        </w:rPr>
      </w:pPr>
      <w:r w:rsidRPr="009E1BA3">
        <w:rPr>
          <w:rFonts w:cs="Arial"/>
          <w:sz w:val="20"/>
          <w:szCs w:val="20"/>
          <w:lang w:val="en-AU" w:eastAsia="en-GB"/>
        </w:rPr>
        <w:t xml:space="preserve">SFA (2018) </w:t>
      </w:r>
      <w:hyperlink r:id="rId24" w:history="1">
        <w:r w:rsidRPr="009E1BA3">
          <w:rPr>
            <w:rStyle w:val="Hyperlink"/>
            <w:rFonts w:cs="Arial"/>
            <w:sz w:val="20"/>
            <w:szCs w:val="20"/>
            <w:lang w:val="en-AU" w:eastAsia="en-GB"/>
          </w:rPr>
          <w:t>Sale of Food Act</w:t>
        </w:r>
      </w:hyperlink>
      <w:r w:rsidRPr="009E1BA3">
        <w:rPr>
          <w:rFonts w:cs="Arial"/>
          <w:sz w:val="20"/>
          <w:szCs w:val="20"/>
          <w:lang w:val="en-AU" w:eastAsia="en-GB"/>
        </w:rPr>
        <w:t xml:space="preserve"> (Chapter 283</w:t>
      </w:r>
      <w:r w:rsidR="000502F6" w:rsidRPr="009E1BA3">
        <w:rPr>
          <w:rFonts w:cs="Arial"/>
          <w:sz w:val="20"/>
          <w:szCs w:val="20"/>
          <w:lang w:val="en-AU" w:eastAsia="en-GB"/>
        </w:rPr>
        <w:t>, Section 56(1)</w:t>
      </w:r>
      <w:r w:rsidRPr="009E1BA3">
        <w:rPr>
          <w:rFonts w:cs="Arial"/>
          <w:sz w:val="20"/>
          <w:szCs w:val="20"/>
          <w:lang w:val="en-AU" w:eastAsia="en-GB"/>
        </w:rPr>
        <w:t xml:space="preserve">): Food regulations </w:t>
      </w:r>
      <w:r w:rsidR="000502F6" w:rsidRPr="009E1BA3">
        <w:rPr>
          <w:rFonts w:cs="Arial"/>
          <w:sz w:val="20"/>
          <w:szCs w:val="20"/>
          <w:lang w:val="en-AU" w:eastAsia="en-GB"/>
        </w:rPr>
        <w:t>Rg1 G.N. No. S264/1988 (revised edition 2005)</w:t>
      </w:r>
      <w:r w:rsidRPr="009E1BA3">
        <w:rPr>
          <w:rFonts w:cs="Arial"/>
          <w:sz w:val="20"/>
          <w:szCs w:val="20"/>
          <w:lang w:val="en-AU" w:eastAsia="en-GB"/>
        </w:rPr>
        <w:t xml:space="preserve">. Singapore </w:t>
      </w:r>
      <w:r w:rsidR="00E867DD" w:rsidRPr="009E1BA3">
        <w:rPr>
          <w:rFonts w:cs="Arial"/>
          <w:sz w:val="20"/>
          <w:szCs w:val="20"/>
          <w:lang w:val="en-AU" w:eastAsia="en-GB"/>
        </w:rPr>
        <w:t>Food Authority.</w:t>
      </w:r>
    </w:p>
    <w:p w14:paraId="3F372F79" w14:textId="0D9AE3F8" w:rsidR="004B5A54" w:rsidRPr="009E1BA3" w:rsidRDefault="00034D0B" w:rsidP="00E8122F">
      <w:pPr>
        <w:widowControl/>
        <w:spacing w:after="120"/>
        <w:rPr>
          <w:rFonts w:cs="Arial"/>
          <w:sz w:val="20"/>
          <w:szCs w:val="20"/>
        </w:rPr>
      </w:pPr>
      <w:r w:rsidRPr="009E1BA3">
        <w:rPr>
          <w:rFonts w:cs="Arial"/>
          <w:sz w:val="20"/>
          <w:szCs w:val="20"/>
        </w:rPr>
        <w:t xml:space="preserve">USFDA (2015) GRAS notice </w:t>
      </w:r>
      <w:hyperlink r:id="rId25" w:history="1">
        <w:r w:rsidRPr="009E1BA3">
          <w:rPr>
            <w:rStyle w:val="Hyperlink"/>
            <w:rFonts w:cs="Arial"/>
            <w:sz w:val="20"/>
            <w:szCs w:val="20"/>
          </w:rPr>
          <w:t>GRN No. 571</w:t>
        </w:r>
      </w:hyperlink>
      <w:r w:rsidR="00B9643D">
        <w:rPr>
          <w:rFonts w:cs="Arial"/>
          <w:sz w:val="20"/>
          <w:szCs w:val="20"/>
        </w:rPr>
        <w:t>, 2</w:t>
      </w:r>
      <w:r w:rsidR="00B9643D" w:rsidRPr="004777D4">
        <w:t>′</w:t>
      </w:r>
      <w:r w:rsidRPr="009E1BA3">
        <w:rPr>
          <w:rFonts w:cs="Arial"/>
          <w:sz w:val="20"/>
          <w:szCs w:val="20"/>
        </w:rPr>
        <w:t>-Fucosyllactose, J</w:t>
      </w:r>
      <w:r w:rsidR="00B44097">
        <w:rPr>
          <w:rFonts w:cs="Arial"/>
          <w:sz w:val="20"/>
          <w:szCs w:val="20"/>
        </w:rPr>
        <w:t>ennewein Biotechnologies, GmgH.</w:t>
      </w:r>
    </w:p>
    <w:p w14:paraId="4A7C6F04" w14:textId="7E825399" w:rsidR="00492684" w:rsidRPr="009E1BA3" w:rsidRDefault="00492684" w:rsidP="00E8122F">
      <w:pPr>
        <w:widowControl/>
        <w:spacing w:after="120"/>
        <w:rPr>
          <w:rFonts w:cs="Arial"/>
          <w:sz w:val="20"/>
          <w:szCs w:val="20"/>
        </w:rPr>
      </w:pPr>
      <w:r w:rsidRPr="009E1BA3">
        <w:rPr>
          <w:rFonts w:cs="Arial"/>
          <w:sz w:val="20"/>
          <w:szCs w:val="20"/>
        </w:rPr>
        <w:t>USFDA (2016</w:t>
      </w:r>
      <w:r w:rsidR="00C06299" w:rsidRPr="009E1BA3">
        <w:rPr>
          <w:rFonts w:cs="Arial"/>
          <w:sz w:val="20"/>
          <w:szCs w:val="20"/>
        </w:rPr>
        <w:t>a</w:t>
      </w:r>
      <w:r w:rsidRPr="009E1BA3">
        <w:rPr>
          <w:rFonts w:cs="Arial"/>
          <w:sz w:val="20"/>
          <w:szCs w:val="20"/>
        </w:rPr>
        <w:t xml:space="preserve">) GRAS notice </w:t>
      </w:r>
      <w:hyperlink r:id="rId26" w:history="1">
        <w:r w:rsidRPr="009E1BA3">
          <w:rPr>
            <w:rStyle w:val="Hyperlink"/>
            <w:rFonts w:cs="Arial"/>
            <w:sz w:val="20"/>
            <w:szCs w:val="20"/>
          </w:rPr>
          <w:t>GRN No. 650</w:t>
        </w:r>
      </w:hyperlink>
      <w:r w:rsidRPr="009E1BA3">
        <w:rPr>
          <w:rFonts w:cs="Arial"/>
          <w:sz w:val="20"/>
          <w:szCs w:val="20"/>
        </w:rPr>
        <w:t>, 2</w:t>
      </w:r>
      <w:r w:rsidR="00B9643D" w:rsidRPr="004777D4">
        <w:t>′</w:t>
      </w:r>
      <w:r w:rsidRPr="009E1BA3">
        <w:rPr>
          <w:rFonts w:cs="Arial"/>
          <w:sz w:val="20"/>
          <w:szCs w:val="20"/>
        </w:rPr>
        <w:t>-</w:t>
      </w:r>
      <w:r w:rsidRPr="009E1BA3">
        <w:rPr>
          <w:rFonts w:cs="Arial"/>
          <w:i/>
          <w:sz w:val="20"/>
          <w:szCs w:val="20"/>
        </w:rPr>
        <w:t>O</w:t>
      </w:r>
      <w:r w:rsidRPr="009E1BA3">
        <w:rPr>
          <w:rFonts w:cs="Arial"/>
          <w:sz w:val="20"/>
          <w:szCs w:val="20"/>
        </w:rPr>
        <w:t>-Fucosyllactose Produc</w:t>
      </w:r>
      <w:r w:rsidR="00B44097">
        <w:rPr>
          <w:rFonts w:cs="Arial"/>
          <w:sz w:val="20"/>
          <w:szCs w:val="20"/>
        </w:rPr>
        <w:t>ed by Fermentation, Glycom A/S.</w:t>
      </w:r>
    </w:p>
    <w:p w14:paraId="5218651F" w14:textId="5B3179E7" w:rsidR="00C06299" w:rsidRPr="009E1BA3" w:rsidRDefault="00C06299" w:rsidP="00E8122F">
      <w:pPr>
        <w:widowControl/>
        <w:spacing w:after="120"/>
        <w:rPr>
          <w:rFonts w:cs="Arial"/>
          <w:sz w:val="20"/>
          <w:szCs w:val="20"/>
        </w:rPr>
      </w:pPr>
      <w:r w:rsidRPr="009E1BA3">
        <w:rPr>
          <w:rFonts w:cs="Arial"/>
          <w:sz w:val="20"/>
          <w:szCs w:val="20"/>
        </w:rPr>
        <w:t xml:space="preserve">USFDA (2016b) </w:t>
      </w:r>
      <w:r w:rsidR="00F76BC3" w:rsidRPr="009E1BA3">
        <w:rPr>
          <w:rFonts w:cs="Arial"/>
          <w:sz w:val="20"/>
          <w:szCs w:val="20"/>
        </w:rPr>
        <w:t xml:space="preserve">Guidance for Industry: Labeling of Infant Formula. Office of Nutrition and Food Labeling. Available from: </w:t>
      </w:r>
      <w:hyperlink r:id="rId27" w:history="1">
        <w:r w:rsidR="00F76BC3" w:rsidRPr="009E1BA3">
          <w:rPr>
            <w:rStyle w:val="Hyperlink"/>
            <w:rFonts w:cs="Arial"/>
            <w:sz w:val="20"/>
            <w:szCs w:val="20"/>
          </w:rPr>
          <w:t>https://www.fda.gov/regulatory-information/search-fda-guidance-documents/guidance-industry-labeling-infant-formula</w:t>
        </w:r>
      </w:hyperlink>
      <w:r w:rsidR="00F76BC3" w:rsidRPr="009E1BA3">
        <w:rPr>
          <w:rFonts w:cs="Arial"/>
          <w:sz w:val="20"/>
          <w:szCs w:val="20"/>
        </w:rPr>
        <w:t>. Accessed 17 January 2020</w:t>
      </w:r>
    </w:p>
    <w:p w14:paraId="7274FDB3" w14:textId="329AEC74" w:rsidR="00C7451A" w:rsidRPr="009E1BA3" w:rsidRDefault="00C7451A" w:rsidP="00E8122F">
      <w:pPr>
        <w:widowControl/>
        <w:spacing w:after="120"/>
        <w:rPr>
          <w:rFonts w:cs="Arial"/>
          <w:sz w:val="20"/>
          <w:szCs w:val="20"/>
        </w:rPr>
      </w:pPr>
      <w:r w:rsidRPr="009E1BA3">
        <w:rPr>
          <w:rFonts w:cs="Arial"/>
          <w:sz w:val="20"/>
          <w:szCs w:val="20"/>
        </w:rPr>
        <w:t xml:space="preserve">USFDA (2018a) GRAS notice </w:t>
      </w:r>
      <w:hyperlink r:id="rId28" w:history="1">
        <w:r w:rsidRPr="009E1BA3">
          <w:rPr>
            <w:rStyle w:val="Hyperlink"/>
            <w:rFonts w:cs="Arial"/>
            <w:sz w:val="20"/>
            <w:szCs w:val="20"/>
          </w:rPr>
          <w:t xml:space="preserve">GRN No. </w:t>
        </w:r>
        <w:r w:rsidR="00F65889" w:rsidRPr="009E1BA3">
          <w:rPr>
            <w:rStyle w:val="Hyperlink"/>
            <w:rFonts w:cs="Arial"/>
            <w:sz w:val="20"/>
            <w:szCs w:val="20"/>
          </w:rPr>
          <w:t>735</w:t>
        </w:r>
      </w:hyperlink>
      <w:r w:rsidRPr="009E1BA3">
        <w:rPr>
          <w:rFonts w:cs="Arial"/>
          <w:sz w:val="20"/>
          <w:szCs w:val="20"/>
        </w:rPr>
        <w:t>, 2</w:t>
      </w:r>
      <w:r w:rsidR="00B9643D" w:rsidRPr="004777D4">
        <w:t>′</w:t>
      </w:r>
      <w:r w:rsidRPr="009E1BA3">
        <w:rPr>
          <w:rFonts w:cs="Arial"/>
          <w:sz w:val="20"/>
          <w:szCs w:val="20"/>
        </w:rPr>
        <w:t>-Fucosyllactose</w:t>
      </w:r>
      <w:r w:rsidR="00F65889" w:rsidRPr="009E1BA3">
        <w:rPr>
          <w:rFonts w:cs="Arial"/>
          <w:sz w:val="20"/>
          <w:szCs w:val="20"/>
        </w:rPr>
        <w:t>, Glycosyn, LLC and Friesland Campina Domo B.V.</w:t>
      </w:r>
      <w:r w:rsidRPr="009E1BA3">
        <w:rPr>
          <w:rFonts w:cs="Arial"/>
          <w:sz w:val="20"/>
          <w:szCs w:val="20"/>
        </w:rPr>
        <w:t xml:space="preserve"> Accessed 17 January 2020</w:t>
      </w:r>
    </w:p>
    <w:p w14:paraId="25BB07D9" w14:textId="40803BFB" w:rsidR="00F65889" w:rsidRPr="009E1BA3" w:rsidRDefault="00F65889" w:rsidP="00E8122F">
      <w:pPr>
        <w:widowControl/>
        <w:spacing w:after="120"/>
        <w:rPr>
          <w:sz w:val="20"/>
          <w:szCs w:val="20"/>
        </w:rPr>
      </w:pPr>
      <w:r w:rsidRPr="009E1BA3">
        <w:rPr>
          <w:rFonts w:cs="Arial"/>
          <w:sz w:val="20"/>
          <w:szCs w:val="20"/>
        </w:rPr>
        <w:t xml:space="preserve">USFDA (2018b) GRAS notice </w:t>
      </w:r>
      <w:hyperlink r:id="rId29" w:history="1">
        <w:r w:rsidRPr="009E1BA3">
          <w:rPr>
            <w:rStyle w:val="Hyperlink"/>
            <w:rFonts w:cs="Arial"/>
            <w:sz w:val="20"/>
            <w:szCs w:val="20"/>
          </w:rPr>
          <w:t>GRN No. 749</w:t>
        </w:r>
      </w:hyperlink>
      <w:r w:rsidRPr="009E1BA3">
        <w:rPr>
          <w:rFonts w:cs="Arial"/>
          <w:sz w:val="20"/>
          <w:szCs w:val="20"/>
        </w:rPr>
        <w:t>, 2</w:t>
      </w:r>
      <w:r w:rsidR="00B9643D" w:rsidRPr="004777D4">
        <w:t>′</w:t>
      </w:r>
      <w:r w:rsidRPr="009E1BA3">
        <w:rPr>
          <w:rFonts w:cs="Arial"/>
          <w:sz w:val="20"/>
          <w:szCs w:val="20"/>
        </w:rPr>
        <w:t>-</w:t>
      </w:r>
      <w:r w:rsidRPr="009E1BA3">
        <w:rPr>
          <w:rFonts w:cs="Arial"/>
          <w:i/>
          <w:sz w:val="20"/>
          <w:szCs w:val="20"/>
        </w:rPr>
        <w:t>O</w:t>
      </w:r>
      <w:r w:rsidRPr="009E1BA3">
        <w:rPr>
          <w:rFonts w:cs="Arial"/>
          <w:sz w:val="20"/>
          <w:szCs w:val="20"/>
        </w:rPr>
        <w:t>-Fucosyllactose, DuPont Nutrition &amp; Health. Accessed 17 January 2020</w:t>
      </w:r>
    </w:p>
    <w:bookmarkEnd w:id="135"/>
    <w:bookmarkEnd w:id="136"/>
    <w:bookmarkEnd w:id="137"/>
    <w:bookmarkEnd w:id="138"/>
    <w:bookmarkEnd w:id="139"/>
    <w:p w14:paraId="2F636915" w14:textId="77777777" w:rsidR="003C4969" w:rsidRPr="00924C80" w:rsidRDefault="00924C80" w:rsidP="00E8122F">
      <w:pPr>
        <w:widowControl/>
        <w:spacing w:before="240"/>
        <w:rPr>
          <w:b/>
          <w:sz w:val="28"/>
          <w:szCs w:val="28"/>
        </w:rPr>
      </w:pPr>
      <w:r w:rsidRPr="00924C80">
        <w:rPr>
          <w:b/>
          <w:sz w:val="28"/>
          <w:szCs w:val="28"/>
        </w:rPr>
        <w:t>A</w:t>
      </w:r>
      <w:r>
        <w:rPr>
          <w:b/>
          <w:sz w:val="28"/>
          <w:szCs w:val="28"/>
        </w:rPr>
        <w:t>ttachments</w:t>
      </w:r>
    </w:p>
    <w:p w14:paraId="13C31C14" w14:textId="77777777" w:rsidR="00A4175D" w:rsidRPr="00E203C2" w:rsidRDefault="00A4175D" w:rsidP="00E8122F">
      <w:pPr>
        <w:widowControl/>
      </w:pPr>
    </w:p>
    <w:p w14:paraId="3F18EFC0" w14:textId="65DAB673" w:rsidR="00AB0275" w:rsidRDefault="00AB0275" w:rsidP="00E8122F">
      <w:pPr>
        <w:widowControl/>
        <w:ind w:left="567" w:hanging="567"/>
      </w:pPr>
      <w:r>
        <w:t>A.</w:t>
      </w:r>
      <w:r>
        <w:tab/>
      </w:r>
      <w:r w:rsidR="00D2071E">
        <w:t>D</w:t>
      </w:r>
      <w:r>
        <w:t>raft variatio</w:t>
      </w:r>
      <w:r w:rsidRPr="00596FD1">
        <w:t>ns</w:t>
      </w:r>
      <w:r>
        <w:t xml:space="preserve"> to the</w:t>
      </w:r>
      <w:r w:rsidR="002C4A91">
        <w:t xml:space="preserve"> </w:t>
      </w:r>
      <w:r w:rsidRPr="00050FE3">
        <w:t>Australia New Zealand Food Standards Code</w:t>
      </w:r>
      <w:r w:rsidR="002C4A91">
        <w:t xml:space="preserve"> </w:t>
      </w:r>
    </w:p>
    <w:p w14:paraId="3AB27357" w14:textId="77777777" w:rsidR="00AB0275" w:rsidRDefault="00AB0275" w:rsidP="00E8122F">
      <w:pPr>
        <w:widowControl/>
        <w:ind w:left="567" w:hanging="567"/>
      </w:pPr>
      <w:r w:rsidRPr="00456BD5">
        <w:t>B.</w:t>
      </w:r>
      <w:r w:rsidRPr="00456BD5">
        <w:tab/>
      </w:r>
      <w:r w:rsidR="002C4A91">
        <w:t xml:space="preserve">Draft </w:t>
      </w:r>
      <w:r>
        <w:t xml:space="preserve">Explanatory Statement </w:t>
      </w:r>
    </w:p>
    <w:p w14:paraId="6AFF9B3B" w14:textId="77777777" w:rsidR="00D60568" w:rsidRPr="00E203C2" w:rsidRDefault="00D60568" w:rsidP="00E8122F">
      <w:pPr>
        <w:widowControl/>
      </w:pPr>
    </w:p>
    <w:p w14:paraId="6AF32356" w14:textId="5921E6C6" w:rsidR="00AB0275" w:rsidRPr="00456BD5" w:rsidRDefault="00AB0275" w:rsidP="00E8122F">
      <w:pPr>
        <w:pStyle w:val="Heading2"/>
        <w:widowControl/>
        <w:ind w:left="0" w:firstLine="0"/>
      </w:pPr>
      <w:bookmarkStart w:id="143" w:name="_Toc300933454"/>
      <w:r w:rsidRPr="00932F14">
        <w:br w:type="page"/>
      </w:r>
      <w:bookmarkStart w:id="144" w:name="_Toc29883131"/>
      <w:bookmarkStart w:id="145" w:name="_Toc41906818"/>
      <w:bookmarkStart w:id="146" w:name="_Toc41907565"/>
      <w:bookmarkStart w:id="147" w:name="_Toc120358596"/>
      <w:bookmarkStart w:id="148" w:name="_Toc175381458"/>
      <w:bookmarkStart w:id="149" w:name="_Toc11735644"/>
      <w:bookmarkStart w:id="150" w:name="_Toc415572037"/>
      <w:bookmarkStart w:id="151" w:name="_Toc73104848"/>
      <w:bookmarkStart w:id="152" w:name="_Toc77338797"/>
      <w:r w:rsidRPr="00932F14">
        <w:lastRenderedPageBreak/>
        <w:t xml:space="preserve">Attachment </w:t>
      </w:r>
      <w:bookmarkEnd w:id="144"/>
      <w:bookmarkEnd w:id="145"/>
      <w:bookmarkEnd w:id="146"/>
      <w:bookmarkEnd w:id="147"/>
      <w:bookmarkEnd w:id="148"/>
      <w:r>
        <w:t>A</w:t>
      </w:r>
      <w:bookmarkStart w:id="153" w:name="_Toc120358597"/>
      <w:bookmarkStart w:id="154" w:name="_Toc175381459"/>
      <w:bookmarkEnd w:id="149"/>
      <w:r>
        <w:t xml:space="preserve"> –</w:t>
      </w:r>
      <w:r w:rsidR="00CA3C65">
        <w:t xml:space="preserve"> </w:t>
      </w:r>
      <w:bookmarkStart w:id="155" w:name="_Toc415572039"/>
      <w:bookmarkEnd w:id="143"/>
      <w:bookmarkEnd w:id="150"/>
      <w:bookmarkEnd w:id="153"/>
      <w:bookmarkEnd w:id="154"/>
      <w:r w:rsidR="00CA3C65">
        <w:t>D</w:t>
      </w:r>
      <w:r>
        <w:t xml:space="preserve">raft </w:t>
      </w:r>
      <w:r w:rsidRPr="00932F14">
        <w:t>variatio</w:t>
      </w:r>
      <w:r w:rsidRPr="00596FD1">
        <w:t>n</w:t>
      </w:r>
      <w:r w:rsidRPr="00932F14">
        <w:t xml:space="preserve"> to the</w:t>
      </w:r>
      <w:r w:rsidRPr="00755F02">
        <w:t xml:space="preserve"> </w:t>
      </w:r>
      <w:r w:rsidRPr="00E85B19">
        <w:t>Australia New Zealand Food Standards Code</w:t>
      </w:r>
      <w:bookmarkEnd w:id="151"/>
      <w:bookmarkEnd w:id="152"/>
      <w:r>
        <w:rPr>
          <w:i/>
        </w:rPr>
        <w:t xml:space="preserve"> </w:t>
      </w:r>
      <w:bookmarkEnd w:id="155"/>
    </w:p>
    <w:p w14:paraId="6B5BD613" w14:textId="4664547C" w:rsidR="00012475" w:rsidRPr="0036244B" w:rsidRDefault="00012475" w:rsidP="00E8122F">
      <w:pPr>
        <w:widowControl/>
      </w:pPr>
    </w:p>
    <w:p w14:paraId="3D308892" w14:textId="08B37A93" w:rsidR="00012475" w:rsidRPr="00C0014E" w:rsidRDefault="00012475" w:rsidP="00E8122F">
      <w:pPr>
        <w:widowControl/>
        <w:rPr>
          <w:noProof/>
          <w:sz w:val="20"/>
          <w:lang w:val="en-AU" w:eastAsia="en-AU"/>
        </w:rPr>
      </w:pPr>
      <w:r w:rsidRPr="00C0014E">
        <w:rPr>
          <w:noProof/>
          <w:sz w:val="20"/>
          <w:lang w:eastAsia="en-GB" w:bidi="ar-SA"/>
        </w:rPr>
        <w:drawing>
          <wp:inline distT="0" distB="0" distL="0" distR="0" wp14:anchorId="561E04DB" wp14:editId="58AD29BD">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9F411A6" w14:textId="77777777" w:rsidR="00012475" w:rsidRPr="006153A1" w:rsidRDefault="00012475" w:rsidP="00E8122F">
      <w:pPr>
        <w:widowControl/>
        <w:pBdr>
          <w:bottom w:val="single" w:sz="4" w:space="1" w:color="auto"/>
        </w:pBdr>
        <w:rPr>
          <w:b/>
          <w:bCs/>
        </w:rPr>
      </w:pPr>
    </w:p>
    <w:p w14:paraId="7355C127" w14:textId="77777777" w:rsidR="00012475" w:rsidRDefault="00012475" w:rsidP="00E8122F">
      <w:pPr>
        <w:widowControl/>
        <w:pBdr>
          <w:bottom w:val="single" w:sz="4" w:space="1" w:color="auto"/>
        </w:pBdr>
        <w:rPr>
          <w:b/>
          <w:sz w:val="20"/>
        </w:rPr>
      </w:pPr>
      <w:r w:rsidRPr="006153A1">
        <w:rPr>
          <w:b/>
          <w:sz w:val="20"/>
        </w:rPr>
        <w:t xml:space="preserve">Food Standards </w:t>
      </w:r>
      <w:r>
        <w:rPr>
          <w:b/>
          <w:sz w:val="20"/>
        </w:rPr>
        <w:t>(</w:t>
      </w:r>
      <w:r w:rsidRPr="00F618DF">
        <w:rPr>
          <w:b/>
          <w:sz w:val="20"/>
        </w:rPr>
        <w:t>Application A</w:t>
      </w:r>
      <w:r>
        <w:rPr>
          <w:b/>
          <w:sz w:val="20"/>
        </w:rPr>
        <w:t>1190</w:t>
      </w:r>
      <w:r w:rsidRPr="00F618DF">
        <w:rPr>
          <w:b/>
          <w:sz w:val="20"/>
        </w:rPr>
        <w:t xml:space="preserve"> </w:t>
      </w:r>
      <w:r w:rsidRPr="00A32232">
        <w:rPr>
          <w:b/>
          <w:sz w:val="20"/>
        </w:rPr>
        <w:t xml:space="preserve">– </w:t>
      </w:r>
      <w:r>
        <w:rPr>
          <w:b/>
          <w:sz w:val="20"/>
        </w:rPr>
        <w:t>2’-FL in infant formula and other products)</w:t>
      </w:r>
      <w:r w:rsidRPr="00C0014E">
        <w:rPr>
          <w:b/>
          <w:sz w:val="20"/>
        </w:rPr>
        <w:t xml:space="preserve"> Variation</w:t>
      </w:r>
    </w:p>
    <w:p w14:paraId="3BDFE9AF" w14:textId="77777777" w:rsidR="00012475" w:rsidRPr="00C0014E" w:rsidRDefault="00012475" w:rsidP="00E8122F">
      <w:pPr>
        <w:widowControl/>
        <w:pBdr>
          <w:bottom w:val="single" w:sz="4" w:space="1" w:color="auto"/>
        </w:pBdr>
        <w:rPr>
          <w:b/>
          <w:sz w:val="20"/>
        </w:rPr>
      </w:pPr>
    </w:p>
    <w:p w14:paraId="1814A370" w14:textId="77777777" w:rsidR="00012475" w:rsidRPr="008F2616" w:rsidRDefault="00012475" w:rsidP="00E8122F">
      <w:pPr>
        <w:widowControl/>
        <w:rPr>
          <w:sz w:val="20"/>
        </w:rPr>
      </w:pPr>
    </w:p>
    <w:p w14:paraId="6ACEB063" w14:textId="77777777" w:rsidR="00012475" w:rsidRPr="008F2616" w:rsidRDefault="00012475" w:rsidP="00E8122F">
      <w:pPr>
        <w:widowControl/>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1651C8B8" w14:textId="77777777" w:rsidR="00012475" w:rsidRPr="008F2616" w:rsidRDefault="00012475" w:rsidP="00E8122F">
      <w:pPr>
        <w:widowControl/>
        <w:rPr>
          <w:sz w:val="20"/>
        </w:rPr>
      </w:pPr>
    </w:p>
    <w:p w14:paraId="5A8DECF8" w14:textId="77777777" w:rsidR="00012475" w:rsidRPr="008F2616" w:rsidRDefault="00012475" w:rsidP="00E8122F">
      <w:pPr>
        <w:widowControl/>
        <w:rPr>
          <w:sz w:val="20"/>
        </w:rPr>
      </w:pPr>
      <w:r w:rsidRPr="008F2616">
        <w:rPr>
          <w:sz w:val="20"/>
        </w:rPr>
        <w:t xml:space="preserve">Dated </w:t>
      </w:r>
      <w:r>
        <w:rPr>
          <w:sz w:val="20"/>
        </w:rPr>
        <w:t>[To be completed by Delegate]</w:t>
      </w:r>
    </w:p>
    <w:p w14:paraId="11C8D3CB" w14:textId="77777777" w:rsidR="00012475" w:rsidRPr="008F2616" w:rsidRDefault="00012475" w:rsidP="00E8122F">
      <w:pPr>
        <w:widowControl/>
        <w:rPr>
          <w:sz w:val="20"/>
        </w:rPr>
      </w:pPr>
    </w:p>
    <w:p w14:paraId="6071C339" w14:textId="77777777" w:rsidR="00012475" w:rsidRDefault="00012475" w:rsidP="00E8122F">
      <w:pPr>
        <w:widowControl/>
        <w:rPr>
          <w:sz w:val="20"/>
        </w:rPr>
      </w:pPr>
    </w:p>
    <w:p w14:paraId="075B4F8E" w14:textId="77777777" w:rsidR="00012475" w:rsidRDefault="00012475" w:rsidP="00E8122F">
      <w:pPr>
        <w:widowControl/>
        <w:rPr>
          <w:sz w:val="20"/>
        </w:rPr>
      </w:pPr>
    </w:p>
    <w:p w14:paraId="5507B900" w14:textId="77777777" w:rsidR="00012475" w:rsidRPr="008F2616" w:rsidRDefault="00012475" w:rsidP="00E8122F">
      <w:pPr>
        <w:widowControl/>
        <w:rPr>
          <w:sz w:val="20"/>
        </w:rPr>
      </w:pPr>
    </w:p>
    <w:p w14:paraId="24511A9B" w14:textId="77777777" w:rsidR="00012475" w:rsidRPr="008F2616" w:rsidRDefault="00012475" w:rsidP="00E8122F">
      <w:pPr>
        <w:widowControl/>
        <w:rPr>
          <w:sz w:val="20"/>
        </w:rPr>
      </w:pPr>
    </w:p>
    <w:p w14:paraId="56766B79" w14:textId="77777777" w:rsidR="00012475" w:rsidRDefault="00012475" w:rsidP="00E8122F">
      <w:pPr>
        <w:widowControl/>
        <w:rPr>
          <w:sz w:val="20"/>
        </w:rPr>
      </w:pPr>
      <w:r>
        <w:rPr>
          <w:sz w:val="20"/>
        </w:rPr>
        <w:t>[Insert name of Delegate]</w:t>
      </w:r>
    </w:p>
    <w:p w14:paraId="1805DF85" w14:textId="77777777" w:rsidR="00012475" w:rsidRDefault="00012475" w:rsidP="00E8122F">
      <w:pPr>
        <w:widowControl/>
        <w:rPr>
          <w:sz w:val="20"/>
        </w:rPr>
      </w:pPr>
      <w:r>
        <w:rPr>
          <w:sz w:val="20"/>
        </w:rPr>
        <w:t>Delegate of the Board of Food Standards Australia New Zealand</w:t>
      </w:r>
    </w:p>
    <w:p w14:paraId="345CADA2" w14:textId="77777777" w:rsidR="00012475" w:rsidRDefault="00012475" w:rsidP="00E8122F">
      <w:pPr>
        <w:widowControl/>
        <w:rPr>
          <w:sz w:val="20"/>
        </w:rPr>
      </w:pPr>
    </w:p>
    <w:p w14:paraId="627E0228" w14:textId="77777777" w:rsidR="00012475" w:rsidRDefault="00012475" w:rsidP="00E8122F">
      <w:pPr>
        <w:widowControl/>
        <w:rPr>
          <w:sz w:val="20"/>
        </w:rPr>
      </w:pPr>
    </w:p>
    <w:p w14:paraId="17259E5D" w14:textId="77777777" w:rsidR="00012475" w:rsidRDefault="00012475" w:rsidP="00E8122F">
      <w:pPr>
        <w:widowControl/>
        <w:rPr>
          <w:sz w:val="20"/>
        </w:rPr>
      </w:pPr>
    </w:p>
    <w:p w14:paraId="1939037E" w14:textId="77777777" w:rsidR="00012475" w:rsidRDefault="00012475" w:rsidP="00E8122F">
      <w:pPr>
        <w:widowControl/>
        <w:rPr>
          <w:sz w:val="20"/>
        </w:rPr>
      </w:pPr>
    </w:p>
    <w:p w14:paraId="3B47CAF8" w14:textId="77777777" w:rsidR="00012475" w:rsidRDefault="00012475" w:rsidP="00E8122F">
      <w:pPr>
        <w:widowControl/>
        <w:rPr>
          <w:sz w:val="20"/>
        </w:rPr>
      </w:pPr>
    </w:p>
    <w:p w14:paraId="4C426FE6" w14:textId="5B89598D" w:rsidR="00012475" w:rsidRPr="00360C8F" w:rsidRDefault="00012475" w:rsidP="00E8122F">
      <w:pPr>
        <w:widowControl/>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Note:</w:t>
      </w:r>
    </w:p>
    <w:p w14:paraId="2BCBA24C" w14:textId="77777777" w:rsidR="00012475" w:rsidRPr="00360C8F" w:rsidRDefault="00012475" w:rsidP="00E8122F">
      <w:pPr>
        <w:widowControl/>
        <w:pBdr>
          <w:top w:val="single" w:sz="4" w:space="1" w:color="auto"/>
          <w:left w:val="single" w:sz="4" w:space="4" w:color="auto"/>
          <w:bottom w:val="single" w:sz="4" w:space="1" w:color="auto"/>
          <w:right w:val="single" w:sz="4" w:space="4" w:color="auto"/>
        </w:pBdr>
        <w:rPr>
          <w:sz w:val="20"/>
          <w:lang w:val="en-AU"/>
        </w:rPr>
      </w:pPr>
    </w:p>
    <w:p w14:paraId="3E1E0BFC" w14:textId="77777777" w:rsidR="00012475" w:rsidRPr="00360C8F" w:rsidRDefault="00012475" w:rsidP="00E8122F">
      <w:pPr>
        <w:widowControl/>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21BE9C3D" w14:textId="77777777" w:rsidR="00012475" w:rsidRDefault="00012475" w:rsidP="00E8122F">
      <w:pPr>
        <w:widowControl/>
        <w:rPr>
          <w:sz w:val="20"/>
        </w:rPr>
      </w:pPr>
    </w:p>
    <w:p w14:paraId="287C93E6" w14:textId="77777777" w:rsidR="00012475" w:rsidRDefault="00012475" w:rsidP="00E8122F">
      <w:pPr>
        <w:widowControl/>
        <w:rPr>
          <w:sz w:val="20"/>
        </w:rPr>
      </w:pPr>
      <w:r>
        <w:rPr>
          <w:sz w:val="20"/>
        </w:rPr>
        <w:br w:type="page"/>
      </w:r>
    </w:p>
    <w:p w14:paraId="4E4299D3" w14:textId="77777777" w:rsidR="00012475" w:rsidRPr="005F585D" w:rsidRDefault="00012475" w:rsidP="00E8122F">
      <w:pPr>
        <w:pStyle w:val="FSCDraftingitemheading"/>
        <w:widowControl/>
      </w:pPr>
      <w:r w:rsidRPr="00D433B1">
        <w:lastRenderedPageBreak/>
        <w:t>1</w:t>
      </w:r>
      <w:r w:rsidRPr="00D433B1">
        <w:tab/>
        <w:t>Name</w:t>
      </w:r>
    </w:p>
    <w:p w14:paraId="6C140120" w14:textId="77777777" w:rsidR="00012475" w:rsidRPr="00F618DF" w:rsidRDefault="00012475" w:rsidP="00E8122F">
      <w:pPr>
        <w:pStyle w:val="FSCDraftingitem"/>
      </w:pPr>
      <w:r w:rsidRPr="00DB170D">
        <w:t xml:space="preserve">This instrument is the </w:t>
      </w:r>
      <w:r w:rsidRPr="00792F7C">
        <w:rPr>
          <w:i/>
        </w:rPr>
        <w:t>Food Standards (</w:t>
      </w:r>
      <w:r w:rsidRPr="003402EC">
        <w:rPr>
          <w:i/>
        </w:rPr>
        <w:t>Application A1190 – 2’-FL in infant formula and other products</w:t>
      </w:r>
      <w:r w:rsidRPr="00792F7C">
        <w:rPr>
          <w:i/>
        </w:rPr>
        <w:t>) Variation</w:t>
      </w:r>
      <w:r w:rsidRPr="00F618DF">
        <w:t>.</w:t>
      </w:r>
    </w:p>
    <w:p w14:paraId="567C21C8" w14:textId="77777777" w:rsidR="00012475" w:rsidRPr="003402EC" w:rsidRDefault="00012475" w:rsidP="00E8122F">
      <w:pPr>
        <w:pStyle w:val="FSCDraftingitemheading"/>
        <w:widowControl/>
      </w:pPr>
      <w:r w:rsidRPr="00D433B1">
        <w:t>2</w:t>
      </w:r>
      <w:r w:rsidRPr="00D433B1">
        <w:tab/>
        <w:t xml:space="preserve">Variation to </w:t>
      </w:r>
      <w:r>
        <w:t>S</w:t>
      </w:r>
      <w:r w:rsidRPr="003402EC">
        <w:t xml:space="preserve">tandards in the </w:t>
      </w:r>
      <w:r w:rsidRPr="003402EC">
        <w:rPr>
          <w:i/>
        </w:rPr>
        <w:t>Australia New Zealand Food Standards Code</w:t>
      </w:r>
    </w:p>
    <w:p w14:paraId="7328EAEB" w14:textId="77777777" w:rsidR="00012475" w:rsidRDefault="00012475" w:rsidP="00E8122F">
      <w:pPr>
        <w:pStyle w:val="FSCDraftingitem"/>
      </w:pPr>
      <w:r w:rsidRPr="003402EC">
        <w:t xml:space="preserve">The Schedule varies Standards in the </w:t>
      </w:r>
      <w:r w:rsidRPr="00792F7C">
        <w:rPr>
          <w:i/>
        </w:rPr>
        <w:t>Australia New Zealand Food Standards Code</w:t>
      </w:r>
      <w:r>
        <w:t>.</w:t>
      </w:r>
    </w:p>
    <w:p w14:paraId="03C91D7B" w14:textId="77777777" w:rsidR="00012475" w:rsidRPr="00D433B1" w:rsidRDefault="00012475" w:rsidP="00E8122F">
      <w:pPr>
        <w:pStyle w:val="FSCDraftingitemheading"/>
        <w:widowControl/>
      </w:pPr>
      <w:r w:rsidRPr="00D433B1">
        <w:t>3</w:t>
      </w:r>
      <w:r w:rsidRPr="00D433B1">
        <w:tab/>
        <w:t>Commencement</w:t>
      </w:r>
    </w:p>
    <w:p w14:paraId="557C9E92" w14:textId="77777777" w:rsidR="00012475" w:rsidRDefault="00012475" w:rsidP="00E8122F">
      <w:pPr>
        <w:pStyle w:val="FSCDraftingitem"/>
      </w:pPr>
      <w:r>
        <w:t>The variation commenc</w:t>
      </w:r>
      <w:r w:rsidRPr="000055C4">
        <w:t>e</w:t>
      </w:r>
      <w:r>
        <w:t>s</w:t>
      </w:r>
      <w:r w:rsidRPr="000055C4">
        <w:t xml:space="preserve"> on</w:t>
      </w:r>
      <w:r>
        <w:t xml:space="preserve"> the date of gazettal.</w:t>
      </w:r>
    </w:p>
    <w:p w14:paraId="28DC2B4B" w14:textId="77777777" w:rsidR="00012475" w:rsidRDefault="00012475" w:rsidP="00E8122F">
      <w:pPr>
        <w:pStyle w:val="FSCDraftingitemheading"/>
        <w:widowControl/>
      </w:pPr>
      <w:r>
        <w:t>4</w:t>
      </w:r>
      <w:r>
        <w:tab/>
        <w:t>Order in which amendments in the Schedule take effect</w:t>
      </w:r>
    </w:p>
    <w:p w14:paraId="2175B770" w14:textId="77777777" w:rsidR="00012475" w:rsidRDefault="00012475" w:rsidP="00E8122F">
      <w:pPr>
        <w:pStyle w:val="FSCDraftingitem"/>
      </w:pPr>
      <w:r>
        <w:t>Amendments in the Schedule take effect in numerical order.</w:t>
      </w:r>
    </w:p>
    <w:p w14:paraId="3C0AF956" w14:textId="77777777" w:rsidR="00012475" w:rsidRDefault="00012475" w:rsidP="00E8122F">
      <w:pPr>
        <w:pStyle w:val="FSCDraftingitem"/>
      </w:pPr>
    </w:p>
    <w:p w14:paraId="0C0C342F" w14:textId="77777777" w:rsidR="00012475" w:rsidRDefault="00012475" w:rsidP="00E8122F">
      <w:pPr>
        <w:widowControl/>
        <w:jc w:val="center"/>
        <w:rPr>
          <w:b/>
          <w:sz w:val="20"/>
        </w:rPr>
      </w:pPr>
      <w:r w:rsidRPr="00D433B1">
        <w:rPr>
          <w:b/>
          <w:sz w:val="20"/>
        </w:rPr>
        <w:t>Schedule</w:t>
      </w:r>
    </w:p>
    <w:p w14:paraId="4B3A9DAE" w14:textId="77777777" w:rsidR="00012475" w:rsidRPr="00D433B1" w:rsidRDefault="00012475" w:rsidP="00E8122F">
      <w:pPr>
        <w:widowControl/>
        <w:jc w:val="center"/>
        <w:rPr>
          <w:b/>
          <w:sz w:val="20"/>
        </w:rPr>
      </w:pPr>
    </w:p>
    <w:p w14:paraId="22BFF54E" w14:textId="77777777" w:rsidR="00012475" w:rsidRPr="005C7DDE" w:rsidRDefault="00012475" w:rsidP="00E8122F">
      <w:pPr>
        <w:pStyle w:val="FSCDraftingitem"/>
        <w:rPr>
          <w:lang w:bidi="en-US"/>
        </w:rPr>
      </w:pPr>
      <w:r w:rsidRPr="005C7DDE">
        <w:rPr>
          <w:b/>
          <w:lang w:bidi="en-US"/>
        </w:rPr>
        <w:t>[1]</w:t>
      </w:r>
      <w:r w:rsidRPr="005C7DDE">
        <w:rPr>
          <w:b/>
          <w:lang w:bidi="en-US"/>
        </w:rPr>
        <w:tab/>
        <w:t xml:space="preserve">Standard 2.9.1 </w:t>
      </w:r>
      <w:r w:rsidRPr="005C7DDE">
        <w:rPr>
          <w:lang w:bidi="en-US"/>
        </w:rPr>
        <w:t>is varied by omitting</w:t>
      </w:r>
      <w:r>
        <w:rPr>
          <w:lang w:bidi="en-US"/>
        </w:rPr>
        <w:t xml:space="preserve"> </w:t>
      </w:r>
      <w:r w:rsidRPr="005C7DDE">
        <w:rPr>
          <w:lang w:bidi="en-US"/>
        </w:rPr>
        <w:t>“2′-O-fucosyllactose” (wherever occurring)</w:t>
      </w:r>
      <w:r>
        <w:rPr>
          <w:lang w:bidi="en-US"/>
        </w:rPr>
        <w:t xml:space="preserve"> in sub</w:t>
      </w:r>
      <w:r w:rsidRPr="00C56562">
        <w:rPr>
          <w:lang w:bidi="en-US"/>
        </w:rPr>
        <w:t xml:space="preserve">section </w:t>
      </w:r>
      <w:r>
        <w:t>2.9.1—7(2)</w:t>
      </w:r>
      <w:r w:rsidRPr="005C7DDE">
        <w:rPr>
          <w:lang w:bidi="en-US"/>
        </w:rPr>
        <w:t>, substituting “2′-fucosyllactose”</w:t>
      </w:r>
    </w:p>
    <w:p w14:paraId="393263B0" w14:textId="77777777" w:rsidR="00012475" w:rsidRPr="00C56562" w:rsidRDefault="00012475" w:rsidP="00E8122F">
      <w:pPr>
        <w:pStyle w:val="FSCDraftingitem"/>
        <w:rPr>
          <w:lang w:bidi="en-US"/>
        </w:rPr>
      </w:pPr>
      <w:r>
        <w:rPr>
          <w:b/>
          <w:lang w:bidi="en-US"/>
        </w:rPr>
        <w:t>[2]</w:t>
      </w:r>
      <w:r>
        <w:rPr>
          <w:b/>
          <w:lang w:bidi="en-US"/>
        </w:rPr>
        <w:tab/>
      </w:r>
      <w:r w:rsidRPr="00C56562">
        <w:rPr>
          <w:b/>
          <w:lang w:bidi="en-US"/>
        </w:rPr>
        <w:t>Schedule 3</w:t>
      </w:r>
      <w:r w:rsidRPr="00C56562">
        <w:rPr>
          <w:lang w:bidi="en-US"/>
        </w:rPr>
        <w:t xml:space="preserve"> is varied by </w:t>
      </w:r>
    </w:p>
    <w:p w14:paraId="5D27332C" w14:textId="77777777" w:rsidR="00012475" w:rsidRDefault="00012475" w:rsidP="00E8122F">
      <w:pPr>
        <w:pStyle w:val="FSCDraftingitem"/>
        <w:rPr>
          <w:lang w:bidi="en-US"/>
        </w:rPr>
      </w:pPr>
      <w:r w:rsidRPr="00C56562">
        <w:rPr>
          <w:lang w:bidi="en-US"/>
        </w:rPr>
        <w:t>[</w:t>
      </w:r>
      <w:r>
        <w:rPr>
          <w:lang w:bidi="en-US"/>
        </w:rPr>
        <w:t>2</w:t>
      </w:r>
      <w:r w:rsidRPr="00C56562">
        <w:rPr>
          <w:lang w:bidi="en-US"/>
        </w:rPr>
        <w:t>.1]</w:t>
      </w:r>
      <w:r w:rsidRPr="00C56562">
        <w:rPr>
          <w:lang w:bidi="en-US"/>
        </w:rPr>
        <w:tab/>
      </w:r>
      <w:r>
        <w:rPr>
          <w:lang w:bidi="en-US"/>
        </w:rPr>
        <w:t xml:space="preserve">omitting </w:t>
      </w:r>
      <w:r w:rsidRPr="00C56562">
        <w:rPr>
          <w:lang w:bidi="en-US"/>
        </w:rPr>
        <w:t xml:space="preserve">in the table to subsection </w:t>
      </w:r>
      <w:r w:rsidRPr="00C56562">
        <w:t>S3—2</w:t>
      </w:r>
      <w:r w:rsidRPr="00C56562">
        <w:rPr>
          <w:lang w:bidi="en-US"/>
        </w:rPr>
        <w:t xml:space="preserve">(2) </w:t>
      </w:r>
      <w:r>
        <w:rPr>
          <w:lang w:bidi="en-US"/>
        </w:rPr>
        <w:t xml:space="preserve"> </w:t>
      </w:r>
    </w:p>
    <w:tbl>
      <w:tblPr>
        <w:tblStyle w:val="TableGrid2"/>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ariation to Schedule 3 for 2′-O-fucosyllactose"/>
        <w:tblDescription w:val="Schedule 3 is varied by inserting '2′-O-fucosyllactose' in the table in subsection S3-2(2) in alphabetical order."/>
      </w:tblPr>
      <w:tblGrid>
        <w:gridCol w:w="4254"/>
        <w:gridCol w:w="2550"/>
      </w:tblGrid>
      <w:tr w:rsidR="00012475" w:rsidRPr="00C56562" w14:paraId="379BADFA" w14:textId="77777777" w:rsidTr="002543AF">
        <w:trPr>
          <w:cantSplit/>
          <w:jc w:val="center"/>
        </w:trPr>
        <w:tc>
          <w:tcPr>
            <w:tcW w:w="4254" w:type="dxa"/>
            <w:hideMark/>
          </w:tcPr>
          <w:p w14:paraId="43E30FD4" w14:textId="77777777" w:rsidR="00012475" w:rsidRPr="00C56562" w:rsidRDefault="00012475" w:rsidP="00E8122F">
            <w:pPr>
              <w:pStyle w:val="FSCtblMain"/>
            </w:pPr>
            <w:r w:rsidRPr="00C56562">
              <w:t>2</w:t>
            </w:r>
            <w:r w:rsidRPr="00C56562">
              <w:rPr>
                <w:i/>
              </w:rPr>
              <w:t>′-</w:t>
            </w:r>
            <w:r w:rsidRPr="00C56562">
              <w:t>O-fucosyllactose</w:t>
            </w:r>
          </w:p>
        </w:tc>
        <w:tc>
          <w:tcPr>
            <w:tcW w:w="2550" w:type="dxa"/>
            <w:hideMark/>
          </w:tcPr>
          <w:p w14:paraId="78E3009E" w14:textId="77777777" w:rsidR="00012475" w:rsidRPr="00C56562" w:rsidRDefault="00012475" w:rsidP="00E8122F">
            <w:pPr>
              <w:pStyle w:val="FSCtblMain"/>
            </w:pPr>
            <w:r w:rsidRPr="00C56562">
              <w:t>section S3—40</w:t>
            </w:r>
          </w:p>
        </w:tc>
      </w:tr>
    </w:tbl>
    <w:p w14:paraId="6A6E1DF8" w14:textId="733623B0" w:rsidR="00012475" w:rsidRDefault="00012475" w:rsidP="00E8122F">
      <w:pPr>
        <w:pStyle w:val="FSCDraftingitem"/>
        <w:rPr>
          <w:lang w:bidi="en-US"/>
        </w:rPr>
      </w:pPr>
      <w:r>
        <w:rPr>
          <w:lang w:bidi="en-US"/>
        </w:rPr>
        <w:tab/>
        <w:t>and substituting, in alphabetical order</w:t>
      </w:r>
    </w:p>
    <w:tbl>
      <w:tblPr>
        <w:tblStyle w:val="TableGrid2"/>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ariation to Schedule 3 for 2′-O-fucosyllactose"/>
        <w:tblDescription w:val="Schedule 3 is varied by inserting '2′-fucosyllactose sourced from Escherichia coli K-12' in the table in subsection S3–40 in alphabetical order."/>
      </w:tblPr>
      <w:tblGrid>
        <w:gridCol w:w="4254"/>
        <w:gridCol w:w="2550"/>
      </w:tblGrid>
      <w:tr w:rsidR="00012475" w:rsidRPr="00C56562" w14:paraId="3AAA3445" w14:textId="77777777" w:rsidTr="002543AF">
        <w:trPr>
          <w:cantSplit/>
          <w:jc w:val="center"/>
        </w:trPr>
        <w:tc>
          <w:tcPr>
            <w:tcW w:w="4254" w:type="dxa"/>
            <w:hideMark/>
          </w:tcPr>
          <w:p w14:paraId="1D809E3E" w14:textId="77777777" w:rsidR="00012475" w:rsidRPr="00C56562" w:rsidRDefault="00012475" w:rsidP="00E8122F">
            <w:pPr>
              <w:pStyle w:val="FSCtblMain"/>
            </w:pPr>
            <w:r w:rsidRPr="00C56562">
              <w:t>2</w:t>
            </w:r>
            <w:r w:rsidRPr="00C56562">
              <w:rPr>
                <w:i/>
              </w:rPr>
              <w:t>′-</w:t>
            </w:r>
            <w:r w:rsidRPr="00C56562">
              <w:t>fucosyllactose</w:t>
            </w:r>
            <w:r>
              <w:t xml:space="preserve"> sourced from </w:t>
            </w:r>
            <w:r>
              <w:rPr>
                <w:i/>
              </w:rPr>
              <w:t xml:space="preserve">Escherichia coli </w:t>
            </w:r>
            <w:r w:rsidRPr="004E0A99">
              <w:t>K-12</w:t>
            </w:r>
            <w:r>
              <w:t xml:space="preserve"> </w:t>
            </w:r>
          </w:p>
        </w:tc>
        <w:tc>
          <w:tcPr>
            <w:tcW w:w="2550" w:type="dxa"/>
            <w:hideMark/>
          </w:tcPr>
          <w:p w14:paraId="6A43809F" w14:textId="77777777" w:rsidR="00012475" w:rsidRPr="00C56562" w:rsidRDefault="00012475" w:rsidP="00E8122F">
            <w:pPr>
              <w:pStyle w:val="FSCtblMain"/>
            </w:pPr>
            <w:r w:rsidRPr="00C56562">
              <w:t>section S3—40</w:t>
            </w:r>
          </w:p>
        </w:tc>
      </w:tr>
    </w:tbl>
    <w:p w14:paraId="2EA4131C" w14:textId="77777777" w:rsidR="00012475" w:rsidRDefault="00012475" w:rsidP="00E8122F">
      <w:pPr>
        <w:pStyle w:val="FSCDraftingitem"/>
        <w:rPr>
          <w:lang w:bidi="en-US"/>
        </w:rPr>
      </w:pPr>
      <w:r w:rsidRPr="00C56562">
        <w:rPr>
          <w:lang w:bidi="en-US"/>
        </w:rPr>
        <w:t>[</w:t>
      </w:r>
      <w:r>
        <w:rPr>
          <w:lang w:bidi="en-US"/>
        </w:rPr>
        <w:t>2</w:t>
      </w:r>
      <w:r w:rsidRPr="00C56562">
        <w:rPr>
          <w:lang w:bidi="en-US"/>
        </w:rPr>
        <w:t>.</w:t>
      </w:r>
      <w:r>
        <w:rPr>
          <w:lang w:bidi="en-US"/>
        </w:rPr>
        <w:t>2</w:t>
      </w:r>
      <w:r w:rsidRPr="00C56562">
        <w:rPr>
          <w:lang w:bidi="en-US"/>
        </w:rPr>
        <w:t>]</w:t>
      </w:r>
      <w:r w:rsidRPr="00C56562">
        <w:rPr>
          <w:lang w:bidi="en-US"/>
        </w:rPr>
        <w:tab/>
      </w:r>
      <w:r>
        <w:rPr>
          <w:lang w:bidi="en-US"/>
        </w:rPr>
        <w:t xml:space="preserve">inserting </w:t>
      </w:r>
      <w:r w:rsidRPr="00C56562">
        <w:rPr>
          <w:lang w:bidi="en-US"/>
        </w:rPr>
        <w:t xml:space="preserve">in the table to subsection </w:t>
      </w:r>
      <w:r w:rsidRPr="00C56562">
        <w:t>S3—2</w:t>
      </w:r>
      <w:r w:rsidRPr="00C56562">
        <w:rPr>
          <w:lang w:bidi="en-US"/>
        </w:rPr>
        <w:t>(2)</w:t>
      </w:r>
      <w:r w:rsidRPr="00944008">
        <w:t>, in alphabetical order</w:t>
      </w:r>
      <w:r w:rsidRPr="00C56562">
        <w:rPr>
          <w:lang w:bidi="en-US"/>
        </w:rPr>
        <w:t xml:space="preserve"> </w:t>
      </w:r>
      <w:r>
        <w:rPr>
          <w:lang w:bidi="en-US"/>
        </w:rPr>
        <w:t xml:space="preserve"> </w:t>
      </w:r>
    </w:p>
    <w:tbl>
      <w:tblPr>
        <w:tblStyle w:val="TableGrid2"/>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ariation to Schedule 3 for 2′-O-fucosyllactose"/>
        <w:tblDescription w:val="Schedule 3 is varied by inserting '2′-fucosyllactose sourced from Escherichia coli BL21' in the table in subsection S3–45 in alphabetical order."/>
      </w:tblPr>
      <w:tblGrid>
        <w:gridCol w:w="4254"/>
        <w:gridCol w:w="2550"/>
      </w:tblGrid>
      <w:tr w:rsidR="00012475" w:rsidRPr="00C56562" w14:paraId="3BC75F44" w14:textId="77777777" w:rsidTr="002543AF">
        <w:trPr>
          <w:cantSplit/>
          <w:jc w:val="center"/>
        </w:trPr>
        <w:tc>
          <w:tcPr>
            <w:tcW w:w="4254" w:type="dxa"/>
            <w:hideMark/>
          </w:tcPr>
          <w:p w14:paraId="677DDD0E" w14:textId="77777777" w:rsidR="00012475" w:rsidRPr="00C56562" w:rsidRDefault="00012475" w:rsidP="00E8122F">
            <w:pPr>
              <w:pStyle w:val="FSCtblMain"/>
            </w:pPr>
            <w:r w:rsidRPr="00C56562">
              <w:t>2</w:t>
            </w:r>
            <w:r w:rsidRPr="00C56562">
              <w:rPr>
                <w:i/>
              </w:rPr>
              <w:t>′-</w:t>
            </w:r>
            <w:r w:rsidRPr="00C56562">
              <w:t>fucosyllactose</w:t>
            </w:r>
            <w:r>
              <w:t xml:space="preserve"> </w:t>
            </w:r>
            <w:r w:rsidRPr="006B26BD">
              <w:rPr>
                <w:szCs w:val="18"/>
              </w:rPr>
              <w:t xml:space="preserve">sourced from </w:t>
            </w:r>
            <w:r w:rsidRPr="006B26BD">
              <w:rPr>
                <w:i/>
                <w:szCs w:val="18"/>
              </w:rPr>
              <w:t xml:space="preserve">Escherichia coli </w:t>
            </w:r>
            <w:r w:rsidRPr="006B26BD">
              <w:rPr>
                <w:szCs w:val="18"/>
              </w:rPr>
              <w:t>BL21</w:t>
            </w:r>
          </w:p>
        </w:tc>
        <w:tc>
          <w:tcPr>
            <w:tcW w:w="2550" w:type="dxa"/>
            <w:hideMark/>
          </w:tcPr>
          <w:p w14:paraId="629651A7" w14:textId="77777777" w:rsidR="00012475" w:rsidRPr="00C56562" w:rsidRDefault="00012475" w:rsidP="00E8122F">
            <w:pPr>
              <w:pStyle w:val="FSCtblMain"/>
            </w:pPr>
            <w:r w:rsidRPr="00C56562">
              <w:t>section S3—</w:t>
            </w:r>
            <w:r>
              <w:t>45</w:t>
            </w:r>
          </w:p>
        </w:tc>
      </w:tr>
    </w:tbl>
    <w:p w14:paraId="6A9E873F" w14:textId="77777777" w:rsidR="00012475" w:rsidRPr="007B2F80" w:rsidRDefault="00012475" w:rsidP="00E8122F">
      <w:pPr>
        <w:pStyle w:val="FSCDraftingitem"/>
        <w:rPr>
          <w:lang w:bidi="en-US"/>
        </w:rPr>
      </w:pPr>
      <w:r w:rsidRPr="007B2F80">
        <w:rPr>
          <w:lang w:bidi="en-US"/>
        </w:rPr>
        <w:t>[</w:t>
      </w:r>
      <w:r>
        <w:rPr>
          <w:lang w:bidi="en-US"/>
        </w:rPr>
        <w:t>2</w:t>
      </w:r>
      <w:r w:rsidRPr="007B2F80">
        <w:rPr>
          <w:lang w:bidi="en-US"/>
        </w:rPr>
        <w:t>.3]</w:t>
      </w:r>
      <w:r w:rsidRPr="007B2F80">
        <w:rPr>
          <w:lang w:bidi="en-US"/>
        </w:rPr>
        <w:tab/>
        <w:t>omitting the heading for section S3—40, substituting</w:t>
      </w:r>
    </w:p>
    <w:p w14:paraId="5EB76A08" w14:textId="77777777" w:rsidR="00012475" w:rsidRDefault="00012475" w:rsidP="00E8122F">
      <w:pPr>
        <w:pStyle w:val="FSCh5Section"/>
        <w:widowControl/>
      </w:pPr>
      <w:r>
        <w:t>S3—40</w:t>
      </w:r>
      <w:r>
        <w:tab/>
        <w:t>Specification for 2′</w:t>
      </w:r>
      <w:r w:rsidRPr="007B2F80">
        <w:t xml:space="preserve">-fucosyllactose </w:t>
      </w:r>
      <w:r w:rsidRPr="00EC22F2">
        <w:t xml:space="preserve">sourced from </w:t>
      </w:r>
      <w:r w:rsidRPr="00EC22F2">
        <w:rPr>
          <w:i/>
        </w:rPr>
        <w:t>Escherichia coli</w:t>
      </w:r>
      <w:r w:rsidRPr="00EC22F2">
        <w:t xml:space="preserve"> K-12</w:t>
      </w:r>
    </w:p>
    <w:p w14:paraId="3D6B8F32" w14:textId="77777777" w:rsidR="00012475" w:rsidRDefault="00012475" w:rsidP="00E8122F">
      <w:pPr>
        <w:pStyle w:val="FSCDraftingitem"/>
        <w:rPr>
          <w:lang w:bidi="en-US"/>
        </w:rPr>
      </w:pPr>
      <w:r>
        <w:rPr>
          <w:lang w:bidi="en-US"/>
        </w:rPr>
        <w:t>[2.4]</w:t>
      </w:r>
      <w:r>
        <w:rPr>
          <w:lang w:bidi="en-US"/>
        </w:rPr>
        <w:tab/>
        <w:t>omitting “</w:t>
      </w:r>
      <w:r w:rsidRPr="0068561C">
        <w:t>2′-</w:t>
      </w:r>
      <w:r>
        <w:t>O-</w:t>
      </w:r>
      <w:r w:rsidRPr="0068561C">
        <w:t>fucosyllactose (2′-FL)</w:t>
      </w:r>
      <w:r>
        <w:t>”</w:t>
      </w:r>
      <w:r>
        <w:rPr>
          <w:lang w:bidi="en-US"/>
        </w:rPr>
        <w:t xml:space="preserve"> in </w:t>
      </w:r>
      <w:r>
        <w:t xml:space="preserve">section </w:t>
      </w:r>
      <w:r w:rsidRPr="007B2F80">
        <w:rPr>
          <w:lang w:bidi="en-US"/>
        </w:rPr>
        <w:t>S3—40</w:t>
      </w:r>
      <w:r>
        <w:t>, substituting “2′</w:t>
      </w:r>
      <w:r w:rsidRPr="007B2F80">
        <w:t xml:space="preserve">-fucosyllactose </w:t>
      </w:r>
      <w:r>
        <w:t>(2′</w:t>
      </w:r>
      <w:r>
        <w:noBreakHyphen/>
      </w:r>
      <w:r w:rsidRPr="0068561C">
        <w:t>FL)</w:t>
      </w:r>
      <w:r>
        <w:t xml:space="preserve"> </w:t>
      </w:r>
      <w:r w:rsidRPr="007B2F80">
        <w:t xml:space="preserve">sourced from </w:t>
      </w:r>
      <w:r w:rsidRPr="00A32A84">
        <w:rPr>
          <w:i/>
        </w:rPr>
        <w:t>Escherichia coli</w:t>
      </w:r>
      <w:r w:rsidRPr="007B2F80">
        <w:t xml:space="preserve"> K-</w:t>
      </w:r>
      <w:r>
        <w:t>1</w:t>
      </w:r>
      <w:r w:rsidRPr="007B2F80">
        <w:t>2</w:t>
      </w:r>
      <w:r>
        <w:t>”</w:t>
      </w:r>
    </w:p>
    <w:p w14:paraId="62614648" w14:textId="77777777" w:rsidR="00012475" w:rsidRDefault="00012475" w:rsidP="00E8122F">
      <w:pPr>
        <w:pStyle w:val="FSCDraftingitem"/>
        <w:rPr>
          <w:lang w:bidi="en-US"/>
        </w:rPr>
      </w:pPr>
      <w:r>
        <w:rPr>
          <w:lang w:bidi="en-US"/>
        </w:rPr>
        <w:t>[2.5]</w:t>
      </w:r>
      <w:r>
        <w:rPr>
          <w:lang w:bidi="en-US"/>
        </w:rPr>
        <w:tab/>
      </w:r>
      <w:r w:rsidRPr="00C56562">
        <w:rPr>
          <w:lang w:bidi="en-US"/>
        </w:rPr>
        <w:t>inserting after subsection S3—</w:t>
      </w:r>
      <w:r>
        <w:rPr>
          <w:lang w:bidi="en-US"/>
        </w:rPr>
        <w:t>44</w:t>
      </w:r>
    </w:p>
    <w:p w14:paraId="48D21F2F" w14:textId="77777777" w:rsidR="00012475" w:rsidRPr="006B26BD" w:rsidRDefault="00012475" w:rsidP="00E8122F">
      <w:pPr>
        <w:pStyle w:val="FSCh5Section"/>
        <w:widowControl/>
        <w:rPr>
          <w:szCs w:val="22"/>
        </w:rPr>
      </w:pPr>
      <w:r>
        <w:t>S3—45</w:t>
      </w:r>
      <w:r>
        <w:tab/>
        <w:t xml:space="preserve">Specification for </w:t>
      </w:r>
      <w:r w:rsidRPr="006D4A9F">
        <w:t>2</w:t>
      </w:r>
      <w:r w:rsidRPr="006D4A9F">
        <w:rPr>
          <w:rFonts w:cs="Arial"/>
        </w:rPr>
        <w:t>′</w:t>
      </w:r>
      <w:r>
        <w:rPr>
          <w:i/>
        </w:rPr>
        <w:t>-</w:t>
      </w:r>
      <w:r w:rsidRPr="006B26BD">
        <w:rPr>
          <w:szCs w:val="22"/>
        </w:rPr>
        <w:t xml:space="preserve">fucosyllactose sourced from </w:t>
      </w:r>
      <w:r w:rsidRPr="00373BF3">
        <w:rPr>
          <w:rFonts w:cs="Arial"/>
          <w:i/>
          <w:szCs w:val="22"/>
        </w:rPr>
        <w:t>Escherichia coli</w:t>
      </w:r>
      <w:r w:rsidRPr="006B26BD">
        <w:rPr>
          <w:i/>
          <w:szCs w:val="22"/>
        </w:rPr>
        <w:t xml:space="preserve"> </w:t>
      </w:r>
      <w:r w:rsidRPr="006B26BD">
        <w:rPr>
          <w:szCs w:val="22"/>
        </w:rPr>
        <w:t>BL21</w:t>
      </w:r>
    </w:p>
    <w:p w14:paraId="40031E8C" w14:textId="77777777" w:rsidR="00012475" w:rsidRDefault="00012475" w:rsidP="00E8122F">
      <w:pPr>
        <w:pStyle w:val="FSCtMain"/>
        <w:widowControl/>
        <w:ind w:firstLine="0"/>
      </w:pPr>
      <w:r>
        <w:tab/>
        <w:t>For 2′-</w:t>
      </w:r>
      <w:r w:rsidRPr="0068561C">
        <w:t>fucosyllactose (2′-FL)</w:t>
      </w:r>
      <w:r>
        <w:t xml:space="preserve"> </w:t>
      </w:r>
      <w:r w:rsidRPr="00D441B2">
        <w:t xml:space="preserve">sourced from </w:t>
      </w:r>
      <w:r w:rsidRPr="00373BF3">
        <w:rPr>
          <w:i/>
        </w:rPr>
        <w:t>Escherichia coli</w:t>
      </w:r>
      <w:r w:rsidRPr="00D441B2">
        <w:t xml:space="preserve"> BL21</w:t>
      </w:r>
      <w:r w:rsidRPr="0068561C">
        <w:t>, the specifications are the following:</w:t>
      </w:r>
    </w:p>
    <w:p w14:paraId="52B7BDD8" w14:textId="77777777" w:rsidR="00012475" w:rsidRPr="00B25BA2" w:rsidRDefault="00012475" w:rsidP="00E8122F">
      <w:pPr>
        <w:pStyle w:val="FSCtPara"/>
        <w:widowControl/>
        <w:numPr>
          <w:ilvl w:val="0"/>
          <w:numId w:val="40"/>
        </w:numPr>
        <w:ind w:left="2268" w:hanging="566"/>
        <w:rPr>
          <w:lang w:bidi="en-US"/>
        </w:rPr>
      </w:pPr>
      <w:r>
        <w:rPr>
          <w:lang w:bidi="en-US"/>
        </w:rPr>
        <w:t>c</w:t>
      </w:r>
      <w:r w:rsidRPr="00B25BA2">
        <w:rPr>
          <w:lang w:bidi="en-US"/>
        </w:rPr>
        <w:t>hemical name</w:t>
      </w:r>
      <w:r>
        <w:rPr>
          <w:lang w:bidi="en-US"/>
        </w:rPr>
        <w:t>—</w:t>
      </w:r>
      <w:r w:rsidRPr="00B25BA2">
        <w:rPr>
          <w:lang w:bidi="en-US"/>
        </w:rPr>
        <w:t>α-L-</w:t>
      </w:r>
      <w:r>
        <w:rPr>
          <w:lang w:bidi="en-US"/>
        </w:rPr>
        <w:t>f</w:t>
      </w:r>
      <w:r w:rsidRPr="00B25BA2">
        <w:rPr>
          <w:lang w:bidi="en-US"/>
        </w:rPr>
        <w:t>ucopyranosyl-(1→2)-β-D-galactopyranosyl-(1→4)-D-glucopyranose</w:t>
      </w:r>
    </w:p>
    <w:p w14:paraId="6DFAF144" w14:textId="77777777" w:rsidR="00012475" w:rsidRPr="00B25BA2" w:rsidRDefault="00012475" w:rsidP="00E8122F">
      <w:pPr>
        <w:pStyle w:val="FSCtPara"/>
        <w:widowControl/>
        <w:numPr>
          <w:ilvl w:val="0"/>
          <w:numId w:val="40"/>
        </w:numPr>
        <w:ind w:left="2268" w:hanging="566"/>
        <w:rPr>
          <w:lang w:bidi="en-US"/>
        </w:rPr>
      </w:pPr>
      <w:r>
        <w:rPr>
          <w:lang w:bidi="en-US"/>
        </w:rPr>
        <w:t>c</w:t>
      </w:r>
      <w:r w:rsidRPr="00B25BA2">
        <w:rPr>
          <w:lang w:bidi="en-US"/>
        </w:rPr>
        <w:t>hemical formula</w:t>
      </w:r>
      <w:r>
        <w:rPr>
          <w:lang w:bidi="en-US"/>
        </w:rPr>
        <w:t>—</w:t>
      </w:r>
      <w:r w:rsidRPr="00B25BA2">
        <w:rPr>
          <w:lang w:val="en" w:bidi="en-US"/>
        </w:rPr>
        <w:t>C</w:t>
      </w:r>
      <w:r w:rsidRPr="00B25BA2">
        <w:rPr>
          <w:vertAlign w:val="subscript"/>
          <w:lang w:val="en" w:bidi="en-US"/>
        </w:rPr>
        <w:t>18</w:t>
      </w:r>
      <w:r w:rsidRPr="00B25BA2">
        <w:rPr>
          <w:lang w:val="en" w:bidi="en-US"/>
        </w:rPr>
        <w:t>H</w:t>
      </w:r>
      <w:r w:rsidRPr="00B25BA2">
        <w:rPr>
          <w:vertAlign w:val="subscript"/>
          <w:lang w:val="en" w:bidi="en-US"/>
        </w:rPr>
        <w:t>32</w:t>
      </w:r>
      <w:r w:rsidRPr="00B25BA2">
        <w:rPr>
          <w:lang w:val="en" w:bidi="en-US"/>
        </w:rPr>
        <w:t>O</w:t>
      </w:r>
      <w:r w:rsidRPr="00B25BA2">
        <w:rPr>
          <w:vertAlign w:val="subscript"/>
          <w:lang w:val="en" w:bidi="en-US"/>
        </w:rPr>
        <w:t>15</w:t>
      </w:r>
    </w:p>
    <w:p w14:paraId="4F06A9D3" w14:textId="77777777" w:rsidR="00012475" w:rsidRPr="00B25BA2" w:rsidRDefault="00012475" w:rsidP="00E8122F">
      <w:pPr>
        <w:pStyle w:val="FSCtPara"/>
        <w:widowControl/>
        <w:numPr>
          <w:ilvl w:val="0"/>
          <w:numId w:val="40"/>
        </w:numPr>
        <w:ind w:left="2268" w:hanging="566"/>
        <w:rPr>
          <w:lang w:bidi="en-US"/>
        </w:rPr>
      </w:pPr>
      <w:r w:rsidRPr="00B25BA2">
        <w:rPr>
          <w:lang w:bidi="en-US"/>
        </w:rPr>
        <w:t>CAS number</w:t>
      </w:r>
      <w:r>
        <w:rPr>
          <w:lang w:bidi="en-US"/>
        </w:rPr>
        <w:t>—</w:t>
      </w:r>
      <w:r w:rsidRPr="00B25BA2">
        <w:rPr>
          <w:lang w:bidi="en-US"/>
        </w:rPr>
        <w:t>41263-94-9</w:t>
      </w:r>
    </w:p>
    <w:p w14:paraId="4DADE1B0" w14:textId="77777777" w:rsidR="00012475" w:rsidRPr="00B25BA2" w:rsidRDefault="00012475" w:rsidP="00E8122F">
      <w:pPr>
        <w:pStyle w:val="FSCtPara"/>
        <w:widowControl/>
        <w:numPr>
          <w:ilvl w:val="0"/>
          <w:numId w:val="40"/>
        </w:numPr>
        <w:ind w:left="2268" w:hanging="566"/>
        <w:rPr>
          <w:lang w:bidi="en-US"/>
        </w:rPr>
      </w:pPr>
      <w:r>
        <w:rPr>
          <w:lang w:bidi="en-US"/>
        </w:rPr>
        <w:t>d</w:t>
      </w:r>
      <w:r w:rsidRPr="00B25BA2">
        <w:rPr>
          <w:lang w:bidi="en-US"/>
        </w:rPr>
        <w:t>escription</w:t>
      </w:r>
      <w:r>
        <w:rPr>
          <w:lang w:bidi="en-US"/>
        </w:rPr>
        <w:t>—either a w</w:t>
      </w:r>
      <w:r w:rsidRPr="00B25BA2">
        <w:rPr>
          <w:lang w:bidi="en-US"/>
        </w:rPr>
        <w:t>hite to ivory powder,</w:t>
      </w:r>
      <w:r>
        <w:rPr>
          <w:lang w:bidi="en-US"/>
        </w:rPr>
        <w:t xml:space="preserve"> </w:t>
      </w:r>
      <w:r w:rsidRPr="00B25BA2">
        <w:rPr>
          <w:lang w:bidi="en-US"/>
        </w:rPr>
        <w:t xml:space="preserve">or </w:t>
      </w:r>
      <w:r>
        <w:rPr>
          <w:lang w:bidi="en-US"/>
        </w:rPr>
        <w:t xml:space="preserve">a </w:t>
      </w:r>
      <w:r w:rsidRPr="00B25BA2">
        <w:rPr>
          <w:lang w:bidi="en-US"/>
        </w:rPr>
        <w:t>colourless to slightly yellow liquid</w:t>
      </w:r>
    </w:p>
    <w:p w14:paraId="22B7F535" w14:textId="77777777" w:rsidR="00012475" w:rsidRPr="00B25BA2" w:rsidRDefault="00012475" w:rsidP="00E8122F">
      <w:pPr>
        <w:pStyle w:val="FSCtPara"/>
        <w:widowControl/>
        <w:numPr>
          <w:ilvl w:val="0"/>
          <w:numId w:val="40"/>
        </w:numPr>
        <w:ind w:left="2268" w:hanging="566"/>
        <w:rPr>
          <w:lang w:bidi="en-US"/>
        </w:rPr>
      </w:pPr>
      <w:r>
        <w:rPr>
          <w:lang w:bidi="en-US"/>
        </w:rPr>
        <w:t>2′-FL—n</w:t>
      </w:r>
      <w:r w:rsidRPr="00B25BA2">
        <w:rPr>
          <w:lang w:bidi="en-US"/>
        </w:rPr>
        <w:t>ot less than 90.0%</w:t>
      </w:r>
    </w:p>
    <w:p w14:paraId="0646A4AF" w14:textId="77777777" w:rsidR="00012475" w:rsidRPr="00B25BA2" w:rsidRDefault="00012475" w:rsidP="00E8122F">
      <w:pPr>
        <w:pStyle w:val="FSCtPara"/>
        <w:widowControl/>
        <w:numPr>
          <w:ilvl w:val="0"/>
          <w:numId w:val="40"/>
        </w:numPr>
        <w:ind w:left="2268" w:hanging="566"/>
        <w:rPr>
          <w:lang w:bidi="en-US"/>
        </w:rPr>
      </w:pPr>
      <w:r>
        <w:rPr>
          <w:lang w:bidi="en-US"/>
        </w:rPr>
        <w:t>D-l</w:t>
      </w:r>
      <w:r w:rsidRPr="00B25BA2">
        <w:rPr>
          <w:lang w:bidi="en-US"/>
        </w:rPr>
        <w:t>actose</w:t>
      </w:r>
      <w:r>
        <w:rPr>
          <w:lang w:bidi="en-US"/>
        </w:rPr>
        <w:t>—n</w:t>
      </w:r>
      <w:r w:rsidRPr="00B25BA2">
        <w:rPr>
          <w:lang w:bidi="en-US"/>
        </w:rPr>
        <w:t>ot more than 5.0%</w:t>
      </w:r>
    </w:p>
    <w:p w14:paraId="5F288A6A" w14:textId="77777777" w:rsidR="00012475" w:rsidRPr="00B25BA2" w:rsidRDefault="00012475" w:rsidP="00E8122F">
      <w:pPr>
        <w:pStyle w:val="FSCtPara"/>
        <w:widowControl/>
        <w:numPr>
          <w:ilvl w:val="0"/>
          <w:numId w:val="40"/>
        </w:numPr>
        <w:ind w:left="2268" w:hanging="566"/>
        <w:rPr>
          <w:lang w:bidi="en-US"/>
        </w:rPr>
      </w:pPr>
      <w:r>
        <w:rPr>
          <w:lang w:bidi="en-US"/>
        </w:rPr>
        <w:t>L-f</w:t>
      </w:r>
      <w:r w:rsidRPr="00B25BA2">
        <w:rPr>
          <w:lang w:bidi="en-US"/>
        </w:rPr>
        <w:t>ucose</w:t>
      </w:r>
      <w:r>
        <w:rPr>
          <w:lang w:bidi="en-US"/>
        </w:rPr>
        <w:t>—n</w:t>
      </w:r>
      <w:r w:rsidRPr="00B25BA2">
        <w:rPr>
          <w:lang w:bidi="en-US"/>
        </w:rPr>
        <w:t>ot more than 3.0%</w:t>
      </w:r>
    </w:p>
    <w:p w14:paraId="3152F13B" w14:textId="77777777" w:rsidR="00012475" w:rsidRPr="00B25BA2" w:rsidRDefault="00012475" w:rsidP="00E8122F">
      <w:pPr>
        <w:pStyle w:val="FSCtPara"/>
        <w:widowControl/>
        <w:numPr>
          <w:ilvl w:val="0"/>
          <w:numId w:val="40"/>
        </w:numPr>
        <w:ind w:left="2268" w:hanging="566"/>
        <w:rPr>
          <w:lang w:bidi="en-US"/>
        </w:rPr>
      </w:pPr>
      <w:r w:rsidRPr="00B25BA2">
        <w:rPr>
          <w:lang w:bidi="en-US"/>
        </w:rPr>
        <w:t>3-</w:t>
      </w:r>
      <w:r>
        <w:rPr>
          <w:lang w:bidi="en-US"/>
        </w:rPr>
        <w:t>f</w:t>
      </w:r>
      <w:r w:rsidRPr="00B25BA2">
        <w:rPr>
          <w:lang w:bidi="en-US"/>
        </w:rPr>
        <w:t>ucosyllactose</w:t>
      </w:r>
      <w:r>
        <w:rPr>
          <w:lang w:bidi="en-US"/>
        </w:rPr>
        <w:t>—n</w:t>
      </w:r>
      <w:r w:rsidRPr="00B25BA2">
        <w:rPr>
          <w:lang w:bidi="en-US"/>
        </w:rPr>
        <w:t>ot more than 5.0%</w:t>
      </w:r>
    </w:p>
    <w:p w14:paraId="55FD2D6A" w14:textId="77777777" w:rsidR="00012475" w:rsidRPr="00B25BA2" w:rsidRDefault="00012475" w:rsidP="00E8122F">
      <w:pPr>
        <w:pStyle w:val="FSCtPara"/>
        <w:widowControl/>
        <w:numPr>
          <w:ilvl w:val="0"/>
          <w:numId w:val="40"/>
        </w:numPr>
        <w:ind w:left="2268" w:hanging="566"/>
        <w:rPr>
          <w:lang w:bidi="en-US"/>
        </w:rPr>
      </w:pPr>
      <w:r>
        <w:rPr>
          <w:lang w:bidi="en-US"/>
        </w:rPr>
        <w:t>d</w:t>
      </w:r>
      <w:r w:rsidRPr="00B25BA2">
        <w:rPr>
          <w:lang w:bidi="en-US"/>
        </w:rPr>
        <w:t>ifucosyllactose</w:t>
      </w:r>
      <w:r>
        <w:rPr>
          <w:lang w:bidi="en-US"/>
        </w:rPr>
        <w:t>—n</w:t>
      </w:r>
      <w:r w:rsidRPr="00B25BA2">
        <w:rPr>
          <w:lang w:bidi="en-US"/>
        </w:rPr>
        <w:t>ot more than 5.0%</w:t>
      </w:r>
    </w:p>
    <w:p w14:paraId="6CC41233" w14:textId="77777777" w:rsidR="00012475" w:rsidRPr="00B25BA2" w:rsidRDefault="00012475" w:rsidP="00E8122F">
      <w:pPr>
        <w:pStyle w:val="FSCtPara"/>
        <w:widowControl/>
        <w:numPr>
          <w:ilvl w:val="0"/>
          <w:numId w:val="40"/>
        </w:numPr>
        <w:ind w:left="2268" w:hanging="566"/>
        <w:rPr>
          <w:lang w:bidi="en-US"/>
        </w:rPr>
      </w:pPr>
      <w:r>
        <w:rPr>
          <w:lang w:bidi="en-US"/>
        </w:rPr>
        <w:lastRenderedPageBreak/>
        <w:t>f</w:t>
      </w:r>
      <w:r w:rsidRPr="00B25BA2">
        <w:rPr>
          <w:lang w:bidi="en-US"/>
        </w:rPr>
        <w:t>ucosyl-</w:t>
      </w:r>
      <w:r>
        <w:rPr>
          <w:lang w:bidi="en-US"/>
        </w:rPr>
        <w:t>g</w:t>
      </w:r>
      <w:r w:rsidRPr="00B25BA2">
        <w:rPr>
          <w:lang w:bidi="en-US"/>
        </w:rPr>
        <w:t>alactose</w:t>
      </w:r>
      <w:r>
        <w:rPr>
          <w:lang w:bidi="en-US"/>
        </w:rPr>
        <w:t>—n</w:t>
      </w:r>
      <w:r w:rsidRPr="00B25BA2">
        <w:rPr>
          <w:lang w:bidi="en-US"/>
        </w:rPr>
        <w:t>ot more than 3.0%</w:t>
      </w:r>
    </w:p>
    <w:p w14:paraId="38FB0E70" w14:textId="77777777" w:rsidR="00012475" w:rsidRPr="00B25BA2" w:rsidRDefault="00012475" w:rsidP="00E8122F">
      <w:pPr>
        <w:pStyle w:val="FSCtPara"/>
        <w:widowControl/>
        <w:numPr>
          <w:ilvl w:val="0"/>
          <w:numId w:val="40"/>
        </w:numPr>
        <w:ind w:left="2268" w:hanging="566"/>
        <w:rPr>
          <w:lang w:bidi="en-US"/>
        </w:rPr>
      </w:pPr>
      <w:r>
        <w:rPr>
          <w:lang w:bidi="en-US"/>
        </w:rPr>
        <w:t>g</w:t>
      </w:r>
      <w:r w:rsidRPr="00B25BA2">
        <w:rPr>
          <w:lang w:bidi="en-US"/>
        </w:rPr>
        <w:t>lucose</w:t>
      </w:r>
      <w:r>
        <w:rPr>
          <w:lang w:bidi="en-US"/>
        </w:rPr>
        <w:t>—n</w:t>
      </w:r>
      <w:r w:rsidRPr="00B25BA2">
        <w:rPr>
          <w:lang w:bidi="en-US"/>
        </w:rPr>
        <w:t>ot more than 3.0%</w:t>
      </w:r>
    </w:p>
    <w:p w14:paraId="1265A559" w14:textId="77777777" w:rsidR="00012475" w:rsidRPr="00B25BA2" w:rsidRDefault="00012475" w:rsidP="00E8122F">
      <w:pPr>
        <w:pStyle w:val="FSCtPara"/>
        <w:widowControl/>
        <w:numPr>
          <w:ilvl w:val="0"/>
          <w:numId w:val="40"/>
        </w:numPr>
        <w:ind w:left="2268" w:hanging="566"/>
        <w:rPr>
          <w:lang w:bidi="en-US"/>
        </w:rPr>
      </w:pPr>
      <w:r>
        <w:rPr>
          <w:lang w:bidi="en-US"/>
        </w:rPr>
        <w:t>g</w:t>
      </w:r>
      <w:r w:rsidRPr="00B25BA2">
        <w:rPr>
          <w:lang w:bidi="en-US"/>
        </w:rPr>
        <w:t>alactose</w:t>
      </w:r>
      <w:r>
        <w:rPr>
          <w:lang w:bidi="en-US"/>
        </w:rPr>
        <w:t>—n</w:t>
      </w:r>
      <w:r w:rsidRPr="00B25BA2">
        <w:rPr>
          <w:lang w:bidi="en-US"/>
        </w:rPr>
        <w:t>ot more than 3.0%</w:t>
      </w:r>
    </w:p>
    <w:p w14:paraId="608505D2" w14:textId="77777777" w:rsidR="00012475" w:rsidRPr="00B25BA2" w:rsidRDefault="00012475" w:rsidP="00E8122F">
      <w:pPr>
        <w:pStyle w:val="FSCtPara"/>
        <w:widowControl/>
        <w:numPr>
          <w:ilvl w:val="0"/>
          <w:numId w:val="40"/>
        </w:numPr>
        <w:ind w:left="2268" w:hanging="566"/>
        <w:rPr>
          <w:lang w:bidi="en-US"/>
        </w:rPr>
      </w:pPr>
      <w:r>
        <w:rPr>
          <w:lang w:bidi="en-US"/>
        </w:rPr>
        <w:t>w</w:t>
      </w:r>
      <w:r w:rsidRPr="00B25BA2">
        <w:rPr>
          <w:lang w:bidi="en-US"/>
        </w:rPr>
        <w:t>ater</w:t>
      </w:r>
      <w:r>
        <w:rPr>
          <w:lang w:bidi="en-US"/>
        </w:rPr>
        <w:t>—n</w:t>
      </w:r>
      <w:r w:rsidRPr="00B25BA2">
        <w:rPr>
          <w:lang w:bidi="en-US"/>
        </w:rPr>
        <w:t xml:space="preserve">ot more than 9.0% </w:t>
      </w:r>
      <w:r>
        <w:rPr>
          <w:lang w:bidi="en-US"/>
        </w:rPr>
        <w:t>for powder, not applicable for liquid</w:t>
      </w:r>
    </w:p>
    <w:p w14:paraId="6A3D35DC" w14:textId="77777777" w:rsidR="00012475" w:rsidRPr="00B25BA2" w:rsidRDefault="00012475" w:rsidP="00E8122F">
      <w:pPr>
        <w:pStyle w:val="FSCtPara"/>
        <w:widowControl/>
        <w:numPr>
          <w:ilvl w:val="0"/>
          <w:numId w:val="40"/>
        </w:numPr>
        <w:ind w:left="2268" w:hanging="566"/>
        <w:rPr>
          <w:lang w:bidi="en-US"/>
        </w:rPr>
      </w:pPr>
      <w:r>
        <w:rPr>
          <w:lang w:bidi="en-US"/>
        </w:rPr>
        <w:t>s</w:t>
      </w:r>
      <w:r w:rsidRPr="00B25BA2">
        <w:rPr>
          <w:lang w:bidi="en-US"/>
        </w:rPr>
        <w:t>olids</w:t>
      </w:r>
      <w:r>
        <w:rPr>
          <w:lang w:bidi="en-US"/>
        </w:rPr>
        <w:t>—</w:t>
      </w:r>
      <w:r w:rsidRPr="00B25BA2">
        <w:rPr>
          <w:lang w:bidi="en-US"/>
        </w:rPr>
        <w:t>45% w/v (± 5%) dry matter in water</w:t>
      </w:r>
      <w:r>
        <w:rPr>
          <w:lang w:bidi="en-US"/>
        </w:rPr>
        <w:t>, not applicable for powder</w:t>
      </w:r>
    </w:p>
    <w:p w14:paraId="49481A54" w14:textId="77777777" w:rsidR="00012475" w:rsidRPr="00B25BA2" w:rsidRDefault="00012475" w:rsidP="00E8122F">
      <w:pPr>
        <w:pStyle w:val="FSCtPara"/>
        <w:widowControl/>
        <w:numPr>
          <w:ilvl w:val="0"/>
          <w:numId w:val="40"/>
        </w:numPr>
        <w:ind w:left="2268" w:hanging="566"/>
        <w:rPr>
          <w:lang w:bidi="en-US"/>
        </w:rPr>
      </w:pPr>
      <w:r>
        <w:rPr>
          <w:lang w:bidi="en-US"/>
        </w:rPr>
        <w:t>a</w:t>
      </w:r>
      <w:r w:rsidRPr="00B25BA2">
        <w:rPr>
          <w:lang w:bidi="en-US"/>
        </w:rPr>
        <w:t>sh, sulphated</w:t>
      </w:r>
      <w:r>
        <w:rPr>
          <w:lang w:bidi="en-US"/>
        </w:rPr>
        <w:t>—n</w:t>
      </w:r>
      <w:r w:rsidRPr="00B25BA2">
        <w:rPr>
          <w:lang w:bidi="en-US"/>
        </w:rPr>
        <w:t>ot more than 0.5%</w:t>
      </w:r>
    </w:p>
    <w:p w14:paraId="6E26E773" w14:textId="77777777" w:rsidR="00012475" w:rsidRPr="00B25BA2" w:rsidRDefault="00012475" w:rsidP="00E8122F">
      <w:pPr>
        <w:pStyle w:val="FSCtPara"/>
        <w:widowControl/>
        <w:numPr>
          <w:ilvl w:val="0"/>
          <w:numId w:val="40"/>
        </w:numPr>
        <w:ind w:left="2268" w:hanging="566"/>
        <w:rPr>
          <w:lang w:bidi="en-US"/>
        </w:rPr>
      </w:pPr>
      <w:r>
        <w:rPr>
          <w:lang w:bidi="en-US"/>
        </w:rPr>
        <w:t>r</w:t>
      </w:r>
      <w:r w:rsidRPr="00B25BA2">
        <w:rPr>
          <w:lang w:bidi="en-US"/>
        </w:rPr>
        <w:t>esidual proteins</w:t>
      </w:r>
      <w:r>
        <w:rPr>
          <w:lang w:bidi="en-US"/>
        </w:rPr>
        <w:t>—n</w:t>
      </w:r>
      <w:r w:rsidRPr="00B25BA2">
        <w:rPr>
          <w:lang w:bidi="en-US"/>
        </w:rPr>
        <w:t>ot more than 0.01%</w:t>
      </w:r>
    </w:p>
    <w:p w14:paraId="658A05EF" w14:textId="77777777" w:rsidR="00012475" w:rsidRPr="00B25BA2" w:rsidRDefault="00012475" w:rsidP="00E8122F">
      <w:pPr>
        <w:pStyle w:val="FSCtPara"/>
        <w:widowControl/>
        <w:numPr>
          <w:ilvl w:val="0"/>
          <w:numId w:val="40"/>
        </w:numPr>
        <w:ind w:left="2268" w:hanging="566"/>
        <w:rPr>
          <w:lang w:bidi="en-US"/>
        </w:rPr>
      </w:pPr>
      <w:r>
        <w:rPr>
          <w:lang w:bidi="en-US"/>
        </w:rPr>
        <w:t>l</w:t>
      </w:r>
      <w:r w:rsidRPr="00B25BA2">
        <w:rPr>
          <w:lang w:bidi="en-US"/>
        </w:rPr>
        <w:t>ead</w:t>
      </w:r>
      <w:r>
        <w:rPr>
          <w:lang w:bidi="en-US"/>
        </w:rPr>
        <w:t>—n</w:t>
      </w:r>
      <w:r w:rsidRPr="00B25BA2">
        <w:rPr>
          <w:lang w:bidi="en-US"/>
        </w:rPr>
        <w:t>ot more than 0.02 mg/kg</w:t>
      </w:r>
    </w:p>
    <w:p w14:paraId="7B129609" w14:textId="77777777" w:rsidR="00012475" w:rsidRPr="00B25BA2" w:rsidRDefault="00012475" w:rsidP="00E8122F">
      <w:pPr>
        <w:pStyle w:val="FSCtPara"/>
        <w:widowControl/>
        <w:numPr>
          <w:ilvl w:val="0"/>
          <w:numId w:val="40"/>
        </w:numPr>
        <w:ind w:left="2268" w:hanging="566"/>
        <w:rPr>
          <w:lang w:bidi="en-US"/>
        </w:rPr>
      </w:pPr>
      <w:r>
        <w:rPr>
          <w:lang w:bidi="en-US"/>
        </w:rPr>
        <w:t>a</w:t>
      </w:r>
      <w:r w:rsidRPr="00B25BA2">
        <w:rPr>
          <w:lang w:bidi="en-US"/>
        </w:rPr>
        <w:t>rsenic</w:t>
      </w:r>
      <w:r>
        <w:rPr>
          <w:lang w:bidi="en-US"/>
        </w:rPr>
        <w:t>—n</w:t>
      </w:r>
      <w:r w:rsidRPr="00B25BA2">
        <w:rPr>
          <w:lang w:bidi="en-US"/>
        </w:rPr>
        <w:t>ot more than 0.2 mg/kg</w:t>
      </w:r>
    </w:p>
    <w:p w14:paraId="1312CCE9" w14:textId="77777777" w:rsidR="00012475" w:rsidRPr="00B25BA2" w:rsidRDefault="00012475" w:rsidP="00E8122F">
      <w:pPr>
        <w:pStyle w:val="FSCtPara"/>
        <w:widowControl/>
        <w:numPr>
          <w:ilvl w:val="0"/>
          <w:numId w:val="40"/>
        </w:numPr>
        <w:ind w:left="2268" w:hanging="566"/>
        <w:rPr>
          <w:lang w:bidi="en-US"/>
        </w:rPr>
      </w:pPr>
      <w:r>
        <w:rPr>
          <w:lang w:bidi="en-US"/>
        </w:rPr>
        <w:t>c</w:t>
      </w:r>
      <w:r w:rsidRPr="00B25BA2">
        <w:rPr>
          <w:lang w:bidi="en-US"/>
        </w:rPr>
        <w:t>admium</w:t>
      </w:r>
      <w:r>
        <w:rPr>
          <w:lang w:bidi="en-US"/>
        </w:rPr>
        <w:t>—n</w:t>
      </w:r>
      <w:r w:rsidRPr="00B25BA2">
        <w:rPr>
          <w:lang w:bidi="en-US"/>
        </w:rPr>
        <w:t>ot more than 0.1 mg/kg</w:t>
      </w:r>
    </w:p>
    <w:p w14:paraId="534BC103" w14:textId="77777777" w:rsidR="00012475" w:rsidRPr="00B25BA2" w:rsidRDefault="00012475" w:rsidP="00E8122F">
      <w:pPr>
        <w:pStyle w:val="FSCtPara"/>
        <w:widowControl/>
        <w:numPr>
          <w:ilvl w:val="0"/>
          <w:numId w:val="40"/>
        </w:numPr>
        <w:ind w:left="2268" w:hanging="566"/>
        <w:rPr>
          <w:lang w:bidi="en-US"/>
        </w:rPr>
      </w:pPr>
      <w:r>
        <w:rPr>
          <w:lang w:bidi="en-US"/>
        </w:rPr>
        <w:t>m</w:t>
      </w:r>
      <w:r w:rsidRPr="00B25BA2">
        <w:rPr>
          <w:lang w:bidi="en-US"/>
        </w:rPr>
        <w:t>ercury</w:t>
      </w:r>
      <w:r>
        <w:rPr>
          <w:lang w:bidi="en-US"/>
        </w:rPr>
        <w:t>—n</w:t>
      </w:r>
      <w:r w:rsidRPr="00B25BA2">
        <w:rPr>
          <w:lang w:bidi="en-US"/>
        </w:rPr>
        <w:t>ot more than 0.5 mg/kg</w:t>
      </w:r>
    </w:p>
    <w:p w14:paraId="1C387D0A" w14:textId="77777777" w:rsidR="00012475" w:rsidRPr="00B25BA2" w:rsidRDefault="00012475" w:rsidP="00E8122F">
      <w:pPr>
        <w:pStyle w:val="FSCtPara"/>
        <w:widowControl/>
        <w:numPr>
          <w:ilvl w:val="0"/>
          <w:numId w:val="40"/>
        </w:numPr>
        <w:ind w:left="2268" w:hanging="566"/>
        <w:rPr>
          <w:lang w:bidi="en-US"/>
        </w:rPr>
      </w:pPr>
      <w:r>
        <w:rPr>
          <w:lang w:bidi="en-US"/>
        </w:rPr>
        <w:t>m</w:t>
      </w:r>
      <w:r w:rsidRPr="00B25BA2">
        <w:rPr>
          <w:lang w:bidi="en-US"/>
        </w:rPr>
        <w:t>icrobiological:</w:t>
      </w:r>
    </w:p>
    <w:p w14:paraId="3E21A028" w14:textId="77777777" w:rsidR="00012475" w:rsidRPr="00B25BA2" w:rsidRDefault="00012475" w:rsidP="00E8122F">
      <w:pPr>
        <w:pStyle w:val="FSCtSubpara"/>
        <w:widowControl/>
        <w:numPr>
          <w:ilvl w:val="0"/>
          <w:numId w:val="41"/>
        </w:numPr>
        <w:tabs>
          <w:tab w:val="clear" w:pos="2268"/>
          <w:tab w:val="left" w:pos="2835"/>
        </w:tabs>
        <w:ind w:left="2268" w:firstLine="0"/>
        <w:rPr>
          <w:lang w:bidi="en-US"/>
        </w:rPr>
      </w:pPr>
      <w:r>
        <w:rPr>
          <w:i/>
          <w:lang w:bidi="en-US"/>
        </w:rPr>
        <w:t>s</w:t>
      </w:r>
      <w:r w:rsidRPr="005D7118">
        <w:rPr>
          <w:i/>
          <w:lang w:bidi="en-US"/>
        </w:rPr>
        <w:t>almonella</w:t>
      </w:r>
      <w:r>
        <w:rPr>
          <w:lang w:bidi="en-US"/>
        </w:rPr>
        <w:t>—a</w:t>
      </w:r>
      <w:r w:rsidRPr="00B25BA2">
        <w:rPr>
          <w:lang w:bidi="en-US"/>
        </w:rPr>
        <w:t xml:space="preserve">bsent in 100 g </w:t>
      </w:r>
      <w:r>
        <w:rPr>
          <w:lang w:bidi="en-US"/>
        </w:rPr>
        <w:t xml:space="preserve">for </w:t>
      </w:r>
      <w:r w:rsidRPr="00B25BA2">
        <w:rPr>
          <w:lang w:bidi="en-US"/>
        </w:rPr>
        <w:t xml:space="preserve">powder, absent in 200 mL </w:t>
      </w:r>
      <w:r>
        <w:rPr>
          <w:lang w:bidi="en-US"/>
        </w:rPr>
        <w:t xml:space="preserve">for </w:t>
      </w:r>
      <w:r w:rsidRPr="00B25BA2">
        <w:rPr>
          <w:lang w:bidi="en-US"/>
        </w:rPr>
        <w:t>liquid</w:t>
      </w:r>
    </w:p>
    <w:p w14:paraId="2B09E8DD" w14:textId="77777777" w:rsidR="00012475" w:rsidRPr="00B25BA2" w:rsidRDefault="00012475" w:rsidP="00E8122F">
      <w:pPr>
        <w:pStyle w:val="FSCtSubpara"/>
        <w:widowControl/>
        <w:numPr>
          <w:ilvl w:val="0"/>
          <w:numId w:val="41"/>
        </w:numPr>
        <w:tabs>
          <w:tab w:val="clear" w:pos="2268"/>
          <w:tab w:val="left" w:pos="2835"/>
        </w:tabs>
        <w:ind w:left="2835" w:hanging="567"/>
        <w:rPr>
          <w:lang w:bidi="en-US"/>
        </w:rPr>
      </w:pPr>
      <w:r>
        <w:rPr>
          <w:lang w:bidi="en-US"/>
        </w:rPr>
        <w:t>t</w:t>
      </w:r>
      <w:r w:rsidRPr="00B25BA2">
        <w:rPr>
          <w:lang w:bidi="en-US"/>
        </w:rPr>
        <w:t>otal plate count</w:t>
      </w:r>
      <w:r>
        <w:rPr>
          <w:lang w:bidi="en-US"/>
        </w:rPr>
        <w:t>—n</w:t>
      </w:r>
      <w:r w:rsidRPr="00B25BA2">
        <w:rPr>
          <w:lang w:bidi="en-US"/>
        </w:rPr>
        <w:t>ot more than 10000 cfu/g</w:t>
      </w:r>
      <w:r w:rsidRPr="00777343">
        <w:rPr>
          <w:lang w:bidi="en-US"/>
        </w:rPr>
        <w:t xml:space="preserve"> </w:t>
      </w:r>
      <w:r>
        <w:rPr>
          <w:lang w:bidi="en-US"/>
        </w:rPr>
        <w:t xml:space="preserve">for </w:t>
      </w:r>
      <w:r w:rsidRPr="00B25BA2">
        <w:rPr>
          <w:lang w:bidi="en-US"/>
        </w:rPr>
        <w:t xml:space="preserve">powder, not more than 5000 cfu/g </w:t>
      </w:r>
      <w:r>
        <w:rPr>
          <w:lang w:bidi="en-US"/>
        </w:rPr>
        <w:t xml:space="preserve">for </w:t>
      </w:r>
      <w:r w:rsidRPr="00B25BA2">
        <w:rPr>
          <w:lang w:bidi="en-US"/>
        </w:rPr>
        <w:t xml:space="preserve">liquid  </w:t>
      </w:r>
    </w:p>
    <w:p w14:paraId="363720F4" w14:textId="77777777" w:rsidR="00012475" w:rsidRPr="00B25BA2" w:rsidRDefault="00012475" w:rsidP="00E8122F">
      <w:pPr>
        <w:pStyle w:val="FSCtSubpara"/>
        <w:widowControl/>
        <w:numPr>
          <w:ilvl w:val="0"/>
          <w:numId w:val="41"/>
        </w:numPr>
        <w:tabs>
          <w:tab w:val="clear" w:pos="2268"/>
          <w:tab w:val="left" w:pos="2835"/>
        </w:tabs>
        <w:ind w:left="2835" w:hanging="567"/>
        <w:rPr>
          <w:lang w:bidi="en-US"/>
        </w:rPr>
      </w:pPr>
      <w:r>
        <w:rPr>
          <w:lang w:bidi="en-US"/>
        </w:rPr>
        <w:t>c</w:t>
      </w:r>
      <w:r w:rsidRPr="00B25BA2">
        <w:rPr>
          <w:lang w:bidi="en-US"/>
        </w:rPr>
        <w:t>oliform/enterobacteriaceae</w:t>
      </w:r>
      <w:r>
        <w:rPr>
          <w:lang w:bidi="en-US"/>
        </w:rPr>
        <w:t>—a</w:t>
      </w:r>
      <w:r w:rsidRPr="00B25BA2">
        <w:rPr>
          <w:lang w:bidi="en-US"/>
        </w:rPr>
        <w:t xml:space="preserve">bsent in 11 g </w:t>
      </w:r>
      <w:r>
        <w:rPr>
          <w:lang w:bidi="en-US"/>
        </w:rPr>
        <w:t xml:space="preserve">for </w:t>
      </w:r>
      <w:r w:rsidRPr="00B25BA2">
        <w:rPr>
          <w:lang w:bidi="en-US"/>
        </w:rPr>
        <w:t xml:space="preserve">powder, absent in 22 mL </w:t>
      </w:r>
      <w:r>
        <w:rPr>
          <w:lang w:bidi="en-US"/>
        </w:rPr>
        <w:t xml:space="preserve">for </w:t>
      </w:r>
      <w:r w:rsidRPr="00B25BA2">
        <w:rPr>
          <w:lang w:bidi="en-US"/>
        </w:rPr>
        <w:t>liquid</w:t>
      </w:r>
    </w:p>
    <w:p w14:paraId="7BF81318" w14:textId="77777777" w:rsidR="00012475" w:rsidRPr="00B25BA2" w:rsidRDefault="00012475" w:rsidP="00E8122F">
      <w:pPr>
        <w:pStyle w:val="FSCtSubpara"/>
        <w:widowControl/>
        <w:numPr>
          <w:ilvl w:val="0"/>
          <w:numId w:val="41"/>
        </w:numPr>
        <w:tabs>
          <w:tab w:val="clear" w:pos="2268"/>
          <w:tab w:val="left" w:pos="2835"/>
        </w:tabs>
        <w:ind w:left="2835" w:hanging="567"/>
        <w:rPr>
          <w:lang w:bidi="en-US"/>
        </w:rPr>
      </w:pPr>
      <w:r w:rsidRPr="005D7118">
        <w:rPr>
          <w:i/>
          <w:lang w:bidi="en-US"/>
        </w:rPr>
        <w:t>cronobacter sakazakii</w:t>
      </w:r>
      <w:r>
        <w:rPr>
          <w:lang w:bidi="en-US"/>
        </w:rPr>
        <w:t>—a</w:t>
      </w:r>
      <w:r w:rsidRPr="00B25BA2">
        <w:rPr>
          <w:lang w:bidi="en-US"/>
        </w:rPr>
        <w:t xml:space="preserve">bsent in 100 g </w:t>
      </w:r>
      <w:r>
        <w:rPr>
          <w:lang w:bidi="en-US"/>
        </w:rPr>
        <w:t xml:space="preserve">for </w:t>
      </w:r>
      <w:r w:rsidRPr="00B25BA2">
        <w:rPr>
          <w:lang w:bidi="en-US"/>
        </w:rPr>
        <w:t xml:space="preserve">powder, absent in 200 mL </w:t>
      </w:r>
      <w:r>
        <w:rPr>
          <w:lang w:bidi="en-US"/>
        </w:rPr>
        <w:t xml:space="preserve">for </w:t>
      </w:r>
      <w:r w:rsidRPr="00B25BA2">
        <w:rPr>
          <w:lang w:bidi="en-US"/>
        </w:rPr>
        <w:t>liquid</w:t>
      </w:r>
    </w:p>
    <w:p w14:paraId="7701737B" w14:textId="77777777" w:rsidR="00012475" w:rsidRPr="00B25BA2" w:rsidRDefault="00012475" w:rsidP="00E8122F">
      <w:pPr>
        <w:pStyle w:val="FSCtSubpara"/>
        <w:widowControl/>
        <w:numPr>
          <w:ilvl w:val="0"/>
          <w:numId w:val="41"/>
        </w:numPr>
        <w:tabs>
          <w:tab w:val="clear" w:pos="2268"/>
          <w:tab w:val="left" w:pos="2835"/>
        </w:tabs>
        <w:ind w:left="2835" w:hanging="567"/>
        <w:rPr>
          <w:lang w:bidi="en-US"/>
        </w:rPr>
      </w:pPr>
      <w:r>
        <w:rPr>
          <w:lang w:bidi="en-US"/>
        </w:rPr>
        <w:t>y</w:t>
      </w:r>
      <w:r w:rsidRPr="00B25BA2">
        <w:rPr>
          <w:lang w:bidi="en-US"/>
        </w:rPr>
        <w:t>east and mould</w:t>
      </w:r>
      <w:r>
        <w:rPr>
          <w:lang w:bidi="en-US"/>
        </w:rPr>
        <w:t>—n</w:t>
      </w:r>
      <w:r w:rsidRPr="00B25BA2">
        <w:rPr>
          <w:lang w:bidi="en-US"/>
        </w:rPr>
        <w:t>ot more than 100 cfu/g</w:t>
      </w:r>
      <w:r w:rsidRPr="00777343">
        <w:rPr>
          <w:lang w:bidi="en-US"/>
        </w:rPr>
        <w:t xml:space="preserve"> </w:t>
      </w:r>
      <w:r>
        <w:rPr>
          <w:lang w:bidi="en-US"/>
        </w:rPr>
        <w:t xml:space="preserve">for </w:t>
      </w:r>
      <w:r w:rsidRPr="00B25BA2">
        <w:rPr>
          <w:lang w:bidi="en-US"/>
        </w:rPr>
        <w:t xml:space="preserve">powder, not more than 50 cfu/g </w:t>
      </w:r>
      <w:r>
        <w:rPr>
          <w:lang w:bidi="en-US"/>
        </w:rPr>
        <w:t xml:space="preserve">for </w:t>
      </w:r>
      <w:r w:rsidRPr="00B25BA2">
        <w:rPr>
          <w:lang w:bidi="en-US"/>
        </w:rPr>
        <w:t>liquid</w:t>
      </w:r>
    </w:p>
    <w:p w14:paraId="0DB827F4" w14:textId="77777777" w:rsidR="00012475" w:rsidRPr="00B25BA2" w:rsidRDefault="00012475" w:rsidP="00E8122F">
      <w:pPr>
        <w:pStyle w:val="FSCtSubpara"/>
        <w:widowControl/>
        <w:numPr>
          <w:ilvl w:val="0"/>
          <w:numId w:val="41"/>
        </w:numPr>
        <w:tabs>
          <w:tab w:val="clear" w:pos="2268"/>
          <w:tab w:val="left" w:pos="2835"/>
        </w:tabs>
        <w:ind w:left="2268" w:firstLine="0"/>
        <w:rPr>
          <w:lang w:bidi="en-US"/>
        </w:rPr>
      </w:pPr>
      <w:r>
        <w:rPr>
          <w:lang w:bidi="en-US"/>
        </w:rPr>
        <w:t>a</w:t>
      </w:r>
      <w:r w:rsidRPr="00B25BA2">
        <w:rPr>
          <w:lang w:bidi="en-US"/>
        </w:rPr>
        <w:t>flatoxin M1</w:t>
      </w:r>
      <w:r>
        <w:rPr>
          <w:lang w:bidi="en-US"/>
        </w:rPr>
        <w:t>—n</w:t>
      </w:r>
      <w:r w:rsidRPr="00B25BA2">
        <w:rPr>
          <w:lang w:bidi="en-US"/>
        </w:rPr>
        <w:t xml:space="preserve">ot more than 0.025 μg/kg </w:t>
      </w:r>
    </w:p>
    <w:p w14:paraId="6CE16F44" w14:textId="77777777" w:rsidR="00012475" w:rsidRPr="00B25BA2" w:rsidRDefault="00012475" w:rsidP="00E8122F">
      <w:pPr>
        <w:pStyle w:val="FSCtSubpara"/>
        <w:widowControl/>
        <w:numPr>
          <w:ilvl w:val="0"/>
          <w:numId w:val="41"/>
        </w:numPr>
        <w:tabs>
          <w:tab w:val="left" w:pos="2835"/>
        </w:tabs>
        <w:ind w:left="2268" w:firstLine="0"/>
        <w:rPr>
          <w:lang w:bidi="en-US"/>
        </w:rPr>
      </w:pPr>
      <w:r>
        <w:rPr>
          <w:lang w:bidi="en-US"/>
        </w:rPr>
        <w:t>e</w:t>
      </w:r>
      <w:r w:rsidRPr="00B25BA2">
        <w:rPr>
          <w:lang w:bidi="en-US"/>
        </w:rPr>
        <w:t>ndotoxins</w:t>
      </w:r>
      <w:r>
        <w:rPr>
          <w:lang w:bidi="en-US"/>
        </w:rPr>
        <w:t>—n</w:t>
      </w:r>
      <w:r w:rsidRPr="00B25BA2">
        <w:rPr>
          <w:lang w:bidi="en-US"/>
        </w:rPr>
        <w:t xml:space="preserve">ot more than </w:t>
      </w:r>
      <w:r>
        <w:rPr>
          <w:lang w:bidi="en-US"/>
        </w:rPr>
        <w:t>10</w:t>
      </w:r>
      <w:r w:rsidRPr="00B25BA2">
        <w:rPr>
          <w:lang w:bidi="en-US"/>
        </w:rPr>
        <w:t xml:space="preserve"> EU/</w:t>
      </w:r>
      <w:r>
        <w:rPr>
          <w:lang w:bidi="en-US"/>
        </w:rPr>
        <w:t>m</w:t>
      </w:r>
      <w:r w:rsidRPr="00B25BA2">
        <w:rPr>
          <w:lang w:bidi="en-US"/>
        </w:rPr>
        <w:t>g</w:t>
      </w:r>
    </w:p>
    <w:p w14:paraId="1F766350" w14:textId="77777777" w:rsidR="00012475" w:rsidRPr="00B25BA2" w:rsidRDefault="00012475" w:rsidP="00E8122F">
      <w:pPr>
        <w:pStyle w:val="FSCtSubpara"/>
        <w:widowControl/>
        <w:numPr>
          <w:ilvl w:val="0"/>
          <w:numId w:val="41"/>
        </w:numPr>
        <w:tabs>
          <w:tab w:val="left" w:pos="2835"/>
        </w:tabs>
        <w:ind w:left="2268" w:firstLine="0"/>
        <w:rPr>
          <w:lang w:bidi="en-US"/>
        </w:rPr>
      </w:pPr>
      <w:r w:rsidRPr="00B25BA2">
        <w:rPr>
          <w:lang w:bidi="en-US"/>
        </w:rPr>
        <w:t>GMO detection</w:t>
      </w:r>
      <w:r>
        <w:rPr>
          <w:lang w:bidi="en-US"/>
        </w:rPr>
        <w:t>—</w:t>
      </w:r>
      <w:r w:rsidRPr="00B25BA2">
        <w:rPr>
          <w:lang w:bidi="en-US"/>
        </w:rPr>
        <w:t>not detected</w:t>
      </w:r>
      <w:r>
        <w:rPr>
          <w:lang w:bidi="en-US"/>
        </w:rPr>
        <w:t>.</w:t>
      </w:r>
    </w:p>
    <w:p w14:paraId="1BCCC536" w14:textId="77777777" w:rsidR="00012475" w:rsidRDefault="00012475" w:rsidP="00E8122F">
      <w:pPr>
        <w:pStyle w:val="FSCDraftingitem"/>
        <w:rPr>
          <w:lang w:bidi="en-US"/>
        </w:rPr>
      </w:pPr>
      <w:r w:rsidRPr="00573CA7">
        <w:rPr>
          <w:b/>
          <w:lang w:bidi="en-US"/>
        </w:rPr>
        <w:t>[</w:t>
      </w:r>
      <w:r>
        <w:rPr>
          <w:b/>
          <w:lang w:bidi="en-US"/>
        </w:rPr>
        <w:t>3</w:t>
      </w:r>
      <w:r w:rsidRPr="00573CA7">
        <w:rPr>
          <w:b/>
          <w:lang w:bidi="en-US"/>
        </w:rPr>
        <w:t>]</w:t>
      </w:r>
      <w:r w:rsidRPr="00573CA7">
        <w:rPr>
          <w:b/>
          <w:lang w:bidi="en-US"/>
        </w:rPr>
        <w:tab/>
        <w:t>Schedule 26</w:t>
      </w:r>
      <w:r>
        <w:rPr>
          <w:lang w:bidi="en-US"/>
        </w:rPr>
        <w:t xml:space="preserve"> is </w:t>
      </w:r>
      <w:r w:rsidRPr="00573CA7">
        <w:t>varied</w:t>
      </w:r>
      <w:r>
        <w:rPr>
          <w:lang w:bidi="en-US"/>
        </w:rPr>
        <w:t xml:space="preserve"> by </w:t>
      </w:r>
    </w:p>
    <w:p w14:paraId="19B67798" w14:textId="77777777" w:rsidR="00012475" w:rsidRDefault="00012475" w:rsidP="00E8122F">
      <w:pPr>
        <w:pStyle w:val="FSCDraftingitem"/>
      </w:pPr>
      <w:r>
        <w:rPr>
          <w:lang w:bidi="en-US"/>
        </w:rPr>
        <w:t>[3.1]</w:t>
      </w:r>
      <w:r>
        <w:rPr>
          <w:lang w:bidi="en-US"/>
        </w:rPr>
        <w:tab/>
        <w:t>omitting item 1 in the table to subsection S</w:t>
      </w:r>
      <w:r>
        <w:t>26—3</w:t>
      </w:r>
      <w:r>
        <w:rPr>
          <w:lang w:bidi="en-US"/>
        </w:rPr>
        <w:t xml:space="preserve">(7), </w:t>
      </w:r>
      <w:r w:rsidRPr="005C7DDE">
        <w:rPr>
          <w:lang w:bidi="en-US"/>
        </w:rPr>
        <w:t>substituting</w:t>
      </w:r>
    </w:p>
    <w:tbl>
      <w:tblPr>
        <w:tblW w:w="9356" w:type="dxa"/>
        <w:tblLayout w:type="fixed"/>
        <w:tblCellMar>
          <w:left w:w="0" w:type="dxa"/>
          <w:right w:w="0" w:type="dxa"/>
        </w:tblCellMar>
        <w:tblLook w:val="04A0" w:firstRow="1" w:lastRow="0" w:firstColumn="1" w:lastColumn="0" w:noHBand="0" w:noVBand="1"/>
      </w:tblPr>
      <w:tblGrid>
        <w:gridCol w:w="284"/>
        <w:gridCol w:w="2126"/>
        <w:gridCol w:w="2693"/>
        <w:gridCol w:w="993"/>
        <w:gridCol w:w="3260"/>
      </w:tblGrid>
      <w:tr w:rsidR="00012475" w14:paraId="579536B0" w14:textId="77777777" w:rsidTr="002543AF">
        <w:trPr>
          <w:cantSplit/>
          <w:trHeight w:val="329"/>
        </w:trPr>
        <w:tc>
          <w:tcPr>
            <w:tcW w:w="284" w:type="dxa"/>
            <w:tcBorders>
              <w:top w:val="nil"/>
              <w:left w:val="nil"/>
              <w:right w:val="nil"/>
            </w:tcBorders>
            <w:tcMar>
              <w:top w:w="0" w:type="dxa"/>
              <w:left w:w="108" w:type="dxa"/>
              <w:bottom w:w="0" w:type="dxa"/>
              <w:right w:w="108" w:type="dxa"/>
            </w:tcMar>
            <w:hideMark/>
          </w:tcPr>
          <w:p w14:paraId="0816C6EF" w14:textId="77777777" w:rsidR="00012475" w:rsidRDefault="00012475" w:rsidP="00E8122F">
            <w:pPr>
              <w:widowControl/>
              <w:spacing w:before="60" w:after="60"/>
              <w:rPr>
                <w:rFonts w:cs="Arial"/>
                <w:sz w:val="18"/>
                <w:szCs w:val="18"/>
                <w:lang w:eastAsia="en-GB"/>
              </w:rPr>
            </w:pPr>
            <w:r>
              <w:rPr>
                <w:rFonts w:cs="Arial"/>
                <w:b/>
                <w:bCs/>
                <w:sz w:val="18"/>
                <w:szCs w:val="18"/>
                <w:lang w:eastAsia="en-GB"/>
              </w:rPr>
              <w:t>1</w:t>
            </w:r>
          </w:p>
        </w:tc>
        <w:tc>
          <w:tcPr>
            <w:tcW w:w="2126" w:type="dxa"/>
            <w:tcBorders>
              <w:top w:val="nil"/>
              <w:left w:val="nil"/>
              <w:right w:val="nil"/>
            </w:tcBorders>
            <w:tcMar>
              <w:top w:w="0" w:type="dxa"/>
              <w:left w:w="108" w:type="dxa"/>
              <w:bottom w:w="0" w:type="dxa"/>
              <w:right w:w="108" w:type="dxa"/>
            </w:tcMar>
            <w:hideMark/>
          </w:tcPr>
          <w:p w14:paraId="6CDA6197" w14:textId="77777777" w:rsidR="00012475" w:rsidRDefault="00012475" w:rsidP="00E8122F">
            <w:pPr>
              <w:widowControl/>
              <w:spacing w:before="60" w:after="60"/>
              <w:rPr>
                <w:rFonts w:cs="Arial"/>
                <w:sz w:val="18"/>
                <w:szCs w:val="18"/>
                <w:lang w:eastAsia="en-GB"/>
              </w:rPr>
            </w:pPr>
            <w:r>
              <w:rPr>
                <w:rFonts w:cs="Arial"/>
                <w:b/>
                <w:bCs/>
                <w:sz w:val="18"/>
                <w:szCs w:val="18"/>
                <w:lang w:eastAsia="en-GB"/>
              </w:rPr>
              <w:t>2′-fucosyllactose</w:t>
            </w:r>
          </w:p>
        </w:tc>
        <w:tc>
          <w:tcPr>
            <w:tcW w:w="2693" w:type="dxa"/>
            <w:tcBorders>
              <w:top w:val="nil"/>
              <w:left w:val="nil"/>
              <w:right w:val="nil"/>
            </w:tcBorders>
            <w:hideMark/>
          </w:tcPr>
          <w:p w14:paraId="10DEC27D" w14:textId="77777777" w:rsidR="00012475" w:rsidRDefault="00012475" w:rsidP="00E8122F">
            <w:pPr>
              <w:pStyle w:val="ListParagraph"/>
              <w:widowControl/>
              <w:numPr>
                <w:ilvl w:val="0"/>
                <w:numId w:val="42"/>
              </w:numPr>
              <w:spacing w:before="60" w:after="60"/>
              <w:ind w:left="423" w:right="36" w:hanging="286"/>
              <w:rPr>
                <w:rFonts w:cs="Arial"/>
                <w:sz w:val="18"/>
                <w:szCs w:val="18"/>
                <w:lang w:eastAsia="en-GB"/>
              </w:rPr>
            </w:pPr>
            <w:r>
              <w:rPr>
                <w:rFonts w:cs="Arial"/>
                <w:i/>
                <w:sz w:val="18"/>
                <w:szCs w:val="18"/>
                <w:lang w:eastAsia="en-GB"/>
              </w:rPr>
              <w:t>Escherichia coli</w:t>
            </w:r>
            <w:r>
              <w:rPr>
                <w:rFonts w:cs="Arial"/>
                <w:sz w:val="18"/>
                <w:szCs w:val="18"/>
                <w:lang w:eastAsia="en-GB"/>
              </w:rPr>
              <w:t xml:space="preserve"> K-12 containing the gene for alpha-1,2-fucosyltransferase from </w:t>
            </w:r>
            <w:r>
              <w:rPr>
                <w:rFonts w:cs="Arial"/>
                <w:i/>
                <w:sz w:val="18"/>
                <w:szCs w:val="18"/>
                <w:lang w:eastAsia="en-GB"/>
              </w:rPr>
              <w:t>Helicobacter pylori</w:t>
            </w:r>
          </w:p>
        </w:tc>
        <w:tc>
          <w:tcPr>
            <w:tcW w:w="993" w:type="dxa"/>
            <w:tcBorders>
              <w:top w:val="nil"/>
              <w:left w:val="nil"/>
              <w:right w:val="nil"/>
            </w:tcBorders>
            <w:tcMar>
              <w:top w:w="0" w:type="dxa"/>
              <w:left w:w="108" w:type="dxa"/>
              <w:bottom w:w="0" w:type="dxa"/>
              <w:right w:w="108" w:type="dxa"/>
            </w:tcMar>
            <w:hideMark/>
          </w:tcPr>
          <w:p w14:paraId="4CD7E6CA" w14:textId="77777777" w:rsidR="00012475" w:rsidRDefault="00012475" w:rsidP="00E8122F">
            <w:pPr>
              <w:widowControl/>
              <w:rPr>
                <w:rFonts w:cs="Arial"/>
                <w:sz w:val="18"/>
                <w:szCs w:val="18"/>
                <w:lang w:eastAsia="en-GB"/>
              </w:rPr>
            </w:pPr>
          </w:p>
        </w:tc>
        <w:tc>
          <w:tcPr>
            <w:tcW w:w="3260" w:type="dxa"/>
            <w:tcBorders>
              <w:top w:val="nil"/>
              <w:left w:val="nil"/>
              <w:right w:val="nil"/>
            </w:tcBorders>
            <w:hideMark/>
          </w:tcPr>
          <w:p w14:paraId="11BDA1C3" w14:textId="77777777" w:rsidR="00012475" w:rsidRDefault="00012475" w:rsidP="00E8122F">
            <w:pPr>
              <w:pStyle w:val="ListParagraph"/>
              <w:widowControl/>
              <w:numPr>
                <w:ilvl w:val="0"/>
                <w:numId w:val="43"/>
              </w:numPr>
              <w:spacing w:before="60" w:after="60"/>
              <w:ind w:left="305" w:right="34" w:hanging="283"/>
              <w:rPr>
                <w:rFonts w:cs="Arial"/>
                <w:sz w:val="18"/>
                <w:szCs w:val="18"/>
                <w:lang w:eastAsia="en-GB"/>
              </w:rPr>
            </w:pPr>
            <w:r>
              <w:rPr>
                <w:rFonts w:cs="Arial"/>
                <w:sz w:val="18"/>
                <w:szCs w:val="18"/>
                <w:lang w:eastAsia="en-AU"/>
              </w:rPr>
              <w:t>May only be added to infant formula products</w:t>
            </w:r>
            <w:r>
              <w:rPr>
                <w:sz w:val="18"/>
                <w:szCs w:val="18"/>
              </w:rPr>
              <w:t>.</w:t>
            </w:r>
          </w:p>
          <w:p w14:paraId="32F3692B" w14:textId="77777777" w:rsidR="00012475" w:rsidRDefault="00012475" w:rsidP="00E8122F">
            <w:pPr>
              <w:pStyle w:val="ListParagraph"/>
              <w:widowControl/>
              <w:numPr>
                <w:ilvl w:val="0"/>
                <w:numId w:val="43"/>
              </w:numPr>
              <w:spacing w:before="60" w:after="60"/>
              <w:ind w:left="305" w:right="36" w:hanging="283"/>
              <w:rPr>
                <w:rFonts w:cs="Arial"/>
                <w:sz w:val="18"/>
                <w:szCs w:val="18"/>
                <w:lang w:eastAsia="en-GB"/>
              </w:rPr>
            </w:pPr>
            <w:r>
              <w:rPr>
                <w:rFonts w:cs="Arial"/>
                <w:sz w:val="18"/>
                <w:szCs w:val="18"/>
                <w:lang w:eastAsia="en-GB"/>
              </w:rPr>
              <w:t xml:space="preserve">During the </w:t>
            </w:r>
            <w:r>
              <w:rPr>
                <w:sz w:val="18"/>
                <w:szCs w:val="18"/>
              </w:rPr>
              <w:t xml:space="preserve">exclusive use period, may only be sold under </w:t>
            </w:r>
            <w:r>
              <w:rPr>
                <w:rFonts w:cs="Arial"/>
                <w:sz w:val="18"/>
                <w:szCs w:val="18"/>
                <w:lang w:eastAsia="en-AU"/>
              </w:rPr>
              <w:t>the brand GlyCare.</w:t>
            </w:r>
          </w:p>
          <w:p w14:paraId="3F165A5B" w14:textId="77777777" w:rsidR="00012475" w:rsidRDefault="00012475" w:rsidP="00E8122F">
            <w:pPr>
              <w:pStyle w:val="ListParagraph"/>
              <w:widowControl/>
              <w:numPr>
                <w:ilvl w:val="0"/>
                <w:numId w:val="43"/>
              </w:numPr>
              <w:spacing w:before="60" w:after="60"/>
              <w:ind w:left="305" w:right="36" w:hanging="283"/>
              <w:rPr>
                <w:rFonts w:cs="Arial"/>
                <w:sz w:val="18"/>
                <w:szCs w:val="18"/>
                <w:lang w:eastAsia="en-GB"/>
              </w:rPr>
            </w:pPr>
            <w:r>
              <w:rPr>
                <w:sz w:val="18"/>
                <w:szCs w:val="18"/>
              </w:rPr>
              <w:t xml:space="preserve">For the purposes of condition 2 above, </w:t>
            </w:r>
            <w:r>
              <w:rPr>
                <w:b/>
                <w:sz w:val="18"/>
                <w:szCs w:val="18"/>
              </w:rPr>
              <w:t>exclusive use period</w:t>
            </w:r>
            <w:r>
              <w:rPr>
                <w:sz w:val="18"/>
                <w:szCs w:val="18"/>
              </w:rPr>
              <w:t xml:space="preserve"> means the period commencing on the date of gazettal of the </w:t>
            </w:r>
            <w:r>
              <w:rPr>
                <w:i/>
                <w:sz w:val="18"/>
                <w:szCs w:val="18"/>
              </w:rPr>
              <w:t>Food Standards (Application A1155 – 2</w:t>
            </w:r>
            <w:r>
              <w:rPr>
                <w:rFonts w:cs="Arial"/>
                <w:i/>
                <w:sz w:val="18"/>
                <w:szCs w:val="18"/>
              </w:rPr>
              <w:t>′</w:t>
            </w:r>
            <w:r>
              <w:rPr>
                <w:i/>
                <w:sz w:val="18"/>
                <w:szCs w:val="18"/>
              </w:rPr>
              <w:t>-FL and LNnT in infant formula and other products) Variation</w:t>
            </w:r>
            <w:r>
              <w:rPr>
                <w:sz w:val="18"/>
                <w:szCs w:val="18"/>
              </w:rPr>
              <w:t xml:space="preserve"> and ending 15 months after that date.</w:t>
            </w:r>
          </w:p>
        </w:tc>
      </w:tr>
      <w:tr w:rsidR="00012475" w:rsidRPr="0034428B" w14:paraId="7022AE0B" w14:textId="77777777" w:rsidTr="002543AF">
        <w:trPr>
          <w:cantSplit/>
          <w:trHeight w:val="329"/>
        </w:trPr>
        <w:tc>
          <w:tcPr>
            <w:tcW w:w="284" w:type="dxa"/>
            <w:tcBorders>
              <w:top w:val="nil"/>
              <w:left w:val="nil"/>
              <w:right w:val="nil"/>
            </w:tcBorders>
            <w:tcMar>
              <w:top w:w="0" w:type="dxa"/>
              <w:left w:w="108" w:type="dxa"/>
              <w:bottom w:w="0" w:type="dxa"/>
              <w:right w:w="108" w:type="dxa"/>
            </w:tcMar>
          </w:tcPr>
          <w:p w14:paraId="125FF1C8" w14:textId="77777777" w:rsidR="00012475" w:rsidRPr="0034428B" w:rsidRDefault="00012475" w:rsidP="00E8122F">
            <w:pPr>
              <w:widowControl/>
              <w:spacing w:before="60" w:after="60"/>
              <w:rPr>
                <w:rFonts w:cs="Arial"/>
                <w:b/>
                <w:bCs/>
                <w:sz w:val="18"/>
                <w:szCs w:val="18"/>
                <w:lang w:eastAsia="en-GB"/>
              </w:rPr>
            </w:pPr>
          </w:p>
        </w:tc>
        <w:tc>
          <w:tcPr>
            <w:tcW w:w="2126" w:type="dxa"/>
            <w:tcBorders>
              <w:top w:val="nil"/>
              <w:left w:val="nil"/>
              <w:right w:val="nil"/>
            </w:tcBorders>
            <w:tcMar>
              <w:top w:w="0" w:type="dxa"/>
              <w:left w:w="108" w:type="dxa"/>
              <w:bottom w:w="0" w:type="dxa"/>
              <w:right w:w="108" w:type="dxa"/>
            </w:tcMar>
          </w:tcPr>
          <w:p w14:paraId="05CB3218" w14:textId="77777777" w:rsidR="00012475" w:rsidRPr="0034428B" w:rsidRDefault="00012475" w:rsidP="00E8122F">
            <w:pPr>
              <w:widowControl/>
              <w:spacing w:before="60" w:after="60"/>
              <w:rPr>
                <w:rFonts w:cs="Arial"/>
                <w:b/>
                <w:bCs/>
                <w:sz w:val="18"/>
                <w:szCs w:val="18"/>
                <w:lang w:eastAsia="en-GB"/>
              </w:rPr>
            </w:pPr>
          </w:p>
        </w:tc>
        <w:tc>
          <w:tcPr>
            <w:tcW w:w="2693" w:type="dxa"/>
            <w:tcBorders>
              <w:top w:val="nil"/>
              <w:left w:val="nil"/>
              <w:right w:val="nil"/>
            </w:tcBorders>
          </w:tcPr>
          <w:p w14:paraId="5F4D6B2E" w14:textId="77777777" w:rsidR="00012475" w:rsidRPr="0034428B" w:rsidRDefault="00012475" w:rsidP="00E8122F">
            <w:pPr>
              <w:pStyle w:val="ListParagraph"/>
              <w:widowControl/>
              <w:numPr>
                <w:ilvl w:val="0"/>
                <w:numId w:val="42"/>
              </w:numPr>
              <w:spacing w:before="60" w:after="60"/>
              <w:ind w:left="423" w:right="36" w:hanging="286"/>
              <w:rPr>
                <w:rFonts w:cs="Arial"/>
                <w:i/>
                <w:sz w:val="18"/>
                <w:szCs w:val="18"/>
                <w:lang w:eastAsia="en-GB"/>
              </w:rPr>
            </w:pPr>
            <w:r w:rsidRPr="0034428B">
              <w:rPr>
                <w:i/>
                <w:sz w:val="18"/>
                <w:szCs w:val="18"/>
              </w:rPr>
              <w:t>Escherichia coli</w:t>
            </w:r>
            <w:r w:rsidRPr="0034428B">
              <w:rPr>
                <w:sz w:val="18"/>
                <w:szCs w:val="18"/>
              </w:rPr>
              <w:t xml:space="preserve"> BL21 containing the gene for alpha-1,2-fucosyltransferase from </w:t>
            </w:r>
            <w:r w:rsidRPr="0034428B">
              <w:rPr>
                <w:i/>
                <w:sz w:val="18"/>
                <w:szCs w:val="18"/>
              </w:rPr>
              <w:t>Escherichia coli</w:t>
            </w:r>
            <w:r w:rsidRPr="0034428B">
              <w:rPr>
                <w:sz w:val="18"/>
                <w:szCs w:val="18"/>
              </w:rPr>
              <w:t xml:space="preserve"> O126</w:t>
            </w:r>
          </w:p>
        </w:tc>
        <w:tc>
          <w:tcPr>
            <w:tcW w:w="993" w:type="dxa"/>
            <w:tcBorders>
              <w:top w:val="nil"/>
              <w:left w:val="nil"/>
              <w:right w:val="nil"/>
            </w:tcBorders>
            <w:tcMar>
              <w:top w:w="0" w:type="dxa"/>
              <w:left w:w="108" w:type="dxa"/>
              <w:bottom w:w="0" w:type="dxa"/>
              <w:right w:w="108" w:type="dxa"/>
            </w:tcMar>
          </w:tcPr>
          <w:p w14:paraId="3815A0D9" w14:textId="77777777" w:rsidR="00012475" w:rsidRPr="0034428B" w:rsidRDefault="00012475" w:rsidP="00E8122F">
            <w:pPr>
              <w:widowControl/>
              <w:rPr>
                <w:rFonts w:cs="Arial"/>
                <w:sz w:val="18"/>
                <w:szCs w:val="18"/>
                <w:lang w:eastAsia="en-GB"/>
              </w:rPr>
            </w:pPr>
          </w:p>
        </w:tc>
        <w:tc>
          <w:tcPr>
            <w:tcW w:w="3260" w:type="dxa"/>
            <w:tcBorders>
              <w:top w:val="nil"/>
              <w:left w:val="nil"/>
              <w:right w:val="nil"/>
            </w:tcBorders>
          </w:tcPr>
          <w:p w14:paraId="30C87635" w14:textId="77777777" w:rsidR="00012475" w:rsidRPr="0034428B" w:rsidRDefault="00012475" w:rsidP="00E8122F">
            <w:pPr>
              <w:pStyle w:val="FSCtblMain"/>
              <w:numPr>
                <w:ilvl w:val="0"/>
                <w:numId w:val="44"/>
              </w:numPr>
              <w:ind w:left="289" w:hanging="283"/>
              <w:rPr>
                <w:szCs w:val="18"/>
                <w:lang w:eastAsia="en-GB" w:bidi="en-US"/>
              </w:rPr>
            </w:pPr>
            <w:r w:rsidRPr="0034428B">
              <w:rPr>
                <w:szCs w:val="18"/>
                <w:lang w:bidi="en-US"/>
              </w:rPr>
              <w:t>May only be added to infant formula products.</w:t>
            </w:r>
          </w:p>
          <w:p w14:paraId="156B8CC6" w14:textId="77777777" w:rsidR="00012475" w:rsidRPr="00F1592D" w:rsidRDefault="00012475" w:rsidP="00E8122F">
            <w:pPr>
              <w:pStyle w:val="ListParagraph"/>
              <w:widowControl/>
              <w:numPr>
                <w:ilvl w:val="0"/>
                <w:numId w:val="44"/>
              </w:numPr>
              <w:spacing w:before="60" w:after="60"/>
              <w:ind w:left="286" w:right="36" w:hanging="283"/>
              <w:rPr>
                <w:rFonts w:cs="Arial"/>
                <w:sz w:val="18"/>
                <w:szCs w:val="18"/>
                <w:lang w:eastAsia="en-GB"/>
              </w:rPr>
            </w:pPr>
            <w:r w:rsidRPr="00F1592D">
              <w:rPr>
                <w:rFonts w:cs="Arial"/>
                <w:sz w:val="18"/>
                <w:szCs w:val="18"/>
                <w:lang w:eastAsia="en-GB"/>
              </w:rPr>
              <w:t>During the exclusive use period, may only be sold under the brand CHR. HANSEN</w:t>
            </w:r>
            <w:r>
              <w:rPr>
                <w:rFonts w:cs="Arial"/>
                <w:sz w:val="18"/>
                <w:szCs w:val="18"/>
                <w:lang w:eastAsia="en-GB"/>
              </w:rPr>
              <w:t>™</w:t>
            </w:r>
            <w:r w:rsidRPr="00F1592D">
              <w:rPr>
                <w:rFonts w:cs="Arial"/>
                <w:sz w:val="18"/>
                <w:szCs w:val="18"/>
                <w:lang w:eastAsia="en-GB"/>
              </w:rPr>
              <w:t xml:space="preserve"> 2′-FL.</w:t>
            </w:r>
          </w:p>
          <w:p w14:paraId="5A044046" w14:textId="77777777" w:rsidR="00012475" w:rsidRPr="0034428B" w:rsidRDefault="00012475" w:rsidP="00E8122F">
            <w:pPr>
              <w:pStyle w:val="ListParagraph"/>
              <w:widowControl/>
              <w:numPr>
                <w:ilvl w:val="0"/>
                <w:numId w:val="44"/>
              </w:numPr>
              <w:spacing w:before="60" w:after="60"/>
              <w:ind w:left="289" w:right="34" w:hanging="283"/>
              <w:rPr>
                <w:rFonts w:cs="Arial"/>
                <w:sz w:val="18"/>
                <w:szCs w:val="18"/>
                <w:lang w:eastAsia="en-AU"/>
              </w:rPr>
            </w:pPr>
            <w:r w:rsidRPr="0034428B">
              <w:rPr>
                <w:sz w:val="18"/>
                <w:szCs w:val="18"/>
                <w:lang w:eastAsia="en-GB"/>
              </w:rPr>
              <w:t xml:space="preserve">For the purposes of condition 2 above, </w:t>
            </w:r>
            <w:r w:rsidRPr="0034428B">
              <w:rPr>
                <w:b/>
                <w:sz w:val="18"/>
                <w:szCs w:val="18"/>
                <w:lang w:eastAsia="en-GB"/>
              </w:rPr>
              <w:t>exclusive use period</w:t>
            </w:r>
            <w:r w:rsidRPr="0034428B">
              <w:rPr>
                <w:sz w:val="18"/>
                <w:szCs w:val="18"/>
                <w:lang w:eastAsia="en-GB"/>
              </w:rPr>
              <w:t xml:space="preserve"> means the period commencing on the date of gazettal of the </w:t>
            </w:r>
            <w:r w:rsidRPr="0034428B">
              <w:rPr>
                <w:i/>
                <w:sz w:val="18"/>
                <w:szCs w:val="18"/>
                <w:lang w:eastAsia="en-GB"/>
              </w:rPr>
              <w:t>Food Standards (Application A1190 – 2</w:t>
            </w:r>
            <w:r w:rsidRPr="00EC22F2">
              <w:rPr>
                <w:sz w:val="18"/>
              </w:rPr>
              <w:t>′</w:t>
            </w:r>
            <w:r w:rsidRPr="0034428B">
              <w:rPr>
                <w:i/>
                <w:sz w:val="18"/>
                <w:szCs w:val="18"/>
                <w:lang w:eastAsia="en-GB"/>
              </w:rPr>
              <w:t>-FL in infant formula and other products) Variation</w:t>
            </w:r>
            <w:r w:rsidRPr="0034428B">
              <w:rPr>
                <w:sz w:val="18"/>
                <w:szCs w:val="18"/>
                <w:lang w:eastAsia="en-GB"/>
              </w:rPr>
              <w:t xml:space="preserve"> and ending 15 months after that date</w:t>
            </w:r>
          </w:p>
        </w:tc>
      </w:tr>
    </w:tbl>
    <w:p w14:paraId="7D7BDC6B" w14:textId="77777777" w:rsidR="00012475" w:rsidRPr="000D7852" w:rsidRDefault="00012475" w:rsidP="00E8122F">
      <w:pPr>
        <w:pStyle w:val="FSCDraftingitem"/>
        <w:rPr>
          <w:rStyle w:val="CommentReference"/>
        </w:rPr>
      </w:pPr>
      <w:r>
        <w:rPr>
          <w:lang w:bidi="en-US"/>
        </w:rPr>
        <w:t>[3.2]</w:t>
      </w:r>
      <w:r>
        <w:rPr>
          <w:lang w:bidi="en-US"/>
        </w:rPr>
        <w:tab/>
        <w:t>omitting “</w:t>
      </w:r>
      <w:r w:rsidRPr="0068561C">
        <w:t>2′-</w:t>
      </w:r>
      <w:r>
        <w:t xml:space="preserve">O-fucosyllactose” </w:t>
      </w:r>
      <w:r>
        <w:rPr>
          <w:lang w:bidi="en-US"/>
        </w:rPr>
        <w:t>in item 2 in the table to subsection S</w:t>
      </w:r>
      <w:r>
        <w:t>26—3</w:t>
      </w:r>
      <w:r>
        <w:rPr>
          <w:lang w:bidi="en-US"/>
        </w:rPr>
        <w:t>(7)</w:t>
      </w:r>
      <w:r>
        <w:t>, substituting “2′</w:t>
      </w:r>
      <w:r w:rsidRPr="007B2F80">
        <w:t>-fucosyllactose</w:t>
      </w:r>
      <w:r>
        <w:t>”</w:t>
      </w:r>
    </w:p>
    <w:p w14:paraId="618C1567" w14:textId="1BD242DC" w:rsidR="00012475" w:rsidRPr="00B63989" w:rsidRDefault="00012475" w:rsidP="00E8122F">
      <w:pPr>
        <w:pStyle w:val="FSCDraftingitem"/>
      </w:pPr>
      <w:r w:rsidDel="00BF0AD7">
        <w:rPr>
          <w:rStyle w:val="CommentReference"/>
        </w:rPr>
        <w:t xml:space="preserve"> </w:t>
      </w:r>
      <w:r w:rsidRPr="00E41CE3">
        <w:rPr>
          <w:b/>
          <w:lang w:bidi="en-US"/>
        </w:rPr>
        <w:t>[</w:t>
      </w:r>
      <w:r>
        <w:rPr>
          <w:b/>
          <w:lang w:bidi="en-US"/>
        </w:rPr>
        <w:t>4</w:t>
      </w:r>
      <w:r w:rsidRPr="00E41CE3">
        <w:rPr>
          <w:b/>
          <w:lang w:bidi="en-US"/>
        </w:rPr>
        <w:t>]</w:t>
      </w:r>
      <w:r w:rsidRPr="00E41CE3">
        <w:rPr>
          <w:b/>
          <w:lang w:bidi="en-US"/>
        </w:rPr>
        <w:tab/>
        <w:t>Schedule 29</w:t>
      </w:r>
      <w:r>
        <w:rPr>
          <w:lang w:bidi="en-US"/>
        </w:rPr>
        <w:t xml:space="preserve"> is </w:t>
      </w:r>
      <w:r w:rsidRPr="00573CA7">
        <w:t>varied</w:t>
      </w:r>
      <w:r>
        <w:rPr>
          <w:lang w:bidi="en-US"/>
        </w:rPr>
        <w:t xml:space="preserve"> by omitting </w:t>
      </w:r>
      <w:r>
        <w:t>"</w:t>
      </w:r>
      <w:r w:rsidRPr="005C7DDE">
        <w:rPr>
          <w:lang w:bidi="en-US"/>
        </w:rPr>
        <w:t>2′-O-fucosyllactose” (wherever occurring)</w:t>
      </w:r>
      <w:r>
        <w:rPr>
          <w:lang w:bidi="en-US"/>
        </w:rPr>
        <w:t xml:space="preserve"> in the table to </w:t>
      </w:r>
      <w:r w:rsidRPr="00516601">
        <w:t>section 2.9.1—5</w:t>
      </w:r>
      <w:r w:rsidRPr="005C7DDE">
        <w:rPr>
          <w:lang w:bidi="en-US"/>
        </w:rPr>
        <w:t>, substituting “2′-fucosyllactose”</w:t>
      </w:r>
    </w:p>
    <w:p w14:paraId="60C9E69C" w14:textId="77777777" w:rsidR="00AF06FC" w:rsidRDefault="00AB0275" w:rsidP="00E8122F">
      <w:pPr>
        <w:widowControl/>
        <w:rPr>
          <w:lang w:val="en-AU" w:eastAsia="en-GB" w:bidi="ar-SA"/>
        </w:rPr>
      </w:pPr>
      <w:r w:rsidRPr="00932F14">
        <w:br w:type="page"/>
      </w:r>
    </w:p>
    <w:p w14:paraId="13F898EA" w14:textId="4154B1F9" w:rsidR="00212CA8" w:rsidRPr="00A34BBD" w:rsidRDefault="00212CA8" w:rsidP="00E8122F">
      <w:pPr>
        <w:pStyle w:val="Heading2"/>
        <w:widowControl/>
      </w:pPr>
      <w:bookmarkStart w:id="156" w:name="_Toc320631399"/>
      <w:bookmarkStart w:id="157" w:name="_Toc47362189"/>
      <w:bookmarkStart w:id="158" w:name="_Toc48142568"/>
      <w:bookmarkStart w:id="159" w:name="_Toc77338798"/>
      <w:bookmarkStart w:id="160" w:name="_Toc49425036"/>
      <w:r w:rsidRPr="00A34BBD">
        <w:lastRenderedPageBreak/>
        <w:t xml:space="preserve">Attachment B – </w:t>
      </w:r>
      <w:r w:rsidR="00D15427">
        <w:t xml:space="preserve">Draft </w:t>
      </w:r>
      <w:r w:rsidRPr="00A34BBD">
        <w:t>Explanatory Statement</w:t>
      </w:r>
      <w:bookmarkEnd w:id="156"/>
      <w:bookmarkEnd w:id="157"/>
      <w:bookmarkEnd w:id="158"/>
      <w:bookmarkEnd w:id="159"/>
      <w:r>
        <w:t xml:space="preserve"> </w:t>
      </w:r>
      <w:bookmarkEnd w:id="160"/>
    </w:p>
    <w:p w14:paraId="430EFDE8" w14:textId="77777777" w:rsidR="00AB0275" w:rsidRPr="000576EB" w:rsidRDefault="00AB0275" w:rsidP="00E8122F">
      <w:pPr>
        <w:widowControl/>
        <w:spacing w:before="240" w:after="120"/>
        <w:rPr>
          <w:b/>
          <w:lang w:val="en-AU" w:eastAsia="en-GB" w:bidi="ar-SA"/>
        </w:rPr>
      </w:pPr>
      <w:bookmarkStart w:id="161" w:name="_Toc14427216"/>
      <w:bookmarkStart w:id="162" w:name="_Toc11247924"/>
      <w:bookmarkStart w:id="163" w:name="_Toc425174951"/>
      <w:bookmarkStart w:id="164" w:name="_Toc22303688"/>
      <w:bookmarkStart w:id="165" w:name="_Toc22650351"/>
      <w:bookmarkEnd w:id="161"/>
      <w:bookmarkEnd w:id="162"/>
      <w:bookmarkEnd w:id="163"/>
      <w:bookmarkEnd w:id="164"/>
      <w:bookmarkEnd w:id="165"/>
      <w:r w:rsidRPr="000576EB">
        <w:rPr>
          <w:b/>
          <w:lang w:val="en-AU" w:eastAsia="en-GB" w:bidi="ar-SA"/>
        </w:rPr>
        <w:t>1.</w:t>
      </w:r>
      <w:r w:rsidRPr="000576EB">
        <w:rPr>
          <w:b/>
          <w:lang w:val="en-AU" w:eastAsia="en-GB" w:bidi="ar-SA"/>
        </w:rPr>
        <w:tab/>
        <w:t>Authority</w:t>
      </w:r>
    </w:p>
    <w:p w14:paraId="312F9043" w14:textId="77777777" w:rsidR="00AB0275" w:rsidRPr="00D13E34" w:rsidRDefault="00AB0275" w:rsidP="00E8122F">
      <w:pPr>
        <w:widowControl/>
        <w:autoSpaceDE w:val="0"/>
        <w:autoSpaceDN w:val="0"/>
        <w:adjustRightInd w:val="0"/>
        <w:jc w:val="both"/>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08BE3229" w14:textId="77777777" w:rsidR="00AB0275" w:rsidRPr="00D13E34" w:rsidRDefault="00AB0275" w:rsidP="00E8122F">
      <w:pPr>
        <w:widowControl/>
        <w:autoSpaceDE w:val="0"/>
        <w:autoSpaceDN w:val="0"/>
        <w:adjustRightInd w:val="0"/>
        <w:jc w:val="both"/>
        <w:rPr>
          <w:rFonts w:eastAsia="Calibri" w:cs="Arial"/>
          <w:bCs/>
          <w:szCs w:val="22"/>
          <w:lang w:val="en-AU" w:bidi="ar-SA"/>
        </w:rPr>
      </w:pPr>
    </w:p>
    <w:p w14:paraId="0396FDE1" w14:textId="77777777" w:rsidR="00AB0275" w:rsidRDefault="00AB0275" w:rsidP="00E8122F">
      <w:pPr>
        <w:widowControl/>
        <w:autoSpaceDE w:val="0"/>
        <w:autoSpaceDN w:val="0"/>
        <w:adjustRightInd w:val="0"/>
        <w:jc w:val="both"/>
        <w:rPr>
          <w:rFonts w:eastAsia="Calibri" w:cs="Arial"/>
          <w:szCs w:val="22"/>
          <w:lang w:val="en-AU" w:bidi="ar-SA"/>
        </w:rPr>
      </w:pPr>
      <w:r>
        <w:rPr>
          <w:rFonts w:eastAsia="Calibri" w:cs="Arial"/>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2964FF1" w14:textId="77777777" w:rsidR="00AB0275" w:rsidRDefault="00AB0275" w:rsidP="00E8122F">
      <w:pPr>
        <w:widowControl/>
        <w:autoSpaceDE w:val="0"/>
        <w:autoSpaceDN w:val="0"/>
        <w:adjustRightInd w:val="0"/>
        <w:jc w:val="both"/>
        <w:rPr>
          <w:rFonts w:eastAsia="Calibri" w:cs="Arial"/>
          <w:szCs w:val="22"/>
          <w:lang w:val="en-AU" w:bidi="ar-SA"/>
        </w:rPr>
      </w:pPr>
    </w:p>
    <w:p w14:paraId="1996926B" w14:textId="503B203A" w:rsidR="00212CA8" w:rsidRPr="00831AA1" w:rsidRDefault="0045496A" w:rsidP="00E8122F">
      <w:pPr>
        <w:widowControl/>
        <w:jc w:val="both"/>
        <w:rPr>
          <w:rFonts w:eastAsia="Calibri" w:cs="Arial"/>
          <w:bCs/>
          <w:szCs w:val="22"/>
          <w:lang w:val="en-AU" w:bidi="ar-SA"/>
        </w:rPr>
      </w:pPr>
      <w:r>
        <w:rPr>
          <w:rFonts w:eastAsia="Calibri" w:cs="Arial"/>
          <w:bCs/>
          <w:szCs w:val="22"/>
          <w:lang w:val="en-AU" w:bidi="ar-SA"/>
        </w:rPr>
        <w:t xml:space="preserve">The Authority </w:t>
      </w:r>
      <w:r w:rsidR="00212CA8">
        <w:rPr>
          <w:rFonts w:eastAsia="Calibri" w:cs="Arial"/>
          <w:bCs/>
          <w:szCs w:val="22"/>
          <w:lang w:val="en-AU" w:bidi="ar-SA"/>
        </w:rPr>
        <w:t xml:space="preserve">accepted application A1190 which sought to </w:t>
      </w:r>
      <w:r w:rsidR="00212CA8">
        <w:rPr>
          <w:szCs w:val="22"/>
        </w:rPr>
        <w:t>permit the voluntary addition of 2′-fucosyllactose (2′-FL)</w:t>
      </w:r>
      <w:r w:rsidR="00671455">
        <w:rPr>
          <w:szCs w:val="22"/>
        </w:rPr>
        <w:t xml:space="preserve"> from a new </w:t>
      </w:r>
      <w:r w:rsidR="00671455">
        <w:t>microbial source</w:t>
      </w:r>
      <w:r w:rsidR="00212CA8">
        <w:rPr>
          <w:szCs w:val="22"/>
        </w:rPr>
        <w:t xml:space="preserve">, </w:t>
      </w:r>
      <w:r w:rsidR="00671455">
        <w:rPr>
          <w:szCs w:val="22"/>
        </w:rPr>
        <w:t xml:space="preserve">as a nutritive substance, </w:t>
      </w:r>
      <w:r w:rsidR="00212CA8">
        <w:rPr>
          <w:szCs w:val="22"/>
        </w:rPr>
        <w:t>to infant formula products and formulated supplementary foods for young children (FSFYC).</w:t>
      </w:r>
      <w:r w:rsidR="00890BAF">
        <w:rPr>
          <w:szCs w:val="22"/>
        </w:rPr>
        <w:t xml:space="preserve"> </w:t>
      </w:r>
      <w:r w:rsidR="00212CA8" w:rsidRPr="00831AA1">
        <w:rPr>
          <w:rFonts w:eastAsia="Calibri" w:cs="Arial"/>
          <w:bCs/>
          <w:szCs w:val="22"/>
          <w:lang w:val="en-AU" w:bidi="ar-SA"/>
        </w:rPr>
        <w:t xml:space="preserve">The Authority considered the </w:t>
      </w:r>
      <w:r w:rsidR="00212CA8">
        <w:rPr>
          <w:rFonts w:eastAsia="Calibri" w:cs="Arial"/>
          <w:bCs/>
          <w:szCs w:val="22"/>
          <w:lang w:val="en-AU" w:bidi="ar-SA"/>
        </w:rPr>
        <w:t>a</w:t>
      </w:r>
      <w:r w:rsidR="00212CA8" w:rsidRPr="00831AA1">
        <w:rPr>
          <w:rFonts w:eastAsia="Calibri" w:cs="Arial"/>
          <w:bCs/>
          <w:szCs w:val="22"/>
          <w:lang w:val="en-AU" w:bidi="ar-SA"/>
        </w:rPr>
        <w:t xml:space="preserve">pplication in accordance with Division 1 of Part 3 and has prepared a draft </w:t>
      </w:r>
      <w:r w:rsidR="00212CA8">
        <w:rPr>
          <w:rFonts w:eastAsia="Calibri" w:cs="Arial"/>
          <w:bCs/>
          <w:szCs w:val="22"/>
          <w:lang w:val="en-AU" w:bidi="ar-SA"/>
        </w:rPr>
        <w:t>variation to the Code</w:t>
      </w:r>
      <w:r w:rsidR="00212CA8" w:rsidRPr="00831AA1">
        <w:rPr>
          <w:rFonts w:eastAsia="Calibri" w:cs="Arial"/>
          <w:bCs/>
          <w:szCs w:val="22"/>
          <w:lang w:val="en-AU" w:bidi="ar-SA"/>
        </w:rPr>
        <w:t xml:space="preserve">. </w:t>
      </w:r>
    </w:p>
    <w:p w14:paraId="0DE228D1" w14:textId="77777777" w:rsidR="00212CA8" w:rsidRDefault="00212CA8" w:rsidP="00E8122F">
      <w:pPr>
        <w:widowControl/>
        <w:spacing w:before="240" w:after="120"/>
        <w:rPr>
          <w:b/>
          <w:lang w:val="en-AU" w:eastAsia="en-GB" w:bidi="ar-SA"/>
        </w:rPr>
      </w:pPr>
      <w:r>
        <w:rPr>
          <w:b/>
          <w:lang w:val="en-AU" w:eastAsia="en-GB" w:bidi="ar-SA"/>
        </w:rPr>
        <w:t>2.</w:t>
      </w:r>
      <w:r>
        <w:rPr>
          <w:b/>
          <w:lang w:val="en-AU" w:eastAsia="en-GB" w:bidi="ar-SA"/>
        </w:rPr>
        <w:tab/>
        <w:t xml:space="preserve">Purpose </w:t>
      </w:r>
    </w:p>
    <w:p w14:paraId="38448E4D" w14:textId="77777777" w:rsidR="00212CA8" w:rsidRDefault="00212CA8" w:rsidP="00E8122F">
      <w:pPr>
        <w:widowControl/>
        <w:rPr>
          <w:lang w:val="en-AU" w:eastAsia="en-GB" w:bidi="ar-SA"/>
        </w:rPr>
      </w:pPr>
      <w:r>
        <w:rPr>
          <w:lang w:val="en-AU" w:eastAsia="en-GB" w:bidi="ar-SA"/>
        </w:rPr>
        <w:t>The Authority has prepared a draft variation to the Code to:</w:t>
      </w:r>
      <w:r>
        <w:rPr>
          <w:lang w:val="en-AU" w:eastAsia="en-GB" w:bidi="ar-SA"/>
        </w:rPr>
        <w:br/>
      </w:r>
    </w:p>
    <w:p w14:paraId="3913F88A" w14:textId="30321C6A" w:rsidR="00212CA8" w:rsidRDefault="00224B3E" w:rsidP="00E8122F">
      <w:pPr>
        <w:pStyle w:val="FSBullet1"/>
        <w:numPr>
          <w:ilvl w:val="0"/>
          <w:numId w:val="10"/>
        </w:numPr>
        <w:ind w:left="567" w:hanging="567"/>
        <w:jc w:val="both"/>
      </w:pPr>
      <w:r>
        <w:t xml:space="preserve">amend </w:t>
      </w:r>
      <w:r w:rsidR="00212CA8">
        <w:t xml:space="preserve">Schedule 26 to permit </w:t>
      </w:r>
      <w:r w:rsidR="00073CF9">
        <w:t xml:space="preserve">the addition of </w:t>
      </w:r>
      <w:r w:rsidR="00212CA8">
        <w:t xml:space="preserve">2′-FL derived from a </w:t>
      </w:r>
      <w:r w:rsidR="00671455">
        <w:t xml:space="preserve">new </w:t>
      </w:r>
      <w:r w:rsidR="00212CA8">
        <w:t xml:space="preserve">microbial source </w:t>
      </w:r>
      <w:r w:rsidR="00671455">
        <w:t xml:space="preserve"> </w:t>
      </w:r>
      <w:r w:rsidR="00212CA8">
        <w:t>in infant formula products</w:t>
      </w:r>
      <w:r>
        <w:t xml:space="preserve"> subject to certain conditions, including</w:t>
      </w:r>
      <w:r w:rsidR="00212CA8">
        <w:t xml:space="preserve"> an exclusive use period of 15 months for the applicant’s brand of 2′-FL</w:t>
      </w:r>
      <w:r>
        <w:t>; and</w:t>
      </w:r>
    </w:p>
    <w:p w14:paraId="7D1A4936" w14:textId="2F70C636" w:rsidR="00212CA8" w:rsidRDefault="00224B3E" w:rsidP="00E8122F">
      <w:pPr>
        <w:pStyle w:val="FSBullet1"/>
        <w:numPr>
          <w:ilvl w:val="0"/>
          <w:numId w:val="10"/>
        </w:numPr>
        <w:ind w:left="567" w:hanging="567"/>
        <w:jc w:val="both"/>
        <w:rPr>
          <w:szCs w:val="22"/>
        </w:rPr>
      </w:pPr>
      <w:r>
        <w:rPr>
          <w:szCs w:val="22"/>
        </w:rPr>
        <w:t xml:space="preserve">insert </w:t>
      </w:r>
      <w:r w:rsidR="00212CA8">
        <w:rPr>
          <w:szCs w:val="22"/>
        </w:rPr>
        <w:t>prescribed specification</w:t>
      </w:r>
      <w:r>
        <w:rPr>
          <w:szCs w:val="22"/>
        </w:rPr>
        <w:t>s</w:t>
      </w:r>
      <w:r w:rsidR="00212CA8">
        <w:rPr>
          <w:szCs w:val="22"/>
        </w:rPr>
        <w:t xml:space="preserve"> for </w:t>
      </w:r>
      <w:r w:rsidR="00671455">
        <w:rPr>
          <w:szCs w:val="22"/>
        </w:rPr>
        <w:t xml:space="preserve">this </w:t>
      </w:r>
      <w:r w:rsidR="00212CA8">
        <w:rPr>
          <w:szCs w:val="22"/>
        </w:rPr>
        <w:t>2′-FL into Schedule 3.</w:t>
      </w:r>
    </w:p>
    <w:p w14:paraId="44155438" w14:textId="33E9AF81" w:rsidR="00224B3E" w:rsidRDefault="00224B3E" w:rsidP="00E8122F">
      <w:pPr>
        <w:widowControl/>
        <w:jc w:val="both"/>
        <w:rPr>
          <w:szCs w:val="22"/>
        </w:rPr>
      </w:pPr>
    </w:p>
    <w:p w14:paraId="26FEACB9" w14:textId="1E75E06D" w:rsidR="00224B3E" w:rsidRPr="00224B3E" w:rsidRDefault="00224B3E" w:rsidP="00E8122F">
      <w:pPr>
        <w:widowControl/>
        <w:jc w:val="both"/>
        <w:rPr>
          <w:lang w:bidi="ar-SA"/>
        </w:rPr>
      </w:pPr>
      <w:r>
        <w:rPr>
          <w:szCs w:val="22"/>
        </w:rPr>
        <w:t>The draft variation includes consequential amendments to the Code as a result of the above amendments.</w:t>
      </w:r>
    </w:p>
    <w:p w14:paraId="2CE4894F" w14:textId="77777777" w:rsidR="00212CA8" w:rsidRDefault="00212CA8" w:rsidP="00E8122F">
      <w:pPr>
        <w:widowControl/>
        <w:spacing w:before="240" w:after="120"/>
        <w:jc w:val="both"/>
        <w:rPr>
          <w:b/>
          <w:lang w:val="en-AU" w:eastAsia="en-GB" w:bidi="ar-SA"/>
        </w:rPr>
      </w:pPr>
      <w:r>
        <w:rPr>
          <w:b/>
          <w:lang w:val="en-AU" w:eastAsia="en-GB" w:bidi="ar-SA"/>
        </w:rPr>
        <w:t>3.</w:t>
      </w:r>
      <w:r>
        <w:rPr>
          <w:b/>
          <w:lang w:val="en-AU" w:eastAsia="en-GB" w:bidi="ar-SA"/>
        </w:rPr>
        <w:tab/>
        <w:t>Documents incorporated by reference</w:t>
      </w:r>
    </w:p>
    <w:p w14:paraId="56746ABF" w14:textId="44E6AEF7" w:rsidR="00AB0275" w:rsidRDefault="00AB0275" w:rsidP="00E8122F">
      <w:pPr>
        <w:widowControl/>
        <w:autoSpaceDE w:val="0"/>
        <w:autoSpaceDN w:val="0"/>
        <w:adjustRightInd w:val="0"/>
        <w:jc w:val="both"/>
        <w:rPr>
          <w:rFonts w:eastAsia="Calibri" w:cs="Arial"/>
          <w:bCs/>
          <w:szCs w:val="22"/>
          <w:lang w:val="en-AU" w:bidi="ar-SA"/>
        </w:rPr>
      </w:pPr>
      <w:r w:rsidRPr="00D13E34">
        <w:rPr>
          <w:rFonts w:eastAsia="Calibri" w:cs="Arial"/>
          <w:bCs/>
          <w:szCs w:val="22"/>
          <w:lang w:val="en-AU" w:bidi="ar-SA"/>
        </w:rPr>
        <w:t xml:space="preserve">The </w:t>
      </w:r>
      <w:r w:rsidR="00224B3E">
        <w:rPr>
          <w:rFonts w:eastAsia="Calibri" w:cs="Arial"/>
          <w:bCs/>
          <w:szCs w:val="22"/>
          <w:lang w:val="en-AU" w:bidi="ar-SA"/>
        </w:rPr>
        <w:t xml:space="preserve">draft </w:t>
      </w:r>
      <w:r w:rsidRPr="00D13E34">
        <w:rPr>
          <w:rFonts w:eastAsia="Calibri" w:cs="Arial"/>
          <w:bCs/>
          <w:szCs w:val="22"/>
          <w:lang w:val="en-AU" w:bidi="ar-SA"/>
        </w:rPr>
        <w:t xml:space="preserve">variation </w:t>
      </w:r>
      <w:r w:rsidR="00224B3E">
        <w:rPr>
          <w:rFonts w:eastAsia="Calibri" w:cs="Arial"/>
          <w:bCs/>
          <w:szCs w:val="22"/>
          <w:lang w:val="en-AU" w:bidi="ar-SA"/>
        </w:rPr>
        <w:t>prepared by the Auth</w:t>
      </w:r>
      <w:r w:rsidR="00556DC0">
        <w:rPr>
          <w:rFonts w:eastAsia="Calibri" w:cs="Arial"/>
          <w:bCs/>
          <w:szCs w:val="22"/>
          <w:lang w:val="en-AU" w:bidi="ar-SA"/>
        </w:rPr>
        <w:t>o</w:t>
      </w:r>
      <w:r w:rsidR="00224B3E">
        <w:rPr>
          <w:rFonts w:eastAsia="Calibri" w:cs="Arial"/>
          <w:bCs/>
          <w:szCs w:val="22"/>
          <w:lang w:val="en-AU" w:bidi="ar-SA"/>
        </w:rPr>
        <w:t xml:space="preserve">rity </w:t>
      </w:r>
      <w:r w:rsidRPr="00D13E34">
        <w:rPr>
          <w:rFonts w:eastAsia="Calibri" w:cs="Arial"/>
          <w:bCs/>
          <w:szCs w:val="22"/>
          <w:lang w:val="en-AU" w:bidi="ar-SA"/>
        </w:rPr>
        <w:t>do</w:t>
      </w:r>
      <w:r w:rsidR="00224B3E">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0DD13A7B" w14:textId="0BD12367" w:rsidR="00224B3E" w:rsidRDefault="00224B3E" w:rsidP="00E8122F">
      <w:pPr>
        <w:widowControl/>
        <w:autoSpaceDE w:val="0"/>
        <w:autoSpaceDN w:val="0"/>
        <w:adjustRightInd w:val="0"/>
        <w:jc w:val="both"/>
        <w:rPr>
          <w:rFonts w:eastAsia="Calibri" w:cs="Arial"/>
          <w:bCs/>
          <w:szCs w:val="22"/>
          <w:lang w:val="en-AU" w:bidi="ar-SA"/>
        </w:rPr>
      </w:pPr>
    </w:p>
    <w:p w14:paraId="7147EFFF" w14:textId="28B084BC" w:rsidR="00224B3E" w:rsidRPr="00D13E34" w:rsidRDefault="00224B3E" w:rsidP="00E8122F">
      <w:pPr>
        <w:widowControl/>
        <w:autoSpaceDE w:val="0"/>
        <w:autoSpaceDN w:val="0"/>
        <w:adjustRightInd w:val="0"/>
        <w:jc w:val="both"/>
        <w:rPr>
          <w:rFonts w:eastAsia="Calibri" w:cs="Arial"/>
          <w:bCs/>
          <w:szCs w:val="22"/>
          <w:lang w:val="en-AU" w:bidi="ar-SA"/>
        </w:rPr>
      </w:pPr>
      <w:r w:rsidRPr="00224B3E">
        <w:rPr>
          <w:rFonts w:eastAsia="Calibri" w:cs="Arial"/>
          <w:bCs/>
          <w:szCs w:val="22"/>
          <w:lang w:val="en-AU" w:bidi="ar-SA"/>
        </w:rPr>
        <w:t xml:space="preserve">However, the </w:t>
      </w:r>
      <w:r w:rsidR="00556DC0">
        <w:rPr>
          <w:rFonts w:eastAsia="Calibri" w:cs="Arial"/>
          <w:bCs/>
          <w:szCs w:val="22"/>
          <w:lang w:val="en-AU" w:bidi="ar-SA"/>
        </w:rPr>
        <w:t>draft variation</w:t>
      </w:r>
      <w:r w:rsidRPr="00224B3E">
        <w:rPr>
          <w:rFonts w:eastAsia="Calibri" w:cs="Arial"/>
          <w:bCs/>
          <w:szCs w:val="22"/>
          <w:lang w:val="en-AU" w:bidi="ar-SA"/>
        </w:rPr>
        <w:t xml:space="preserve"> will vary Schedule 3 of the Code which does incorporate documents by reference. Section 1.1.1—15 of the Code requires certain substances </w:t>
      </w:r>
      <w:r w:rsidR="00FD0817">
        <w:rPr>
          <w:rFonts w:eastAsia="Calibri" w:cs="Arial"/>
          <w:bCs/>
          <w:szCs w:val="22"/>
          <w:lang w:val="en-AU" w:bidi="ar-SA"/>
        </w:rPr>
        <w:t xml:space="preserve">(such as substances used a s nutritive substances) </w:t>
      </w:r>
      <w:r w:rsidRPr="00224B3E">
        <w:rPr>
          <w:rFonts w:eastAsia="Calibri" w:cs="Arial"/>
          <w:bCs/>
          <w:szCs w:val="22"/>
          <w:lang w:val="en-AU" w:bidi="ar-SA"/>
        </w:rPr>
        <w:t>to comply with any relevant identity and purity specifications listed in Schedule 3.  Schedule 3 incorporates documents by reference to set specifications for various substances in the circumstances specified in that Schedule.  The documents incorporated include: the Joint FAO/WHO Expert Committee on Food Additives (JECFA) Compendium of Food Additive Specifications (FAO/WHO 2017); the United States Pharmacopeial Convention (2018) Food Chemicals Codex (11th edition); and the Commission Regulation (EU) No 231/2012.</w:t>
      </w:r>
    </w:p>
    <w:p w14:paraId="4B30136D" w14:textId="77777777" w:rsidR="00212CA8" w:rsidRDefault="00212CA8" w:rsidP="00E8122F">
      <w:pPr>
        <w:widowControl/>
        <w:spacing w:before="240" w:after="120"/>
        <w:rPr>
          <w:b/>
          <w:lang w:val="en-AU" w:eastAsia="en-GB" w:bidi="ar-SA"/>
        </w:rPr>
      </w:pPr>
      <w:r>
        <w:rPr>
          <w:b/>
          <w:lang w:val="en-AU" w:eastAsia="en-GB" w:bidi="ar-SA"/>
        </w:rPr>
        <w:t>4.</w:t>
      </w:r>
      <w:r>
        <w:rPr>
          <w:b/>
          <w:lang w:val="en-AU" w:eastAsia="en-GB" w:bidi="ar-SA"/>
        </w:rPr>
        <w:tab/>
        <w:t>Consultation</w:t>
      </w:r>
    </w:p>
    <w:p w14:paraId="655CDC3E" w14:textId="580B7F97" w:rsidR="00212CA8" w:rsidRDefault="00212CA8" w:rsidP="00E8122F">
      <w:pPr>
        <w:widowControl/>
        <w:jc w:val="both"/>
        <w:rPr>
          <w:rFonts w:eastAsia="Calibri" w:cs="Arial"/>
          <w:bCs/>
          <w:szCs w:val="22"/>
          <w:lang w:val="en-AU" w:bidi="ar-SA"/>
        </w:rPr>
      </w:pPr>
      <w:r>
        <w:rPr>
          <w:szCs w:val="22"/>
        </w:rPr>
        <w:t xml:space="preserve">In accordance with the procedure in Division 1 of Part 3 of the FSANZ Act, </w:t>
      </w:r>
      <w:r>
        <w:rPr>
          <w:rFonts w:eastAsia="Calibri" w:cs="Arial"/>
          <w:bCs/>
          <w:szCs w:val="22"/>
          <w:lang w:val="en-AU" w:bidi="ar-SA"/>
        </w:rPr>
        <w:t>the Authority</w:t>
      </w:r>
      <w:r>
        <w:rPr>
          <w:szCs w:val="22"/>
        </w:rPr>
        <w:t xml:space="preserve">’s consideration of application A1190 will include one round of public comment following an assessment and the preparation of a draft variation and associated assessment summaries. </w:t>
      </w:r>
    </w:p>
    <w:p w14:paraId="109D4D34" w14:textId="77777777" w:rsidR="0045496A" w:rsidRDefault="00C16F80" w:rsidP="00E8122F">
      <w:pPr>
        <w:widowControl/>
        <w:spacing w:before="240" w:after="120"/>
        <w:jc w:val="both"/>
        <w:rPr>
          <w:rFonts w:eastAsia="Calibri" w:cs="Arial"/>
          <w:bCs/>
          <w:szCs w:val="22"/>
          <w:lang w:val="en-AU" w:bidi="ar-SA"/>
        </w:rPr>
      </w:pPr>
      <w:r>
        <w:lastRenderedPageBreak/>
        <w:t>A Regulation Impact Statement (RIS) was not required because the Office of Best Practice Regulation (OBPR) granted FSANZ a standing exemption, p</w:t>
      </w:r>
      <w:r w:rsidR="00E82BB2">
        <w:t xml:space="preserve">ermitting </w:t>
      </w:r>
      <w:r>
        <w:t>the voluntary use of genetically modified food (OBPR correspondence dated 24 November 2010, reference 12065), and the voluntary addition of nutritive substances to foods (OBPR correspondence dated 16 April 2013, reference 14943).</w:t>
      </w:r>
      <w:r w:rsidDel="00C16F80">
        <w:rPr>
          <w:rFonts w:eastAsia="Calibri" w:cs="Arial"/>
          <w:bCs/>
          <w:szCs w:val="22"/>
          <w:lang w:val="en-AU" w:bidi="ar-SA"/>
        </w:rPr>
        <w:t xml:space="preserve"> </w:t>
      </w:r>
    </w:p>
    <w:p w14:paraId="3C79A53A" w14:textId="33FA733A" w:rsidR="00AB0275" w:rsidRPr="006E5C76" w:rsidRDefault="00AB0275" w:rsidP="00E8122F">
      <w:pPr>
        <w:widowControl/>
        <w:spacing w:before="240" w:after="120"/>
        <w:jc w:val="both"/>
        <w:rPr>
          <w:rFonts w:eastAsiaTheme="minorHAnsi"/>
          <w:b/>
          <w:lang w:val="en-AU" w:eastAsia="en-GB" w:bidi="ar-SA"/>
        </w:rPr>
      </w:pPr>
      <w:r w:rsidRPr="006E5C76">
        <w:rPr>
          <w:rFonts w:eastAsiaTheme="minorHAnsi"/>
          <w:b/>
          <w:lang w:val="en-AU" w:eastAsia="en-GB" w:bidi="ar-SA"/>
        </w:rPr>
        <w:t>5.</w:t>
      </w:r>
      <w:r w:rsidRPr="006E5C76">
        <w:rPr>
          <w:rFonts w:eastAsiaTheme="minorHAnsi"/>
          <w:b/>
          <w:lang w:val="en-AU" w:eastAsia="en-GB" w:bidi="ar-SA"/>
        </w:rPr>
        <w:tab/>
        <w:t>Statement of compatibility with human rights</w:t>
      </w:r>
    </w:p>
    <w:p w14:paraId="21C47B3D" w14:textId="77777777" w:rsidR="00AB0275" w:rsidRDefault="00AB0275" w:rsidP="00E8122F">
      <w:pPr>
        <w:widowControl/>
        <w:jc w:val="both"/>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09B89A1F" w14:textId="77777777" w:rsidR="00212CA8" w:rsidRDefault="00212CA8" w:rsidP="00E8122F">
      <w:pPr>
        <w:widowControl/>
        <w:spacing w:before="240" w:after="120"/>
        <w:jc w:val="both"/>
        <w:rPr>
          <w:b/>
          <w:lang w:val="en-AU" w:eastAsia="en-GB" w:bidi="ar-SA"/>
        </w:rPr>
      </w:pPr>
      <w:r w:rsidRPr="006E5C76">
        <w:rPr>
          <w:b/>
          <w:lang w:val="en-AU" w:eastAsia="en-GB" w:bidi="ar-SA"/>
        </w:rPr>
        <w:t>6.</w:t>
      </w:r>
      <w:r w:rsidRPr="006E5C76">
        <w:rPr>
          <w:b/>
          <w:lang w:val="en-AU" w:eastAsia="en-GB" w:bidi="ar-SA"/>
        </w:rPr>
        <w:tab/>
      </w:r>
      <w:r>
        <w:rPr>
          <w:b/>
          <w:lang w:val="en-AU" w:eastAsia="en-GB" w:bidi="ar-SA"/>
        </w:rPr>
        <w:t>Variation</w:t>
      </w:r>
    </w:p>
    <w:p w14:paraId="3B0D6061" w14:textId="7328052E" w:rsidR="00284DCC" w:rsidRPr="00284DCC" w:rsidRDefault="00284DCC" w:rsidP="00E8122F">
      <w:pPr>
        <w:widowControl/>
        <w:spacing w:before="240" w:after="120"/>
        <w:jc w:val="both"/>
      </w:pPr>
      <w:r w:rsidRPr="00284DCC">
        <w:t xml:space="preserve">The </w:t>
      </w:r>
      <w:r w:rsidR="008E6FB3">
        <w:t xml:space="preserve">proposed </w:t>
      </w:r>
      <w:r w:rsidRPr="00284DCC">
        <w:t>amendments in the Schedule</w:t>
      </w:r>
      <w:r w:rsidR="008E6FB3">
        <w:t xml:space="preserve"> would</w:t>
      </w:r>
      <w:r w:rsidRPr="00284DCC">
        <w:t xml:space="preserve"> take effect in nume</w:t>
      </w:r>
      <w:r w:rsidR="004C7359">
        <w:t>rical order i.e. according to item and sub-item numbers.</w:t>
      </w:r>
    </w:p>
    <w:p w14:paraId="09FD4B44" w14:textId="2F7F2078" w:rsidR="00212CA8" w:rsidRPr="00CA75C3" w:rsidRDefault="00212CA8" w:rsidP="00E8122F">
      <w:pPr>
        <w:widowControl/>
        <w:spacing w:before="240" w:after="120"/>
        <w:jc w:val="both"/>
        <w:rPr>
          <w:b/>
        </w:rPr>
      </w:pPr>
      <w:r w:rsidRPr="00CA75C3">
        <w:rPr>
          <w:b/>
        </w:rPr>
        <w:t xml:space="preserve">Item [1] </w:t>
      </w:r>
    </w:p>
    <w:p w14:paraId="2220A7FC" w14:textId="636485CD" w:rsidR="006367FF" w:rsidRDefault="005521B0" w:rsidP="00E8122F">
      <w:pPr>
        <w:widowControl/>
        <w:jc w:val="both"/>
      </w:pPr>
      <w:r w:rsidRPr="00CA75C3">
        <w:rPr>
          <w:b/>
        </w:rPr>
        <w:t>Item [1]</w:t>
      </w:r>
      <w:r w:rsidR="00212CA8">
        <w:rPr>
          <w:i/>
        </w:rPr>
        <w:t xml:space="preserve"> </w:t>
      </w:r>
      <w:r w:rsidR="0006007C">
        <w:t>would vary</w:t>
      </w:r>
      <w:r w:rsidR="00212CA8">
        <w:t xml:space="preserve"> Standard 2.9.1 by omitting </w:t>
      </w:r>
      <w:r w:rsidR="00D40AAB">
        <w:t xml:space="preserve">references to </w:t>
      </w:r>
      <w:r w:rsidR="007B5CD4">
        <w:t>‘</w:t>
      </w:r>
      <w:r w:rsidRPr="005C7DDE">
        <w:t>2′-O-fucosyllactose</w:t>
      </w:r>
      <w:r w:rsidR="007B5CD4">
        <w:t>’</w:t>
      </w:r>
      <w:r w:rsidR="007B5CD4" w:rsidRPr="005C7DDE">
        <w:t xml:space="preserve"> </w:t>
      </w:r>
      <w:r w:rsidRPr="005C7DDE">
        <w:t>wherever occurring</w:t>
      </w:r>
      <w:r>
        <w:t xml:space="preserve"> in sub</w:t>
      </w:r>
      <w:r w:rsidRPr="00C56562">
        <w:t xml:space="preserve">section </w:t>
      </w:r>
      <w:r>
        <w:t>2.9.1—7(2)</w:t>
      </w:r>
      <w:r w:rsidRPr="005C7DDE">
        <w:t xml:space="preserve">, </w:t>
      </w:r>
      <w:r w:rsidR="00854CB2">
        <w:t xml:space="preserve">and </w:t>
      </w:r>
      <w:r w:rsidRPr="005C7DDE">
        <w:t xml:space="preserve">substituting </w:t>
      </w:r>
      <w:r w:rsidR="00D40AAB">
        <w:t xml:space="preserve">them </w:t>
      </w:r>
      <w:r w:rsidR="00520EA0">
        <w:t xml:space="preserve">with </w:t>
      </w:r>
      <w:r w:rsidR="00D40AAB">
        <w:t xml:space="preserve">references to </w:t>
      </w:r>
      <w:r w:rsidR="007B5CD4">
        <w:t>‘</w:t>
      </w:r>
      <w:r w:rsidRPr="005C7DDE">
        <w:t>2′-fucosyllactose</w:t>
      </w:r>
      <w:r w:rsidR="007B5CD4">
        <w:t>’</w:t>
      </w:r>
      <w:r w:rsidR="00D40AAB">
        <w:t>. The revised reference reflects the pr</w:t>
      </w:r>
      <w:r>
        <w:t>eferred substance name for all permitted 2′-FL</w:t>
      </w:r>
      <w:r w:rsidR="00716928">
        <w:t xml:space="preserve"> in the Code</w:t>
      </w:r>
      <w:r>
        <w:t>.</w:t>
      </w:r>
      <w:r w:rsidR="006367FF">
        <w:t xml:space="preserve"> </w:t>
      </w:r>
    </w:p>
    <w:p w14:paraId="114119BA" w14:textId="77777777" w:rsidR="006367FF" w:rsidRDefault="006367FF" w:rsidP="00E8122F">
      <w:pPr>
        <w:widowControl/>
        <w:jc w:val="both"/>
      </w:pPr>
    </w:p>
    <w:p w14:paraId="25D1A981" w14:textId="1E1785C6" w:rsidR="00212CA8" w:rsidRDefault="006367FF" w:rsidP="00E8122F">
      <w:pPr>
        <w:widowControl/>
      </w:pPr>
      <w:r>
        <w:t xml:space="preserve">This proposed amendment is a consequence of the proposed amendments in </w:t>
      </w:r>
      <w:r w:rsidRPr="002562EF">
        <w:rPr>
          <w:b/>
        </w:rPr>
        <w:t>items [2]</w:t>
      </w:r>
      <w:r>
        <w:t xml:space="preserve"> and </w:t>
      </w:r>
      <w:r w:rsidRPr="002562EF">
        <w:rPr>
          <w:b/>
        </w:rPr>
        <w:t>[3]</w:t>
      </w:r>
      <w:r>
        <w:t xml:space="preserve"> below.</w:t>
      </w:r>
    </w:p>
    <w:p w14:paraId="4DB64195" w14:textId="5BE37AF5" w:rsidR="00212CA8" w:rsidRDefault="00212CA8" w:rsidP="00E8122F">
      <w:pPr>
        <w:widowControl/>
        <w:spacing w:before="240" w:after="120"/>
        <w:rPr>
          <w:b/>
        </w:rPr>
      </w:pPr>
      <w:r w:rsidRPr="00CA75C3">
        <w:rPr>
          <w:b/>
        </w:rPr>
        <w:t xml:space="preserve">Item [2] </w:t>
      </w:r>
    </w:p>
    <w:p w14:paraId="30663931" w14:textId="77777777" w:rsidR="00FD0817" w:rsidRDefault="00A70DE5" w:rsidP="00E8122F">
      <w:pPr>
        <w:widowControl/>
        <w:spacing w:before="240" w:after="120"/>
        <w:jc w:val="both"/>
      </w:pPr>
      <w:r w:rsidRPr="00A70DE5">
        <w:rPr>
          <w:b/>
        </w:rPr>
        <w:t>Item [2]</w:t>
      </w:r>
      <w:r w:rsidRPr="00CA75C3">
        <w:t xml:space="preserve"> sets out the following </w:t>
      </w:r>
      <w:r>
        <w:t xml:space="preserve">proposed </w:t>
      </w:r>
      <w:r w:rsidRPr="00CA75C3">
        <w:t>amendm</w:t>
      </w:r>
      <w:r>
        <w:t>en</w:t>
      </w:r>
      <w:r w:rsidRPr="00CA75C3">
        <w:t>ts to Schedule 3.</w:t>
      </w:r>
      <w:r w:rsidR="00FD0817">
        <w:t xml:space="preserve"> </w:t>
      </w:r>
    </w:p>
    <w:p w14:paraId="40F0E5B1" w14:textId="6555E1F1" w:rsidR="00A70DE5" w:rsidRPr="00CA75C3" w:rsidRDefault="00FD0817" w:rsidP="00E8122F">
      <w:pPr>
        <w:widowControl/>
        <w:spacing w:before="240" w:after="120"/>
        <w:jc w:val="both"/>
      </w:pPr>
      <w:r w:rsidRPr="00224B3E">
        <w:rPr>
          <w:rFonts w:eastAsia="Calibri" w:cs="Arial"/>
          <w:bCs/>
          <w:szCs w:val="22"/>
          <w:lang w:val="en-AU" w:bidi="ar-SA"/>
        </w:rPr>
        <w:t>S</w:t>
      </w:r>
      <w:r w:rsidR="005D7311">
        <w:rPr>
          <w:rFonts w:eastAsia="Calibri" w:cs="Arial"/>
          <w:bCs/>
          <w:szCs w:val="22"/>
          <w:lang w:val="en-AU" w:bidi="ar-SA"/>
        </w:rPr>
        <w:t>chedule 3 contains specifications for the purposes of s</w:t>
      </w:r>
      <w:r w:rsidRPr="00224B3E">
        <w:rPr>
          <w:rFonts w:eastAsia="Calibri" w:cs="Arial"/>
          <w:bCs/>
          <w:szCs w:val="22"/>
          <w:lang w:val="en-AU" w:bidi="ar-SA"/>
        </w:rPr>
        <w:t>ection 1.1.1—15 of the Code</w:t>
      </w:r>
      <w:r w:rsidR="005D7311">
        <w:rPr>
          <w:rFonts w:eastAsia="Calibri" w:cs="Arial"/>
          <w:bCs/>
          <w:szCs w:val="22"/>
          <w:lang w:val="en-AU" w:bidi="ar-SA"/>
        </w:rPr>
        <w:t>. S</w:t>
      </w:r>
      <w:r w:rsidR="005D7311" w:rsidRPr="00224B3E">
        <w:rPr>
          <w:rFonts w:eastAsia="Calibri" w:cs="Arial"/>
          <w:bCs/>
          <w:szCs w:val="22"/>
          <w:lang w:val="en-AU" w:bidi="ar-SA"/>
        </w:rPr>
        <w:t xml:space="preserve">ection 1.1.1—15 </w:t>
      </w:r>
      <w:r w:rsidRPr="00224B3E">
        <w:rPr>
          <w:rFonts w:eastAsia="Calibri" w:cs="Arial"/>
          <w:bCs/>
          <w:szCs w:val="22"/>
          <w:lang w:val="en-AU" w:bidi="ar-SA"/>
        </w:rPr>
        <w:t xml:space="preserve"> requires certain substances</w:t>
      </w:r>
      <w:r>
        <w:rPr>
          <w:rFonts w:eastAsia="Calibri" w:cs="Arial"/>
          <w:bCs/>
          <w:szCs w:val="22"/>
          <w:lang w:val="en-AU" w:bidi="ar-SA"/>
        </w:rPr>
        <w:t>, e.g. substances used as nutritive substances,</w:t>
      </w:r>
      <w:r w:rsidRPr="00224B3E">
        <w:rPr>
          <w:rFonts w:eastAsia="Calibri" w:cs="Arial"/>
          <w:bCs/>
          <w:szCs w:val="22"/>
          <w:lang w:val="en-AU" w:bidi="ar-SA"/>
        </w:rPr>
        <w:t xml:space="preserve"> to comply with any relevant identity and purity specifications listed in Schedule 3. </w:t>
      </w:r>
      <w:r w:rsidR="005D7311">
        <w:rPr>
          <w:rFonts w:eastAsia="Calibri" w:cs="Arial"/>
          <w:bCs/>
          <w:szCs w:val="22"/>
          <w:lang w:val="en-AU" w:bidi="ar-SA"/>
        </w:rPr>
        <w:t xml:space="preserve">Specifications include those set out in provisions which are listed in the table to </w:t>
      </w:r>
      <w:r w:rsidR="005D7311" w:rsidRPr="00C56562">
        <w:t>subsection S3—2(2)</w:t>
      </w:r>
      <w:r w:rsidR="005D7311">
        <w:rPr>
          <w:rFonts w:eastAsia="Calibri" w:cs="Arial"/>
          <w:bCs/>
          <w:szCs w:val="22"/>
          <w:lang w:val="en-AU" w:bidi="ar-SA"/>
        </w:rPr>
        <w:t xml:space="preserve"> (see paragraph S3—2(1)(a)). </w:t>
      </w:r>
      <w:r w:rsidRPr="00224B3E">
        <w:rPr>
          <w:rFonts w:eastAsia="Calibri" w:cs="Arial"/>
          <w:bCs/>
          <w:szCs w:val="22"/>
          <w:lang w:val="en-AU" w:bidi="ar-SA"/>
        </w:rPr>
        <w:t xml:space="preserve"> </w:t>
      </w:r>
    </w:p>
    <w:p w14:paraId="57BA46AD" w14:textId="33D083A6" w:rsidR="00094510" w:rsidRDefault="00C22596" w:rsidP="00E8122F">
      <w:pPr>
        <w:widowControl/>
        <w:jc w:val="both"/>
      </w:pPr>
      <w:r>
        <w:t xml:space="preserve">Sub-item </w:t>
      </w:r>
      <w:r w:rsidR="00212CA8">
        <w:t>[2.1</w:t>
      </w:r>
      <w:r w:rsidR="00411F4C">
        <w:t>]</w:t>
      </w:r>
      <w:r w:rsidR="005521B0">
        <w:t xml:space="preserve"> </w:t>
      </w:r>
      <w:r w:rsidR="00A70DE5">
        <w:t xml:space="preserve">would </w:t>
      </w:r>
      <w:r w:rsidR="00520EA0">
        <w:t>omit</w:t>
      </w:r>
      <w:r w:rsidR="00A70DE5">
        <w:t xml:space="preserve"> </w:t>
      </w:r>
      <w:r w:rsidR="00551C65">
        <w:t xml:space="preserve">references to </w:t>
      </w:r>
      <w:r w:rsidR="00520EA0">
        <w:t>‘</w:t>
      </w:r>
      <w:r w:rsidR="00520EA0" w:rsidRPr="005C7DDE">
        <w:t>2′-O-fucosyllactose</w:t>
      </w:r>
      <w:r w:rsidR="00520EA0">
        <w:t xml:space="preserve">’ </w:t>
      </w:r>
      <w:r w:rsidR="00551C65">
        <w:t>and ‘</w:t>
      </w:r>
      <w:r w:rsidR="00551C65" w:rsidRPr="00C56562">
        <w:t>section S3—40</w:t>
      </w:r>
      <w:r w:rsidR="00551C65">
        <w:t xml:space="preserve">’ </w:t>
      </w:r>
      <w:r w:rsidR="00520EA0">
        <w:t xml:space="preserve">in </w:t>
      </w:r>
      <w:r w:rsidR="002067F6">
        <w:t xml:space="preserve">columns 1 and 2 respectively of </w:t>
      </w:r>
      <w:r w:rsidR="005521B0" w:rsidRPr="00C56562">
        <w:t>the table to subsection S3—2(2)</w:t>
      </w:r>
      <w:r w:rsidR="00A70DE5">
        <w:t>,</w:t>
      </w:r>
      <w:r w:rsidR="005521B0">
        <w:t xml:space="preserve"> </w:t>
      </w:r>
      <w:r w:rsidR="00A70DE5">
        <w:t>s</w:t>
      </w:r>
      <w:r w:rsidR="00520EA0">
        <w:t xml:space="preserve">ubstituting </w:t>
      </w:r>
      <w:r w:rsidR="00094510">
        <w:t xml:space="preserve">them </w:t>
      </w:r>
      <w:r w:rsidR="00726476">
        <w:t>with</w:t>
      </w:r>
      <w:r w:rsidR="00551C65">
        <w:t>, in alphabetical order, references to</w:t>
      </w:r>
      <w:r w:rsidR="00726476">
        <w:t xml:space="preserve"> </w:t>
      </w:r>
      <w:r w:rsidR="00520EA0">
        <w:t>‘</w:t>
      </w:r>
      <w:r w:rsidR="00520EA0" w:rsidRPr="005C7DDE">
        <w:t>2′-fucosyllactose</w:t>
      </w:r>
      <w:r w:rsidR="000A2217">
        <w:t xml:space="preserve"> sourced from </w:t>
      </w:r>
      <w:r w:rsidR="000A2217">
        <w:rPr>
          <w:i/>
        </w:rPr>
        <w:t xml:space="preserve">Escherichia coli </w:t>
      </w:r>
      <w:r w:rsidR="000A2217" w:rsidRPr="004E0A99">
        <w:t>K-12</w:t>
      </w:r>
      <w:r w:rsidR="00520EA0">
        <w:t>’</w:t>
      </w:r>
      <w:r w:rsidR="005521B0">
        <w:t xml:space="preserve"> </w:t>
      </w:r>
      <w:r w:rsidR="00551C65">
        <w:t>and ‘</w:t>
      </w:r>
      <w:r w:rsidR="00551C65" w:rsidRPr="00C56562">
        <w:t>section S3—40</w:t>
      </w:r>
      <w:r w:rsidR="00551C65">
        <w:t>’</w:t>
      </w:r>
      <w:r w:rsidR="000A2217">
        <w:t>.</w:t>
      </w:r>
      <w:r w:rsidR="00551C65">
        <w:t xml:space="preserve"> </w:t>
      </w:r>
    </w:p>
    <w:p w14:paraId="5BA6B84D" w14:textId="77777777" w:rsidR="00094510" w:rsidRDefault="00094510" w:rsidP="00E8122F">
      <w:pPr>
        <w:widowControl/>
        <w:jc w:val="both"/>
      </w:pPr>
    </w:p>
    <w:p w14:paraId="6DE0623C" w14:textId="2FDAE1BE" w:rsidR="00726476" w:rsidRDefault="000A2217" w:rsidP="00E8122F">
      <w:pPr>
        <w:widowControl/>
        <w:jc w:val="both"/>
      </w:pPr>
      <w:r>
        <w:t xml:space="preserve">This amendment </w:t>
      </w:r>
      <w:r w:rsidR="005521B0">
        <w:t>reflect</w:t>
      </w:r>
      <w:r>
        <w:t>s</w:t>
      </w:r>
      <w:r w:rsidR="005521B0">
        <w:t xml:space="preserve"> the </w:t>
      </w:r>
      <w:r w:rsidR="001A6E93">
        <w:t>preferred substance name and</w:t>
      </w:r>
      <w:r w:rsidR="005521B0">
        <w:t xml:space="preserve"> source</w:t>
      </w:r>
      <w:r>
        <w:t xml:space="preserve">; and distinguishes between the specifications for </w:t>
      </w:r>
      <w:r w:rsidRPr="005C7DDE">
        <w:t>2′-fucosyllactose</w:t>
      </w:r>
      <w:r>
        <w:t xml:space="preserve"> from </w:t>
      </w:r>
      <w:r>
        <w:rPr>
          <w:i/>
        </w:rPr>
        <w:t xml:space="preserve">Escherichia coli </w:t>
      </w:r>
      <w:r w:rsidRPr="004E0A99">
        <w:t>K-12</w:t>
      </w:r>
      <w:r>
        <w:t xml:space="preserve"> and specifications for </w:t>
      </w:r>
      <w:r w:rsidR="00A70DE5">
        <w:t xml:space="preserve">the new substance sought to be permitted by the applicant - </w:t>
      </w:r>
      <w:r w:rsidRPr="005C7DDE">
        <w:t>2′-fucosyllactose</w:t>
      </w:r>
      <w:r>
        <w:t xml:space="preserve"> from </w:t>
      </w:r>
      <w:r w:rsidRPr="00CA75C3">
        <w:rPr>
          <w:i/>
        </w:rPr>
        <w:t>Escherichia coli</w:t>
      </w:r>
      <w:r w:rsidRPr="000A2217">
        <w:t xml:space="preserve"> BL21</w:t>
      </w:r>
      <w:r>
        <w:t xml:space="preserve"> (see </w:t>
      </w:r>
      <w:r w:rsidR="004B2B03">
        <w:t>sub-item</w:t>
      </w:r>
      <w:r w:rsidR="00854CB2">
        <w:t>s</w:t>
      </w:r>
      <w:r w:rsidR="004B2B03">
        <w:t xml:space="preserve"> [2.2] </w:t>
      </w:r>
      <w:r w:rsidR="00854CB2">
        <w:t xml:space="preserve">and [2.5] </w:t>
      </w:r>
      <w:r>
        <w:t>below)</w:t>
      </w:r>
      <w:r w:rsidR="00726476">
        <w:t>.</w:t>
      </w:r>
      <w:r w:rsidR="005521B0">
        <w:t xml:space="preserve"> </w:t>
      </w:r>
    </w:p>
    <w:p w14:paraId="5BB75EE9" w14:textId="77777777" w:rsidR="00726476" w:rsidRDefault="00726476" w:rsidP="00E8122F">
      <w:pPr>
        <w:widowControl/>
        <w:jc w:val="both"/>
      </w:pPr>
    </w:p>
    <w:p w14:paraId="154AE845" w14:textId="000081A3" w:rsidR="005521B0" w:rsidRDefault="00C22596" w:rsidP="00E8122F">
      <w:pPr>
        <w:widowControl/>
        <w:jc w:val="both"/>
      </w:pPr>
      <w:r>
        <w:t>Sub-item</w:t>
      </w:r>
      <w:r w:rsidR="00726476">
        <w:t xml:space="preserve"> [2.2] </w:t>
      </w:r>
      <w:r w:rsidR="00094510">
        <w:t>would</w:t>
      </w:r>
      <w:r w:rsidR="00726476">
        <w:t xml:space="preserve"> insert into </w:t>
      </w:r>
      <w:r w:rsidR="002067F6">
        <w:t xml:space="preserve">columns 1 and 2 of </w:t>
      </w:r>
      <w:r w:rsidR="00726476" w:rsidRPr="00C56562">
        <w:t>the table to subsection S3—2(2)</w:t>
      </w:r>
      <w:r w:rsidR="000A2736">
        <w:t>, in alphabetical order,</w:t>
      </w:r>
      <w:r w:rsidR="00726476">
        <w:t xml:space="preserve"> </w:t>
      </w:r>
      <w:r w:rsidR="008E449E">
        <w:t xml:space="preserve">new </w:t>
      </w:r>
      <w:r w:rsidR="000A2736">
        <w:t>references to ‘</w:t>
      </w:r>
      <w:r w:rsidR="000A2736" w:rsidRPr="005C7DDE">
        <w:t>2′-fucosyllactose</w:t>
      </w:r>
      <w:r w:rsidR="000A2736">
        <w:t xml:space="preserve"> from </w:t>
      </w:r>
      <w:r w:rsidR="000A2736" w:rsidRPr="009E4AE1">
        <w:rPr>
          <w:i/>
        </w:rPr>
        <w:t>Escherichia coli</w:t>
      </w:r>
      <w:r w:rsidR="000A2736" w:rsidRPr="000A2217">
        <w:t xml:space="preserve"> BL21</w:t>
      </w:r>
      <w:r w:rsidR="000A2736">
        <w:t>’ and ‘</w:t>
      </w:r>
      <w:r w:rsidR="000A2736" w:rsidRPr="00C56562">
        <w:t>section S3—</w:t>
      </w:r>
      <w:r w:rsidR="000A2736">
        <w:t>5’</w:t>
      </w:r>
      <w:r w:rsidR="00C62DE8">
        <w:t xml:space="preserve"> </w:t>
      </w:r>
      <w:r w:rsidR="002067F6">
        <w:t>respectively</w:t>
      </w:r>
      <w:r w:rsidR="008E449E">
        <w:t xml:space="preserve">. These new references relate to the new provision that would be inserted by </w:t>
      </w:r>
      <w:r w:rsidR="00C62DE8">
        <w:t xml:space="preserve">sub-item </w:t>
      </w:r>
      <w:r w:rsidR="004B2B03">
        <w:t>[</w:t>
      </w:r>
      <w:r w:rsidR="00C62DE8">
        <w:t>2.5</w:t>
      </w:r>
      <w:r w:rsidR="004B2B03">
        <w:t>]</w:t>
      </w:r>
      <w:r w:rsidR="00C62DE8">
        <w:t xml:space="preserve"> below</w:t>
      </w:r>
      <w:r w:rsidR="005521B0">
        <w:t>.</w:t>
      </w:r>
    </w:p>
    <w:p w14:paraId="4DA2259A" w14:textId="7DEDB676" w:rsidR="001A6E93" w:rsidRDefault="001A6E93" w:rsidP="00E8122F">
      <w:pPr>
        <w:widowControl/>
        <w:jc w:val="both"/>
      </w:pPr>
    </w:p>
    <w:p w14:paraId="237DD40A" w14:textId="232232EB" w:rsidR="001A6E93" w:rsidRDefault="00C22596" w:rsidP="00E8122F">
      <w:pPr>
        <w:widowControl/>
        <w:jc w:val="both"/>
      </w:pPr>
      <w:r>
        <w:t>Sub-item</w:t>
      </w:r>
      <w:r w:rsidR="001A6E93">
        <w:t xml:space="preserve"> [2.3] </w:t>
      </w:r>
      <w:r w:rsidR="00094510">
        <w:t>would</w:t>
      </w:r>
      <w:r w:rsidR="001A6E93">
        <w:t xml:space="preserve"> </w:t>
      </w:r>
      <w:r w:rsidR="004B2B03">
        <w:t>omi</w:t>
      </w:r>
      <w:r w:rsidR="00094510">
        <w:t>t</w:t>
      </w:r>
      <w:r w:rsidR="004B2B03">
        <w:t xml:space="preserve"> </w:t>
      </w:r>
      <w:r w:rsidR="001A6E93" w:rsidRPr="007B2F80">
        <w:t>the heading for section S3—40</w:t>
      </w:r>
      <w:r w:rsidR="00094510">
        <w:t>,</w:t>
      </w:r>
      <w:r w:rsidR="001A6E93">
        <w:t xml:space="preserve"> </w:t>
      </w:r>
      <w:r w:rsidR="004B2B03">
        <w:t xml:space="preserve">substituting it </w:t>
      </w:r>
      <w:r w:rsidR="001A6E93">
        <w:t xml:space="preserve">with </w:t>
      </w:r>
      <w:r w:rsidR="004B2B03">
        <w:t>‘</w:t>
      </w:r>
      <w:r w:rsidR="004B2B03" w:rsidRPr="004B2B03">
        <w:t xml:space="preserve">2′-fucosyllactose (2′ FL) sourced from </w:t>
      </w:r>
      <w:r w:rsidR="004B2B03" w:rsidRPr="00CA75C3">
        <w:rPr>
          <w:i/>
        </w:rPr>
        <w:t>Escherichia coli</w:t>
      </w:r>
      <w:r w:rsidR="004B2B03" w:rsidRPr="004B2B03">
        <w:t xml:space="preserve"> K-12</w:t>
      </w:r>
      <w:r w:rsidR="004B2B03">
        <w:t>’ (see sub-item [2.1] above)</w:t>
      </w:r>
      <w:r w:rsidR="001A6E93">
        <w:t>.</w:t>
      </w:r>
    </w:p>
    <w:p w14:paraId="06FA0B62" w14:textId="7F78F323" w:rsidR="001A6E93" w:rsidRDefault="001A6E93" w:rsidP="00E8122F">
      <w:pPr>
        <w:widowControl/>
        <w:jc w:val="both"/>
      </w:pPr>
    </w:p>
    <w:p w14:paraId="292A7431" w14:textId="14110026" w:rsidR="005E354E" w:rsidRDefault="00C22596" w:rsidP="00E8122F">
      <w:pPr>
        <w:widowControl/>
        <w:jc w:val="both"/>
      </w:pPr>
      <w:r>
        <w:lastRenderedPageBreak/>
        <w:t>Sub-item</w:t>
      </w:r>
      <w:r w:rsidR="001A6E93">
        <w:t xml:space="preserve"> [2.4] </w:t>
      </w:r>
      <w:r w:rsidR="00094510">
        <w:t>would omit</w:t>
      </w:r>
      <w:r w:rsidR="00281C25" w:rsidRPr="00281C25">
        <w:t xml:space="preserve"> </w:t>
      </w:r>
      <w:r w:rsidR="00281C25">
        <w:t>the reference to ‘</w:t>
      </w:r>
      <w:r w:rsidR="00281C25" w:rsidRPr="00281C25">
        <w:t>2′-O-fucosyllactose (2′-FL)</w:t>
      </w:r>
      <w:r w:rsidR="00281C25">
        <w:t>’</w:t>
      </w:r>
      <w:r w:rsidR="00281C25" w:rsidRPr="00281C25">
        <w:t xml:space="preserve"> in section S3—40, substituting </w:t>
      </w:r>
      <w:r w:rsidR="00094510">
        <w:t xml:space="preserve">it </w:t>
      </w:r>
      <w:r w:rsidR="00281C25">
        <w:t>with a reference to ‘</w:t>
      </w:r>
      <w:r w:rsidR="00281C25" w:rsidRPr="00281C25">
        <w:t xml:space="preserve">2′-fucosyllactose (2′ FL) sourced from </w:t>
      </w:r>
      <w:r w:rsidR="00281C25" w:rsidRPr="00CA75C3">
        <w:rPr>
          <w:i/>
        </w:rPr>
        <w:t>Escherichia coli</w:t>
      </w:r>
      <w:r w:rsidR="00281C25" w:rsidRPr="00281C25">
        <w:t xml:space="preserve"> K-12</w:t>
      </w:r>
      <w:r w:rsidR="00281C25">
        <w:t>’ consistent the new heading for section S3—40 (see sub-items [2.1] and [2.3] above)</w:t>
      </w:r>
      <w:r w:rsidR="001A6E93">
        <w:t>.</w:t>
      </w:r>
    </w:p>
    <w:p w14:paraId="65B6B08A" w14:textId="603EDF16" w:rsidR="005E354E" w:rsidRDefault="005E354E" w:rsidP="00E8122F">
      <w:pPr>
        <w:widowControl/>
        <w:jc w:val="both"/>
      </w:pPr>
    </w:p>
    <w:p w14:paraId="6701333F" w14:textId="2C217456" w:rsidR="005E354E" w:rsidRDefault="005E354E" w:rsidP="00E8122F">
      <w:pPr>
        <w:widowControl/>
        <w:jc w:val="both"/>
      </w:pPr>
      <w:r>
        <w:t xml:space="preserve">The effect of the proposed amendments in sub-items [2.3] and [2.4] is that the specifications in section S3—40 would relate specifically to </w:t>
      </w:r>
      <w:r w:rsidRPr="00281C25">
        <w:t xml:space="preserve">2′-fucosyllactose (2′ FL) sourced from </w:t>
      </w:r>
      <w:r w:rsidRPr="009E4AE1">
        <w:rPr>
          <w:i/>
        </w:rPr>
        <w:t>Escherichia coli</w:t>
      </w:r>
      <w:r w:rsidRPr="00281C25">
        <w:t xml:space="preserve"> K-12</w:t>
      </w:r>
      <w:r>
        <w:t>.</w:t>
      </w:r>
    </w:p>
    <w:p w14:paraId="1576B8E0" w14:textId="4E5BE334" w:rsidR="001A6E93" w:rsidRDefault="001A6E93" w:rsidP="00E8122F">
      <w:pPr>
        <w:widowControl/>
        <w:jc w:val="both"/>
      </w:pPr>
    </w:p>
    <w:p w14:paraId="1DBE58D5" w14:textId="10857EB6" w:rsidR="002D2961" w:rsidRDefault="00C22596" w:rsidP="00E8122F">
      <w:pPr>
        <w:widowControl/>
        <w:spacing w:before="240" w:after="120"/>
        <w:jc w:val="both"/>
      </w:pPr>
      <w:r>
        <w:t>Sub-item</w:t>
      </w:r>
      <w:r w:rsidR="001A6E93">
        <w:t xml:space="preserve"> [2.5] </w:t>
      </w:r>
      <w:r w:rsidR="0010712B">
        <w:t>would</w:t>
      </w:r>
      <w:r w:rsidR="001A6E93">
        <w:t xml:space="preserve"> insert </w:t>
      </w:r>
      <w:r w:rsidR="00281C25">
        <w:t>new section S3</w:t>
      </w:r>
      <w:r w:rsidR="00281C25">
        <w:rPr>
          <w:rFonts w:ascii="Helvetica Neue" w:hAnsi="Helvetica Neue"/>
          <w:sz w:val="19"/>
          <w:szCs w:val="19"/>
        </w:rPr>
        <w:t>—</w:t>
      </w:r>
      <w:r w:rsidR="00281C25">
        <w:t xml:space="preserve">45 which sets out the </w:t>
      </w:r>
      <w:r w:rsidR="001A6E93">
        <w:t xml:space="preserve">specifications </w:t>
      </w:r>
      <w:r w:rsidR="00FB0A5D">
        <w:t xml:space="preserve">relating specifically to </w:t>
      </w:r>
      <w:r w:rsidR="00281C25" w:rsidRPr="00281C25">
        <w:t xml:space="preserve">2′-fucosyllactose sourced from </w:t>
      </w:r>
      <w:r w:rsidR="00281C25" w:rsidRPr="00CA75C3">
        <w:rPr>
          <w:i/>
        </w:rPr>
        <w:t>Escherichia coli</w:t>
      </w:r>
      <w:r w:rsidR="00281C25" w:rsidRPr="00281C25">
        <w:t xml:space="preserve"> BL21</w:t>
      </w:r>
      <w:r w:rsidR="00281C25">
        <w:t>, the new substance sought to be permitted by the applicant</w:t>
      </w:r>
      <w:r w:rsidR="00C13D7D">
        <w:t>.</w:t>
      </w:r>
      <w:r w:rsidR="00281C25">
        <w:t xml:space="preserve"> </w:t>
      </w:r>
    </w:p>
    <w:p w14:paraId="1FA7CF33" w14:textId="706F9178" w:rsidR="008D2375" w:rsidRDefault="002D2961" w:rsidP="00E8122F">
      <w:pPr>
        <w:widowControl/>
        <w:spacing w:before="240" w:after="120"/>
        <w:jc w:val="both"/>
      </w:pPr>
      <w:r>
        <w:t xml:space="preserve">Consequently, </w:t>
      </w:r>
      <w:r w:rsidR="00091049">
        <w:t xml:space="preserve">the proposed </w:t>
      </w:r>
      <w:r w:rsidR="008752D0">
        <w:t>permission</w:t>
      </w:r>
      <w:r>
        <w:t xml:space="preserve"> </w:t>
      </w:r>
      <w:r w:rsidR="008752D0">
        <w:t xml:space="preserve">for </w:t>
      </w:r>
      <w:r w:rsidRPr="00281C25">
        <w:t xml:space="preserve">2′-fucosyllactose sourced from </w:t>
      </w:r>
      <w:r w:rsidRPr="009E4AE1">
        <w:rPr>
          <w:i/>
        </w:rPr>
        <w:t>Escherichia coli</w:t>
      </w:r>
      <w:r w:rsidRPr="00281C25">
        <w:t xml:space="preserve"> BL21</w:t>
      </w:r>
      <w:r w:rsidR="008752D0">
        <w:t xml:space="preserve"> to be</w:t>
      </w:r>
      <w:r>
        <w:t xml:space="preserve"> used as a nutritive substance in infant formula products (or sold for such use) </w:t>
      </w:r>
      <w:r w:rsidR="008752D0">
        <w:t xml:space="preserve">would be subject to the requirement in section 1.1.1—15 that the substance </w:t>
      </w:r>
      <w:r>
        <w:t>must comply with these specifications.</w:t>
      </w:r>
    </w:p>
    <w:p w14:paraId="39133E42" w14:textId="4CA4C686" w:rsidR="00212CA8" w:rsidRDefault="00212CA8" w:rsidP="00E8122F">
      <w:pPr>
        <w:widowControl/>
        <w:spacing w:before="240" w:after="120"/>
        <w:jc w:val="both"/>
        <w:rPr>
          <w:b/>
        </w:rPr>
      </w:pPr>
      <w:r w:rsidRPr="00CA75C3">
        <w:rPr>
          <w:b/>
        </w:rPr>
        <w:t xml:space="preserve">Item [3] </w:t>
      </w:r>
    </w:p>
    <w:p w14:paraId="6860D489" w14:textId="0A59B098" w:rsidR="00C625C9" w:rsidRDefault="00C625C9" w:rsidP="00E8122F">
      <w:pPr>
        <w:widowControl/>
        <w:spacing w:before="240" w:after="120"/>
        <w:jc w:val="both"/>
      </w:pPr>
      <w:r>
        <w:rPr>
          <w:b/>
        </w:rPr>
        <w:t xml:space="preserve">Item [3] </w:t>
      </w:r>
      <w:r>
        <w:t xml:space="preserve">sets out </w:t>
      </w:r>
      <w:r w:rsidR="00A72822">
        <w:t xml:space="preserve">the following </w:t>
      </w:r>
      <w:r>
        <w:t>proposed amendments to Schedule 26.</w:t>
      </w:r>
    </w:p>
    <w:p w14:paraId="2DD86B5F" w14:textId="1583410F" w:rsidR="004824D1" w:rsidRDefault="00A55047" w:rsidP="00E8122F">
      <w:pPr>
        <w:widowControl/>
        <w:spacing w:before="240" w:after="120"/>
        <w:jc w:val="both"/>
      </w:pPr>
      <w:r>
        <w:t xml:space="preserve">Schedule 26 relates to food produced using gene technology. </w:t>
      </w:r>
      <w:r w:rsidR="004824D1" w:rsidRPr="00281C25">
        <w:t xml:space="preserve">2′-fucosyllactose sourced from </w:t>
      </w:r>
      <w:r w:rsidR="004824D1" w:rsidRPr="009E4AE1">
        <w:rPr>
          <w:i/>
        </w:rPr>
        <w:t>Escherichia coli</w:t>
      </w:r>
      <w:r w:rsidR="004824D1" w:rsidRPr="00281C25">
        <w:t xml:space="preserve"> BL21</w:t>
      </w:r>
      <w:r w:rsidR="004824D1">
        <w:t xml:space="preserve"> is a food produced using gene technology </w:t>
      </w:r>
      <w:r w:rsidR="004824D1" w:rsidRPr="004824D1">
        <w:t xml:space="preserve">(as defined in </w:t>
      </w:r>
      <w:r w:rsidR="004824D1">
        <w:t>sub</w:t>
      </w:r>
      <w:r w:rsidR="004824D1" w:rsidRPr="004824D1">
        <w:t>section 1.1.2—2</w:t>
      </w:r>
      <w:r w:rsidR="004824D1">
        <w:t>(3)</w:t>
      </w:r>
      <w:r w:rsidR="004824D1" w:rsidRPr="004824D1">
        <w:t xml:space="preserve">) </w:t>
      </w:r>
      <w:r w:rsidR="004824D1">
        <w:t>because</w:t>
      </w:r>
      <w:r w:rsidR="004824D1" w:rsidRPr="004824D1">
        <w:t xml:space="preserve"> it is derived from an organism modified using gene technology</w:t>
      </w:r>
      <w:r w:rsidR="004824D1">
        <w:t>.</w:t>
      </w:r>
    </w:p>
    <w:p w14:paraId="414E383F" w14:textId="37FC9C45" w:rsidR="004824D1" w:rsidRDefault="00A55047" w:rsidP="00E8122F">
      <w:pPr>
        <w:widowControl/>
        <w:spacing w:before="240" w:after="120"/>
        <w:jc w:val="both"/>
      </w:pPr>
      <w:r>
        <w:t>Paragraph 1.5.2—3(a)</w:t>
      </w:r>
      <w:r w:rsidR="004824D1">
        <w:t xml:space="preserve"> permits a food for sale to consist of, or have as an ingredient, a food produced using gene technology if</w:t>
      </w:r>
      <w:r w:rsidR="003466E1">
        <w:t xml:space="preserve"> </w:t>
      </w:r>
      <w:r w:rsidR="004824D1">
        <w:t>the food produced using gene technology</w:t>
      </w:r>
      <w:r w:rsidR="003466E1">
        <w:t xml:space="preserve"> (other than a processing aid or food additive)</w:t>
      </w:r>
      <w:r w:rsidR="004824D1">
        <w:t xml:space="preserve"> is listed in Schedule 26 and complies with any corresponding conditions in that Schedule.</w:t>
      </w:r>
    </w:p>
    <w:p w14:paraId="7103E3F2" w14:textId="18E16C0E" w:rsidR="007F063A" w:rsidRPr="00CA75C3" w:rsidRDefault="007F063A" w:rsidP="00E8122F">
      <w:pPr>
        <w:widowControl/>
        <w:spacing w:before="240" w:after="120"/>
        <w:jc w:val="both"/>
        <w:rPr>
          <w:b/>
        </w:rPr>
      </w:pPr>
      <w:r w:rsidRPr="00CA75C3">
        <w:t>The table to</w:t>
      </w:r>
      <w:r>
        <w:rPr>
          <w:b/>
        </w:rPr>
        <w:t xml:space="preserve"> </w:t>
      </w:r>
      <w:r>
        <w:t xml:space="preserve">subsection S26—3(7) lists food </w:t>
      </w:r>
      <w:r w:rsidRPr="007F063A">
        <w:t>produced using gene technology of microbial origin</w:t>
      </w:r>
      <w:r>
        <w:t>.</w:t>
      </w:r>
    </w:p>
    <w:p w14:paraId="6FDF2C0B" w14:textId="77777777" w:rsidR="007F063A" w:rsidRDefault="007F063A" w:rsidP="00E8122F">
      <w:pPr>
        <w:widowControl/>
        <w:jc w:val="both"/>
      </w:pPr>
    </w:p>
    <w:p w14:paraId="0C71A903" w14:textId="18F48D11" w:rsidR="00C625C9" w:rsidRDefault="000B58A9" w:rsidP="00E8122F">
      <w:pPr>
        <w:widowControl/>
        <w:jc w:val="both"/>
      </w:pPr>
      <w:r>
        <w:t xml:space="preserve">Sub-item </w:t>
      </w:r>
      <w:r w:rsidR="00212CA8">
        <w:t>[</w:t>
      </w:r>
      <w:r w:rsidR="001A6E93">
        <w:t>3</w:t>
      </w:r>
      <w:r>
        <w:t>.1</w:t>
      </w:r>
      <w:r w:rsidR="00212CA8">
        <w:t xml:space="preserve">] </w:t>
      </w:r>
      <w:r w:rsidR="00C625C9">
        <w:t>would omit</w:t>
      </w:r>
      <w:r w:rsidR="001A6E93">
        <w:t xml:space="preserve"> item 1 in the table to subsection S26—3(7)</w:t>
      </w:r>
      <w:r w:rsidR="00C625C9">
        <w:t>,</w:t>
      </w:r>
      <w:r w:rsidR="00212CA8">
        <w:t xml:space="preserve"> </w:t>
      </w:r>
      <w:r w:rsidR="00C625C9" w:rsidRPr="00CA75C3">
        <w:t xml:space="preserve">substituting it with a </w:t>
      </w:r>
      <w:r w:rsidR="00A71FD3">
        <w:t>revised</w:t>
      </w:r>
      <w:r w:rsidR="00C625C9" w:rsidRPr="00CA75C3">
        <w:t xml:space="preserve"> item 1</w:t>
      </w:r>
      <w:r w:rsidR="00C625C9">
        <w:t>.</w:t>
      </w:r>
    </w:p>
    <w:p w14:paraId="2FCC2297" w14:textId="77777777" w:rsidR="00C625C9" w:rsidRDefault="00C625C9" w:rsidP="00E8122F">
      <w:pPr>
        <w:widowControl/>
        <w:jc w:val="both"/>
      </w:pPr>
    </w:p>
    <w:p w14:paraId="40D35CDE" w14:textId="08AAFF8A" w:rsidR="00C625C9" w:rsidRDefault="00A71FD3" w:rsidP="00E8122F">
      <w:pPr>
        <w:widowControl/>
        <w:jc w:val="both"/>
      </w:pPr>
      <w:r>
        <w:t>Revised</w:t>
      </w:r>
      <w:r w:rsidR="00C625C9">
        <w:t xml:space="preserve"> item 1 refers to ‘2′-fucosyllactose’ as the substance name </w:t>
      </w:r>
      <w:r w:rsidR="00347D3C">
        <w:t xml:space="preserve">in column 1 of the table </w:t>
      </w:r>
      <w:r w:rsidR="00C625C9">
        <w:t>instead of</w:t>
      </w:r>
      <w:r w:rsidR="001A6E93">
        <w:t xml:space="preserve"> </w:t>
      </w:r>
      <w:r w:rsidR="00C625C9">
        <w:t>‘</w:t>
      </w:r>
      <w:r w:rsidR="001A6E93">
        <w:t>2′-O-fucosyllactose</w:t>
      </w:r>
      <w:r w:rsidR="00C625C9">
        <w:t>’</w:t>
      </w:r>
      <w:r w:rsidR="00993834">
        <w:t xml:space="preserve"> (see sub-item [2.1] above)</w:t>
      </w:r>
      <w:r w:rsidR="001A6E93">
        <w:t xml:space="preserve">. </w:t>
      </w:r>
    </w:p>
    <w:p w14:paraId="3912F09C" w14:textId="77777777" w:rsidR="00C625C9" w:rsidRDefault="00C625C9" w:rsidP="00E8122F">
      <w:pPr>
        <w:widowControl/>
        <w:jc w:val="both"/>
      </w:pPr>
    </w:p>
    <w:p w14:paraId="6314D9CA" w14:textId="144116FF" w:rsidR="00347D3C" w:rsidRDefault="00A71FD3" w:rsidP="00E8122F">
      <w:pPr>
        <w:widowControl/>
        <w:jc w:val="both"/>
      </w:pPr>
      <w:r>
        <w:t>Revised</w:t>
      </w:r>
      <w:r w:rsidR="00347D3C">
        <w:t xml:space="preserve"> item 1 also includes a new source </w:t>
      </w:r>
      <w:r w:rsidR="00512AFA">
        <w:t>(</w:t>
      </w:r>
      <w:r w:rsidR="00736F63">
        <w:t xml:space="preserve">paragraph </w:t>
      </w:r>
      <w:r w:rsidR="00347D3C">
        <w:t>(b)</w:t>
      </w:r>
      <w:r w:rsidR="00512AFA">
        <w:t>)</w:t>
      </w:r>
      <w:r w:rsidR="00347D3C">
        <w:t xml:space="preserve"> of 2′-fucosyllactose</w:t>
      </w:r>
      <w:r w:rsidR="00347D3C" w:rsidDel="00347D3C">
        <w:t xml:space="preserve"> </w:t>
      </w:r>
      <w:r w:rsidR="00347D3C">
        <w:t xml:space="preserve">in column 2 of the table - </w:t>
      </w:r>
      <w:r w:rsidR="00347D3C" w:rsidRPr="00CA75C3">
        <w:rPr>
          <w:i/>
        </w:rPr>
        <w:t>Escherichia coli</w:t>
      </w:r>
      <w:r w:rsidR="00347D3C" w:rsidRPr="00347D3C">
        <w:t xml:space="preserve"> BL21 containing the gene for alpha-1,2-fucosyltransferase from </w:t>
      </w:r>
      <w:r w:rsidR="00347D3C" w:rsidRPr="00CA75C3">
        <w:rPr>
          <w:i/>
        </w:rPr>
        <w:t>Escherichia coli</w:t>
      </w:r>
      <w:r w:rsidR="00347D3C" w:rsidRPr="00347D3C">
        <w:t xml:space="preserve"> O126</w:t>
      </w:r>
      <w:r w:rsidR="00347D3C">
        <w:t>.</w:t>
      </w:r>
    </w:p>
    <w:p w14:paraId="6121DA30" w14:textId="77777777" w:rsidR="00347D3C" w:rsidRDefault="00347D3C" w:rsidP="00E8122F">
      <w:pPr>
        <w:widowControl/>
        <w:jc w:val="both"/>
      </w:pPr>
    </w:p>
    <w:p w14:paraId="5728877A" w14:textId="0A6DEEAA" w:rsidR="00347D3C" w:rsidRDefault="00A71FD3" w:rsidP="00E8122F">
      <w:pPr>
        <w:widowControl/>
        <w:jc w:val="both"/>
      </w:pPr>
      <w:r>
        <w:t>Revised</w:t>
      </w:r>
      <w:r w:rsidR="00347D3C">
        <w:t xml:space="preserve"> item 1 also sets out the following </w:t>
      </w:r>
      <w:r w:rsidR="002807FD">
        <w:t xml:space="preserve">new </w:t>
      </w:r>
      <w:r w:rsidR="00347D3C">
        <w:t xml:space="preserve">conditions </w:t>
      </w:r>
      <w:r w:rsidR="002067F6">
        <w:t>in column 3 of the table, both of which</w:t>
      </w:r>
      <w:r w:rsidR="00347D3C">
        <w:t xml:space="preserve"> 2′-fucosyllactose</w:t>
      </w:r>
      <w:r w:rsidR="00347D3C" w:rsidDel="00347D3C">
        <w:t xml:space="preserve"> </w:t>
      </w:r>
      <w:r w:rsidR="00347D3C">
        <w:t>from source (b)</w:t>
      </w:r>
      <w:r w:rsidR="002067F6">
        <w:t xml:space="preserve"> </w:t>
      </w:r>
      <w:r w:rsidR="00347D3C">
        <w:t xml:space="preserve">must </w:t>
      </w:r>
      <w:r w:rsidR="002067F6">
        <w:t>comply with</w:t>
      </w:r>
      <w:r w:rsidR="00347D3C">
        <w:t>:</w:t>
      </w:r>
    </w:p>
    <w:p w14:paraId="31F2720A" w14:textId="5B2B1594" w:rsidR="00347D3C" w:rsidRDefault="001369A0" w:rsidP="00E8122F">
      <w:pPr>
        <w:pStyle w:val="ListParagraph"/>
        <w:widowControl/>
        <w:numPr>
          <w:ilvl w:val="0"/>
          <w:numId w:val="37"/>
        </w:numPr>
        <w:jc w:val="both"/>
      </w:pPr>
      <w:r>
        <w:t>2′-</w:t>
      </w:r>
      <w:r w:rsidR="006E6A09">
        <w:t>fucosyllactose</w:t>
      </w:r>
      <w:r w:rsidR="006E6A09" w:rsidDel="00347D3C">
        <w:t xml:space="preserve"> </w:t>
      </w:r>
      <w:r w:rsidR="00347D3C">
        <w:t xml:space="preserve">from source (b) </w:t>
      </w:r>
      <w:r w:rsidR="00B2476C">
        <w:t xml:space="preserve">may </w:t>
      </w:r>
      <w:r>
        <w:t>only be added to infant formula products</w:t>
      </w:r>
      <w:r w:rsidR="00347D3C">
        <w:t>; and</w:t>
      </w:r>
    </w:p>
    <w:p w14:paraId="252CA717" w14:textId="016B6234" w:rsidR="00347D3C" w:rsidRDefault="001369A0" w:rsidP="00E8122F">
      <w:pPr>
        <w:pStyle w:val="ListParagraph"/>
        <w:widowControl/>
        <w:numPr>
          <w:ilvl w:val="0"/>
          <w:numId w:val="37"/>
        </w:numPr>
        <w:jc w:val="both"/>
      </w:pPr>
      <w:r>
        <w:t>during the ‘exclusive use period’</w:t>
      </w:r>
      <w:r w:rsidR="00347D3C">
        <w:t xml:space="preserve"> (i.e. the period commencing on the date of gazettal of th</w:t>
      </w:r>
      <w:r w:rsidR="008C6414">
        <w:t>is</w:t>
      </w:r>
      <w:r w:rsidR="00347D3C">
        <w:t xml:space="preserve"> </w:t>
      </w:r>
      <w:r w:rsidR="00D40AAB">
        <w:t xml:space="preserve">draft </w:t>
      </w:r>
      <w:r w:rsidR="00347D3C">
        <w:t>variation</w:t>
      </w:r>
      <w:r w:rsidR="00351B4F">
        <w:t xml:space="preserve"> (if approved)</w:t>
      </w:r>
      <w:r w:rsidR="00347D3C">
        <w:t xml:space="preserve">, and ending 15 months after that </w:t>
      </w:r>
      <w:r w:rsidR="00347D3C">
        <w:lastRenderedPageBreak/>
        <w:t>date)</w:t>
      </w:r>
      <w:r>
        <w:t>, 2′-</w:t>
      </w:r>
      <w:r w:rsidR="00533679">
        <w:t>fucosyllactose</w:t>
      </w:r>
      <w:r w:rsidR="00533679" w:rsidDel="00347D3C">
        <w:t xml:space="preserve"> </w:t>
      </w:r>
      <w:r>
        <w:t xml:space="preserve">from </w:t>
      </w:r>
      <w:r w:rsidR="00347D3C">
        <w:t>source (b)</w:t>
      </w:r>
      <w:r>
        <w:t xml:space="preserve"> may only be sold under the brand name ‘</w:t>
      </w:r>
      <w:r w:rsidRPr="001369A0">
        <w:t>CHR. HANSEN™ 2′-FL</w:t>
      </w:r>
      <w:r>
        <w:t xml:space="preserve">’. </w:t>
      </w:r>
    </w:p>
    <w:p w14:paraId="75B5E57B" w14:textId="77777777" w:rsidR="00347D3C" w:rsidRDefault="00347D3C" w:rsidP="00E8122F">
      <w:pPr>
        <w:widowControl/>
        <w:jc w:val="both"/>
      </w:pPr>
    </w:p>
    <w:p w14:paraId="08818B4E" w14:textId="31378551" w:rsidR="001369A0" w:rsidRDefault="0083271C" w:rsidP="00E8122F">
      <w:pPr>
        <w:widowControl/>
        <w:jc w:val="both"/>
      </w:pPr>
      <w:r>
        <w:t>Condition (b)</w:t>
      </w:r>
      <w:r w:rsidR="001369A0">
        <w:t xml:space="preserve"> means that the</w:t>
      </w:r>
      <w:r w:rsidR="00347D3C">
        <w:t xml:space="preserve"> proposed</w:t>
      </w:r>
      <w:r w:rsidR="001369A0">
        <w:t xml:space="preserve"> permission </w:t>
      </w:r>
      <w:r w:rsidR="00347D3C">
        <w:t xml:space="preserve">for 2′-FL from source (b) would </w:t>
      </w:r>
      <w:r w:rsidR="001369A0">
        <w:t xml:space="preserve">apply exclusively to </w:t>
      </w:r>
      <w:r w:rsidR="00347D3C">
        <w:t>that substance</w:t>
      </w:r>
      <w:r w:rsidR="001369A0">
        <w:t xml:space="preserve"> under the brand ‘</w:t>
      </w:r>
      <w:r w:rsidR="001369A0" w:rsidRPr="001369A0">
        <w:t>CHR. HANSEN™ 2′-FL</w:t>
      </w:r>
      <w:r w:rsidR="001369A0">
        <w:t>’</w:t>
      </w:r>
      <w:r w:rsidR="00090550">
        <w:t xml:space="preserve"> in accordance with the Code</w:t>
      </w:r>
      <w:r w:rsidR="001369A0">
        <w:t xml:space="preserve">. Once this period ends, the exclusive use permission </w:t>
      </w:r>
      <w:r w:rsidR="00090550">
        <w:t xml:space="preserve">would </w:t>
      </w:r>
      <w:r w:rsidR="001369A0">
        <w:t xml:space="preserve">revert to a general permission, meaning that the </w:t>
      </w:r>
      <w:r w:rsidR="00D40AAB">
        <w:t xml:space="preserve">proposed </w:t>
      </w:r>
      <w:r w:rsidR="001369A0">
        <w:t xml:space="preserve">permission </w:t>
      </w:r>
      <w:r w:rsidR="00D40AAB">
        <w:t xml:space="preserve">would </w:t>
      </w:r>
      <w:r w:rsidR="001369A0">
        <w:t xml:space="preserve">apply to all brands of 2′-FL </w:t>
      </w:r>
      <w:r w:rsidR="00347D3C">
        <w:t xml:space="preserve">from source (b) </w:t>
      </w:r>
      <w:r w:rsidR="00090550">
        <w:t>in accordance with the Code</w:t>
      </w:r>
      <w:r w:rsidR="001369A0">
        <w:t>.</w:t>
      </w:r>
    </w:p>
    <w:p w14:paraId="0963F04A" w14:textId="22D2A8D9" w:rsidR="00090550" w:rsidRDefault="00090550" w:rsidP="00E8122F">
      <w:pPr>
        <w:widowControl/>
        <w:jc w:val="both"/>
      </w:pPr>
    </w:p>
    <w:p w14:paraId="08905617" w14:textId="23477B59" w:rsidR="0066398E" w:rsidRDefault="00671455" w:rsidP="00E8122F">
      <w:pPr>
        <w:widowControl/>
        <w:jc w:val="both"/>
      </w:pPr>
      <w:r>
        <w:t>The effect of the proposed amendment in sub-item [3.1] is that 2′-</w:t>
      </w:r>
      <w:r w:rsidR="00BD17F2">
        <w:t>fucosyllactose</w:t>
      </w:r>
      <w:r>
        <w:t xml:space="preserve"> derived from </w:t>
      </w:r>
      <w:r w:rsidRPr="009E4AE1">
        <w:rPr>
          <w:i/>
        </w:rPr>
        <w:t>Escherichia coli</w:t>
      </w:r>
      <w:r w:rsidRPr="00347D3C">
        <w:t xml:space="preserve"> BL21 containing the gene for alpha-1,2-fucosyltransferase from </w:t>
      </w:r>
      <w:r w:rsidRPr="009E4AE1">
        <w:rPr>
          <w:i/>
        </w:rPr>
        <w:t>Escherichia coli</w:t>
      </w:r>
      <w:r w:rsidRPr="00347D3C">
        <w:t xml:space="preserve"> O126</w:t>
      </w:r>
      <w:r>
        <w:t xml:space="preserve"> would be permitted to be </w:t>
      </w:r>
      <w:r w:rsidR="0066398E">
        <w:t>used as a nutritive substance in infant formula products:</w:t>
      </w:r>
    </w:p>
    <w:p w14:paraId="651755BF" w14:textId="77777777" w:rsidR="0066398E" w:rsidRDefault="0066398E" w:rsidP="00E8122F">
      <w:pPr>
        <w:widowControl/>
        <w:jc w:val="both"/>
      </w:pPr>
    </w:p>
    <w:p w14:paraId="26579DF3" w14:textId="77777777" w:rsidR="0066398E" w:rsidRDefault="0066398E" w:rsidP="00E8122F">
      <w:pPr>
        <w:pStyle w:val="ListParagraph"/>
        <w:widowControl/>
        <w:numPr>
          <w:ilvl w:val="0"/>
          <w:numId w:val="38"/>
        </w:numPr>
        <w:jc w:val="both"/>
      </w:pPr>
      <w:r>
        <w:t xml:space="preserve">in accordance with the Code; and </w:t>
      </w:r>
    </w:p>
    <w:p w14:paraId="06A45A16" w14:textId="74DB9107" w:rsidR="00090550" w:rsidRDefault="0066398E" w:rsidP="00E8122F">
      <w:pPr>
        <w:pStyle w:val="ListParagraph"/>
        <w:widowControl/>
        <w:numPr>
          <w:ilvl w:val="0"/>
          <w:numId w:val="38"/>
        </w:numPr>
        <w:jc w:val="both"/>
      </w:pPr>
      <w:r>
        <w:t>subject to the above exclusive use condition.</w:t>
      </w:r>
    </w:p>
    <w:p w14:paraId="1BE784F8" w14:textId="77777777" w:rsidR="001369A0" w:rsidRDefault="001369A0" w:rsidP="00E8122F">
      <w:pPr>
        <w:widowControl/>
        <w:jc w:val="both"/>
      </w:pPr>
    </w:p>
    <w:p w14:paraId="59D21249" w14:textId="7DA62788" w:rsidR="00AD6845" w:rsidRDefault="00AD6845" w:rsidP="00E8122F">
      <w:pPr>
        <w:widowControl/>
        <w:jc w:val="both"/>
      </w:pPr>
      <w:r>
        <w:t xml:space="preserve">Sub-item [3.2] would </w:t>
      </w:r>
      <w:r w:rsidR="0006007C">
        <w:t>omit the reference to ‘</w:t>
      </w:r>
      <w:r w:rsidR="0006007C" w:rsidRPr="0006007C">
        <w:t>2′-O-fucosyllactose</w:t>
      </w:r>
      <w:r w:rsidR="0006007C">
        <w:t>’</w:t>
      </w:r>
      <w:r w:rsidR="0006007C" w:rsidRPr="0006007C">
        <w:t xml:space="preserve"> in item 2 in the table to subsection S26—3(7), substituting </w:t>
      </w:r>
      <w:r w:rsidR="0006007C">
        <w:t>it with a reference to ‘</w:t>
      </w:r>
      <w:r w:rsidR="0006007C" w:rsidRPr="0006007C">
        <w:t>2′-fucosyllactose</w:t>
      </w:r>
      <w:r w:rsidR="0006007C">
        <w:t>’.</w:t>
      </w:r>
      <w:r w:rsidR="00090550">
        <w:t xml:space="preserve"> This proposed amendment is a consequence of the proposed amendments in sub-item [3.1] above</w:t>
      </w:r>
      <w:r w:rsidR="0066398E">
        <w:t>.</w:t>
      </w:r>
    </w:p>
    <w:p w14:paraId="1FE87D52" w14:textId="4A5C9361" w:rsidR="0006007C" w:rsidRDefault="0006007C" w:rsidP="00E8122F">
      <w:pPr>
        <w:widowControl/>
        <w:spacing w:before="240" w:after="120"/>
        <w:jc w:val="both"/>
      </w:pPr>
      <w:r>
        <w:t xml:space="preserve">The proposed amendments in </w:t>
      </w:r>
      <w:r w:rsidRPr="00BF3DF8">
        <w:rPr>
          <w:b/>
        </w:rPr>
        <w:t>item [3]</w:t>
      </w:r>
      <w:r>
        <w:t xml:space="preserve"> would not make any substantive changes to </w:t>
      </w:r>
      <w:r w:rsidRPr="00BF3DF8">
        <w:rPr>
          <w:i/>
        </w:rPr>
        <w:t>existing</w:t>
      </w:r>
      <w:r>
        <w:t xml:space="preserve"> permissions and other requirements in the Code related to food produced using gene technology. </w:t>
      </w:r>
    </w:p>
    <w:p w14:paraId="5DF43347" w14:textId="3F5BF500" w:rsidR="00212CA8" w:rsidRPr="00BF3DF8" w:rsidRDefault="007379EA" w:rsidP="00E8122F">
      <w:pPr>
        <w:widowControl/>
        <w:spacing w:before="240" w:after="120"/>
        <w:jc w:val="both"/>
        <w:rPr>
          <w:b/>
        </w:rPr>
      </w:pPr>
      <w:r w:rsidRPr="00BF3DF8">
        <w:rPr>
          <w:b/>
        </w:rPr>
        <w:t>Item [4</w:t>
      </w:r>
      <w:r w:rsidR="00212CA8" w:rsidRPr="00BF3DF8">
        <w:rPr>
          <w:b/>
        </w:rPr>
        <w:t xml:space="preserve">] </w:t>
      </w:r>
    </w:p>
    <w:p w14:paraId="058DB8CE" w14:textId="22E547C6" w:rsidR="006367FF" w:rsidRDefault="007379EA" w:rsidP="00E8122F">
      <w:pPr>
        <w:widowControl/>
        <w:jc w:val="both"/>
      </w:pPr>
      <w:r w:rsidRPr="00BF3DF8">
        <w:rPr>
          <w:b/>
        </w:rPr>
        <w:t>Item [4</w:t>
      </w:r>
      <w:r w:rsidR="00212CA8" w:rsidRPr="00BF3DF8">
        <w:rPr>
          <w:b/>
        </w:rPr>
        <w:t>]</w:t>
      </w:r>
      <w:r w:rsidR="00212CA8">
        <w:t xml:space="preserve"> </w:t>
      </w:r>
      <w:r w:rsidR="0006007C">
        <w:t xml:space="preserve">would vary </w:t>
      </w:r>
      <w:r w:rsidR="00212CA8">
        <w:t xml:space="preserve">Schedule 29 by </w:t>
      </w:r>
      <w:r w:rsidR="00C13D7D">
        <w:t xml:space="preserve">omitting </w:t>
      </w:r>
      <w:r w:rsidR="00D40AAB">
        <w:t xml:space="preserve">references to </w:t>
      </w:r>
      <w:r w:rsidR="007B5CD4">
        <w:t>‘</w:t>
      </w:r>
      <w:r w:rsidR="00C13D7D">
        <w:t>2′-O-fucosyllactose</w:t>
      </w:r>
      <w:r w:rsidR="007B5CD4">
        <w:t xml:space="preserve">’ </w:t>
      </w:r>
      <w:r w:rsidR="00C13D7D">
        <w:t xml:space="preserve">wherever </w:t>
      </w:r>
      <w:r w:rsidR="00D40AAB">
        <w:t>occurring in</w:t>
      </w:r>
      <w:r w:rsidR="00036ABB">
        <w:t xml:space="preserve"> </w:t>
      </w:r>
      <w:r>
        <w:t xml:space="preserve">table to </w:t>
      </w:r>
      <w:r w:rsidRPr="00516601">
        <w:t>section 2.9.1—5</w:t>
      </w:r>
      <w:r>
        <w:t>,</w:t>
      </w:r>
      <w:r w:rsidR="00C13D7D">
        <w:t xml:space="preserve"> and substituting </w:t>
      </w:r>
      <w:r w:rsidR="00D40AAB">
        <w:t xml:space="preserve">them with references to </w:t>
      </w:r>
      <w:r w:rsidR="007B5CD4">
        <w:t>‘</w:t>
      </w:r>
      <w:r w:rsidR="00C13D7D">
        <w:t>2′-fucosyllactose</w:t>
      </w:r>
      <w:r w:rsidR="007B5CD4">
        <w:t>’</w:t>
      </w:r>
      <w:r w:rsidR="00D40AAB">
        <w:t xml:space="preserve">. As stated above, the revised reference reflects </w:t>
      </w:r>
      <w:r w:rsidR="00C13D7D">
        <w:t xml:space="preserve">the preferred </w:t>
      </w:r>
      <w:r w:rsidR="00411F4C">
        <w:t>substance name for all permitted 2′-FL</w:t>
      </w:r>
      <w:r w:rsidR="00C13D7D">
        <w:t>.</w:t>
      </w:r>
      <w:bookmarkStart w:id="166" w:name="_Toc11735637"/>
      <w:bookmarkStart w:id="167" w:name="_Toc29883122"/>
      <w:bookmarkStart w:id="168" w:name="_Toc41906809"/>
      <w:bookmarkStart w:id="169" w:name="_Toc41907556"/>
      <w:bookmarkStart w:id="170" w:name="_Toc120358587"/>
      <w:bookmarkStart w:id="171" w:name="_Toc175381446"/>
      <w:bookmarkStart w:id="172" w:name="_Toc175381454"/>
      <w:r w:rsidR="006367FF">
        <w:t xml:space="preserve"> </w:t>
      </w:r>
    </w:p>
    <w:p w14:paraId="7B257B9A" w14:textId="77777777" w:rsidR="006367FF" w:rsidRDefault="006367FF" w:rsidP="00E8122F">
      <w:pPr>
        <w:widowControl/>
        <w:jc w:val="both"/>
      </w:pPr>
    </w:p>
    <w:p w14:paraId="1D119039" w14:textId="5A85F258" w:rsidR="00AB0275" w:rsidRDefault="006367FF" w:rsidP="00E8122F">
      <w:pPr>
        <w:widowControl/>
        <w:jc w:val="both"/>
      </w:pPr>
      <w:r>
        <w:t>This proposed amendment is a consequence of the proposed amendments in items [2] and [3] above.</w:t>
      </w:r>
    </w:p>
    <w:bookmarkEnd w:id="166"/>
    <w:bookmarkEnd w:id="167"/>
    <w:bookmarkEnd w:id="168"/>
    <w:bookmarkEnd w:id="169"/>
    <w:bookmarkEnd w:id="170"/>
    <w:bookmarkEnd w:id="171"/>
    <w:bookmarkEnd w:id="172"/>
    <w:p w14:paraId="45D6A3E9" w14:textId="007BA8B8" w:rsidR="007C174F" w:rsidRDefault="007C174F" w:rsidP="00E8122F">
      <w:pPr>
        <w:widowControl/>
        <w:rPr>
          <w:rFonts w:cs="Arial"/>
        </w:rPr>
      </w:pPr>
    </w:p>
    <w:sectPr w:rsidR="007C174F" w:rsidSect="00DC365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42CAB" w14:textId="77777777" w:rsidR="00F733E6" w:rsidRDefault="00F733E6">
      <w:r>
        <w:separator/>
      </w:r>
    </w:p>
  </w:endnote>
  <w:endnote w:type="continuationSeparator" w:id="0">
    <w:p w14:paraId="2724B6F9" w14:textId="77777777" w:rsidR="00F733E6" w:rsidRDefault="00F733E6">
      <w:r>
        <w:continuationSeparator/>
      </w:r>
    </w:p>
  </w:endnote>
  <w:endnote w:type="continuationNotice" w:id="1">
    <w:p w14:paraId="0B51A4BB" w14:textId="77777777" w:rsidR="00F733E6" w:rsidRDefault="00F73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402171"/>
      <w:docPartObj>
        <w:docPartGallery w:val="Page Numbers (Bottom of Page)"/>
        <w:docPartUnique/>
      </w:docPartObj>
    </w:sdtPr>
    <w:sdtEndPr>
      <w:rPr>
        <w:noProof/>
      </w:rPr>
    </w:sdtEndPr>
    <w:sdtContent>
      <w:p w14:paraId="36391BC9" w14:textId="186A6E49" w:rsidR="00B44C5D" w:rsidRDefault="00B44C5D" w:rsidP="00464EFC">
        <w:pPr>
          <w:pStyle w:val="Footer"/>
          <w:jc w:val="center"/>
        </w:pPr>
        <w:r>
          <w:fldChar w:fldCharType="begin"/>
        </w:r>
        <w:r>
          <w:instrText xml:space="preserve"> PAGE   \* MERGEFORMAT </w:instrText>
        </w:r>
        <w:r>
          <w:fldChar w:fldCharType="separate"/>
        </w:r>
        <w:r w:rsidR="00194DE3">
          <w:rPr>
            <w:noProof/>
          </w:rP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9221D" w14:textId="77777777" w:rsidR="00F733E6" w:rsidRDefault="00F733E6">
      <w:r>
        <w:separator/>
      </w:r>
    </w:p>
  </w:footnote>
  <w:footnote w:type="continuationSeparator" w:id="0">
    <w:p w14:paraId="1C1D6ABB" w14:textId="77777777" w:rsidR="00F733E6" w:rsidRDefault="00F733E6">
      <w:r>
        <w:continuationSeparator/>
      </w:r>
    </w:p>
  </w:footnote>
  <w:footnote w:type="continuationNotice" w:id="1">
    <w:p w14:paraId="659B1299" w14:textId="77777777" w:rsidR="00F733E6" w:rsidRDefault="00F733E6"/>
  </w:footnote>
  <w:footnote w:id="2">
    <w:p w14:paraId="4630CCF7" w14:textId="6C0A5E93" w:rsidR="00B44C5D" w:rsidRPr="00350E09" w:rsidRDefault="00B44C5D" w:rsidP="00350E09">
      <w:pPr>
        <w:pStyle w:val="Heading1"/>
        <w:shd w:val="clear" w:color="auto" w:fill="FFFFFF"/>
        <w:rPr>
          <w:lang w:val="en-AU"/>
        </w:rPr>
      </w:pPr>
      <w:r w:rsidRPr="00350E09">
        <w:rPr>
          <w:rStyle w:val="FootnoteReference"/>
          <w:rFonts w:cs="Arial"/>
          <w:b w:val="0"/>
          <w:sz w:val="16"/>
        </w:rPr>
        <w:footnoteRef/>
      </w:r>
      <w:r w:rsidRPr="00350E09">
        <w:rPr>
          <w:rFonts w:cs="Arial"/>
          <w:b w:val="0"/>
          <w:sz w:val="16"/>
        </w:rPr>
        <w:t xml:space="preserve"> </w:t>
      </w:r>
      <w:r w:rsidRPr="00350E09">
        <w:rPr>
          <w:rFonts w:eastAsia="Microsoft YaHei" w:cs="Arial"/>
          <w:b w:val="0"/>
          <w:bCs w:val="0"/>
          <w:sz w:val="16"/>
        </w:rPr>
        <w:t>Chr. Hansen</w:t>
      </w:r>
      <w:r>
        <w:rPr>
          <w:rFonts w:eastAsia="Microsoft YaHei" w:cs="Arial"/>
          <w:b w:val="0"/>
          <w:bCs w:val="0"/>
          <w:sz w:val="16"/>
        </w:rPr>
        <w:t xml:space="preserve"> A/S</w:t>
      </w:r>
      <w:r w:rsidRPr="00350E09">
        <w:rPr>
          <w:rFonts w:eastAsia="Microsoft YaHei" w:cs="Arial"/>
          <w:b w:val="0"/>
          <w:bCs w:val="0"/>
          <w:sz w:val="16"/>
        </w:rPr>
        <w:t xml:space="preserve"> acquired Jennewein Biotechnologie GmbH</w:t>
      </w:r>
      <w:r>
        <w:rPr>
          <w:rFonts w:eastAsia="Microsoft YaHei" w:cs="Arial"/>
          <w:b w:val="0"/>
          <w:bCs w:val="0"/>
          <w:sz w:val="16"/>
        </w:rPr>
        <w:t xml:space="preserve"> following acceptance of the application by FSANZ. The applicant is now </w:t>
      </w:r>
      <w:r w:rsidRPr="002550B9">
        <w:rPr>
          <w:rFonts w:eastAsia="Microsoft YaHei" w:cs="Arial"/>
          <w:b w:val="0"/>
          <w:bCs w:val="0"/>
          <w:sz w:val="16"/>
        </w:rPr>
        <w:t>Chr. Hansen</w:t>
      </w:r>
      <w:r>
        <w:rPr>
          <w:rFonts w:eastAsia="Microsoft YaHei" w:cs="Arial"/>
          <w:b w:val="0"/>
          <w:bCs w:val="0"/>
          <w:sz w:val="16"/>
        </w:rPr>
        <w:t>.</w:t>
      </w:r>
    </w:p>
  </w:footnote>
  <w:footnote w:id="3">
    <w:p w14:paraId="7932F219" w14:textId="0C663CB8" w:rsidR="00B44C5D" w:rsidRPr="00930E30" w:rsidRDefault="00B44C5D">
      <w:pPr>
        <w:pStyle w:val="FootnoteText"/>
        <w:rPr>
          <w:sz w:val="18"/>
          <w:lang w:val="en-AU"/>
        </w:rPr>
      </w:pPr>
      <w:r w:rsidRPr="00930E30">
        <w:rPr>
          <w:rStyle w:val="FootnoteReference"/>
          <w:sz w:val="18"/>
        </w:rPr>
        <w:footnoteRef/>
      </w:r>
      <w:r w:rsidRPr="00930E30">
        <w:rPr>
          <w:sz w:val="18"/>
        </w:rPr>
        <w:t xml:space="preserve"> </w:t>
      </w:r>
      <w:r w:rsidRPr="00930E30">
        <w:rPr>
          <w:sz w:val="18"/>
          <w:szCs w:val="22"/>
        </w:rPr>
        <w:t xml:space="preserve">Including </w:t>
      </w:r>
      <w:r w:rsidRPr="00930E30">
        <w:rPr>
          <w:sz w:val="18"/>
          <w:lang w:val="en-AU"/>
        </w:rPr>
        <w:t>infant formula, follow-on formula and infant formula products for special dietary use.</w:t>
      </w:r>
    </w:p>
  </w:footnote>
  <w:footnote w:id="4">
    <w:p w14:paraId="12B4CFFB" w14:textId="1AD5188C" w:rsidR="00B44C5D" w:rsidRPr="00930E30" w:rsidRDefault="00B44C5D" w:rsidP="00216FDF">
      <w:pPr>
        <w:pStyle w:val="FootnoteText"/>
        <w:rPr>
          <w:sz w:val="18"/>
          <w:lang w:val="en-AU"/>
        </w:rPr>
      </w:pPr>
      <w:r w:rsidRPr="00930E30">
        <w:rPr>
          <w:rStyle w:val="FootnoteReference"/>
          <w:sz w:val="18"/>
        </w:rPr>
        <w:footnoteRef/>
      </w:r>
      <w:r w:rsidRPr="00930E30">
        <w:rPr>
          <w:sz w:val="18"/>
        </w:rPr>
        <w:t xml:space="preserve"> ‘T</w:t>
      </w:r>
      <w:r w:rsidRPr="00930E30">
        <w:rPr>
          <w:sz w:val="18"/>
          <w:szCs w:val="22"/>
        </w:rPr>
        <w:t>oddler milk’ is the main type of FSFYC currently available.</w:t>
      </w:r>
    </w:p>
  </w:footnote>
  <w:footnote w:id="5">
    <w:p w14:paraId="64F12E50" w14:textId="756213E8" w:rsidR="00B44C5D" w:rsidRPr="00930E30" w:rsidRDefault="00B44C5D">
      <w:pPr>
        <w:pStyle w:val="FootnoteText"/>
        <w:rPr>
          <w:lang w:val="en-AU"/>
        </w:rPr>
      </w:pPr>
      <w:r w:rsidRPr="00930E30">
        <w:rPr>
          <w:rStyle w:val="FootnoteReference"/>
          <w:sz w:val="18"/>
        </w:rPr>
        <w:footnoteRef/>
      </w:r>
      <w:r w:rsidRPr="00930E30">
        <w:rPr>
          <w:sz w:val="18"/>
        </w:rPr>
        <w:t xml:space="preserve"> </w:t>
      </w:r>
      <w:r w:rsidRPr="00930E30">
        <w:rPr>
          <w:sz w:val="18"/>
          <w:szCs w:val="22"/>
        </w:rPr>
        <w:t xml:space="preserve">2′-FL exists naturally in human milk and can be synthesised chemically or through microbial fermentation. The </w:t>
      </w:r>
      <w:r>
        <w:rPr>
          <w:sz w:val="18"/>
          <w:szCs w:val="22"/>
        </w:rPr>
        <w:t xml:space="preserve">A1190 </w:t>
      </w:r>
      <w:r w:rsidRPr="00930E30">
        <w:rPr>
          <w:sz w:val="18"/>
          <w:szCs w:val="22"/>
        </w:rPr>
        <w:t xml:space="preserve">SD1 refers to </w:t>
      </w:r>
      <w:r w:rsidRPr="00930E30">
        <w:rPr>
          <w:sz w:val="18"/>
        </w:rPr>
        <w:t>2′-FL</w:t>
      </w:r>
      <w:r w:rsidRPr="00930E30">
        <w:rPr>
          <w:sz w:val="18"/>
          <w:vertAlign w:val="subscript"/>
        </w:rPr>
        <w:t>human</w:t>
      </w:r>
      <w:r w:rsidRPr="00930E30">
        <w:rPr>
          <w:sz w:val="18"/>
          <w:szCs w:val="22"/>
        </w:rPr>
        <w:t xml:space="preserve"> / </w:t>
      </w:r>
      <w:r w:rsidRPr="00930E30">
        <w:rPr>
          <w:sz w:val="18"/>
        </w:rPr>
        <w:t>2′-FL</w:t>
      </w:r>
      <w:r w:rsidRPr="00930E30">
        <w:rPr>
          <w:sz w:val="18"/>
          <w:vertAlign w:val="subscript"/>
        </w:rPr>
        <w:t>chem</w:t>
      </w:r>
      <w:r w:rsidRPr="00930E30">
        <w:rPr>
          <w:sz w:val="18"/>
        </w:rPr>
        <w:t xml:space="preserve"> / 2′-FL</w:t>
      </w:r>
      <w:r w:rsidRPr="00930E30">
        <w:rPr>
          <w:sz w:val="18"/>
          <w:vertAlign w:val="subscript"/>
        </w:rPr>
        <w:t>micro</w:t>
      </w:r>
      <w:r w:rsidRPr="00930E30">
        <w:rPr>
          <w:sz w:val="18"/>
        </w:rPr>
        <w:t xml:space="preserve"> (respectively)</w:t>
      </w:r>
      <w:r>
        <w:rPr>
          <w:sz w:val="18"/>
        </w:rPr>
        <w:t>,</w:t>
      </w:r>
      <w:r w:rsidRPr="00930E30">
        <w:rPr>
          <w:sz w:val="18"/>
        </w:rPr>
        <w:t xml:space="preserve"> as studies have been done on the different forms, however for the purposes of this </w:t>
      </w:r>
      <w:r>
        <w:rPr>
          <w:sz w:val="18"/>
        </w:rPr>
        <w:t>report</w:t>
      </w:r>
      <w:r w:rsidRPr="00930E30">
        <w:rPr>
          <w:sz w:val="18"/>
        </w:rPr>
        <w:t xml:space="preserve"> ‘2′-FL’ refers </w:t>
      </w:r>
      <w:r>
        <w:rPr>
          <w:sz w:val="18"/>
        </w:rPr>
        <w:t xml:space="preserve">only </w:t>
      </w:r>
      <w:r w:rsidRPr="00930E30">
        <w:rPr>
          <w:sz w:val="18"/>
        </w:rPr>
        <w:t>to the applicant’s 2′-FL</w:t>
      </w:r>
      <w:r w:rsidRPr="00930E30">
        <w:rPr>
          <w:sz w:val="18"/>
          <w:vertAlign w:val="subscript"/>
        </w:rPr>
        <w:t>micro</w:t>
      </w:r>
      <w:r w:rsidRPr="00930E30">
        <w:rPr>
          <w:sz w:val="18"/>
        </w:rPr>
        <w:t xml:space="preserve"> as the other forms are not referenced.</w:t>
      </w:r>
    </w:p>
  </w:footnote>
  <w:footnote w:id="6">
    <w:p w14:paraId="68E5E648" w14:textId="25676AD2" w:rsidR="00B44C5D" w:rsidRPr="005739BB" w:rsidRDefault="00B44C5D">
      <w:pPr>
        <w:pStyle w:val="FootnoteText"/>
        <w:rPr>
          <w:lang w:val="en-AU"/>
        </w:rPr>
      </w:pPr>
      <w:r>
        <w:rPr>
          <w:rStyle w:val="FootnoteReference"/>
        </w:rPr>
        <w:footnoteRef/>
      </w:r>
      <w:r>
        <w:t xml:space="preserve"> </w:t>
      </w:r>
      <w:r>
        <w:rPr>
          <w:sz w:val="18"/>
        </w:rPr>
        <w:t xml:space="preserve">When permitted for use with </w:t>
      </w:r>
      <w:r w:rsidRPr="00FF2359">
        <w:rPr>
          <w:iCs/>
          <w:sz w:val="18"/>
          <w:lang w:val="en-AU"/>
        </w:rPr>
        <w:t xml:space="preserve">lacto-N-neotetraose </w:t>
      </w:r>
      <w:r>
        <w:rPr>
          <w:iCs/>
          <w:sz w:val="18"/>
          <w:lang w:val="en-AU"/>
        </w:rPr>
        <w:t>(</w:t>
      </w:r>
      <w:r>
        <w:rPr>
          <w:sz w:val="18"/>
        </w:rPr>
        <w:t>LNnT), these levels are reduced.</w:t>
      </w:r>
    </w:p>
  </w:footnote>
  <w:footnote w:id="7">
    <w:p w14:paraId="297FC1D4" w14:textId="77777777" w:rsidR="00B44C5D" w:rsidRPr="00EF01C8" w:rsidRDefault="00B44C5D" w:rsidP="005663E7">
      <w:pPr>
        <w:pStyle w:val="FootnoteText"/>
        <w:rPr>
          <w:sz w:val="18"/>
          <w:szCs w:val="18"/>
          <w:lang w:val="en-AU"/>
        </w:rPr>
      </w:pPr>
      <w:r w:rsidRPr="00EF01C8">
        <w:rPr>
          <w:rStyle w:val="FootnoteReference"/>
          <w:sz w:val="18"/>
          <w:szCs w:val="18"/>
        </w:rPr>
        <w:footnoteRef/>
      </w:r>
      <w:r w:rsidRPr="00EF01C8">
        <w:rPr>
          <w:sz w:val="18"/>
          <w:szCs w:val="18"/>
        </w:rPr>
        <w:t xml:space="preserve"> ‘</w:t>
      </w:r>
      <w:r w:rsidRPr="00EF01C8">
        <w:rPr>
          <w:sz w:val="18"/>
          <w:szCs w:val="18"/>
          <w:lang w:val="en-AU"/>
        </w:rPr>
        <w:t xml:space="preserve">Follow-up Formula’ is currently defined by Codex as </w:t>
      </w:r>
      <w:r w:rsidRPr="00EF01C8">
        <w:rPr>
          <w:i/>
          <w:sz w:val="18"/>
          <w:szCs w:val="18"/>
          <w:lang w:val="en-AU"/>
        </w:rPr>
        <w:t>a food intended for use as a liquid part of the weaning diet for the infant from the 6</w:t>
      </w:r>
      <w:r w:rsidRPr="00EF01C8">
        <w:rPr>
          <w:i/>
          <w:sz w:val="18"/>
          <w:szCs w:val="18"/>
          <w:vertAlign w:val="superscript"/>
          <w:lang w:val="en-AU"/>
        </w:rPr>
        <w:t>th</w:t>
      </w:r>
      <w:r w:rsidRPr="00EF01C8">
        <w:rPr>
          <w:i/>
          <w:sz w:val="18"/>
          <w:szCs w:val="18"/>
          <w:lang w:val="en-AU"/>
        </w:rPr>
        <w:t xml:space="preserve"> month on and for young children </w:t>
      </w:r>
      <w:r w:rsidRPr="00EF01C8">
        <w:rPr>
          <w:sz w:val="18"/>
          <w:szCs w:val="18"/>
          <w:lang w:val="en-AU"/>
        </w:rPr>
        <w:t xml:space="preserve">(12-36 months). </w:t>
      </w:r>
    </w:p>
  </w:footnote>
  <w:footnote w:id="8">
    <w:p w14:paraId="253BAB73" w14:textId="45551676" w:rsidR="00B44C5D" w:rsidRPr="00EF01C8" w:rsidRDefault="00B44C5D" w:rsidP="005663E7">
      <w:pPr>
        <w:pStyle w:val="FootnoteText"/>
        <w:rPr>
          <w:sz w:val="18"/>
          <w:szCs w:val="18"/>
          <w:lang w:val="en-AU"/>
        </w:rPr>
      </w:pPr>
      <w:r w:rsidRPr="00EF01C8">
        <w:rPr>
          <w:rStyle w:val="FootnoteReference"/>
          <w:sz w:val="18"/>
          <w:szCs w:val="18"/>
        </w:rPr>
        <w:footnoteRef/>
      </w:r>
      <w:r w:rsidRPr="00EF01C8">
        <w:rPr>
          <w:sz w:val="18"/>
          <w:szCs w:val="18"/>
        </w:rPr>
        <w:t xml:space="preserve"> Currently under review by CCNFSDU. For further information, search on the </w:t>
      </w:r>
      <w:hyperlink r:id="rId1" w:history="1">
        <w:r w:rsidRPr="00EF01C8">
          <w:rPr>
            <w:rStyle w:val="Hyperlink"/>
            <w:sz w:val="18"/>
            <w:szCs w:val="18"/>
          </w:rPr>
          <w:t>Codex Alimentarius website</w:t>
        </w:r>
      </w:hyperlink>
      <w:r w:rsidRPr="00EF01C8">
        <w:rPr>
          <w:sz w:val="18"/>
          <w:szCs w:val="18"/>
        </w:rPr>
        <w:t xml:space="preserve">. </w:t>
      </w:r>
    </w:p>
  </w:footnote>
  <w:footnote w:id="9">
    <w:p w14:paraId="7D2D0E8D" w14:textId="3DA07544" w:rsidR="00B44C5D" w:rsidRPr="00EF01C8" w:rsidRDefault="00B44C5D" w:rsidP="005663E7">
      <w:pPr>
        <w:pStyle w:val="FootnoteText"/>
        <w:rPr>
          <w:sz w:val="18"/>
          <w:szCs w:val="18"/>
          <w:lang w:val="en-AU"/>
        </w:rPr>
      </w:pPr>
      <w:r w:rsidRPr="00EF01C8">
        <w:rPr>
          <w:rStyle w:val="FootnoteReference"/>
          <w:sz w:val="18"/>
          <w:szCs w:val="18"/>
        </w:rPr>
        <w:footnoteRef/>
      </w:r>
      <w:r w:rsidRPr="00EF01C8">
        <w:rPr>
          <w:sz w:val="18"/>
          <w:szCs w:val="18"/>
        </w:rPr>
        <w:t xml:space="preserve"> </w:t>
      </w:r>
      <w:r w:rsidRPr="00EF01C8">
        <w:rPr>
          <w:sz w:val="18"/>
          <w:szCs w:val="18"/>
          <w:lang w:val="en-AU"/>
        </w:rPr>
        <w:t>‘No questions’ response means the USFDA does not question the basis for the notifier’s GRAS conclusion (USFDA 2015).</w:t>
      </w:r>
    </w:p>
  </w:footnote>
  <w:footnote w:id="10">
    <w:p w14:paraId="449424C5" w14:textId="420A29F6" w:rsidR="00B44C5D" w:rsidRPr="00CA7FDA" w:rsidRDefault="00B44C5D" w:rsidP="005663E7">
      <w:pPr>
        <w:pStyle w:val="FootnoteText"/>
        <w:rPr>
          <w:lang w:val="en-AU"/>
        </w:rPr>
      </w:pPr>
      <w:r w:rsidRPr="00EF01C8">
        <w:rPr>
          <w:rStyle w:val="FootnoteReference"/>
          <w:sz w:val="18"/>
          <w:szCs w:val="18"/>
        </w:rPr>
        <w:footnoteRef/>
      </w:r>
      <w:r w:rsidRPr="00EF01C8">
        <w:rPr>
          <w:sz w:val="18"/>
          <w:szCs w:val="18"/>
        </w:rPr>
        <w:t xml:space="preserve"> ‘</w:t>
      </w:r>
      <w:r w:rsidRPr="00EF01C8">
        <w:rPr>
          <w:sz w:val="18"/>
          <w:szCs w:val="18"/>
          <w:lang w:val="en-AU"/>
        </w:rPr>
        <w:t xml:space="preserve">Infant formula’, ‘follow-on formula’, ‘foods for special medical purposes’ and ‘young children’ are defined in </w:t>
      </w:r>
      <w:hyperlink r:id="rId2" w:history="1">
        <w:r w:rsidRPr="00EF01C8">
          <w:rPr>
            <w:rStyle w:val="Hyperlink"/>
            <w:sz w:val="18"/>
            <w:szCs w:val="18"/>
            <w:lang w:val="en-AU"/>
          </w:rPr>
          <w:t>Regulation (EU) No 609/2013</w:t>
        </w:r>
      </w:hyperlink>
      <w:r w:rsidRPr="00EF01C8">
        <w:rPr>
          <w:sz w:val="18"/>
          <w:szCs w:val="18"/>
          <w:lang w:val="en-AU"/>
        </w:rPr>
        <w:t>.</w:t>
      </w:r>
    </w:p>
  </w:footnote>
  <w:footnote w:id="11">
    <w:p w14:paraId="448637E4" w14:textId="14AF82F1" w:rsidR="00341C8F" w:rsidRPr="00341C8F" w:rsidRDefault="00341C8F">
      <w:pPr>
        <w:pStyle w:val="FootnoteText"/>
        <w:rPr>
          <w:lang w:val="en-AU"/>
        </w:rPr>
      </w:pPr>
      <w:r w:rsidRPr="00341C8F">
        <w:rPr>
          <w:rStyle w:val="FootnoteReference"/>
          <w:sz w:val="18"/>
        </w:rPr>
        <w:footnoteRef/>
      </w:r>
      <w:r w:rsidRPr="00341C8F">
        <w:rPr>
          <w:sz w:val="18"/>
        </w:rPr>
        <w:t xml:space="preserve"> For a full list of countries or regions where the applicant markets their 2</w:t>
      </w:r>
      <w:r w:rsidRPr="00341C8F">
        <w:rPr>
          <w:bCs/>
          <w:sz w:val="18"/>
        </w:rPr>
        <w:t>′-FL</w:t>
      </w:r>
      <w:r w:rsidRPr="00341C8F">
        <w:rPr>
          <w:sz w:val="18"/>
        </w:rPr>
        <w:t>, please see Table 29 on page 88 of the application.</w:t>
      </w:r>
    </w:p>
  </w:footnote>
  <w:footnote w:id="12">
    <w:p w14:paraId="7B477874" w14:textId="2A5F6BA3" w:rsidR="00B44C5D" w:rsidRPr="00582642" w:rsidRDefault="00B44C5D">
      <w:pPr>
        <w:pStyle w:val="FootnoteText"/>
        <w:rPr>
          <w:lang w:val="en-AU"/>
        </w:rPr>
      </w:pPr>
      <w:r w:rsidRPr="00F8404D">
        <w:rPr>
          <w:rStyle w:val="FootnoteReference"/>
          <w:sz w:val="18"/>
        </w:rPr>
        <w:footnoteRef/>
      </w:r>
      <w:r w:rsidRPr="00F8404D">
        <w:rPr>
          <w:sz w:val="18"/>
        </w:rPr>
        <w:t xml:space="preserve"> 2</w:t>
      </w:r>
      <w:r w:rsidRPr="00F8404D">
        <w:rPr>
          <w:rFonts w:cs="Arial"/>
          <w:sz w:val="18"/>
        </w:rPr>
        <w:t>′</w:t>
      </w:r>
      <w:r w:rsidRPr="00F8404D">
        <w:rPr>
          <w:sz w:val="18"/>
        </w:rPr>
        <w:t>-fucosyllactose</w:t>
      </w:r>
      <w:r w:rsidRPr="00F8404D" w:rsidDel="008019EA">
        <w:rPr>
          <w:sz w:val="18"/>
        </w:rPr>
        <w:t xml:space="preserve"> </w:t>
      </w:r>
      <w:r w:rsidRPr="00F8404D">
        <w:rPr>
          <w:sz w:val="18"/>
        </w:rPr>
        <w:t>is also known as 2</w:t>
      </w:r>
      <w:r w:rsidRPr="00F8404D">
        <w:rPr>
          <w:rFonts w:cs="Arial"/>
          <w:sz w:val="18"/>
        </w:rPr>
        <w:t>′</w:t>
      </w:r>
      <w:r w:rsidRPr="00F8404D">
        <w:rPr>
          <w:sz w:val="18"/>
        </w:rPr>
        <w:t>-O-</w:t>
      </w:r>
      <w:r w:rsidRPr="00F8404D" w:rsidDel="008019EA">
        <w:rPr>
          <w:sz w:val="18"/>
        </w:rPr>
        <w:t>fucosyllactose</w:t>
      </w:r>
      <w:r w:rsidRPr="00F8404D">
        <w:rPr>
          <w:sz w:val="18"/>
        </w:rPr>
        <w:t xml:space="preserve">. The </w:t>
      </w:r>
      <w:r w:rsidRPr="00F8404D">
        <w:rPr>
          <w:i/>
          <w:sz w:val="18"/>
        </w:rPr>
        <w:t>O</w:t>
      </w:r>
      <w:r w:rsidRPr="00F8404D">
        <w:rPr>
          <w:sz w:val="18"/>
        </w:rPr>
        <w:t xml:space="preserve"> indicates the fucosyl group is attached to an oxygen residue.</w:t>
      </w:r>
    </w:p>
  </w:footnote>
  <w:footnote w:id="13">
    <w:p w14:paraId="1812097D" w14:textId="77777777" w:rsidR="00B44C5D" w:rsidRPr="00D86BB2" w:rsidRDefault="00B44C5D" w:rsidP="00F11A4C">
      <w:pPr>
        <w:pStyle w:val="FootnoteText"/>
        <w:rPr>
          <w:sz w:val="18"/>
          <w:szCs w:val="18"/>
          <w:lang w:val="en-AU"/>
        </w:rPr>
      </w:pPr>
      <w:r w:rsidRPr="00D86BB2">
        <w:rPr>
          <w:rStyle w:val="FootnoteReference"/>
          <w:sz w:val="18"/>
          <w:szCs w:val="18"/>
        </w:rPr>
        <w:footnoteRef/>
      </w:r>
      <w:r w:rsidRPr="00D86BB2">
        <w:rPr>
          <w:sz w:val="18"/>
          <w:szCs w:val="18"/>
        </w:rPr>
        <w:t xml:space="preserve"> </w:t>
      </w:r>
      <w:r w:rsidRPr="00D86BB2">
        <w:rPr>
          <w:sz w:val="18"/>
          <w:szCs w:val="18"/>
          <w:lang w:val="en-AU"/>
        </w:rPr>
        <w:t xml:space="preserve">For more information, see the </w:t>
      </w:r>
      <w:hyperlink r:id="rId3" w:history="1">
        <w:r w:rsidRPr="00D86BB2">
          <w:rPr>
            <w:rStyle w:val="Hyperlink"/>
            <w:sz w:val="18"/>
            <w:szCs w:val="18"/>
            <w:lang w:val="en-AU"/>
          </w:rPr>
          <w:t>A1155 Approval Report</w:t>
        </w:r>
      </w:hyperlink>
    </w:p>
  </w:footnote>
  <w:footnote w:id="14">
    <w:p w14:paraId="0702BC35" w14:textId="77777777" w:rsidR="00B44C5D" w:rsidRPr="00D86BB2" w:rsidRDefault="00B44C5D" w:rsidP="00F11A4C">
      <w:pPr>
        <w:pStyle w:val="FootnoteText"/>
        <w:rPr>
          <w:sz w:val="18"/>
          <w:szCs w:val="18"/>
          <w:lang w:val="en-AU"/>
        </w:rPr>
      </w:pPr>
      <w:r w:rsidRPr="00D86BB2">
        <w:rPr>
          <w:rStyle w:val="FootnoteReference"/>
          <w:sz w:val="18"/>
          <w:szCs w:val="18"/>
        </w:rPr>
        <w:footnoteRef/>
      </w:r>
      <w:r w:rsidRPr="00D86BB2">
        <w:rPr>
          <w:sz w:val="18"/>
          <w:szCs w:val="18"/>
        </w:rPr>
        <w:t xml:space="preserve"> </w:t>
      </w:r>
      <w:r w:rsidRPr="00D86BB2">
        <w:rPr>
          <w:sz w:val="18"/>
          <w:szCs w:val="18"/>
          <w:lang w:val="en-AU"/>
        </w:rPr>
        <w:t xml:space="preserve">For more information, see the </w:t>
      </w:r>
      <w:hyperlink r:id="rId4" w:history="1">
        <w:r w:rsidRPr="00D86BB2">
          <w:rPr>
            <w:rStyle w:val="Hyperlink"/>
            <w:sz w:val="18"/>
            <w:szCs w:val="18"/>
            <w:lang w:val="en-AU"/>
          </w:rPr>
          <w:t>A1155 Review Report</w:t>
        </w:r>
      </w:hyperlink>
    </w:p>
  </w:footnote>
  <w:footnote w:id="15">
    <w:p w14:paraId="0E2B8758" w14:textId="77777777" w:rsidR="00B44C5D" w:rsidRPr="00A239A5" w:rsidRDefault="00B44C5D" w:rsidP="00C47FF7">
      <w:pPr>
        <w:pStyle w:val="FootnoteText"/>
        <w:rPr>
          <w:lang w:val="en-AU"/>
        </w:rPr>
      </w:pPr>
      <w:r w:rsidRPr="00D86BB2">
        <w:rPr>
          <w:rStyle w:val="FootnoteReference"/>
          <w:sz w:val="18"/>
          <w:szCs w:val="18"/>
        </w:rPr>
        <w:footnoteRef/>
      </w:r>
      <w:r w:rsidRPr="00D86BB2">
        <w:rPr>
          <w:sz w:val="18"/>
          <w:szCs w:val="18"/>
        </w:rPr>
        <w:t xml:space="preserve"> </w:t>
      </w:r>
      <w:hyperlink r:id="rId5" w:history="1">
        <w:r w:rsidRPr="00D86BB2">
          <w:rPr>
            <w:rStyle w:val="Hyperlink"/>
            <w:sz w:val="18"/>
            <w:szCs w:val="18"/>
            <w:lang w:val="en-AU"/>
          </w:rPr>
          <w:t>See the Australia and New Zealand Ministerial Forum on Food Regulation Communique 27 November 2020</w:t>
        </w:r>
      </w:hyperlink>
    </w:p>
  </w:footnote>
  <w:footnote w:id="16">
    <w:p w14:paraId="2BC22048" w14:textId="72137419" w:rsidR="00B44C5D" w:rsidRPr="00E533C9" w:rsidRDefault="00B44C5D">
      <w:pPr>
        <w:pStyle w:val="FootnoteText"/>
        <w:rPr>
          <w:sz w:val="18"/>
          <w:szCs w:val="18"/>
          <w:lang w:val="en-AU"/>
        </w:rPr>
      </w:pPr>
      <w:r w:rsidRPr="00E533C9">
        <w:rPr>
          <w:rStyle w:val="FootnoteReference"/>
          <w:sz w:val="18"/>
          <w:szCs w:val="18"/>
        </w:rPr>
        <w:footnoteRef/>
      </w:r>
      <w:r w:rsidRPr="00E533C9">
        <w:rPr>
          <w:sz w:val="18"/>
          <w:szCs w:val="18"/>
        </w:rPr>
        <w:t xml:space="preserve"> </w:t>
      </w:r>
      <w:r w:rsidRPr="00E533C9">
        <w:rPr>
          <w:sz w:val="18"/>
          <w:szCs w:val="18"/>
          <w:lang w:val="en-AU"/>
        </w:rPr>
        <w:t>Souces: ABARES Stats for Australian IFP Exports 2018 “19011000” and New Zealand MPI Stats for New Zealand Exports – Tarriff Code HS 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68B8E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77936"/>
    <w:multiLevelType w:val="hybridMultilevel"/>
    <w:tmpl w:val="A1C204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13DC3"/>
    <w:multiLevelType w:val="hybridMultilevel"/>
    <w:tmpl w:val="5D9CAE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A67DB7"/>
    <w:multiLevelType w:val="hybridMultilevel"/>
    <w:tmpl w:val="752A4FA0"/>
    <w:lvl w:ilvl="0" w:tplc="D27090C2">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13CE0723"/>
    <w:multiLevelType w:val="hybridMultilevel"/>
    <w:tmpl w:val="05389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1220D5"/>
    <w:multiLevelType w:val="hybridMultilevel"/>
    <w:tmpl w:val="86585F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86A4D"/>
    <w:multiLevelType w:val="hybridMultilevel"/>
    <w:tmpl w:val="3AD68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6E468D"/>
    <w:multiLevelType w:val="hybridMultilevel"/>
    <w:tmpl w:val="D74E8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A75A53"/>
    <w:multiLevelType w:val="hybridMultilevel"/>
    <w:tmpl w:val="D79ADD68"/>
    <w:lvl w:ilvl="0" w:tplc="DB2230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25FC0"/>
    <w:multiLevelType w:val="hybridMultilevel"/>
    <w:tmpl w:val="0C600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E632CC"/>
    <w:multiLevelType w:val="hybridMultilevel"/>
    <w:tmpl w:val="E2BE5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815771"/>
    <w:multiLevelType w:val="hybridMultilevel"/>
    <w:tmpl w:val="1AAEF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6A1E45"/>
    <w:multiLevelType w:val="hybridMultilevel"/>
    <w:tmpl w:val="E7008062"/>
    <w:lvl w:ilvl="0" w:tplc="903275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41CC2"/>
    <w:multiLevelType w:val="hybridMultilevel"/>
    <w:tmpl w:val="F1807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315BAB"/>
    <w:multiLevelType w:val="hybridMultilevel"/>
    <w:tmpl w:val="277AE6CC"/>
    <w:lvl w:ilvl="0" w:tplc="DB2230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FA0076"/>
    <w:multiLevelType w:val="hybridMultilevel"/>
    <w:tmpl w:val="324A9908"/>
    <w:lvl w:ilvl="0" w:tplc="2B48B72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5A6584"/>
    <w:multiLevelType w:val="multilevel"/>
    <w:tmpl w:val="AD2AD98E"/>
    <w:lvl w:ilvl="0">
      <w:start w:val="3"/>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8E504C8"/>
    <w:multiLevelType w:val="hybridMultilevel"/>
    <w:tmpl w:val="1D884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142AFC"/>
    <w:multiLevelType w:val="hybridMultilevel"/>
    <w:tmpl w:val="016A8EBC"/>
    <w:lvl w:ilvl="0" w:tplc="612EBC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6213D9"/>
    <w:multiLevelType w:val="hybridMultilevel"/>
    <w:tmpl w:val="C4383D58"/>
    <w:lvl w:ilvl="0" w:tplc="1530161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1437BC"/>
    <w:multiLevelType w:val="hybridMultilevel"/>
    <w:tmpl w:val="EEC20A82"/>
    <w:lvl w:ilvl="0" w:tplc="D27090C2">
      <w:start w:val="1"/>
      <w:numFmt w:val="lowerLetter"/>
      <w:lvlText w:val="(%1)"/>
      <w:lvlJc w:val="left"/>
      <w:pPr>
        <w:ind w:left="721" w:hanging="360"/>
      </w:pPr>
      <w:rPr>
        <w:rFonts w:hint="default"/>
      </w:rPr>
    </w:lvl>
    <w:lvl w:ilvl="1" w:tplc="08090019">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26" w15:restartNumberingAfterBreak="0">
    <w:nsid w:val="339F1292"/>
    <w:multiLevelType w:val="hybridMultilevel"/>
    <w:tmpl w:val="AC5A8DFE"/>
    <w:lvl w:ilvl="0" w:tplc="3B9C604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C7591F"/>
    <w:multiLevelType w:val="hybridMultilevel"/>
    <w:tmpl w:val="875EC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1504D42"/>
    <w:multiLevelType w:val="hybridMultilevel"/>
    <w:tmpl w:val="59822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C27739"/>
    <w:multiLevelType w:val="hybridMultilevel"/>
    <w:tmpl w:val="8B6E6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6C55B8"/>
    <w:multiLevelType w:val="hybridMultilevel"/>
    <w:tmpl w:val="80C0ED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904087"/>
    <w:multiLevelType w:val="hybridMultilevel"/>
    <w:tmpl w:val="6C4A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D927E8"/>
    <w:multiLevelType w:val="hybridMultilevel"/>
    <w:tmpl w:val="38103E5E"/>
    <w:lvl w:ilvl="0" w:tplc="9032756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1CC4C74"/>
    <w:multiLevelType w:val="hybridMultilevel"/>
    <w:tmpl w:val="A6208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E9729F"/>
    <w:multiLevelType w:val="hybridMultilevel"/>
    <w:tmpl w:val="2C807A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592C2682"/>
    <w:multiLevelType w:val="hybridMultilevel"/>
    <w:tmpl w:val="AD5C28CE"/>
    <w:lvl w:ilvl="0" w:tplc="B7D283EE">
      <w:start w:val="1"/>
      <w:numFmt w:val="lowerLetter"/>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5B127E98"/>
    <w:multiLevelType w:val="hybridMultilevel"/>
    <w:tmpl w:val="4198F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107FDD"/>
    <w:multiLevelType w:val="hybridMultilevel"/>
    <w:tmpl w:val="28CA1AD2"/>
    <w:lvl w:ilvl="0" w:tplc="2D2EC8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 w15:restartNumberingAfterBreak="0">
    <w:nsid w:val="658143E8"/>
    <w:multiLevelType w:val="hybridMultilevel"/>
    <w:tmpl w:val="CF64D2D0"/>
    <w:lvl w:ilvl="0" w:tplc="AB8224B2">
      <w:start w:val="1"/>
      <w:numFmt w:val="lowerRoman"/>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6E76625"/>
    <w:multiLevelType w:val="hybridMultilevel"/>
    <w:tmpl w:val="C2C45FD2"/>
    <w:lvl w:ilvl="0" w:tplc="DB2230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543C78"/>
    <w:multiLevelType w:val="hybridMultilevel"/>
    <w:tmpl w:val="EFA425DE"/>
    <w:lvl w:ilvl="0" w:tplc="EB1C269E">
      <w:start w:val="1"/>
      <w:numFmt w:val="bullet"/>
      <w:lvlText w:val="-"/>
      <w:lvlJc w:val="left"/>
      <w:pPr>
        <w:ind w:left="930" w:hanging="363"/>
      </w:pPr>
      <w:rPr>
        <w:rFonts w:ascii="Arial" w:eastAsiaTheme="minorHAnsi" w:hAnsi="Arial" w:cs="Arial" w:hint="default"/>
      </w:rPr>
    </w:lvl>
    <w:lvl w:ilvl="1" w:tplc="0C090003" w:tentative="1">
      <w:start w:val="1"/>
      <w:numFmt w:val="bullet"/>
      <w:lvlText w:val="o"/>
      <w:lvlJc w:val="left"/>
      <w:pPr>
        <w:ind w:left="516" w:hanging="360"/>
      </w:pPr>
      <w:rPr>
        <w:rFonts w:ascii="Courier New" w:hAnsi="Courier New" w:cs="Courier New" w:hint="default"/>
      </w:rPr>
    </w:lvl>
    <w:lvl w:ilvl="2" w:tplc="0C090005" w:tentative="1">
      <w:start w:val="1"/>
      <w:numFmt w:val="bullet"/>
      <w:lvlText w:val=""/>
      <w:lvlJc w:val="left"/>
      <w:pPr>
        <w:ind w:left="1236" w:hanging="360"/>
      </w:pPr>
      <w:rPr>
        <w:rFonts w:ascii="Wingdings" w:hAnsi="Wingdings" w:hint="default"/>
      </w:rPr>
    </w:lvl>
    <w:lvl w:ilvl="3" w:tplc="0C090001" w:tentative="1">
      <w:start w:val="1"/>
      <w:numFmt w:val="bullet"/>
      <w:lvlText w:val=""/>
      <w:lvlJc w:val="left"/>
      <w:pPr>
        <w:ind w:left="1956" w:hanging="360"/>
      </w:pPr>
      <w:rPr>
        <w:rFonts w:ascii="Symbol" w:hAnsi="Symbol" w:hint="default"/>
      </w:rPr>
    </w:lvl>
    <w:lvl w:ilvl="4" w:tplc="0C090003" w:tentative="1">
      <w:start w:val="1"/>
      <w:numFmt w:val="bullet"/>
      <w:lvlText w:val="o"/>
      <w:lvlJc w:val="left"/>
      <w:pPr>
        <w:ind w:left="2676" w:hanging="360"/>
      </w:pPr>
      <w:rPr>
        <w:rFonts w:ascii="Courier New" w:hAnsi="Courier New" w:cs="Courier New" w:hint="default"/>
      </w:rPr>
    </w:lvl>
    <w:lvl w:ilvl="5" w:tplc="0C090005" w:tentative="1">
      <w:start w:val="1"/>
      <w:numFmt w:val="bullet"/>
      <w:lvlText w:val=""/>
      <w:lvlJc w:val="left"/>
      <w:pPr>
        <w:ind w:left="3396" w:hanging="360"/>
      </w:pPr>
      <w:rPr>
        <w:rFonts w:ascii="Wingdings" w:hAnsi="Wingdings" w:hint="default"/>
      </w:rPr>
    </w:lvl>
    <w:lvl w:ilvl="6" w:tplc="0C090001" w:tentative="1">
      <w:start w:val="1"/>
      <w:numFmt w:val="bullet"/>
      <w:lvlText w:val=""/>
      <w:lvlJc w:val="left"/>
      <w:pPr>
        <w:ind w:left="4116" w:hanging="360"/>
      </w:pPr>
      <w:rPr>
        <w:rFonts w:ascii="Symbol" w:hAnsi="Symbol" w:hint="default"/>
      </w:rPr>
    </w:lvl>
    <w:lvl w:ilvl="7" w:tplc="0C090003" w:tentative="1">
      <w:start w:val="1"/>
      <w:numFmt w:val="bullet"/>
      <w:lvlText w:val="o"/>
      <w:lvlJc w:val="left"/>
      <w:pPr>
        <w:ind w:left="4836" w:hanging="360"/>
      </w:pPr>
      <w:rPr>
        <w:rFonts w:ascii="Courier New" w:hAnsi="Courier New" w:cs="Courier New" w:hint="default"/>
      </w:rPr>
    </w:lvl>
    <w:lvl w:ilvl="8" w:tplc="0C090005" w:tentative="1">
      <w:start w:val="1"/>
      <w:numFmt w:val="bullet"/>
      <w:lvlText w:val=""/>
      <w:lvlJc w:val="left"/>
      <w:pPr>
        <w:ind w:left="5556" w:hanging="360"/>
      </w:pPr>
      <w:rPr>
        <w:rFonts w:ascii="Wingdings" w:hAnsi="Wingdings" w:hint="default"/>
      </w:rPr>
    </w:lvl>
  </w:abstractNum>
  <w:abstractNum w:abstractNumId="45"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6" w15:restartNumberingAfterBreak="0">
    <w:nsid w:val="750C1B52"/>
    <w:multiLevelType w:val="multilevel"/>
    <w:tmpl w:val="91A05208"/>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DB3011"/>
    <w:multiLevelType w:val="hybridMultilevel"/>
    <w:tmpl w:val="7E2AAD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4B3D83"/>
    <w:multiLevelType w:val="hybridMultilevel"/>
    <w:tmpl w:val="FC167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5B2938"/>
    <w:multiLevelType w:val="hybridMultilevel"/>
    <w:tmpl w:val="EDEA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CA12A2"/>
    <w:multiLevelType w:val="hybridMultilevel"/>
    <w:tmpl w:val="FE7C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F80228A"/>
    <w:multiLevelType w:val="hybridMultilevel"/>
    <w:tmpl w:val="016A8EBC"/>
    <w:lvl w:ilvl="0" w:tplc="612EBC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33"/>
  </w:num>
  <w:num w:numId="3">
    <w:abstractNumId w:val="1"/>
  </w:num>
  <w:num w:numId="4">
    <w:abstractNumId w:val="41"/>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45"/>
  </w:num>
  <w:num w:numId="8">
    <w:abstractNumId w:val="32"/>
  </w:num>
  <w:num w:numId="9">
    <w:abstractNumId w:val="19"/>
  </w:num>
  <w:num w:numId="10">
    <w:abstractNumId w:val="18"/>
  </w:num>
  <w:num w:numId="11">
    <w:abstractNumId w:val="39"/>
  </w:num>
  <w:num w:numId="12">
    <w:abstractNumId w:val="31"/>
  </w:num>
  <w:num w:numId="13">
    <w:abstractNumId w:val="12"/>
  </w:num>
  <w:num w:numId="14">
    <w:abstractNumId w:val="6"/>
  </w:num>
  <w:num w:numId="15">
    <w:abstractNumId w:val="7"/>
  </w:num>
  <w:num w:numId="16">
    <w:abstractNumId w:val="37"/>
  </w:num>
  <w:num w:numId="17">
    <w:abstractNumId w:val="46"/>
  </w:num>
  <w:num w:numId="18">
    <w:abstractNumId w:val="20"/>
  </w:num>
  <w:num w:numId="19">
    <w:abstractNumId w:val="48"/>
  </w:num>
  <w:num w:numId="20">
    <w:abstractNumId w:val="34"/>
  </w:num>
  <w:num w:numId="21">
    <w:abstractNumId w:val="24"/>
  </w:num>
  <w:num w:numId="22">
    <w:abstractNumId w:val="26"/>
  </w:num>
  <w:num w:numId="23">
    <w:abstractNumId w:val="50"/>
  </w:num>
  <w:num w:numId="24">
    <w:abstractNumId w:val="21"/>
  </w:num>
  <w:num w:numId="25">
    <w:abstractNumId w:val="0"/>
  </w:num>
  <w:num w:numId="26">
    <w:abstractNumId w:val="10"/>
  </w:num>
  <w:num w:numId="27">
    <w:abstractNumId w:val="15"/>
  </w:num>
  <w:num w:numId="28">
    <w:abstractNumId w:val="9"/>
  </w:num>
  <w:num w:numId="29">
    <w:abstractNumId w:val="47"/>
  </w:num>
  <w:num w:numId="30">
    <w:abstractNumId w:val="36"/>
  </w:num>
  <w:num w:numId="31">
    <w:abstractNumId w:val="4"/>
  </w:num>
  <w:num w:numId="32">
    <w:abstractNumId w:val="8"/>
  </w:num>
  <w:num w:numId="33">
    <w:abstractNumId w:val="3"/>
  </w:num>
  <w:num w:numId="34">
    <w:abstractNumId w:val="11"/>
  </w:num>
  <w:num w:numId="35">
    <w:abstractNumId w:val="43"/>
  </w:num>
  <w:num w:numId="36">
    <w:abstractNumId w:val="27"/>
  </w:num>
  <w:num w:numId="37">
    <w:abstractNumId w:val="5"/>
  </w:num>
  <w:num w:numId="38">
    <w:abstractNumId w:val="17"/>
  </w:num>
  <w:num w:numId="39">
    <w:abstractNumId w:val="13"/>
  </w:num>
  <w:num w:numId="40">
    <w:abstractNumId w:val="25"/>
  </w:num>
  <w:num w:numId="41">
    <w:abstractNumId w:val="42"/>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9"/>
  </w:num>
  <w:num w:numId="46">
    <w:abstractNumId w:val="40"/>
  </w:num>
  <w:num w:numId="47">
    <w:abstractNumId w:val="49"/>
  </w:num>
  <w:num w:numId="48">
    <w:abstractNumId w:val="14"/>
  </w:num>
  <w:num w:numId="49">
    <w:abstractNumId w:val="35"/>
  </w:num>
  <w:num w:numId="50">
    <w:abstractNumId w:val="30"/>
  </w:num>
  <w:num w:numId="51">
    <w:abstractNumId w:val="44"/>
  </w:num>
  <w:num w:numId="52">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008"/>
    <w:rsid w:val="0000247B"/>
    <w:rsid w:val="00003479"/>
    <w:rsid w:val="00004274"/>
    <w:rsid w:val="0000469A"/>
    <w:rsid w:val="0000469B"/>
    <w:rsid w:val="00011899"/>
    <w:rsid w:val="000121BF"/>
    <w:rsid w:val="00012475"/>
    <w:rsid w:val="0001377B"/>
    <w:rsid w:val="00013C42"/>
    <w:rsid w:val="00016CB6"/>
    <w:rsid w:val="000170F5"/>
    <w:rsid w:val="00022DBC"/>
    <w:rsid w:val="00023745"/>
    <w:rsid w:val="00025138"/>
    <w:rsid w:val="00025EA9"/>
    <w:rsid w:val="00026A20"/>
    <w:rsid w:val="0003370B"/>
    <w:rsid w:val="00034D0B"/>
    <w:rsid w:val="00034F87"/>
    <w:rsid w:val="00035FF3"/>
    <w:rsid w:val="000368AF"/>
    <w:rsid w:val="00036ABB"/>
    <w:rsid w:val="000408ED"/>
    <w:rsid w:val="00040DD4"/>
    <w:rsid w:val="00041034"/>
    <w:rsid w:val="000427B2"/>
    <w:rsid w:val="00042D41"/>
    <w:rsid w:val="0004369D"/>
    <w:rsid w:val="000462EA"/>
    <w:rsid w:val="00046731"/>
    <w:rsid w:val="0005021F"/>
    <w:rsid w:val="000502F6"/>
    <w:rsid w:val="00050FE3"/>
    <w:rsid w:val="00051021"/>
    <w:rsid w:val="00051ED9"/>
    <w:rsid w:val="00053DD9"/>
    <w:rsid w:val="0005496F"/>
    <w:rsid w:val="000564DE"/>
    <w:rsid w:val="00057181"/>
    <w:rsid w:val="000578CC"/>
    <w:rsid w:val="0006007C"/>
    <w:rsid w:val="00062CC7"/>
    <w:rsid w:val="000633E3"/>
    <w:rsid w:val="00064B2D"/>
    <w:rsid w:val="00065F1F"/>
    <w:rsid w:val="0006668E"/>
    <w:rsid w:val="00067FE9"/>
    <w:rsid w:val="000735FD"/>
    <w:rsid w:val="00073CF9"/>
    <w:rsid w:val="0007466A"/>
    <w:rsid w:val="00076D33"/>
    <w:rsid w:val="000778D6"/>
    <w:rsid w:val="00080FBA"/>
    <w:rsid w:val="00081FCF"/>
    <w:rsid w:val="0008312D"/>
    <w:rsid w:val="00083CE2"/>
    <w:rsid w:val="0008667C"/>
    <w:rsid w:val="00086ACD"/>
    <w:rsid w:val="0008759A"/>
    <w:rsid w:val="000877DD"/>
    <w:rsid w:val="00090550"/>
    <w:rsid w:val="00091049"/>
    <w:rsid w:val="00091096"/>
    <w:rsid w:val="00091CC2"/>
    <w:rsid w:val="000926AD"/>
    <w:rsid w:val="00094510"/>
    <w:rsid w:val="000947A3"/>
    <w:rsid w:val="000962FB"/>
    <w:rsid w:val="00096589"/>
    <w:rsid w:val="000A2217"/>
    <w:rsid w:val="000A2736"/>
    <w:rsid w:val="000A27E9"/>
    <w:rsid w:val="000A3D8B"/>
    <w:rsid w:val="000A416E"/>
    <w:rsid w:val="000A5DF8"/>
    <w:rsid w:val="000A61F3"/>
    <w:rsid w:val="000A72BF"/>
    <w:rsid w:val="000B2771"/>
    <w:rsid w:val="000B43DD"/>
    <w:rsid w:val="000B58A9"/>
    <w:rsid w:val="000B5C10"/>
    <w:rsid w:val="000B6AF2"/>
    <w:rsid w:val="000C412C"/>
    <w:rsid w:val="000C50DC"/>
    <w:rsid w:val="000C71A7"/>
    <w:rsid w:val="000C7EE0"/>
    <w:rsid w:val="000D122B"/>
    <w:rsid w:val="000D14A7"/>
    <w:rsid w:val="000D176C"/>
    <w:rsid w:val="000D295F"/>
    <w:rsid w:val="000D50A1"/>
    <w:rsid w:val="000D5756"/>
    <w:rsid w:val="000D6FD4"/>
    <w:rsid w:val="000E0AE4"/>
    <w:rsid w:val="000E1950"/>
    <w:rsid w:val="000E1B1A"/>
    <w:rsid w:val="000E2DE1"/>
    <w:rsid w:val="000E2F70"/>
    <w:rsid w:val="000E3DBC"/>
    <w:rsid w:val="000F09E7"/>
    <w:rsid w:val="000F2E89"/>
    <w:rsid w:val="000F3159"/>
    <w:rsid w:val="000F39A4"/>
    <w:rsid w:val="000F52B1"/>
    <w:rsid w:val="000F62B9"/>
    <w:rsid w:val="00100221"/>
    <w:rsid w:val="001024E2"/>
    <w:rsid w:val="001049D5"/>
    <w:rsid w:val="00104A05"/>
    <w:rsid w:val="00107022"/>
    <w:rsid w:val="0010712B"/>
    <w:rsid w:val="001131A1"/>
    <w:rsid w:val="00113CE3"/>
    <w:rsid w:val="0011599E"/>
    <w:rsid w:val="00116157"/>
    <w:rsid w:val="00117522"/>
    <w:rsid w:val="001201A0"/>
    <w:rsid w:val="001204E7"/>
    <w:rsid w:val="001219A8"/>
    <w:rsid w:val="001221ED"/>
    <w:rsid w:val="00125177"/>
    <w:rsid w:val="00126637"/>
    <w:rsid w:val="00126B69"/>
    <w:rsid w:val="00130139"/>
    <w:rsid w:val="00131D20"/>
    <w:rsid w:val="001369A0"/>
    <w:rsid w:val="001418D4"/>
    <w:rsid w:val="00141B48"/>
    <w:rsid w:val="00141BED"/>
    <w:rsid w:val="001427DE"/>
    <w:rsid w:val="00142A47"/>
    <w:rsid w:val="00146380"/>
    <w:rsid w:val="00151550"/>
    <w:rsid w:val="00152E21"/>
    <w:rsid w:val="001542D8"/>
    <w:rsid w:val="00154495"/>
    <w:rsid w:val="001617DA"/>
    <w:rsid w:val="00163519"/>
    <w:rsid w:val="00170A53"/>
    <w:rsid w:val="00171374"/>
    <w:rsid w:val="00172818"/>
    <w:rsid w:val="00172C51"/>
    <w:rsid w:val="001745B4"/>
    <w:rsid w:val="00180735"/>
    <w:rsid w:val="00180C41"/>
    <w:rsid w:val="001825A1"/>
    <w:rsid w:val="00182C4C"/>
    <w:rsid w:val="00182DB8"/>
    <w:rsid w:val="0018459F"/>
    <w:rsid w:val="00185A09"/>
    <w:rsid w:val="00186BD1"/>
    <w:rsid w:val="0018725C"/>
    <w:rsid w:val="00187B14"/>
    <w:rsid w:val="00187B44"/>
    <w:rsid w:val="00191532"/>
    <w:rsid w:val="00194DE3"/>
    <w:rsid w:val="00195254"/>
    <w:rsid w:val="00197D8D"/>
    <w:rsid w:val="00197DED"/>
    <w:rsid w:val="001A0EAC"/>
    <w:rsid w:val="001A17B9"/>
    <w:rsid w:val="001A1A75"/>
    <w:rsid w:val="001A6E93"/>
    <w:rsid w:val="001A7E9A"/>
    <w:rsid w:val="001B2E53"/>
    <w:rsid w:val="001B3B8C"/>
    <w:rsid w:val="001B4E55"/>
    <w:rsid w:val="001B5F85"/>
    <w:rsid w:val="001C01B2"/>
    <w:rsid w:val="001C27A3"/>
    <w:rsid w:val="001C282C"/>
    <w:rsid w:val="001C3D2F"/>
    <w:rsid w:val="001C4172"/>
    <w:rsid w:val="001C5295"/>
    <w:rsid w:val="001C6560"/>
    <w:rsid w:val="001D1FD4"/>
    <w:rsid w:val="001D4675"/>
    <w:rsid w:val="001E09FA"/>
    <w:rsid w:val="001E343A"/>
    <w:rsid w:val="001E344E"/>
    <w:rsid w:val="001E4A7A"/>
    <w:rsid w:val="001E4E9F"/>
    <w:rsid w:val="001E5927"/>
    <w:rsid w:val="001E68D3"/>
    <w:rsid w:val="001E7806"/>
    <w:rsid w:val="001F257F"/>
    <w:rsid w:val="001F3481"/>
    <w:rsid w:val="001F3E31"/>
    <w:rsid w:val="001F4FA5"/>
    <w:rsid w:val="001F5B9C"/>
    <w:rsid w:val="001F6634"/>
    <w:rsid w:val="001F6652"/>
    <w:rsid w:val="001F719F"/>
    <w:rsid w:val="001F74B2"/>
    <w:rsid w:val="00200EA7"/>
    <w:rsid w:val="0020264F"/>
    <w:rsid w:val="002026CD"/>
    <w:rsid w:val="002031CA"/>
    <w:rsid w:val="00203540"/>
    <w:rsid w:val="00205135"/>
    <w:rsid w:val="002067F6"/>
    <w:rsid w:val="00210C5C"/>
    <w:rsid w:val="00211106"/>
    <w:rsid w:val="0021133F"/>
    <w:rsid w:val="00212CA8"/>
    <w:rsid w:val="002140FA"/>
    <w:rsid w:val="0021454D"/>
    <w:rsid w:val="002162EC"/>
    <w:rsid w:val="00216FDF"/>
    <w:rsid w:val="00217ABF"/>
    <w:rsid w:val="00221D07"/>
    <w:rsid w:val="00221E5A"/>
    <w:rsid w:val="00223151"/>
    <w:rsid w:val="00223FE8"/>
    <w:rsid w:val="002242C0"/>
    <w:rsid w:val="00224B3E"/>
    <w:rsid w:val="00224C4B"/>
    <w:rsid w:val="00225692"/>
    <w:rsid w:val="002259F7"/>
    <w:rsid w:val="00226814"/>
    <w:rsid w:val="00227E4A"/>
    <w:rsid w:val="00230E09"/>
    <w:rsid w:val="00231B5D"/>
    <w:rsid w:val="00233137"/>
    <w:rsid w:val="00234EAF"/>
    <w:rsid w:val="002403C5"/>
    <w:rsid w:val="00240D5E"/>
    <w:rsid w:val="00241825"/>
    <w:rsid w:val="00242F5B"/>
    <w:rsid w:val="002432EE"/>
    <w:rsid w:val="002445E7"/>
    <w:rsid w:val="00245386"/>
    <w:rsid w:val="0024582E"/>
    <w:rsid w:val="00247E37"/>
    <w:rsid w:val="0025036D"/>
    <w:rsid w:val="00250CDB"/>
    <w:rsid w:val="00250F2A"/>
    <w:rsid w:val="002543AF"/>
    <w:rsid w:val="0025456F"/>
    <w:rsid w:val="0025473E"/>
    <w:rsid w:val="002547EF"/>
    <w:rsid w:val="00255D55"/>
    <w:rsid w:val="002562EF"/>
    <w:rsid w:val="00256D65"/>
    <w:rsid w:val="00256E61"/>
    <w:rsid w:val="00257151"/>
    <w:rsid w:val="002608B2"/>
    <w:rsid w:val="00261B51"/>
    <w:rsid w:val="00263620"/>
    <w:rsid w:val="00263D99"/>
    <w:rsid w:val="00271F00"/>
    <w:rsid w:val="00273A80"/>
    <w:rsid w:val="0027513D"/>
    <w:rsid w:val="00276026"/>
    <w:rsid w:val="0028039C"/>
    <w:rsid w:val="002807FD"/>
    <w:rsid w:val="00281C25"/>
    <w:rsid w:val="00283A95"/>
    <w:rsid w:val="00283B5D"/>
    <w:rsid w:val="00284DCC"/>
    <w:rsid w:val="002851C8"/>
    <w:rsid w:val="0029049D"/>
    <w:rsid w:val="0029203C"/>
    <w:rsid w:val="0029204E"/>
    <w:rsid w:val="00293D95"/>
    <w:rsid w:val="00293F07"/>
    <w:rsid w:val="00294BAD"/>
    <w:rsid w:val="00294DB9"/>
    <w:rsid w:val="002950D6"/>
    <w:rsid w:val="0029631C"/>
    <w:rsid w:val="002964DF"/>
    <w:rsid w:val="00296EFC"/>
    <w:rsid w:val="002970E8"/>
    <w:rsid w:val="00297532"/>
    <w:rsid w:val="002A0194"/>
    <w:rsid w:val="002A06F1"/>
    <w:rsid w:val="002A26CD"/>
    <w:rsid w:val="002A50F2"/>
    <w:rsid w:val="002A59D0"/>
    <w:rsid w:val="002A5F8B"/>
    <w:rsid w:val="002A6B85"/>
    <w:rsid w:val="002A7605"/>
    <w:rsid w:val="002A7F6C"/>
    <w:rsid w:val="002B08A3"/>
    <w:rsid w:val="002B0D8E"/>
    <w:rsid w:val="002B1023"/>
    <w:rsid w:val="002B2469"/>
    <w:rsid w:val="002C1538"/>
    <w:rsid w:val="002C1ADA"/>
    <w:rsid w:val="002C22B7"/>
    <w:rsid w:val="002C2C58"/>
    <w:rsid w:val="002C4A91"/>
    <w:rsid w:val="002C7089"/>
    <w:rsid w:val="002C71E7"/>
    <w:rsid w:val="002D11E2"/>
    <w:rsid w:val="002D2961"/>
    <w:rsid w:val="002D465D"/>
    <w:rsid w:val="002D51D9"/>
    <w:rsid w:val="002D6809"/>
    <w:rsid w:val="002E086A"/>
    <w:rsid w:val="002E20D0"/>
    <w:rsid w:val="002E2DEB"/>
    <w:rsid w:val="002E53EA"/>
    <w:rsid w:val="002E740A"/>
    <w:rsid w:val="002F1C21"/>
    <w:rsid w:val="002F1F82"/>
    <w:rsid w:val="002F6488"/>
    <w:rsid w:val="002F794A"/>
    <w:rsid w:val="0030279C"/>
    <w:rsid w:val="003035AC"/>
    <w:rsid w:val="0030376E"/>
    <w:rsid w:val="003039D1"/>
    <w:rsid w:val="00303B58"/>
    <w:rsid w:val="00304DA3"/>
    <w:rsid w:val="00306592"/>
    <w:rsid w:val="003071EF"/>
    <w:rsid w:val="003077E7"/>
    <w:rsid w:val="00310803"/>
    <w:rsid w:val="00310E84"/>
    <w:rsid w:val="00315A2F"/>
    <w:rsid w:val="00315A71"/>
    <w:rsid w:val="00316C07"/>
    <w:rsid w:val="003176A9"/>
    <w:rsid w:val="00320AAB"/>
    <w:rsid w:val="003213F9"/>
    <w:rsid w:val="00323372"/>
    <w:rsid w:val="00323DBF"/>
    <w:rsid w:val="0032403A"/>
    <w:rsid w:val="00325272"/>
    <w:rsid w:val="00330060"/>
    <w:rsid w:val="003309A8"/>
    <w:rsid w:val="00330CFC"/>
    <w:rsid w:val="00332B12"/>
    <w:rsid w:val="0033470E"/>
    <w:rsid w:val="003361DE"/>
    <w:rsid w:val="00336711"/>
    <w:rsid w:val="00336BED"/>
    <w:rsid w:val="00341C8F"/>
    <w:rsid w:val="00342723"/>
    <w:rsid w:val="00342920"/>
    <w:rsid w:val="00342EAD"/>
    <w:rsid w:val="00344DC7"/>
    <w:rsid w:val="003466E1"/>
    <w:rsid w:val="00347198"/>
    <w:rsid w:val="00347935"/>
    <w:rsid w:val="00347ACD"/>
    <w:rsid w:val="00347D3C"/>
    <w:rsid w:val="00350DBD"/>
    <w:rsid w:val="00350E09"/>
    <w:rsid w:val="00350F97"/>
    <w:rsid w:val="0035107E"/>
    <w:rsid w:val="00351795"/>
    <w:rsid w:val="00351927"/>
    <w:rsid w:val="00351B07"/>
    <w:rsid w:val="00351B4F"/>
    <w:rsid w:val="0035284B"/>
    <w:rsid w:val="00353193"/>
    <w:rsid w:val="00354B88"/>
    <w:rsid w:val="0036268A"/>
    <w:rsid w:val="00363332"/>
    <w:rsid w:val="00363371"/>
    <w:rsid w:val="00363CFA"/>
    <w:rsid w:val="00364841"/>
    <w:rsid w:val="0036647D"/>
    <w:rsid w:val="00370445"/>
    <w:rsid w:val="00371B29"/>
    <w:rsid w:val="00371D84"/>
    <w:rsid w:val="00372182"/>
    <w:rsid w:val="00372383"/>
    <w:rsid w:val="00374ACD"/>
    <w:rsid w:val="00374ACE"/>
    <w:rsid w:val="0037520F"/>
    <w:rsid w:val="00376E99"/>
    <w:rsid w:val="003805E3"/>
    <w:rsid w:val="003867E6"/>
    <w:rsid w:val="0039004B"/>
    <w:rsid w:val="00391769"/>
    <w:rsid w:val="00391CEC"/>
    <w:rsid w:val="003928D5"/>
    <w:rsid w:val="00392C7B"/>
    <w:rsid w:val="0039338A"/>
    <w:rsid w:val="003953E1"/>
    <w:rsid w:val="003956B3"/>
    <w:rsid w:val="003977E9"/>
    <w:rsid w:val="003A0B9A"/>
    <w:rsid w:val="003A3169"/>
    <w:rsid w:val="003A3E08"/>
    <w:rsid w:val="003A3E60"/>
    <w:rsid w:val="003A68BE"/>
    <w:rsid w:val="003A7725"/>
    <w:rsid w:val="003B0AA9"/>
    <w:rsid w:val="003B1DB4"/>
    <w:rsid w:val="003B2FEE"/>
    <w:rsid w:val="003B3C9D"/>
    <w:rsid w:val="003B7573"/>
    <w:rsid w:val="003B78E0"/>
    <w:rsid w:val="003C0C7D"/>
    <w:rsid w:val="003C1085"/>
    <w:rsid w:val="003C2791"/>
    <w:rsid w:val="003C3538"/>
    <w:rsid w:val="003C3CF3"/>
    <w:rsid w:val="003C3F7B"/>
    <w:rsid w:val="003C4256"/>
    <w:rsid w:val="003C4969"/>
    <w:rsid w:val="003C5047"/>
    <w:rsid w:val="003C7B09"/>
    <w:rsid w:val="003D2A5E"/>
    <w:rsid w:val="003D45B8"/>
    <w:rsid w:val="003D5C55"/>
    <w:rsid w:val="003E11FE"/>
    <w:rsid w:val="003E41D5"/>
    <w:rsid w:val="003E46BA"/>
    <w:rsid w:val="003E57C0"/>
    <w:rsid w:val="003E7AB7"/>
    <w:rsid w:val="003E7D22"/>
    <w:rsid w:val="003F049B"/>
    <w:rsid w:val="003F0D8A"/>
    <w:rsid w:val="003F288E"/>
    <w:rsid w:val="003F5A85"/>
    <w:rsid w:val="003F5E94"/>
    <w:rsid w:val="003F5EB3"/>
    <w:rsid w:val="003F74C1"/>
    <w:rsid w:val="00400FB1"/>
    <w:rsid w:val="00401571"/>
    <w:rsid w:val="00401A5B"/>
    <w:rsid w:val="00403C92"/>
    <w:rsid w:val="00404366"/>
    <w:rsid w:val="004047D7"/>
    <w:rsid w:val="00405B1A"/>
    <w:rsid w:val="00407241"/>
    <w:rsid w:val="0040761E"/>
    <w:rsid w:val="00407DF4"/>
    <w:rsid w:val="00410C76"/>
    <w:rsid w:val="00411718"/>
    <w:rsid w:val="00411907"/>
    <w:rsid w:val="00411E0C"/>
    <w:rsid w:val="00411F4C"/>
    <w:rsid w:val="004129D5"/>
    <w:rsid w:val="00413CA8"/>
    <w:rsid w:val="00413F4F"/>
    <w:rsid w:val="00415272"/>
    <w:rsid w:val="00415634"/>
    <w:rsid w:val="00417798"/>
    <w:rsid w:val="00417EE3"/>
    <w:rsid w:val="004207EB"/>
    <w:rsid w:val="00421FC8"/>
    <w:rsid w:val="0042201C"/>
    <w:rsid w:val="00424D5A"/>
    <w:rsid w:val="0042713C"/>
    <w:rsid w:val="004277E7"/>
    <w:rsid w:val="004338E9"/>
    <w:rsid w:val="00433D61"/>
    <w:rsid w:val="0043509B"/>
    <w:rsid w:val="0043591C"/>
    <w:rsid w:val="00435FA5"/>
    <w:rsid w:val="00436B8D"/>
    <w:rsid w:val="00436D4F"/>
    <w:rsid w:val="00437276"/>
    <w:rsid w:val="00441173"/>
    <w:rsid w:val="004424CC"/>
    <w:rsid w:val="00446538"/>
    <w:rsid w:val="00447E67"/>
    <w:rsid w:val="00450363"/>
    <w:rsid w:val="00451926"/>
    <w:rsid w:val="00451B2A"/>
    <w:rsid w:val="0045496A"/>
    <w:rsid w:val="0045556F"/>
    <w:rsid w:val="004564A2"/>
    <w:rsid w:val="00456B54"/>
    <w:rsid w:val="00457BBB"/>
    <w:rsid w:val="00457BC5"/>
    <w:rsid w:val="00460251"/>
    <w:rsid w:val="00460AC2"/>
    <w:rsid w:val="0046298A"/>
    <w:rsid w:val="00463D9A"/>
    <w:rsid w:val="00464643"/>
    <w:rsid w:val="004646F8"/>
    <w:rsid w:val="00464EFC"/>
    <w:rsid w:val="00465855"/>
    <w:rsid w:val="00466263"/>
    <w:rsid w:val="0047132E"/>
    <w:rsid w:val="004720B6"/>
    <w:rsid w:val="004736EC"/>
    <w:rsid w:val="00473AA8"/>
    <w:rsid w:val="0047494D"/>
    <w:rsid w:val="00475703"/>
    <w:rsid w:val="004824D1"/>
    <w:rsid w:val="00483D16"/>
    <w:rsid w:val="00484D43"/>
    <w:rsid w:val="0048502D"/>
    <w:rsid w:val="00485D38"/>
    <w:rsid w:val="004864FE"/>
    <w:rsid w:val="00486793"/>
    <w:rsid w:val="00486F6B"/>
    <w:rsid w:val="00487B49"/>
    <w:rsid w:val="004917E3"/>
    <w:rsid w:val="00492536"/>
    <w:rsid w:val="00492684"/>
    <w:rsid w:val="0049729B"/>
    <w:rsid w:val="004A02BD"/>
    <w:rsid w:val="004A0FFF"/>
    <w:rsid w:val="004A1C1F"/>
    <w:rsid w:val="004A1C5C"/>
    <w:rsid w:val="004A1C7B"/>
    <w:rsid w:val="004A2037"/>
    <w:rsid w:val="004A261E"/>
    <w:rsid w:val="004A3685"/>
    <w:rsid w:val="004A375C"/>
    <w:rsid w:val="004A68A7"/>
    <w:rsid w:val="004B2A19"/>
    <w:rsid w:val="004B2B03"/>
    <w:rsid w:val="004B5A54"/>
    <w:rsid w:val="004B74D5"/>
    <w:rsid w:val="004C2CE7"/>
    <w:rsid w:val="004C3F6F"/>
    <w:rsid w:val="004C500C"/>
    <w:rsid w:val="004C53E8"/>
    <w:rsid w:val="004C5B6F"/>
    <w:rsid w:val="004C7029"/>
    <w:rsid w:val="004C7359"/>
    <w:rsid w:val="004C7590"/>
    <w:rsid w:val="004D30A6"/>
    <w:rsid w:val="004D4837"/>
    <w:rsid w:val="004D6BBF"/>
    <w:rsid w:val="004E2150"/>
    <w:rsid w:val="004E31C5"/>
    <w:rsid w:val="004E63D0"/>
    <w:rsid w:val="004F018C"/>
    <w:rsid w:val="004F156A"/>
    <w:rsid w:val="004F36FB"/>
    <w:rsid w:val="004F442E"/>
    <w:rsid w:val="004F47BF"/>
    <w:rsid w:val="004F4ED2"/>
    <w:rsid w:val="004F4F98"/>
    <w:rsid w:val="004F6201"/>
    <w:rsid w:val="004F69F6"/>
    <w:rsid w:val="004F721D"/>
    <w:rsid w:val="004F79AC"/>
    <w:rsid w:val="005017CF"/>
    <w:rsid w:val="005018B7"/>
    <w:rsid w:val="005025D5"/>
    <w:rsid w:val="00503757"/>
    <w:rsid w:val="00503B84"/>
    <w:rsid w:val="00507995"/>
    <w:rsid w:val="00510DF8"/>
    <w:rsid w:val="00512290"/>
    <w:rsid w:val="005123B6"/>
    <w:rsid w:val="00512AFA"/>
    <w:rsid w:val="00513176"/>
    <w:rsid w:val="00513D22"/>
    <w:rsid w:val="00514595"/>
    <w:rsid w:val="00516501"/>
    <w:rsid w:val="00516B74"/>
    <w:rsid w:val="00517F65"/>
    <w:rsid w:val="005207D8"/>
    <w:rsid w:val="00520C11"/>
    <w:rsid w:val="00520EA0"/>
    <w:rsid w:val="005217B5"/>
    <w:rsid w:val="00521F70"/>
    <w:rsid w:val="00523DE9"/>
    <w:rsid w:val="0052649E"/>
    <w:rsid w:val="00527AAB"/>
    <w:rsid w:val="00530864"/>
    <w:rsid w:val="00530F62"/>
    <w:rsid w:val="00532DAC"/>
    <w:rsid w:val="00533679"/>
    <w:rsid w:val="0053464E"/>
    <w:rsid w:val="00534723"/>
    <w:rsid w:val="005348AF"/>
    <w:rsid w:val="005358B0"/>
    <w:rsid w:val="00535EC8"/>
    <w:rsid w:val="00536AD9"/>
    <w:rsid w:val="005413CB"/>
    <w:rsid w:val="0054277A"/>
    <w:rsid w:val="00551C65"/>
    <w:rsid w:val="005521B0"/>
    <w:rsid w:val="0055293D"/>
    <w:rsid w:val="00553969"/>
    <w:rsid w:val="00556DC0"/>
    <w:rsid w:val="00560F21"/>
    <w:rsid w:val="00561BCF"/>
    <w:rsid w:val="00562917"/>
    <w:rsid w:val="005635A1"/>
    <w:rsid w:val="005663E7"/>
    <w:rsid w:val="0057044F"/>
    <w:rsid w:val="005708A6"/>
    <w:rsid w:val="005726C2"/>
    <w:rsid w:val="005739BB"/>
    <w:rsid w:val="0057620E"/>
    <w:rsid w:val="00576F2F"/>
    <w:rsid w:val="005807DA"/>
    <w:rsid w:val="00582642"/>
    <w:rsid w:val="0058396B"/>
    <w:rsid w:val="00584C6C"/>
    <w:rsid w:val="00586228"/>
    <w:rsid w:val="0058762F"/>
    <w:rsid w:val="0059017C"/>
    <w:rsid w:val="0059227F"/>
    <w:rsid w:val="00593E41"/>
    <w:rsid w:val="0059498B"/>
    <w:rsid w:val="00596769"/>
    <w:rsid w:val="00596FD1"/>
    <w:rsid w:val="005A19F9"/>
    <w:rsid w:val="005A3A03"/>
    <w:rsid w:val="005A3EF1"/>
    <w:rsid w:val="005A5FFE"/>
    <w:rsid w:val="005B01E7"/>
    <w:rsid w:val="005B1334"/>
    <w:rsid w:val="005B615C"/>
    <w:rsid w:val="005B6AF4"/>
    <w:rsid w:val="005C04CB"/>
    <w:rsid w:val="005C2A0C"/>
    <w:rsid w:val="005C323B"/>
    <w:rsid w:val="005C6257"/>
    <w:rsid w:val="005C6E61"/>
    <w:rsid w:val="005C71BA"/>
    <w:rsid w:val="005D0775"/>
    <w:rsid w:val="005D16AD"/>
    <w:rsid w:val="005D2D8C"/>
    <w:rsid w:val="005D5AEE"/>
    <w:rsid w:val="005D6015"/>
    <w:rsid w:val="005D6CE5"/>
    <w:rsid w:val="005D72E1"/>
    <w:rsid w:val="005D7311"/>
    <w:rsid w:val="005D7BFA"/>
    <w:rsid w:val="005D7EED"/>
    <w:rsid w:val="005E0CB6"/>
    <w:rsid w:val="005E2F53"/>
    <w:rsid w:val="005E354E"/>
    <w:rsid w:val="005E4ADD"/>
    <w:rsid w:val="005E5132"/>
    <w:rsid w:val="005E58A3"/>
    <w:rsid w:val="005E6E16"/>
    <w:rsid w:val="005F0B4A"/>
    <w:rsid w:val="005F2587"/>
    <w:rsid w:val="005F2A28"/>
    <w:rsid w:val="005F3489"/>
    <w:rsid w:val="005F3E49"/>
    <w:rsid w:val="005F400E"/>
    <w:rsid w:val="005F49ED"/>
    <w:rsid w:val="005F7342"/>
    <w:rsid w:val="00603A08"/>
    <w:rsid w:val="0060443F"/>
    <w:rsid w:val="00605BC1"/>
    <w:rsid w:val="00605FE6"/>
    <w:rsid w:val="006066BC"/>
    <w:rsid w:val="00606987"/>
    <w:rsid w:val="00606C88"/>
    <w:rsid w:val="00610A3C"/>
    <w:rsid w:val="00610D72"/>
    <w:rsid w:val="006110DA"/>
    <w:rsid w:val="00612AC1"/>
    <w:rsid w:val="00613231"/>
    <w:rsid w:val="00615B3A"/>
    <w:rsid w:val="00615C91"/>
    <w:rsid w:val="00617119"/>
    <w:rsid w:val="006211CD"/>
    <w:rsid w:val="006228F6"/>
    <w:rsid w:val="006249B9"/>
    <w:rsid w:val="0062554B"/>
    <w:rsid w:val="00627F48"/>
    <w:rsid w:val="006311D1"/>
    <w:rsid w:val="00633ACA"/>
    <w:rsid w:val="006342E0"/>
    <w:rsid w:val="00634792"/>
    <w:rsid w:val="006367FF"/>
    <w:rsid w:val="00636D08"/>
    <w:rsid w:val="00641E51"/>
    <w:rsid w:val="00642A47"/>
    <w:rsid w:val="00644304"/>
    <w:rsid w:val="00646FBE"/>
    <w:rsid w:val="00646FDD"/>
    <w:rsid w:val="006507B5"/>
    <w:rsid w:val="00651D42"/>
    <w:rsid w:val="006540D8"/>
    <w:rsid w:val="00656FDD"/>
    <w:rsid w:val="0066398E"/>
    <w:rsid w:val="00663FCF"/>
    <w:rsid w:val="00664623"/>
    <w:rsid w:val="006652A2"/>
    <w:rsid w:val="0066578A"/>
    <w:rsid w:val="00670C93"/>
    <w:rsid w:val="00671455"/>
    <w:rsid w:val="0067223B"/>
    <w:rsid w:val="00673085"/>
    <w:rsid w:val="0067461F"/>
    <w:rsid w:val="00675719"/>
    <w:rsid w:val="00676318"/>
    <w:rsid w:val="00676C04"/>
    <w:rsid w:val="00677523"/>
    <w:rsid w:val="00681754"/>
    <w:rsid w:val="00681D53"/>
    <w:rsid w:val="006824C6"/>
    <w:rsid w:val="00683E69"/>
    <w:rsid w:val="00685269"/>
    <w:rsid w:val="00685DD0"/>
    <w:rsid w:val="00686B48"/>
    <w:rsid w:val="00686BB3"/>
    <w:rsid w:val="006877FC"/>
    <w:rsid w:val="00687B5C"/>
    <w:rsid w:val="00691D4D"/>
    <w:rsid w:val="00692577"/>
    <w:rsid w:val="006927EB"/>
    <w:rsid w:val="00692C6C"/>
    <w:rsid w:val="006937FF"/>
    <w:rsid w:val="0069486C"/>
    <w:rsid w:val="00694A93"/>
    <w:rsid w:val="00694B01"/>
    <w:rsid w:val="006958E4"/>
    <w:rsid w:val="00695F3E"/>
    <w:rsid w:val="006965BF"/>
    <w:rsid w:val="006A020A"/>
    <w:rsid w:val="006A0509"/>
    <w:rsid w:val="006A0CBB"/>
    <w:rsid w:val="006A16A7"/>
    <w:rsid w:val="006A2742"/>
    <w:rsid w:val="006A4385"/>
    <w:rsid w:val="006A4538"/>
    <w:rsid w:val="006A48A7"/>
    <w:rsid w:val="006A4E14"/>
    <w:rsid w:val="006A7025"/>
    <w:rsid w:val="006B2F15"/>
    <w:rsid w:val="006B4059"/>
    <w:rsid w:val="006B4BA1"/>
    <w:rsid w:val="006B593C"/>
    <w:rsid w:val="006C17EA"/>
    <w:rsid w:val="006C1896"/>
    <w:rsid w:val="006C28E2"/>
    <w:rsid w:val="006C5CF5"/>
    <w:rsid w:val="006C7AF3"/>
    <w:rsid w:val="006D0584"/>
    <w:rsid w:val="006D10C5"/>
    <w:rsid w:val="006D1A1B"/>
    <w:rsid w:val="006D1B35"/>
    <w:rsid w:val="006D1F03"/>
    <w:rsid w:val="006D3300"/>
    <w:rsid w:val="006D3E37"/>
    <w:rsid w:val="006D431E"/>
    <w:rsid w:val="006D5CFA"/>
    <w:rsid w:val="006E1E7F"/>
    <w:rsid w:val="006E527D"/>
    <w:rsid w:val="006E6A09"/>
    <w:rsid w:val="006E6C14"/>
    <w:rsid w:val="006E6DCF"/>
    <w:rsid w:val="006F17A0"/>
    <w:rsid w:val="006F2D94"/>
    <w:rsid w:val="006F4A82"/>
    <w:rsid w:val="006F4F3F"/>
    <w:rsid w:val="006F524C"/>
    <w:rsid w:val="006F5DF2"/>
    <w:rsid w:val="006F6104"/>
    <w:rsid w:val="006F66DC"/>
    <w:rsid w:val="00700239"/>
    <w:rsid w:val="0070373B"/>
    <w:rsid w:val="007038A5"/>
    <w:rsid w:val="00703C6F"/>
    <w:rsid w:val="0070529B"/>
    <w:rsid w:val="00705379"/>
    <w:rsid w:val="00705CE0"/>
    <w:rsid w:val="00707C95"/>
    <w:rsid w:val="00707E72"/>
    <w:rsid w:val="007103F9"/>
    <w:rsid w:val="007113EB"/>
    <w:rsid w:val="00711858"/>
    <w:rsid w:val="00712F8D"/>
    <w:rsid w:val="00713A1C"/>
    <w:rsid w:val="00713D41"/>
    <w:rsid w:val="00716928"/>
    <w:rsid w:val="00716DC4"/>
    <w:rsid w:val="007177E5"/>
    <w:rsid w:val="0072150F"/>
    <w:rsid w:val="0072220B"/>
    <w:rsid w:val="00723E38"/>
    <w:rsid w:val="00724FA4"/>
    <w:rsid w:val="007250EA"/>
    <w:rsid w:val="0072623E"/>
    <w:rsid w:val="00726476"/>
    <w:rsid w:val="00726C2F"/>
    <w:rsid w:val="00727C96"/>
    <w:rsid w:val="00730800"/>
    <w:rsid w:val="00731256"/>
    <w:rsid w:val="00731490"/>
    <w:rsid w:val="007316BF"/>
    <w:rsid w:val="0073180D"/>
    <w:rsid w:val="00733D87"/>
    <w:rsid w:val="00734E06"/>
    <w:rsid w:val="00736441"/>
    <w:rsid w:val="007368AB"/>
    <w:rsid w:val="00736F63"/>
    <w:rsid w:val="00737902"/>
    <w:rsid w:val="007379EA"/>
    <w:rsid w:val="00740CEC"/>
    <w:rsid w:val="00741EFE"/>
    <w:rsid w:val="007427E6"/>
    <w:rsid w:val="007431D3"/>
    <w:rsid w:val="007436BB"/>
    <w:rsid w:val="00744C95"/>
    <w:rsid w:val="00745548"/>
    <w:rsid w:val="00745695"/>
    <w:rsid w:val="0074650F"/>
    <w:rsid w:val="00746933"/>
    <w:rsid w:val="00746E4B"/>
    <w:rsid w:val="00746FEA"/>
    <w:rsid w:val="00752C9A"/>
    <w:rsid w:val="00754ECC"/>
    <w:rsid w:val="007556BB"/>
    <w:rsid w:val="00756B63"/>
    <w:rsid w:val="00757A3E"/>
    <w:rsid w:val="007602AA"/>
    <w:rsid w:val="007637DA"/>
    <w:rsid w:val="00763CAC"/>
    <w:rsid w:val="00764D33"/>
    <w:rsid w:val="007652EF"/>
    <w:rsid w:val="00765681"/>
    <w:rsid w:val="007661D7"/>
    <w:rsid w:val="00766443"/>
    <w:rsid w:val="00767B42"/>
    <w:rsid w:val="007710F4"/>
    <w:rsid w:val="00772BDC"/>
    <w:rsid w:val="00773033"/>
    <w:rsid w:val="007732F1"/>
    <w:rsid w:val="007753CA"/>
    <w:rsid w:val="00775BCD"/>
    <w:rsid w:val="00780792"/>
    <w:rsid w:val="00781B70"/>
    <w:rsid w:val="00784FA6"/>
    <w:rsid w:val="00785898"/>
    <w:rsid w:val="00786689"/>
    <w:rsid w:val="00787A5B"/>
    <w:rsid w:val="00791325"/>
    <w:rsid w:val="00796250"/>
    <w:rsid w:val="00796AC1"/>
    <w:rsid w:val="007A01A6"/>
    <w:rsid w:val="007A44B4"/>
    <w:rsid w:val="007A476B"/>
    <w:rsid w:val="007A537A"/>
    <w:rsid w:val="007A7D3D"/>
    <w:rsid w:val="007A7DC6"/>
    <w:rsid w:val="007B225D"/>
    <w:rsid w:val="007B2E59"/>
    <w:rsid w:val="007B5CD4"/>
    <w:rsid w:val="007C174F"/>
    <w:rsid w:val="007C1C64"/>
    <w:rsid w:val="007D02D7"/>
    <w:rsid w:val="007D2623"/>
    <w:rsid w:val="007D40A1"/>
    <w:rsid w:val="007D5394"/>
    <w:rsid w:val="007D6209"/>
    <w:rsid w:val="007D6410"/>
    <w:rsid w:val="007D7DF0"/>
    <w:rsid w:val="007E41D7"/>
    <w:rsid w:val="007E48BC"/>
    <w:rsid w:val="007E7533"/>
    <w:rsid w:val="007E78D5"/>
    <w:rsid w:val="007E7955"/>
    <w:rsid w:val="007E79F7"/>
    <w:rsid w:val="007F063A"/>
    <w:rsid w:val="007F3630"/>
    <w:rsid w:val="007F4C5F"/>
    <w:rsid w:val="007F4F80"/>
    <w:rsid w:val="007F652D"/>
    <w:rsid w:val="008012E8"/>
    <w:rsid w:val="008019EA"/>
    <w:rsid w:val="00803A10"/>
    <w:rsid w:val="00803BE9"/>
    <w:rsid w:val="00803FEA"/>
    <w:rsid w:val="0080524C"/>
    <w:rsid w:val="00807559"/>
    <w:rsid w:val="00812D11"/>
    <w:rsid w:val="00815206"/>
    <w:rsid w:val="008163B5"/>
    <w:rsid w:val="00817C66"/>
    <w:rsid w:val="00820535"/>
    <w:rsid w:val="00821940"/>
    <w:rsid w:val="00826FCA"/>
    <w:rsid w:val="00831A9F"/>
    <w:rsid w:val="0083271C"/>
    <w:rsid w:val="00832AEF"/>
    <w:rsid w:val="00836855"/>
    <w:rsid w:val="00837220"/>
    <w:rsid w:val="00840743"/>
    <w:rsid w:val="0084150B"/>
    <w:rsid w:val="008450BC"/>
    <w:rsid w:val="00847A31"/>
    <w:rsid w:val="00847F7B"/>
    <w:rsid w:val="00851A60"/>
    <w:rsid w:val="00852C82"/>
    <w:rsid w:val="0085334B"/>
    <w:rsid w:val="00854CB2"/>
    <w:rsid w:val="00855CA8"/>
    <w:rsid w:val="00855E3E"/>
    <w:rsid w:val="0085757A"/>
    <w:rsid w:val="008611FB"/>
    <w:rsid w:val="0086204A"/>
    <w:rsid w:val="00863CAA"/>
    <w:rsid w:val="00864F50"/>
    <w:rsid w:val="00867B23"/>
    <w:rsid w:val="00870214"/>
    <w:rsid w:val="00873499"/>
    <w:rsid w:val="008738CC"/>
    <w:rsid w:val="00874CC6"/>
    <w:rsid w:val="008752D0"/>
    <w:rsid w:val="00876337"/>
    <w:rsid w:val="00876515"/>
    <w:rsid w:val="008828D9"/>
    <w:rsid w:val="00883DAA"/>
    <w:rsid w:val="00885C51"/>
    <w:rsid w:val="00885EB0"/>
    <w:rsid w:val="00887EC6"/>
    <w:rsid w:val="00890BAF"/>
    <w:rsid w:val="00891199"/>
    <w:rsid w:val="0089264A"/>
    <w:rsid w:val="0089452D"/>
    <w:rsid w:val="00894AC3"/>
    <w:rsid w:val="00895302"/>
    <w:rsid w:val="00896B85"/>
    <w:rsid w:val="00897554"/>
    <w:rsid w:val="00897C20"/>
    <w:rsid w:val="008A22BE"/>
    <w:rsid w:val="008A3221"/>
    <w:rsid w:val="008A35FB"/>
    <w:rsid w:val="008A72C8"/>
    <w:rsid w:val="008B0075"/>
    <w:rsid w:val="008B0E51"/>
    <w:rsid w:val="008B21AE"/>
    <w:rsid w:val="008B3979"/>
    <w:rsid w:val="008B5567"/>
    <w:rsid w:val="008B56FB"/>
    <w:rsid w:val="008B63D3"/>
    <w:rsid w:val="008B7D16"/>
    <w:rsid w:val="008C0E7A"/>
    <w:rsid w:val="008C120B"/>
    <w:rsid w:val="008C1B36"/>
    <w:rsid w:val="008C1C41"/>
    <w:rsid w:val="008C2CBF"/>
    <w:rsid w:val="008C363F"/>
    <w:rsid w:val="008C5734"/>
    <w:rsid w:val="008C578E"/>
    <w:rsid w:val="008C601A"/>
    <w:rsid w:val="008C6414"/>
    <w:rsid w:val="008D06C6"/>
    <w:rsid w:val="008D2375"/>
    <w:rsid w:val="008D3211"/>
    <w:rsid w:val="008D3727"/>
    <w:rsid w:val="008D484D"/>
    <w:rsid w:val="008D48FE"/>
    <w:rsid w:val="008D4FC9"/>
    <w:rsid w:val="008E1FFE"/>
    <w:rsid w:val="008E264A"/>
    <w:rsid w:val="008E449E"/>
    <w:rsid w:val="008E49CD"/>
    <w:rsid w:val="008E55DB"/>
    <w:rsid w:val="008E6250"/>
    <w:rsid w:val="008E6AB2"/>
    <w:rsid w:val="008E6FB3"/>
    <w:rsid w:val="008F3CBF"/>
    <w:rsid w:val="008F46BF"/>
    <w:rsid w:val="008F4B93"/>
    <w:rsid w:val="008F60E4"/>
    <w:rsid w:val="00900028"/>
    <w:rsid w:val="00900872"/>
    <w:rsid w:val="00901ABC"/>
    <w:rsid w:val="00901EAF"/>
    <w:rsid w:val="00901EF6"/>
    <w:rsid w:val="009026D2"/>
    <w:rsid w:val="00902AF6"/>
    <w:rsid w:val="00906F2E"/>
    <w:rsid w:val="009078E2"/>
    <w:rsid w:val="00911A6E"/>
    <w:rsid w:val="00914030"/>
    <w:rsid w:val="00916EC3"/>
    <w:rsid w:val="009171E2"/>
    <w:rsid w:val="0091737F"/>
    <w:rsid w:val="00917DFC"/>
    <w:rsid w:val="00920249"/>
    <w:rsid w:val="00922B9C"/>
    <w:rsid w:val="00922BB7"/>
    <w:rsid w:val="009236A9"/>
    <w:rsid w:val="00924652"/>
    <w:rsid w:val="00924C80"/>
    <w:rsid w:val="009302F3"/>
    <w:rsid w:val="00930E30"/>
    <w:rsid w:val="00931901"/>
    <w:rsid w:val="00932F14"/>
    <w:rsid w:val="009335DF"/>
    <w:rsid w:val="00937698"/>
    <w:rsid w:val="00940232"/>
    <w:rsid w:val="00941231"/>
    <w:rsid w:val="0094247F"/>
    <w:rsid w:val="00942D60"/>
    <w:rsid w:val="00943C5C"/>
    <w:rsid w:val="00944BA4"/>
    <w:rsid w:val="00947645"/>
    <w:rsid w:val="0095276A"/>
    <w:rsid w:val="00952C2D"/>
    <w:rsid w:val="0095357A"/>
    <w:rsid w:val="00955BF4"/>
    <w:rsid w:val="00956026"/>
    <w:rsid w:val="009560D8"/>
    <w:rsid w:val="00960287"/>
    <w:rsid w:val="0096275B"/>
    <w:rsid w:val="0096523B"/>
    <w:rsid w:val="00965989"/>
    <w:rsid w:val="00966EE3"/>
    <w:rsid w:val="00967240"/>
    <w:rsid w:val="00972D06"/>
    <w:rsid w:val="00976648"/>
    <w:rsid w:val="00981E04"/>
    <w:rsid w:val="00986A22"/>
    <w:rsid w:val="00991C87"/>
    <w:rsid w:val="009922E4"/>
    <w:rsid w:val="0099262E"/>
    <w:rsid w:val="00993834"/>
    <w:rsid w:val="009945FB"/>
    <w:rsid w:val="009959FF"/>
    <w:rsid w:val="00996312"/>
    <w:rsid w:val="009A07E4"/>
    <w:rsid w:val="009A196B"/>
    <w:rsid w:val="009A391C"/>
    <w:rsid w:val="009A50F2"/>
    <w:rsid w:val="009A5243"/>
    <w:rsid w:val="009B05F3"/>
    <w:rsid w:val="009B187A"/>
    <w:rsid w:val="009B1CBC"/>
    <w:rsid w:val="009B1DA9"/>
    <w:rsid w:val="009B29FB"/>
    <w:rsid w:val="009B2D21"/>
    <w:rsid w:val="009B46A8"/>
    <w:rsid w:val="009B5299"/>
    <w:rsid w:val="009B5AD4"/>
    <w:rsid w:val="009B6AB7"/>
    <w:rsid w:val="009C4322"/>
    <w:rsid w:val="009C61AB"/>
    <w:rsid w:val="009D27CE"/>
    <w:rsid w:val="009D2E86"/>
    <w:rsid w:val="009D55BB"/>
    <w:rsid w:val="009D77C3"/>
    <w:rsid w:val="009D790B"/>
    <w:rsid w:val="009D7A51"/>
    <w:rsid w:val="009E0A61"/>
    <w:rsid w:val="009E1BA3"/>
    <w:rsid w:val="009E24B8"/>
    <w:rsid w:val="009E3010"/>
    <w:rsid w:val="009F007E"/>
    <w:rsid w:val="009F1BCF"/>
    <w:rsid w:val="009F2C07"/>
    <w:rsid w:val="009F3F0A"/>
    <w:rsid w:val="009F4495"/>
    <w:rsid w:val="009F7065"/>
    <w:rsid w:val="009F708E"/>
    <w:rsid w:val="00A02AF8"/>
    <w:rsid w:val="00A0684B"/>
    <w:rsid w:val="00A068A6"/>
    <w:rsid w:val="00A10EE7"/>
    <w:rsid w:val="00A10FA8"/>
    <w:rsid w:val="00A11D7B"/>
    <w:rsid w:val="00A12B44"/>
    <w:rsid w:val="00A13492"/>
    <w:rsid w:val="00A1601E"/>
    <w:rsid w:val="00A16859"/>
    <w:rsid w:val="00A16B53"/>
    <w:rsid w:val="00A2072D"/>
    <w:rsid w:val="00A207D2"/>
    <w:rsid w:val="00A20CEF"/>
    <w:rsid w:val="00A2146F"/>
    <w:rsid w:val="00A22741"/>
    <w:rsid w:val="00A22C0B"/>
    <w:rsid w:val="00A239A5"/>
    <w:rsid w:val="00A23B5C"/>
    <w:rsid w:val="00A24A0A"/>
    <w:rsid w:val="00A26617"/>
    <w:rsid w:val="00A26EE1"/>
    <w:rsid w:val="00A3252F"/>
    <w:rsid w:val="00A33A36"/>
    <w:rsid w:val="00A34CE4"/>
    <w:rsid w:val="00A3654D"/>
    <w:rsid w:val="00A36823"/>
    <w:rsid w:val="00A40193"/>
    <w:rsid w:val="00A40655"/>
    <w:rsid w:val="00A4175D"/>
    <w:rsid w:val="00A43926"/>
    <w:rsid w:val="00A445EA"/>
    <w:rsid w:val="00A465D0"/>
    <w:rsid w:val="00A46A8C"/>
    <w:rsid w:val="00A50278"/>
    <w:rsid w:val="00A50B6B"/>
    <w:rsid w:val="00A50D34"/>
    <w:rsid w:val="00A50E5F"/>
    <w:rsid w:val="00A545E6"/>
    <w:rsid w:val="00A545FF"/>
    <w:rsid w:val="00A54934"/>
    <w:rsid w:val="00A55047"/>
    <w:rsid w:val="00A551FE"/>
    <w:rsid w:val="00A55886"/>
    <w:rsid w:val="00A5600E"/>
    <w:rsid w:val="00A56DC7"/>
    <w:rsid w:val="00A56E34"/>
    <w:rsid w:val="00A5757E"/>
    <w:rsid w:val="00A578ED"/>
    <w:rsid w:val="00A6612C"/>
    <w:rsid w:val="00A66B2B"/>
    <w:rsid w:val="00A67041"/>
    <w:rsid w:val="00A67EE7"/>
    <w:rsid w:val="00A700D5"/>
    <w:rsid w:val="00A70DE5"/>
    <w:rsid w:val="00A71D49"/>
    <w:rsid w:val="00A71FD3"/>
    <w:rsid w:val="00A722AB"/>
    <w:rsid w:val="00A72822"/>
    <w:rsid w:val="00A74FD1"/>
    <w:rsid w:val="00A7515B"/>
    <w:rsid w:val="00A7634F"/>
    <w:rsid w:val="00A77023"/>
    <w:rsid w:val="00A83E7C"/>
    <w:rsid w:val="00A847DA"/>
    <w:rsid w:val="00A84A58"/>
    <w:rsid w:val="00A84DC5"/>
    <w:rsid w:val="00A874CC"/>
    <w:rsid w:val="00A91DF1"/>
    <w:rsid w:val="00A94113"/>
    <w:rsid w:val="00A9438B"/>
    <w:rsid w:val="00AA012E"/>
    <w:rsid w:val="00AA06FD"/>
    <w:rsid w:val="00AA21E2"/>
    <w:rsid w:val="00AA22AA"/>
    <w:rsid w:val="00AA23A3"/>
    <w:rsid w:val="00AA2FE9"/>
    <w:rsid w:val="00AA3509"/>
    <w:rsid w:val="00AA4336"/>
    <w:rsid w:val="00AA7226"/>
    <w:rsid w:val="00AB0275"/>
    <w:rsid w:val="00AB23A0"/>
    <w:rsid w:val="00AB351D"/>
    <w:rsid w:val="00AB37F3"/>
    <w:rsid w:val="00AB4BBD"/>
    <w:rsid w:val="00AB5319"/>
    <w:rsid w:val="00AB5A79"/>
    <w:rsid w:val="00AC6EAA"/>
    <w:rsid w:val="00AC74CB"/>
    <w:rsid w:val="00AD08C4"/>
    <w:rsid w:val="00AD22F9"/>
    <w:rsid w:val="00AD4B75"/>
    <w:rsid w:val="00AD59C8"/>
    <w:rsid w:val="00AD6845"/>
    <w:rsid w:val="00AD7986"/>
    <w:rsid w:val="00AD7A3D"/>
    <w:rsid w:val="00AE09E0"/>
    <w:rsid w:val="00AE162D"/>
    <w:rsid w:val="00AE3489"/>
    <w:rsid w:val="00AE37CE"/>
    <w:rsid w:val="00AE4E6E"/>
    <w:rsid w:val="00AE766D"/>
    <w:rsid w:val="00AE7F9B"/>
    <w:rsid w:val="00AF06FC"/>
    <w:rsid w:val="00AF3391"/>
    <w:rsid w:val="00AF387F"/>
    <w:rsid w:val="00AF5A37"/>
    <w:rsid w:val="00AF602C"/>
    <w:rsid w:val="00AF701E"/>
    <w:rsid w:val="00AF7CA4"/>
    <w:rsid w:val="00B007BC"/>
    <w:rsid w:val="00B00E7F"/>
    <w:rsid w:val="00B02DF1"/>
    <w:rsid w:val="00B06D26"/>
    <w:rsid w:val="00B12EDB"/>
    <w:rsid w:val="00B13B34"/>
    <w:rsid w:val="00B173DA"/>
    <w:rsid w:val="00B21690"/>
    <w:rsid w:val="00B21DCC"/>
    <w:rsid w:val="00B22E91"/>
    <w:rsid w:val="00B23DBD"/>
    <w:rsid w:val="00B23EF5"/>
    <w:rsid w:val="00B2476C"/>
    <w:rsid w:val="00B25F37"/>
    <w:rsid w:val="00B30A34"/>
    <w:rsid w:val="00B334EE"/>
    <w:rsid w:val="00B34235"/>
    <w:rsid w:val="00B3457C"/>
    <w:rsid w:val="00B35B28"/>
    <w:rsid w:val="00B35C22"/>
    <w:rsid w:val="00B37FC0"/>
    <w:rsid w:val="00B402AA"/>
    <w:rsid w:val="00B41267"/>
    <w:rsid w:val="00B4316C"/>
    <w:rsid w:val="00B44097"/>
    <w:rsid w:val="00B44422"/>
    <w:rsid w:val="00B445F2"/>
    <w:rsid w:val="00B44C5D"/>
    <w:rsid w:val="00B46EA0"/>
    <w:rsid w:val="00B50160"/>
    <w:rsid w:val="00B51A14"/>
    <w:rsid w:val="00B51E03"/>
    <w:rsid w:val="00B56E80"/>
    <w:rsid w:val="00B61427"/>
    <w:rsid w:val="00B626C9"/>
    <w:rsid w:val="00B63552"/>
    <w:rsid w:val="00B639C7"/>
    <w:rsid w:val="00B63F48"/>
    <w:rsid w:val="00B65215"/>
    <w:rsid w:val="00B65710"/>
    <w:rsid w:val="00B65FCA"/>
    <w:rsid w:val="00B660D4"/>
    <w:rsid w:val="00B717E3"/>
    <w:rsid w:val="00B71F51"/>
    <w:rsid w:val="00B731D3"/>
    <w:rsid w:val="00B76A32"/>
    <w:rsid w:val="00B81868"/>
    <w:rsid w:val="00B81B4E"/>
    <w:rsid w:val="00B832A7"/>
    <w:rsid w:val="00B837BD"/>
    <w:rsid w:val="00B839A3"/>
    <w:rsid w:val="00B83CA0"/>
    <w:rsid w:val="00B83FB6"/>
    <w:rsid w:val="00B84282"/>
    <w:rsid w:val="00B84E76"/>
    <w:rsid w:val="00B853D2"/>
    <w:rsid w:val="00B86579"/>
    <w:rsid w:val="00B879FA"/>
    <w:rsid w:val="00B87CDE"/>
    <w:rsid w:val="00B902BD"/>
    <w:rsid w:val="00B918C0"/>
    <w:rsid w:val="00B92750"/>
    <w:rsid w:val="00B9643D"/>
    <w:rsid w:val="00B9694C"/>
    <w:rsid w:val="00B9743C"/>
    <w:rsid w:val="00BA1948"/>
    <w:rsid w:val="00BA244D"/>
    <w:rsid w:val="00BA24E2"/>
    <w:rsid w:val="00BA265D"/>
    <w:rsid w:val="00BA306D"/>
    <w:rsid w:val="00BA7D71"/>
    <w:rsid w:val="00BB0A34"/>
    <w:rsid w:val="00BB0AAA"/>
    <w:rsid w:val="00BB127A"/>
    <w:rsid w:val="00BB1430"/>
    <w:rsid w:val="00BB1BCE"/>
    <w:rsid w:val="00BB2527"/>
    <w:rsid w:val="00BB4108"/>
    <w:rsid w:val="00BB4231"/>
    <w:rsid w:val="00BB437F"/>
    <w:rsid w:val="00BB5930"/>
    <w:rsid w:val="00BB653D"/>
    <w:rsid w:val="00BB6CC7"/>
    <w:rsid w:val="00BC342A"/>
    <w:rsid w:val="00BC43E6"/>
    <w:rsid w:val="00BC7C66"/>
    <w:rsid w:val="00BD1710"/>
    <w:rsid w:val="00BD17F2"/>
    <w:rsid w:val="00BD1DE8"/>
    <w:rsid w:val="00BD1F61"/>
    <w:rsid w:val="00BD2A39"/>
    <w:rsid w:val="00BD2E80"/>
    <w:rsid w:val="00BD392D"/>
    <w:rsid w:val="00BD73BE"/>
    <w:rsid w:val="00BD7912"/>
    <w:rsid w:val="00BE0598"/>
    <w:rsid w:val="00BE11B8"/>
    <w:rsid w:val="00BE13C3"/>
    <w:rsid w:val="00BE3818"/>
    <w:rsid w:val="00BE4A58"/>
    <w:rsid w:val="00BE616F"/>
    <w:rsid w:val="00BE7126"/>
    <w:rsid w:val="00BF002C"/>
    <w:rsid w:val="00BF3DF8"/>
    <w:rsid w:val="00BF4D48"/>
    <w:rsid w:val="00BF60C2"/>
    <w:rsid w:val="00BF60DA"/>
    <w:rsid w:val="00BF7FF0"/>
    <w:rsid w:val="00C00E12"/>
    <w:rsid w:val="00C02093"/>
    <w:rsid w:val="00C05753"/>
    <w:rsid w:val="00C06299"/>
    <w:rsid w:val="00C07319"/>
    <w:rsid w:val="00C07D11"/>
    <w:rsid w:val="00C12502"/>
    <w:rsid w:val="00C1266C"/>
    <w:rsid w:val="00C13D7D"/>
    <w:rsid w:val="00C149CB"/>
    <w:rsid w:val="00C14FD2"/>
    <w:rsid w:val="00C158A0"/>
    <w:rsid w:val="00C16B4D"/>
    <w:rsid w:val="00C16F80"/>
    <w:rsid w:val="00C200F1"/>
    <w:rsid w:val="00C221AA"/>
    <w:rsid w:val="00C22596"/>
    <w:rsid w:val="00C24DEF"/>
    <w:rsid w:val="00C2733C"/>
    <w:rsid w:val="00C3302C"/>
    <w:rsid w:val="00C36578"/>
    <w:rsid w:val="00C40AA5"/>
    <w:rsid w:val="00C40F80"/>
    <w:rsid w:val="00C4565A"/>
    <w:rsid w:val="00C46F70"/>
    <w:rsid w:val="00C476D0"/>
    <w:rsid w:val="00C47FF7"/>
    <w:rsid w:val="00C5088C"/>
    <w:rsid w:val="00C5196C"/>
    <w:rsid w:val="00C51F7E"/>
    <w:rsid w:val="00C5200B"/>
    <w:rsid w:val="00C52ECE"/>
    <w:rsid w:val="00C53B9A"/>
    <w:rsid w:val="00C56F71"/>
    <w:rsid w:val="00C57EBA"/>
    <w:rsid w:val="00C60871"/>
    <w:rsid w:val="00C625C9"/>
    <w:rsid w:val="00C62DE8"/>
    <w:rsid w:val="00C63580"/>
    <w:rsid w:val="00C65BA9"/>
    <w:rsid w:val="00C71E99"/>
    <w:rsid w:val="00C72FBD"/>
    <w:rsid w:val="00C73932"/>
    <w:rsid w:val="00C73E87"/>
    <w:rsid w:val="00C7451A"/>
    <w:rsid w:val="00C74D25"/>
    <w:rsid w:val="00C75305"/>
    <w:rsid w:val="00C75DEC"/>
    <w:rsid w:val="00C76FCB"/>
    <w:rsid w:val="00C77CE2"/>
    <w:rsid w:val="00C8001A"/>
    <w:rsid w:val="00C8043F"/>
    <w:rsid w:val="00C80E2F"/>
    <w:rsid w:val="00C83254"/>
    <w:rsid w:val="00C836E3"/>
    <w:rsid w:val="00C83818"/>
    <w:rsid w:val="00C86447"/>
    <w:rsid w:val="00C86577"/>
    <w:rsid w:val="00C872FB"/>
    <w:rsid w:val="00C87FFC"/>
    <w:rsid w:val="00C900DC"/>
    <w:rsid w:val="00C92E07"/>
    <w:rsid w:val="00C94942"/>
    <w:rsid w:val="00C95A55"/>
    <w:rsid w:val="00C96868"/>
    <w:rsid w:val="00C96A50"/>
    <w:rsid w:val="00C96CF4"/>
    <w:rsid w:val="00C97439"/>
    <w:rsid w:val="00C97E92"/>
    <w:rsid w:val="00CA0416"/>
    <w:rsid w:val="00CA0A75"/>
    <w:rsid w:val="00CA25A3"/>
    <w:rsid w:val="00CA2669"/>
    <w:rsid w:val="00CA2E60"/>
    <w:rsid w:val="00CA3B49"/>
    <w:rsid w:val="00CA3C65"/>
    <w:rsid w:val="00CA3D12"/>
    <w:rsid w:val="00CA6AB8"/>
    <w:rsid w:val="00CA734B"/>
    <w:rsid w:val="00CA75C3"/>
    <w:rsid w:val="00CA7F35"/>
    <w:rsid w:val="00CB0847"/>
    <w:rsid w:val="00CB1375"/>
    <w:rsid w:val="00CB4F71"/>
    <w:rsid w:val="00CB518C"/>
    <w:rsid w:val="00CB6F3B"/>
    <w:rsid w:val="00CB7224"/>
    <w:rsid w:val="00CB762C"/>
    <w:rsid w:val="00CC1CF4"/>
    <w:rsid w:val="00CC2F2B"/>
    <w:rsid w:val="00CC36E7"/>
    <w:rsid w:val="00CC4A38"/>
    <w:rsid w:val="00CC560B"/>
    <w:rsid w:val="00CC7360"/>
    <w:rsid w:val="00CC75E2"/>
    <w:rsid w:val="00CD1EC1"/>
    <w:rsid w:val="00CD46EB"/>
    <w:rsid w:val="00CD496D"/>
    <w:rsid w:val="00CD4DF6"/>
    <w:rsid w:val="00CD7EBF"/>
    <w:rsid w:val="00CE0AEB"/>
    <w:rsid w:val="00CE12E0"/>
    <w:rsid w:val="00CE24CE"/>
    <w:rsid w:val="00CE25C8"/>
    <w:rsid w:val="00CE2BE5"/>
    <w:rsid w:val="00CE48F8"/>
    <w:rsid w:val="00CE6681"/>
    <w:rsid w:val="00CE6C46"/>
    <w:rsid w:val="00CF0CD5"/>
    <w:rsid w:val="00CF1190"/>
    <w:rsid w:val="00CF1E22"/>
    <w:rsid w:val="00CF403E"/>
    <w:rsid w:val="00CF47A2"/>
    <w:rsid w:val="00CF6204"/>
    <w:rsid w:val="00CF73AF"/>
    <w:rsid w:val="00CF752B"/>
    <w:rsid w:val="00D04529"/>
    <w:rsid w:val="00D056F1"/>
    <w:rsid w:val="00D062E4"/>
    <w:rsid w:val="00D10FD7"/>
    <w:rsid w:val="00D11171"/>
    <w:rsid w:val="00D119AA"/>
    <w:rsid w:val="00D12D53"/>
    <w:rsid w:val="00D13067"/>
    <w:rsid w:val="00D13E79"/>
    <w:rsid w:val="00D14405"/>
    <w:rsid w:val="00D15427"/>
    <w:rsid w:val="00D1544A"/>
    <w:rsid w:val="00D1798B"/>
    <w:rsid w:val="00D2071E"/>
    <w:rsid w:val="00D209C9"/>
    <w:rsid w:val="00D22F3C"/>
    <w:rsid w:val="00D23DB6"/>
    <w:rsid w:val="00D25C95"/>
    <w:rsid w:val="00D260BD"/>
    <w:rsid w:val="00D26814"/>
    <w:rsid w:val="00D305B2"/>
    <w:rsid w:val="00D3171B"/>
    <w:rsid w:val="00D322FD"/>
    <w:rsid w:val="00D32E80"/>
    <w:rsid w:val="00D33D44"/>
    <w:rsid w:val="00D33DE8"/>
    <w:rsid w:val="00D33F56"/>
    <w:rsid w:val="00D349BB"/>
    <w:rsid w:val="00D35624"/>
    <w:rsid w:val="00D3629B"/>
    <w:rsid w:val="00D36EFB"/>
    <w:rsid w:val="00D40AAB"/>
    <w:rsid w:val="00D42101"/>
    <w:rsid w:val="00D43FE6"/>
    <w:rsid w:val="00D44442"/>
    <w:rsid w:val="00D44F84"/>
    <w:rsid w:val="00D5126D"/>
    <w:rsid w:val="00D51A95"/>
    <w:rsid w:val="00D54616"/>
    <w:rsid w:val="00D5608A"/>
    <w:rsid w:val="00D60568"/>
    <w:rsid w:val="00D641D3"/>
    <w:rsid w:val="00D6577C"/>
    <w:rsid w:val="00D676CF"/>
    <w:rsid w:val="00D70C7A"/>
    <w:rsid w:val="00D71063"/>
    <w:rsid w:val="00D730E4"/>
    <w:rsid w:val="00D73931"/>
    <w:rsid w:val="00D812AA"/>
    <w:rsid w:val="00D81D38"/>
    <w:rsid w:val="00D8470F"/>
    <w:rsid w:val="00D8471A"/>
    <w:rsid w:val="00D859DB"/>
    <w:rsid w:val="00D85E58"/>
    <w:rsid w:val="00D86BB2"/>
    <w:rsid w:val="00D86CEA"/>
    <w:rsid w:val="00D90D88"/>
    <w:rsid w:val="00D9554F"/>
    <w:rsid w:val="00DA10A8"/>
    <w:rsid w:val="00DA1513"/>
    <w:rsid w:val="00DA20DE"/>
    <w:rsid w:val="00DA287E"/>
    <w:rsid w:val="00DA4B28"/>
    <w:rsid w:val="00DA5001"/>
    <w:rsid w:val="00DA5682"/>
    <w:rsid w:val="00DA5B30"/>
    <w:rsid w:val="00DA5E05"/>
    <w:rsid w:val="00DB0DB9"/>
    <w:rsid w:val="00DB1E08"/>
    <w:rsid w:val="00DB2973"/>
    <w:rsid w:val="00DB324A"/>
    <w:rsid w:val="00DB3E7A"/>
    <w:rsid w:val="00DB3F49"/>
    <w:rsid w:val="00DB51F6"/>
    <w:rsid w:val="00DB69FE"/>
    <w:rsid w:val="00DB787F"/>
    <w:rsid w:val="00DB7A08"/>
    <w:rsid w:val="00DC031F"/>
    <w:rsid w:val="00DC03CE"/>
    <w:rsid w:val="00DC1AB4"/>
    <w:rsid w:val="00DC1B56"/>
    <w:rsid w:val="00DC2129"/>
    <w:rsid w:val="00DC3659"/>
    <w:rsid w:val="00DC3C72"/>
    <w:rsid w:val="00DC5AE6"/>
    <w:rsid w:val="00DC6570"/>
    <w:rsid w:val="00DC6973"/>
    <w:rsid w:val="00DC72C7"/>
    <w:rsid w:val="00DD27FA"/>
    <w:rsid w:val="00DD3C5E"/>
    <w:rsid w:val="00DD49B4"/>
    <w:rsid w:val="00DD4D73"/>
    <w:rsid w:val="00DD5DEB"/>
    <w:rsid w:val="00DD6349"/>
    <w:rsid w:val="00DD6BAB"/>
    <w:rsid w:val="00DE79D9"/>
    <w:rsid w:val="00DF25C3"/>
    <w:rsid w:val="00DF47A9"/>
    <w:rsid w:val="00DF7474"/>
    <w:rsid w:val="00DF763C"/>
    <w:rsid w:val="00E00735"/>
    <w:rsid w:val="00E02602"/>
    <w:rsid w:val="00E0277A"/>
    <w:rsid w:val="00E04062"/>
    <w:rsid w:val="00E043D7"/>
    <w:rsid w:val="00E05316"/>
    <w:rsid w:val="00E05BAF"/>
    <w:rsid w:val="00E063C6"/>
    <w:rsid w:val="00E06606"/>
    <w:rsid w:val="00E07AE9"/>
    <w:rsid w:val="00E07D40"/>
    <w:rsid w:val="00E10635"/>
    <w:rsid w:val="00E10F41"/>
    <w:rsid w:val="00E119C6"/>
    <w:rsid w:val="00E13057"/>
    <w:rsid w:val="00E136FB"/>
    <w:rsid w:val="00E146E4"/>
    <w:rsid w:val="00E1712F"/>
    <w:rsid w:val="00E17613"/>
    <w:rsid w:val="00E2003B"/>
    <w:rsid w:val="00E203C2"/>
    <w:rsid w:val="00E21D6F"/>
    <w:rsid w:val="00E22583"/>
    <w:rsid w:val="00E24DE8"/>
    <w:rsid w:val="00E255C2"/>
    <w:rsid w:val="00E26BBC"/>
    <w:rsid w:val="00E26DBD"/>
    <w:rsid w:val="00E279D8"/>
    <w:rsid w:val="00E306FA"/>
    <w:rsid w:val="00E319B1"/>
    <w:rsid w:val="00E32592"/>
    <w:rsid w:val="00E34839"/>
    <w:rsid w:val="00E34DB7"/>
    <w:rsid w:val="00E36BAB"/>
    <w:rsid w:val="00E372FF"/>
    <w:rsid w:val="00E40ED4"/>
    <w:rsid w:val="00E44E0D"/>
    <w:rsid w:val="00E5077E"/>
    <w:rsid w:val="00E5092F"/>
    <w:rsid w:val="00E50D63"/>
    <w:rsid w:val="00E51A2B"/>
    <w:rsid w:val="00E520FE"/>
    <w:rsid w:val="00E533C9"/>
    <w:rsid w:val="00E5384F"/>
    <w:rsid w:val="00E53E4A"/>
    <w:rsid w:val="00E5492F"/>
    <w:rsid w:val="00E54C9F"/>
    <w:rsid w:val="00E567E8"/>
    <w:rsid w:val="00E56B00"/>
    <w:rsid w:val="00E57B9B"/>
    <w:rsid w:val="00E57C72"/>
    <w:rsid w:val="00E605E5"/>
    <w:rsid w:val="00E60725"/>
    <w:rsid w:val="00E6136E"/>
    <w:rsid w:val="00E61385"/>
    <w:rsid w:val="00E62DEF"/>
    <w:rsid w:val="00E65F88"/>
    <w:rsid w:val="00E66D34"/>
    <w:rsid w:val="00E672EA"/>
    <w:rsid w:val="00E676B7"/>
    <w:rsid w:val="00E67F36"/>
    <w:rsid w:val="00E70A86"/>
    <w:rsid w:val="00E72650"/>
    <w:rsid w:val="00E7415E"/>
    <w:rsid w:val="00E74D2D"/>
    <w:rsid w:val="00E75054"/>
    <w:rsid w:val="00E751D6"/>
    <w:rsid w:val="00E76C1A"/>
    <w:rsid w:val="00E777EC"/>
    <w:rsid w:val="00E80FCD"/>
    <w:rsid w:val="00E8122F"/>
    <w:rsid w:val="00E81F6E"/>
    <w:rsid w:val="00E82BB2"/>
    <w:rsid w:val="00E82D13"/>
    <w:rsid w:val="00E8333E"/>
    <w:rsid w:val="00E83A14"/>
    <w:rsid w:val="00E85B19"/>
    <w:rsid w:val="00E867DD"/>
    <w:rsid w:val="00E9020E"/>
    <w:rsid w:val="00E9174B"/>
    <w:rsid w:val="00E921AE"/>
    <w:rsid w:val="00E955E4"/>
    <w:rsid w:val="00E95627"/>
    <w:rsid w:val="00E96059"/>
    <w:rsid w:val="00E9779F"/>
    <w:rsid w:val="00EA14F6"/>
    <w:rsid w:val="00EA417D"/>
    <w:rsid w:val="00EA54F4"/>
    <w:rsid w:val="00EA6773"/>
    <w:rsid w:val="00EA6D1E"/>
    <w:rsid w:val="00EA7F2F"/>
    <w:rsid w:val="00EB0110"/>
    <w:rsid w:val="00EB07C1"/>
    <w:rsid w:val="00EB3897"/>
    <w:rsid w:val="00EB4F96"/>
    <w:rsid w:val="00EB5934"/>
    <w:rsid w:val="00EB609F"/>
    <w:rsid w:val="00EB63FF"/>
    <w:rsid w:val="00EB6F9C"/>
    <w:rsid w:val="00EB7304"/>
    <w:rsid w:val="00EB7729"/>
    <w:rsid w:val="00EC00DE"/>
    <w:rsid w:val="00EC018F"/>
    <w:rsid w:val="00EC30E1"/>
    <w:rsid w:val="00EC37CB"/>
    <w:rsid w:val="00EC4049"/>
    <w:rsid w:val="00EC6BBC"/>
    <w:rsid w:val="00ED0F4C"/>
    <w:rsid w:val="00ED172A"/>
    <w:rsid w:val="00ED4CC3"/>
    <w:rsid w:val="00ED5A11"/>
    <w:rsid w:val="00EE07BA"/>
    <w:rsid w:val="00EE093B"/>
    <w:rsid w:val="00EE0A23"/>
    <w:rsid w:val="00EE1278"/>
    <w:rsid w:val="00EE234F"/>
    <w:rsid w:val="00EE2500"/>
    <w:rsid w:val="00EF01C8"/>
    <w:rsid w:val="00EF0C88"/>
    <w:rsid w:val="00EF754B"/>
    <w:rsid w:val="00EF792B"/>
    <w:rsid w:val="00F01D91"/>
    <w:rsid w:val="00F02806"/>
    <w:rsid w:val="00F033F6"/>
    <w:rsid w:val="00F04954"/>
    <w:rsid w:val="00F04A4A"/>
    <w:rsid w:val="00F06375"/>
    <w:rsid w:val="00F06A65"/>
    <w:rsid w:val="00F0750B"/>
    <w:rsid w:val="00F10179"/>
    <w:rsid w:val="00F1022F"/>
    <w:rsid w:val="00F10D0C"/>
    <w:rsid w:val="00F11614"/>
    <w:rsid w:val="00F11A4C"/>
    <w:rsid w:val="00F129AB"/>
    <w:rsid w:val="00F143C9"/>
    <w:rsid w:val="00F14BEC"/>
    <w:rsid w:val="00F16D97"/>
    <w:rsid w:val="00F2052C"/>
    <w:rsid w:val="00F225C5"/>
    <w:rsid w:val="00F2395B"/>
    <w:rsid w:val="00F23EE6"/>
    <w:rsid w:val="00F24E39"/>
    <w:rsid w:val="00F255F3"/>
    <w:rsid w:val="00F2587A"/>
    <w:rsid w:val="00F27B12"/>
    <w:rsid w:val="00F27BCC"/>
    <w:rsid w:val="00F303A0"/>
    <w:rsid w:val="00F335A3"/>
    <w:rsid w:val="00F33BB8"/>
    <w:rsid w:val="00F34F77"/>
    <w:rsid w:val="00F353F5"/>
    <w:rsid w:val="00F36525"/>
    <w:rsid w:val="00F367E7"/>
    <w:rsid w:val="00F3715D"/>
    <w:rsid w:val="00F374CB"/>
    <w:rsid w:val="00F4122E"/>
    <w:rsid w:val="00F41407"/>
    <w:rsid w:val="00F420C8"/>
    <w:rsid w:val="00F42937"/>
    <w:rsid w:val="00F42A4C"/>
    <w:rsid w:val="00F43E99"/>
    <w:rsid w:val="00F45545"/>
    <w:rsid w:val="00F45C71"/>
    <w:rsid w:val="00F47122"/>
    <w:rsid w:val="00F47595"/>
    <w:rsid w:val="00F47638"/>
    <w:rsid w:val="00F477E3"/>
    <w:rsid w:val="00F479F1"/>
    <w:rsid w:val="00F47ECD"/>
    <w:rsid w:val="00F50571"/>
    <w:rsid w:val="00F50D20"/>
    <w:rsid w:val="00F51AED"/>
    <w:rsid w:val="00F53B04"/>
    <w:rsid w:val="00F545DD"/>
    <w:rsid w:val="00F5753C"/>
    <w:rsid w:val="00F576D9"/>
    <w:rsid w:val="00F604DE"/>
    <w:rsid w:val="00F632D4"/>
    <w:rsid w:val="00F63D02"/>
    <w:rsid w:val="00F64281"/>
    <w:rsid w:val="00F64653"/>
    <w:rsid w:val="00F65889"/>
    <w:rsid w:val="00F73383"/>
    <w:rsid w:val="00F733E6"/>
    <w:rsid w:val="00F748B2"/>
    <w:rsid w:val="00F759DB"/>
    <w:rsid w:val="00F76BC3"/>
    <w:rsid w:val="00F82C30"/>
    <w:rsid w:val="00F8404D"/>
    <w:rsid w:val="00F84853"/>
    <w:rsid w:val="00F84BF4"/>
    <w:rsid w:val="00F85B04"/>
    <w:rsid w:val="00F86D86"/>
    <w:rsid w:val="00F90136"/>
    <w:rsid w:val="00F910F9"/>
    <w:rsid w:val="00F95E3A"/>
    <w:rsid w:val="00F96331"/>
    <w:rsid w:val="00FA07D0"/>
    <w:rsid w:val="00FA09A5"/>
    <w:rsid w:val="00FA0A1B"/>
    <w:rsid w:val="00FA2EC4"/>
    <w:rsid w:val="00FA327A"/>
    <w:rsid w:val="00FA77F4"/>
    <w:rsid w:val="00FB0A5D"/>
    <w:rsid w:val="00FB1533"/>
    <w:rsid w:val="00FB5579"/>
    <w:rsid w:val="00FB67A3"/>
    <w:rsid w:val="00FB736A"/>
    <w:rsid w:val="00FB7512"/>
    <w:rsid w:val="00FB792E"/>
    <w:rsid w:val="00FC227C"/>
    <w:rsid w:val="00FC2A16"/>
    <w:rsid w:val="00FC31D1"/>
    <w:rsid w:val="00FD0817"/>
    <w:rsid w:val="00FD081B"/>
    <w:rsid w:val="00FD112F"/>
    <w:rsid w:val="00FD22B7"/>
    <w:rsid w:val="00FD2CB0"/>
    <w:rsid w:val="00FD2FBE"/>
    <w:rsid w:val="00FD3AD1"/>
    <w:rsid w:val="00FD5FB6"/>
    <w:rsid w:val="00FD6FBE"/>
    <w:rsid w:val="00FD71D7"/>
    <w:rsid w:val="00FD7547"/>
    <w:rsid w:val="00FE01D2"/>
    <w:rsid w:val="00FE1F22"/>
    <w:rsid w:val="00FE25AD"/>
    <w:rsid w:val="00FE3C80"/>
    <w:rsid w:val="00FE3F6C"/>
    <w:rsid w:val="00FE5F2D"/>
    <w:rsid w:val="00FE5FD5"/>
    <w:rsid w:val="00FE60E7"/>
    <w:rsid w:val="00FE666A"/>
    <w:rsid w:val="00FE7D9B"/>
    <w:rsid w:val="00FF2359"/>
    <w:rsid w:val="00FF5723"/>
    <w:rsid w:val="00FF5F5C"/>
    <w:rsid w:val="00FF6F13"/>
    <w:rsid w:val="00FF7A1A"/>
    <w:rsid w:val="00FF7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FBF2BA"/>
  <w15:docId w15:val="{EFDE6BCE-19D2-4591-82E8-BD56592E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uiPriority w:val="6"/>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uiPriority w:val="6"/>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uiPriority w:val="99"/>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uiPriority w:val="99"/>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SFootnote Text,Footnotes Text,FSFootnotes Text,Footnote Snez"/>
    <w:basedOn w:val="Normal"/>
    <w:link w:val="FootnoteTextChar"/>
    <w:qFormat/>
    <w:rsid w:val="00820535"/>
    <w:rPr>
      <w:sz w:val="20"/>
      <w:szCs w:val="20"/>
    </w:rPr>
  </w:style>
  <w:style w:type="character" w:customStyle="1" w:styleId="FootnoteTextChar">
    <w:name w:val="Footnote Text Char"/>
    <w:aliases w:val="FSFootnote Text Char,Footnotes Text Char,FSFootnotes Text Char,Footnote Snez Char"/>
    <w:basedOn w:val="DefaultParagraphFont"/>
    <w:link w:val="FootnoteText"/>
    <w:rsid w:val="00820535"/>
    <w:rPr>
      <w:rFonts w:ascii="Arial" w:hAnsi="Arial"/>
      <w:lang w:eastAsia="en-US" w:bidi="en-US"/>
    </w:rPr>
  </w:style>
  <w:style w:type="paragraph" w:customStyle="1" w:styleId="AARBullet">
    <w:name w:val="AAR Bullet"/>
    <w:basedOn w:val="Normal"/>
    <w:qFormat/>
    <w:rsid w:val="00B34235"/>
    <w:pPr>
      <w:widowControl/>
      <w:numPr>
        <w:numId w:val="9"/>
      </w:numPr>
      <w:spacing w:before="60" w:after="60"/>
    </w:pPr>
    <w:rPr>
      <w:rFonts w:cs="Arial"/>
      <w:sz w:val="20"/>
      <w:lang w:val="en-AU" w:bidi="ar-SA"/>
    </w:rPr>
  </w:style>
  <w:style w:type="character" w:customStyle="1" w:styleId="ilfuvd">
    <w:name w:val="ilfuvd"/>
    <w:basedOn w:val="DefaultParagraphFont"/>
    <w:rsid w:val="00306592"/>
  </w:style>
  <w:style w:type="paragraph" w:styleId="ListParagraph">
    <w:name w:val="List Paragraph"/>
    <w:basedOn w:val="Normal"/>
    <w:uiPriority w:val="34"/>
    <w:qFormat/>
    <w:rsid w:val="00CF1E22"/>
    <w:pPr>
      <w:ind w:left="720"/>
      <w:contextualSpacing/>
    </w:pPr>
  </w:style>
  <w:style w:type="character" w:customStyle="1" w:styleId="FooterChar">
    <w:name w:val="Footer Char"/>
    <w:basedOn w:val="DefaultParagraphFont"/>
    <w:link w:val="Footer"/>
    <w:uiPriority w:val="99"/>
    <w:rsid w:val="005663E7"/>
    <w:rPr>
      <w:rFonts w:ascii="Arial" w:hAnsi="Arial"/>
      <w:szCs w:val="24"/>
      <w:lang w:eastAsia="en-US" w:bidi="en-US"/>
    </w:rPr>
  </w:style>
  <w:style w:type="paragraph" w:customStyle="1" w:styleId="FSTableColumnRowheading">
    <w:name w:val="FSTable Column/Row heading"/>
    <w:basedOn w:val="Normal"/>
    <w:uiPriority w:val="8"/>
    <w:qFormat/>
    <w:locked/>
    <w:rsid w:val="005663E7"/>
    <w:pPr>
      <w:spacing w:before="120" w:after="120"/>
    </w:pPr>
    <w:rPr>
      <w:b/>
      <w:sz w:val="20"/>
      <w:szCs w:val="20"/>
    </w:rPr>
  </w:style>
  <w:style w:type="paragraph" w:styleId="NoSpacing">
    <w:name w:val="No Spacing"/>
    <w:uiPriority w:val="20"/>
    <w:rsid w:val="006A4385"/>
    <w:pPr>
      <w:widowControl w:val="0"/>
    </w:pPr>
    <w:rPr>
      <w:rFonts w:ascii="Arial" w:hAnsi="Arial"/>
      <w:sz w:val="22"/>
      <w:szCs w:val="24"/>
      <w:lang w:eastAsia="en-US" w:bidi="en-US"/>
    </w:rPr>
  </w:style>
  <w:style w:type="paragraph" w:customStyle="1" w:styleId="Text">
    <w:name w:val="Text"/>
    <w:basedOn w:val="Normal"/>
    <w:link w:val="TextChar"/>
    <w:qFormat/>
    <w:rsid w:val="006311D1"/>
    <w:pPr>
      <w:widowControl/>
      <w:spacing w:before="240" w:after="120"/>
      <w:jc w:val="both"/>
    </w:pPr>
    <w:rPr>
      <w:rFonts w:asciiTheme="minorHAnsi" w:eastAsiaTheme="minorHAnsi" w:hAnsiTheme="minorHAnsi" w:cstheme="minorBidi"/>
      <w:szCs w:val="22"/>
      <w:lang w:val="en-AU" w:bidi="ar-SA"/>
    </w:rPr>
  </w:style>
  <w:style w:type="character" w:customStyle="1" w:styleId="TextChar">
    <w:name w:val="Text Char"/>
    <w:basedOn w:val="DefaultParagraphFont"/>
    <w:link w:val="Text"/>
    <w:rsid w:val="006311D1"/>
    <w:rPr>
      <w:rFonts w:asciiTheme="minorHAnsi" w:eastAsiaTheme="minorHAnsi" w:hAnsiTheme="minorHAnsi" w:cstheme="minorBidi"/>
      <w:sz w:val="22"/>
      <w:szCs w:val="22"/>
      <w:lang w:val="en-AU" w:eastAsia="en-US"/>
    </w:rPr>
  </w:style>
  <w:style w:type="paragraph" w:customStyle="1" w:styleId="CitaviBibliographyEntry">
    <w:name w:val="Citavi Bibliography Entry"/>
    <w:basedOn w:val="Normal"/>
    <w:link w:val="CitaviBibliographyEntryChar"/>
    <w:rsid w:val="009E1BA3"/>
    <w:pPr>
      <w:tabs>
        <w:tab w:val="left" w:pos="397"/>
      </w:tabs>
      <w:ind w:left="397" w:hanging="397"/>
    </w:pPr>
  </w:style>
  <w:style w:type="character" w:customStyle="1" w:styleId="CitaviBibliographyEntryChar">
    <w:name w:val="Citavi Bibliography Entry Char"/>
    <w:basedOn w:val="DefaultParagraphFont"/>
    <w:link w:val="CitaviBibliographyEntry"/>
    <w:rsid w:val="009E1BA3"/>
    <w:rPr>
      <w:rFonts w:ascii="Arial" w:hAnsi="Arial"/>
      <w:sz w:val="22"/>
      <w:szCs w:val="24"/>
      <w:lang w:eastAsia="en-US" w:bidi="en-US"/>
    </w:rPr>
  </w:style>
  <w:style w:type="character" w:styleId="Emphasis">
    <w:name w:val="Emphasis"/>
    <w:basedOn w:val="DefaultParagraphFont"/>
    <w:uiPriority w:val="20"/>
    <w:qFormat/>
    <w:rsid w:val="00E136FB"/>
    <w:rPr>
      <w:i/>
      <w:iCs/>
    </w:rPr>
  </w:style>
  <w:style w:type="paragraph" w:styleId="ListBullet">
    <w:name w:val="List Bullet"/>
    <w:basedOn w:val="Normal"/>
    <w:unhideWhenUsed/>
    <w:rsid w:val="00BE4A58"/>
    <w:pPr>
      <w:tabs>
        <w:tab w:val="num" w:pos="360"/>
      </w:tabs>
      <w:ind w:left="360" w:hanging="360"/>
      <w:contextualSpacing/>
    </w:pPr>
  </w:style>
  <w:style w:type="table" w:customStyle="1" w:styleId="TableGrid2">
    <w:name w:val="Table Grid2"/>
    <w:basedOn w:val="TableNormal"/>
    <w:next w:val="TableGrid"/>
    <w:uiPriority w:val="59"/>
    <w:rsid w:val="00012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7262">
      <w:bodyDiv w:val="1"/>
      <w:marLeft w:val="0"/>
      <w:marRight w:val="0"/>
      <w:marTop w:val="0"/>
      <w:marBottom w:val="0"/>
      <w:divBdr>
        <w:top w:val="none" w:sz="0" w:space="0" w:color="auto"/>
        <w:left w:val="none" w:sz="0" w:space="0" w:color="auto"/>
        <w:bottom w:val="none" w:sz="0" w:space="0" w:color="auto"/>
        <w:right w:val="none" w:sz="0" w:space="0" w:color="auto"/>
      </w:divBdr>
    </w:div>
    <w:div w:id="22947947">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577328032">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779883195">
      <w:bodyDiv w:val="1"/>
      <w:marLeft w:val="0"/>
      <w:marRight w:val="0"/>
      <w:marTop w:val="0"/>
      <w:marBottom w:val="0"/>
      <w:divBdr>
        <w:top w:val="none" w:sz="0" w:space="0" w:color="auto"/>
        <w:left w:val="none" w:sz="0" w:space="0" w:color="auto"/>
        <w:bottom w:val="none" w:sz="0" w:space="0" w:color="auto"/>
        <w:right w:val="none" w:sz="0" w:space="0" w:color="auto"/>
      </w:divBdr>
    </w:div>
    <w:div w:id="1226452224">
      <w:bodyDiv w:val="1"/>
      <w:marLeft w:val="0"/>
      <w:marRight w:val="0"/>
      <w:marTop w:val="0"/>
      <w:marBottom w:val="0"/>
      <w:divBdr>
        <w:top w:val="none" w:sz="0" w:space="0" w:color="auto"/>
        <w:left w:val="none" w:sz="0" w:space="0" w:color="auto"/>
        <w:bottom w:val="none" w:sz="0" w:space="0" w:color="auto"/>
        <w:right w:val="none" w:sz="0" w:space="0" w:color="auto"/>
      </w:divBdr>
    </w:div>
    <w:div w:id="1564833996">
      <w:bodyDiv w:val="1"/>
      <w:marLeft w:val="0"/>
      <w:marRight w:val="0"/>
      <w:marTop w:val="0"/>
      <w:marBottom w:val="0"/>
      <w:divBdr>
        <w:top w:val="none" w:sz="0" w:space="0" w:color="auto"/>
        <w:left w:val="none" w:sz="0" w:space="0" w:color="auto"/>
        <w:bottom w:val="none" w:sz="0" w:space="0" w:color="auto"/>
        <w:right w:val="none" w:sz="0" w:space="0" w:color="auto"/>
      </w:divBdr>
    </w:div>
    <w:div w:id="1648437156">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32204609">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oodstandards.gov.au/code/changes/submission/Pages/default.aspx" TargetMode="External"/><Relationship Id="rId18" Type="http://schemas.openxmlformats.org/officeDocument/2006/relationships/footer" Target="footer1.xml"/><Relationship Id="rId26" Type="http://schemas.openxmlformats.org/officeDocument/2006/relationships/hyperlink" Target="https://www.accessdata.fda.gov/scripts/fdcc/?set=GRASNotices&amp;id=650&amp;sort=GRN_No&amp;order=DESC&amp;startrow=1&amp;type=basic&amp;search=glycom" TargetMode="External"/><Relationship Id="rId3" Type="http://schemas.openxmlformats.org/officeDocument/2006/relationships/customXml" Target="../customXml/item3.xml"/><Relationship Id="rId21" Type="http://schemas.openxmlformats.org/officeDocument/2006/relationships/hyperlink" Target="https://eur-lex.europa.eu/legal-content/EN/TXT/?qid=1558669116773&amp;uri=CELEX:32018R1023"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tandards.management@foodstandards.gov.au" TargetMode="External"/><Relationship Id="rId25" Type="http://schemas.openxmlformats.org/officeDocument/2006/relationships/hyperlink" Target="https://www.accessdata.fda.gov/scripts/fdcc/index.cfm?set=GRASNotices&amp;id=571" TargetMode="External"/><Relationship Id="rId2" Type="http://schemas.openxmlformats.org/officeDocument/2006/relationships/customXml" Target="../customXml/item2.xml"/><Relationship Id="rId16" Type="http://schemas.openxmlformats.org/officeDocument/2006/relationships/hyperlink" Target="mailto:submissions@foodstandards.gov.au" TargetMode="External"/><Relationship Id="rId20" Type="http://schemas.openxmlformats.org/officeDocument/2006/relationships/hyperlink" Target="https://eur-lex.europa.eu/legal-content/EN/TXT/?uri=CELEX%3A32017D2201" TargetMode="External"/><Relationship Id="rId29" Type="http://schemas.openxmlformats.org/officeDocument/2006/relationships/hyperlink" Target="https://www.accessdata.fda.gov/scripts/fdcc/?set=GRASNotices&amp;id=749&amp;sort=GRN_No&amp;order=DESC&amp;startrow=1&amp;type=basic&amp;search=74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so.agc.gov.sg/SL-Supp/S146-2018/Published/20180327?DocDate=20180327"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oodstandards.gov.au/code/changes/Pages/Documents-for-public-comment.aspx" TargetMode="External"/><Relationship Id="rId23" Type="http://schemas.openxmlformats.org/officeDocument/2006/relationships/hyperlink" Target="https://www.health.govt.nz/publication/food-and-nutritionguidelines-healthy-infants-and-toddlers-aged-0-2-background-paper-partially" TargetMode="External"/><Relationship Id="rId28" Type="http://schemas.openxmlformats.org/officeDocument/2006/relationships/hyperlink" Target="https://www.accessdata.fda.gov/scripts/fdcc/?set=GRASNotices&amp;id=735&amp;sort=GRN_No&amp;order=DESC&amp;startrow=1&amp;type=basic&amp;search=735" TargetMode="External"/><Relationship Id="rId10" Type="http://schemas.openxmlformats.org/officeDocument/2006/relationships/footnotes" Target="footnotes.xml"/><Relationship Id="rId19" Type="http://schemas.openxmlformats.org/officeDocument/2006/relationships/hyperlink" Target="https://eur-lex.europa.eu/legal-content/EN/TXT/?uri=CELEX:32016R0127"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oodstandards.gov.au/code/changes/submission/Pages/default.aspx" TargetMode="External"/><Relationship Id="rId22" Type="http://schemas.openxmlformats.org/officeDocument/2006/relationships/hyperlink" Target="https://www.nhmrc.gov.au/about-us/publications/infant-feeding-guidelines-information-health-workers" TargetMode="External"/><Relationship Id="rId27" Type="http://schemas.openxmlformats.org/officeDocument/2006/relationships/hyperlink" Target="https://www.fda.gov/regulatory-information/search-fda-guidance-documents/guidance-industry-labeling-infant-formula" TargetMode="External"/><Relationship Id="rId30"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foodstandards.gov.au/code/applications/Documents/A1155%20Approval%20Report%20for%20web.pdf" TargetMode="External"/><Relationship Id="rId2" Type="http://schemas.openxmlformats.org/officeDocument/2006/relationships/hyperlink" Target="https://eur-lex.europa.eu/legal-content/EN/ALL/?uri=uriserv:OJ.L_.2013.181.01.0035.01.ENG" TargetMode="External"/><Relationship Id="rId1" Type="http://schemas.openxmlformats.org/officeDocument/2006/relationships/hyperlink" Target="http://www.fao.org/fao-who-codexalimentarius/home/en/" TargetMode="External"/><Relationship Id="rId5" Type="http://schemas.openxmlformats.org/officeDocument/2006/relationships/hyperlink" Target="https://foodregulation.gov.au/internet/fr/publishing.nsf/Content/forum-communique-2020-November27" TargetMode="External"/><Relationship Id="rId4" Type="http://schemas.openxmlformats.org/officeDocument/2006/relationships/hyperlink" Target="https://www.foodstandards.gov.au/code/applications/Documents/A1155%20Review%2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b:Source>
    <b:Tag>Tre20</b:Tag>
    <b:SourceType>Report</b:SourceType>
    <b:Guid>{F451660F-4FC4-4CC5-A6B0-D698A41A34CA}</b:Guid>
    <b:Author>
      <b:Author>
        <b:NameList>
          <b:Person>
            <b:Last>Trevor Kollmann</b:Last>
            <b:First>Alfons</b:First>
            <b:Middle>Palangkaraya, Elizabeth Webster</b:Middle>
          </b:Person>
        </b:NameList>
      </b:Author>
    </b:Author>
    <b:Title>Innovation in Manufactured Food and Infant Formula Sectors</b:Title>
    <b:Year>2020</b:Year>
    <b:Publisher>Food Standards Australia New Zealand</b:Publisher>
    <b:City>Canberra</b:City>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Props1.xml><?xml version="1.0" encoding="utf-8"?>
<ds:datastoreItem xmlns:ds="http://schemas.openxmlformats.org/officeDocument/2006/customXml" ds:itemID="{37D23EBF-992D-4196-A21B-CB6ACDD3E18A}"/>
</file>

<file path=customXml/itemProps2.xml><?xml version="1.0" encoding="utf-8"?>
<ds:datastoreItem xmlns:ds="http://schemas.openxmlformats.org/officeDocument/2006/customXml" ds:itemID="{55356C53-C2C8-4AF4-95E1-0CE88F7B0ADB}"/>
</file>

<file path=customXml/itemProps3.xml><?xml version="1.0" encoding="utf-8"?>
<ds:datastoreItem xmlns:ds="http://schemas.openxmlformats.org/officeDocument/2006/customXml" ds:itemID="{D2DA5D8F-F8E8-4D24-9130-D3D76912F2E8}"/>
</file>

<file path=customXml/itemProps4.xml><?xml version="1.0" encoding="utf-8"?>
<ds:datastoreItem xmlns:ds="http://schemas.openxmlformats.org/officeDocument/2006/customXml" ds:itemID="{4D0FD47A-17F4-467B-B94D-E953D6C3EF5A}"/>
</file>

<file path=customXml/itemProps5.xml><?xml version="1.0" encoding="utf-8"?>
<ds:datastoreItem xmlns:ds="http://schemas.openxmlformats.org/officeDocument/2006/customXml" ds:itemID="{C0B22F2B-B610-4135-A610-191B12CF896F}"/>
</file>

<file path=docProps/app.xml><?xml version="1.0" encoding="utf-8"?>
<Properties xmlns="http://schemas.openxmlformats.org/officeDocument/2006/extended-properties" xmlns:vt="http://schemas.openxmlformats.org/officeDocument/2006/docPropsVTypes">
  <Template>Normal</Template>
  <TotalTime>1</TotalTime>
  <Pages>28</Pages>
  <Words>10575</Words>
  <Characters>60280</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70714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seymok</dc:creator>
  <cp:keywords/>
  <dc:description/>
  <cp:lastModifiedBy>Tailee Vecchi</cp:lastModifiedBy>
  <cp:revision>4</cp:revision>
  <cp:lastPrinted>2020-02-05T03:35:00Z</cp:lastPrinted>
  <dcterms:created xsi:type="dcterms:W3CDTF">2021-07-21T22:59:00Z</dcterms:created>
  <dcterms:modified xsi:type="dcterms:W3CDTF">2021-07-22T00:38:00Z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c5d4bdc2-5d95-4350-a302-9cde014bfec6</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_dlc_DocIdItemGuid">
    <vt:lpwstr>37433134-a36b-4c2a-9b70-8f4f679d778d</vt:lpwstr>
  </property>
  <property fmtid="{D5CDD505-2E9C-101B-9397-08002B2CF9AE}" pid="7" name="DisposalClass">
    <vt:lpwstr/>
  </property>
  <property fmtid="{D5CDD505-2E9C-101B-9397-08002B2CF9AE}" pid="8" name="BCS_">
    <vt:lpwstr>7;#Evaluation|43bd8487-b9f6-4055-946c-a118d364275d</vt:lpwstr>
  </property>
  <property fmtid="{D5CDD505-2E9C-101B-9397-08002B2CF9AE}" pid="9" name="RecordPoint_WorkflowType">
    <vt:lpwstr>ActiveSubmitStub</vt:lpwstr>
  </property>
  <property fmtid="{D5CDD505-2E9C-101B-9397-08002B2CF9AE}" pid="10" name="RecordPoint_ActiveItemWebId">
    <vt:lpwstr>{2566ee3b-1563-43dd-9fd5-f5d82c929b4d}</vt:lpwstr>
  </property>
  <property fmtid="{D5CDD505-2E9C-101B-9397-08002B2CF9AE}" pid="11" name="RecordPoint_ActiveItemSiteId">
    <vt:lpwstr>{dd95a578-5c6a-4f11-92f7-f95884d628d6}</vt:lpwstr>
  </property>
  <property fmtid="{D5CDD505-2E9C-101B-9397-08002B2CF9AE}" pid="12" name="RecordPoint_ActiveItemListId">
    <vt:lpwstr>{2ebdaf9f-265e-4b9b-93f3-9204f3014b9c}</vt:lpwstr>
  </property>
  <property fmtid="{D5CDD505-2E9C-101B-9397-08002B2CF9AE}" pid="13" name="RecordPoint_ActiveItemUniqueId">
    <vt:lpwstr>{37433134-a36b-4c2a-9b70-8f4f679d778d}</vt:lpwstr>
  </property>
  <property fmtid="{D5CDD505-2E9C-101B-9397-08002B2CF9AE}" pid="14" name="RecordPoint_RecordNumberSubmitted">
    <vt:lpwstr>R0000148610</vt:lpwstr>
  </property>
  <property fmtid="{D5CDD505-2E9C-101B-9397-08002B2CF9AE}" pid="15" name="RecordPoint_SubmissionCompleted">
    <vt:lpwstr>2021-06-16T20:15:13.4325517+10:00</vt:lpwstr>
  </property>
  <property fmtid="{D5CDD505-2E9C-101B-9397-08002B2CF9AE}" pid="16"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7" name="bjDocumentLabelXML-0">
    <vt:lpwstr>ames.com/2008/01/sie/internal/label"&gt;&lt;element uid="66ddac19-06c4-4e63-b4dd-d8240d87a23f" value="" /&gt;&lt;/sisl&gt;</vt:lpwstr>
  </property>
  <property fmtid="{D5CDD505-2E9C-101B-9397-08002B2CF9AE}" pid="18" name="bjDocumentSecurityLabel">
    <vt:lpwstr>NO SECURITY CLASSIFICATION REQUIRED</vt:lpwstr>
  </property>
</Properties>
</file>