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DA1E" w14:textId="4DB457BB" w:rsidR="00E203C2" w:rsidRPr="00446FFC" w:rsidRDefault="00E203C2" w:rsidP="00E203C2">
      <w:r w:rsidRPr="00446FFC">
        <w:rPr>
          <w:noProof/>
          <w:lang w:eastAsia="en-GB" w:bidi="ar-SA"/>
        </w:rPr>
        <w:drawing>
          <wp:inline distT="0" distB="0" distL="0" distR="0" wp14:anchorId="53705D84" wp14:editId="6BB1239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D5ECD2B" w14:textId="77777777" w:rsidR="00446FFC" w:rsidRDefault="00446FFC" w:rsidP="00446FFC">
      <w:pPr>
        <w:rPr>
          <w:b/>
          <w:sz w:val="28"/>
          <w:szCs w:val="28"/>
        </w:rPr>
      </w:pPr>
      <w:r w:rsidRPr="00446FFC">
        <w:rPr>
          <w:b/>
          <w:sz w:val="28"/>
          <w:szCs w:val="28"/>
        </w:rPr>
        <w:t>22 July 2021</w:t>
      </w:r>
    </w:p>
    <w:p w14:paraId="5B92753D" w14:textId="72EF3205" w:rsidR="0057615C" w:rsidRPr="00446FFC" w:rsidRDefault="00446FFC" w:rsidP="00446FFC">
      <w:pPr>
        <w:rPr>
          <w:b/>
          <w:sz w:val="28"/>
          <w:szCs w:val="28"/>
        </w:rPr>
      </w:pPr>
      <w:bookmarkStart w:id="0" w:name="_GoBack"/>
      <w:bookmarkEnd w:id="0"/>
      <w:r w:rsidRPr="00446FFC">
        <w:rPr>
          <w:b/>
          <w:sz w:val="28"/>
          <w:szCs w:val="28"/>
        </w:rPr>
        <w:t>163-21</w:t>
      </w:r>
    </w:p>
    <w:p w14:paraId="1CA8799B" w14:textId="3657029A" w:rsidR="00092CDA" w:rsidRPr="00D92EF0" w:rsidRDefault="00092CDA" w:rsidP="00690206">
      <w:pPr>
        <w:pStyle w:val="FSTitle"/>
        <w:rPr>
          <w:b/>
        </w:rPr>
      </w:pPr>
      <w:r w:rsidRPr="00D92EF0">
        <w:rPr>
          <w:b/>
        </w:rPr>
        <w:t>S</w:t>
      </w:r>
      <w:r w:rsidR="00B12F1E" w:rsidRPr="00D92EF0">
        <w:rPr>
          <w:b/>
        </w:rPr>
        <w:t>upporting document</w:t>
      </w:r>
      <w:r w:rsidRPr="00D92EF0">
        <w:rPr>
          <w:b/>
        </w:rPr>
        <w:t xml:space="preserve"> </w:t>
      </w:r>
      <w:r w:rsidR="00D92EF0" w:rsidRPr="00D92EF0">
        <w:rPr>
          <w:b/>
        </w:rPr>
        <w:t>1</w:t>
      </w:r>
    </w:p>
    <w:p w14:paraId="5F99BC00" w14:textId="4EFEA95B" w:rsidR="00D92EF0" w:rsidRPr="00D92EF0" w:rsidRDefault="00D92EF0" w:rsidP="00D92EF0">
      <w:pPr>
        <w:pStyle w:val="FSTitle"/>
      </w:pPr>
      <w:r w:rsidRPr="00D92EF0">
        <w:t xml:space="preserve">Risk </w:t>
      </w:r>
      <w:r w:rsidR="007102BD">
        <w:t xml:space="preserve">and safety </w:t>
      </w:r>
      <w:r w:rsidRPr="00D92EF0">
        <w:t>assessment – Application A1190</w:t>
      </w:r>
    </w:p>
    <w:p w14:paraId="53C06B21" w14:textId="5A5167E5" w:rsidR="00D056F1" w:rsidRPr="00D92EF0" w:rsidRDefault="00F25E51" w:rsidP="00690206">
      <w:pPr>
        <w:pStyle w:val="FSTitle"/>
      </w:pPr>
      <w:r>
        <w:t>2′-</w:t>
      </w:r>
      <w:r w:rsidR="00D92EF0" w:rsidRPr="00D92EF0">
        <w:t>FL in infant formula and other products</w:t>
      </w:r>
    </w:p>
    <w:p w14:paraId="17DAB6BE" w14:textId="77777777" w:rsidR="00E203C2" w:rsidRPr="00B37BF0" w:rsidRDefault="00E203C2" w:rsidP="00E203C2">
      <w:pPr>
        <w:pBdr>
          <w:bottom w:val="single" w:sz="12" w:space="1" w:color="auto"/>
        </w:pBdr>
        <w:spacing w:line="280" w:lineRule="exact"/>
        <w:rPr>
          <w:rFonts w:cs="Arial"/>
          <w:bCs/>
        </w:rPr>
      </w:pPr>
    </w:p>
    <w:p w14:paraId="168AF5F2" w14:textId="77777777" w:rsidR="00092CDA" w:rsidRPr="00092CDA" w:rsidRDefault="00092CDA" w:rsidP="000254AB">
      <w:pPr>
        <w:pStyle w:val="FSCh2Part"/>
      </w:pPr>
      <w:bookmarkStart w:id="1" w:name="_Toc286391001"/>
      <w:bookmarkStart w:id="2" w:name="_Toc300933414"/>
      <w:bookmarkStart w:id="3" w:name="_Toc70675674"/>
      <w:bookmarkStart w:id="4" w:name="_Toc70675767"/>
      <w:bookmarkStart w:id="5" w:name="_Toc72480606"/>
      <w:r w:rsidRPr="00092CDA">
        <w:t xml:space="preserve">Executive </w:t>
      </w:r>
      <w:r w:rsidR="00B12F1E">
        <w:t>s</w:t>
      </w:r>
      <w:r w:rsidRPr="00092CDA">
        <w:t>ummary</w:t>
      </w:r>
      <w:bookmarkEnd w:id="1"/>
      <w:bookmarkEnd w:id="2"/>
      <w:bookmarkEnd w:id="3"/>
      <w:bookmarkEnd w:id="4"/>
      <w:bookmarkEnd w:id="5"/>
    </w:p>
    <w:p w14:paraId="4269B399" w14:textId="22F97789" w:rsidR="00E22D8E" w:rsidRDefault="00971A21" w:rsidP="00AE6594">
      <w:r>
        <w:t>G</w:t>
      </w:r>
      <w:r w:rsidR="00AE6594" w:rsidRPr="004777D4">
        <w:t xml:space="preserve">enetically modified (GM) </w:t>
      </w:r>
      <w:r w:rsidR="00AE6594" w:rsidRPr="004777D4">
        <w:rPr>
          <w:i/>
        </w:rPr>
        <w:t>Escherichia coli</w:t>
      </w:r>
      <w:r w:rsidR="00AE6594" w:rsidRPr="004777D4">
        <w:t xml:space="preserve"> </w:t>
      </w:r>
      <w:r w:rsidR="00E22D8E" w:rsidRPr="004777D4">
        <w:t>BL21 strain</w:t>
      </w:r>
      <w:r>
        <w:t>s</w:t>
      </w:r>
      <w:r w:rsidR="00E22D8E" w:rsidRPr="004777D4">
        <w:t xml:space="preserve"> ha</w:t>
      </w:r>
      <w:r>
        <w:t>ve</w:t>
      </w:r>
      <w:r w:rsidR="00E22D8E" w:rsidRPr="004777D4">
        <w:t xml:space="preserve"> been developed for the production of the oligosaccharide 2</w:t>
      </w:r>
      <w:r w:rsidR="00E22D8E" w:rsidRPr="004777D4">
        <w:rPr>
          <w:rFonts w:cs="Arial"/>
        </w:rPr>
        <w:t>′</w:t>
      </w:r>
      <w:r w:rsidR="00E22D8E" w:rsidRPr="004777D4">
        <w:t>-fucosyllactose (2′-FL)</w:t>
      </w:r>
      <w:r w:rsidR="004777D4" w:rsidRPr="004777D4">
        <w:t xml:space="preserve"> by fermentation</w:t>
      </w:r>
      <w:r w:rsidR="00E22D8E" w:rsidRPr="004777D4">
        <w:t xml:space="preserve">. </w:t>
      </w:r>
      <w:r w:rsidR="00F25E51">
        <w:t>2′-</w:t>
      </w:r>
      <w:r w:rsidR="00990C8B" w:rsidRPr="004777D4">
        <w:t>FL is one of the o</w:t>
      </w:r>
      <w:r w:rsidR="00E22D8E" w:rsidRPr="004777D4">
        <w:t xml:space="preserve">ligosaccharides </w:t>
      </w:r>
      <w:r w:rsidR="00990C8B" w:rsidRPr="004777D4">
        <w:t>that can be found in human milk</w:t>
      </w:r>
      <w:r w:rsidR="00622845">
        <w:t>, for the majority of women</w:t>
      </w:r>
      <w:r w:rsidR="00F61AA4">
        <w:t>.</w:t>
      </w:r>
      <w:r w:rsidR="00676F58">
        <w:t xml:space="preserve"> </w:t>
      </w:r>
      <w:r w:rsidR="00F61AA4">
        <w:t>Limited e</w:t>
      </w:r>
      <w:r w:rsidR="00676F58">
        <w:t xml:space="preserve">vidence </w:t>
      </w:r>
      <w:r w:rsidR="00F61AA4">
        <w:t>suggests</w:t>
      </w:r>
      <w:r w:rsidR="00112B10">
        <w:t xml:space="preserve"> </w:t>
      </w:r>
      <w:r w:rsidR="00F25E51">
        <w:t>2′-</w:t>
      </w:r>
      <w:r w:rsidR="00112B10">
        <w:t>FL may be a bioactive compound with functional benefits in infants</w:t>
      </w:r>
      <w:r w:rsidR="00990C8B" w:rsidRPr="004777D4">
        <w:t xml:space="preserve">. </w:t>
      </w:r>
      <w:r w:rsidR="00F61AA4">
        <w:t>The</w:t>
      </w:r>
      <w:r w:rsidR="004777D4" w:rsidRPr="004777D4">
        <w:t xml:space="preserve"> </w:t>
      </w:r>
      <w:r w:rsidR="00F61AA4">
        <w:t xml:space="preserve">applicant has requested this </w:t>
      </w:r>
      <w:r w:rsidR="004777D4" w:rsidRPr="004777D4">
        <w:t xml:space="preserve">oligosaccharide be added to infant formula products (IFP), which include: infant formula, follow-on formula, and infant formula products for special dietary use; and formulated supplementary foods for young children (FSFYC), with the aim of better reflecting the oligosaccharide composition of human milk. The </w:t>
      </w:r>
      <w:r w:rsidR="00622845">
        <w:t xml:space="preserve">maximum </w:t>
      </w:r>
      <w:r w:rsidR="004777D4" w:rsidRPr="004777D4">
        <w:t xml:space="preserve">amount of </w:t>
      </w:r>
      <w:r w:rsidR="00F25E51">
        <w:t>2′-</w:t>
      </w:r>
      <w:r w:rsidR="004777D4" w:rsidRPr="004777D4">
        <w:t xml:space="preserve">FL </w:t>
      </w:r>
      <w:r w:rsidR="00DD1E8A">
        <w:t xml:space="preserve">requested </w:t>
      </w:r>
      <w:r w:rsidR="004777D4" w:rsidRPr="004777D4">
        <w:t>to be used in these products is 2 g/L</w:t>
      </w:r>
      <w:r w:rsidR="00652E12">
        <w:t>.</w:t>
      </w:r>
      <w:r w:rsidR="0066464A">
        <w:t xml:space="preserve"> The </w:t>
      </w:r>
      <w:r w:rsidR="00622845">
        <w:t xml:space="preserve">maximum </w:t>
      </w:r>
      <w:r w:rsidR="0066464A">
        <w:t xml:space="preserve">permitted level in the </w:t>
      </w:r>
      <w:r w:rsidR="00C47EC9" w:rsidRPr="00C47EC9">
        <w:rPr>
          <w:szCs w:val="20"/>
        </w:rPr>
        <w:t>Australia</w:t>
      </w:r>
      <w:r w:rsidR="00C47EC9">
        <w:rPr>
          <w:szCs w:val="20"/>
        </w:rPr>
        <w:t xml:space="preserve"> New Zealand Food Standards </w:t>
      </w:r>
      <w:r w:rsidR="0066464A">
        <w:t>Code</w:t>
      </w:r>
      <w:r w:rsidR="00C47EC9">
        <w:t xml:space="preserve"> (the Code)</w:t>
      </w:r>
      <w:r w:rsidR="0066464A">
        <w:t xml:space="preserve"> is </w:t>
      </w:r>
      <w:r w:rsidR="007E09D7">
        <w:t xml:space="preserve">96 mg/100 kJ, which equates to </w:t>
      </w:r>
      <w:r w:rsidR="0066464A">
        <w:t>2.4 g/L.</w:t>
      </w:r>
      <w:r w:rsidR="00991B8F">
        <w:t xml:space="preserve"> </w:t>
      </w:r>
      <w:r w:rsidR="00991B8F">
        <w:rPr>
          <w:bCs/>
        </w:rPr>
        <w:t>As 2</w:t>
      </w:r>
      <w:r w:rsidR="00991B8F" w:rsidRPr="00990C8B">
        <w:rPr>
          <w:lang w:val="en-AU"/>
        </w:rPr>
        <w:t>′</w:t>
      </w:r>
      <w:r w:rsidR="00991B8F">
        <w:rPr>
          <w:bCs/>
        </w:rPr>
        <w:t>-FL is already permitted in the Code, the purpose of this assessment is to determine the risk and safety of 2</w:t>
      </w:r>
      <w:r w:rsidR="00991B8F" w:rsidRPr="00990C8B">
        <w:rPr>
          <w:lang w:val="en-AU"/>
        </w:rPr>
        <w:t>′</w:t>
      </w:r>
      <w:r w:rsidR="00991B8F">
        <w:rPr>
          <w:bCs/>
        </w:rPr>
        <w:t>-FL</w:t>
      </w:r>
      <w:r w:rsidR="00D90765">
        <w:rPr>
          <w:bCs/>
        </w:rPr>
        <w:t>,</w:t>
      </w:r>
      <w:r w:rsidR="00991B8F">
        <w:rPr>
          <w:bCs/>
        </w:rPr>
        <w:t xml:space="preserve"> produced by a new production strain</w:t>
      </w:r>
      <w:r w:rsidR="00D90765">
        <w:rPr>
          <w:bCs/>
        </w:rPr>
        <w:t>,</w:t>
      </w:r>
      <w:r w:rsidR="00991B8F">
        <w:rPr>
          <w:bCs/>
        </w:rPr>
        <w:t xml:space="preserve"> with its own specifications.</w:t>
      </w:r>
    </w:p>
    <w:p w14:paraId="2F4E8B1A" w14:textId="79933954" w:rsidR="009C4F6D" w:rsidRDefault="00DD1E8A" w:rsidP="0044469B">
      <w:pPr>
        <w:spacing w:after="120"/>
      </w:pPr>
      <w:r>
        <w:t xml:space="preserve">In </w:t>
      </w:r>
      <w:r w:rsidR="005326E8" w:rsidRPr="005326E8">
        <w:t xml:space="preserve">conducting </w:t>
      </w:r>
      <w:r w:rsidR="00F5780F">
        <w:t>the</w:t>
      </w:r>
      <w:r w:rsidR="005326E8" w:rsidRPr="005326E8">
        <w:t xml:space="preserve"> assessment of </w:t>
      </w:r>
      <w:r w:rsidR="00622845">
        <w:t xml:space="preserve">microbial-sourced </w:t>
      </w:r>
      <w:r w:rsidR="005326E8" w:rsidRPr="005326E8">
        <w:t>2′-FL</w:t>
      </w:r>
      <w:r>
        <w:t xml:space="preserve">, FSANZ </w:t>
      </w:r>
      <w:r w:rsidR="00CC68A2">
        <w:t>addressed questions of</w:t>
      </w:r>
      <w:r w:rsidR="006827F1">
        <w:t xml:space="preserve"> the safety and </w:t>
      </w:r>
      <w:r w:rsidR="00622845">
        <w:t xml:space="preserve">any </w:t>
      </w:r>
      <w:r w:rsidR="006827F1">
        <w:t xml:space="preserve">risks posed by the </w:t>
      </w:r>
      <w:r w:rsidR="006827F1" w:rsidRPr="00990C8B">
        <w:t>2′-FL</w:t>
      </w:r>
      <w:r w:rsidR="006827F1">
        <w:t xml:space="preserve"> product</w:t>
      </w:r>
      <w:r w:rsidR="00CC68A2">
        <w:t xml:space="preserve">. The assessments </w:t>
      </w:r>
      <w:r>
        <w:t>include</w:t>
      </w:r>
      <w:r w:rsidR="00CC68A2">
        <w:t>d</w:t>
      </w:r>
      <w:r w:rsidR="009C4F6D">
        <w:t>:</w:t>
      </w:r>
      <w:r>
        <w:t xml:space="preserve"> </w:t>
      </w:r>
    </w:p>
    <w:p w14:paraId="1A3D688C" w14:textId="6375BF8A" w:rsidR="009C4F6D" w:rsidRDefault="00DD1E8A" w:rsidP="000254AB">
      <w:pPr>
        <w:pStyle w:val="FSBullet1"/>
      </w:pPr>
      <w:r>
        <w:t xml:space="preserve">a dietary intake assessment, </w:t>
      </w:r>
      <w:r w:rsidR="009C4F6D">
        <w:t>analysing the</w:t>
      </w:r>
      <w:r>
        <w:t xml:space="preserve"> intake </w:t>
      </w:r>
      <w:r w:rsidR="009C4F6D">
        <w:t xml:space="preserve">levels </w:t>
      </w:r>
      <w:r>
        <w:t xml:space="preserve">from the proposed products </w:t>
      </w:r>
      <w:r w:rsidR="009C4F6D">
        <w:t xml:space="preserve">and comparison </w:t>
      </w:r>
      <w:r>
        <w:t xml:space="preserve">to </w:t>
      </w:r>
      <w:r w:rsidR="009C4F6D">
        <w:t xml:space="preserve">levels found in human milk. </w:t>
      </w:r>
    </w:p>
    <w:p w14:paraId="4A6DC9B8" w14:textId="68E13482" w:rsidR="009C4F6D" w:rsidRDefault="009C4F6D" w:rsidP="000254AB">
      <w:pPr>
        <w:pStyle w:val="FSBullet1"/>
      </w:pPr>
      <w:r>
        <w:t>a review of the manufacturing process, including a safety assessment</w:t>
      </w:r>
      <w:r w:rsidR="005326E8" w:rsidRPr="005326E8">
        <w:t xml:space="preserve"> </w:t>
      </w:r>
      <w:r w:rsidR="00DD1E8A">
        <w:t xml:space="preserve">of </w:t>
      </w:r>
      <w:r w:rsidR="005326E8" w:rsidRPr="005326E8">
        <w:t xml:space="preserve">the </w:t>
      </w:r>
      <w:r w:rsidR="005326E8" w:rsidRPr="009C4F6D">
        <w:rPr>
          <w:i/>
        </w:rPr>
        <w:t>E. coli</w:t>
      </w:r>
      <w:r w:rsidR="005326E8" w:rsidRPr="005326E8">
        <w:t xml:space="preserve"> </w:t>
      </w:r>
      <w:r w:rsidR="00C47EC9">
        <w:t>source organisms</w:t>
      </w:r>
      <w:r w:rsidR="00C63EEE">
        <w:t>.</w:t>
      </w:r>
    </w:p>
    <w:p w14:paraId="6A89EAF7" w14:textId="2DB2DCBE" w:rsidR="00622845" w:rsidRDefault="00622845" w:rsidP="000254AB">
      <w:pPr>
        <w:pStyle w:val="FSBullet1"/>
      </w:pPr>
      <w:r>
        <w:t>a toxicology assessment to identify any potential hazards in the product</w:t>
      </w:r>
      <w:r w:rsidR="00DB7252">
        <w:t>.</w:t>
      </w:r>
      <w:r>
        <w:t xml:space="preserve"> </w:t>
      </w:r>
    </w:p>
    <w:p w14:paraId="4C223EC8" w14:textId="548E7E64" w:rsidR="009C4F6D" w:rsidRDefault="009C4F6D" w:rsidP="000254AB">
      <w:pPr>
        <w:pStyle w:val="FSBullet1"/>
      </w:pPr>
      <w:r>
        <w:t>a benefits assessment, covering nutrition and health benefits</w:t>
      </w:r>
      <w:r w:rsidR="00C63EEE">
        <w:t>.</w:t>
      </w:r>
      <w:r>
        <w:t xml:space="preserve"> </w:t>
      </w:r>
    </w:p>
    <w:p w14:paraId="21BDE0A1" w14:textId="1A8CAD3C" w:rsidR="0044469B" w:rsidRPr="00115952" w:rsidRDefault="00D90765" w:rsidP="0044469B">
      <w:r>
        <w:lastRenderedPageBreak/>
        <w:t>A literature review undertaken as part of the</w:t>
      </w:r>
      <w:r w:rsidR="0044469B">
        <w:t xml:space="preserve"> dietary </w:t>
      </w:r>
      <w:r w:rsidR="0044469B" w:rsidRPr="00F61AA4">
        <w:rPr>
          <w:bCs/>
        </w:rPr>
        <w:t>intake assessment</w:t>
      </w:r>
      <w:r w:rsidR="0044469B">
        <w:rPr>
          <w:bCs/>
        </w:rPr>
        <w:t xml:space="preserve"> determined</w:t>
      </w:r>
      <w:r w:rsidR="0044469B" w:rsidRPr="00F61AA4">
        <w:rPr>
          <w:bCs/>
        </w:rPr>
        <w:t xml:space="preserve"> </w:t>
      </w:r>
      <w:r w:rsidR="00CC68A2">
        <w:rPr>
          <w:bCs/>
        </w:rPr>
        <w:t>the level being requested</w:t>
      </w:r>
      <w:r w:rsidR="0044469B">
        <w:t xml:space="preserve"> </w:t>
      </w:r>
      <w:r w:rsidR="00CC68A2">
        <w:t>is</w:t>
      </w:r>
      <w:r w:rsidR="0044469B">
        <w:t xml:space="preserve"> within the normal </w:t>
      </w:r>
      <w:r w:rsidR="0044469B" w:rsidRPr="00C47EC9">
        <w:t xml:space="preserve">range </w:t>
      </w:r>
      <w:r w:rsidR="0044469B">
        <w:t xml:space="preserve">of </w:t>
      </w:r>
      <w:r w:rsidR="0044469B" w:rsidRPr="00F61AA4">
        <w:rPr>
          <w:bCs/>
        </w:rPr>
        <w:t>2′-FL</w:t>
      </w:r>
      <w:r w:rsidR="0044469B">
        <w:rPr>
          <w:bCs/>
        </w:rPr>
        <w:t xml:space="preserve"> reported</w:t>
      </w:r>
      <w:r w:rsidR="0044469B" w:rsidRPr="00F61AA4">
        <w:rPr>
          <w:bCs/>
        </w:rPr>
        <w:t xml:space="preserve"> </w:t>
      </w:r>
      <w:r w:rsidR="0044469B">
        <w:rPr>
          <w:bCs/>
        </w:rPr>
        <w:t>in human milk (</w:t>
      </w:r>
      <w:r w:rsidR="0044469B" w:rsidRPr="00C47EC9">
        <w:t>0</w:t>
      </w:r>
      <w:r w:rsidR="0044469B">
        <w:t>.6</w:t>
      </w:r>
      <w:r w:rsidR="0044469B" w:rsidRPr="00C47EC9">
        <w:rPr>
          <w:lang w:val="en-AU"/>
        </w:rPr>
        <w:t>–7.8 g/L</w:t>
      </w:r>
      <w:r w:rsidR="0044469B">
        <w:rPr>
          <w:lang w:val="en-AU"/>
        </w:rPr>
        <w:t>)</w:t>
      </w:r>
      <w:r w:rsidR="00F5780F">
        <w:rPr>
          <w:lang w:val="en-AU"/>
        </w:rPr>
        <w:t>,</w:t>
      </w:r>
      <w:r w:rsidR="0044469B">
        <w:rPr>
          <w:lang w:val="en-AU"/>
        </w:rPr>
        <w:t xml:space="preserve"> </w:t>
      </w:r>
      <w:r w:rsidR="004425E4">
        <w:rPr>
          <w:lang w:val="en-AU"/>
        </w:rPr>
        <w:t xml:space="preserve">produced by </w:t>
      </w:r>
      <w:r w:rsidR="0044469B">
        <w:rPr>
          <w:lang w:val="en-AU"/>
        </w:rPr>
        <w:t>the majority of women.</w:t>
      </w:r>
      <w:r w:rsidR="0044469B" w:rsidRPr="00F61AA4">
        <w:t xml:space="preserve"> </w:t>
      </w:r>
      <w:r w:rsidR="00CC68A2">
        <w:t>Evidence suggest 70</w:t>
      </w:r>
      <w:r w:rsidR="006E1133">
        <w:t>–</w:t>
      </w:r>
      <w:r w:rsidR="00CC68A2">
        <w:t xml:space="preserve">80% women have the ability to make </w:t>
      </w:r>
      <w:r w:rsidR="00CC68A2" w:rsidRPr="00F61AA4">
        <w:rPr>
          <w:bCs/>
        </w:rPr>
        <w:t>2′-FL</w:t>
      </w:r>
      <w:r w:rsidR="00CC68A2">
        <w:rPr>
          <w:bCs/>
        </w:rPr>
        <w:t xml:space="preserve">. The </w:t>
      </w:r>
      <w:r w:rsidR="00CC68A2">
        <w:t>e</w:t>
      </w:r>
      <w:r w:rsidR="0044469B" w:rsidRPr="00C47EC9">
        <w:t>stimate</w:t>
      </w:r>
      <w:r w:rsidR="00CC68A2">
        <w:t>d</w:t>
      </w:r>
      <w:r w:rsidR="0044469B" w:rsidRPr="00C47EC9">
        <w:t xml:space="preserve"> dietary intakes of </w:t>
      </w:r>
      <w:r w:rsidR="0044469B" w:rsidRPr="00C47EC9">
        <w:rPr>
          <w:lang w:val="en-AU"/>
        </w:rPr>
        <w:t>2′-FL</w:t>
      </w:r>
      <w:r w:rsidR="0044469B" w:rsidRPr="00C47EC9">
        <w:t xml:space="preserve"> </w:t>
      </w:r>
      <w:r w:rsidR="00DB29B4">
        <w:t xml:space="preserve">based on a concentration of 2.4 g/L </w:t>
      </w:r>
      <w:r w:rsidR="0044469B" w:rsidRPr="00C47EC9">
        <w:t>for infants up to 12 months ranged between 0.1</w:t>
      </w:r>
      <w:r w:rsidR="0044469B">
        <w:rPr>
          <w:lang w:val="en-AU"/>
        </w:rPr>
        <w:t>–</w:t>
      </w:r>
      <w:r w:rsidR="0044469B" w:rsidRPr="00C47EC9">
        <w:t>0.33 g/kg bw/day at the mean and 0.2</w:t>
      </w:r>
      <w:r w:rsidR="0044469B">
        <w:rPr>
          <w:lang w:val="en-AU"/>
        </w:rPr>
        <w:t>–</w:t>
      </w:r>
      <w:r w:rsidR="006E1133">
        <w:rPr>
          <w:lang w:val="en-AU"/>
        </w:rPr>
        <w:t>‍</w:t>
      </w:r>
      <w:r w:rsidR="0044469B" w:rsidRPr="00C47EC9">
        <w:t>0.66</w:t>
      </w:r>
      <w:r w:rsidR="006E1133">
        <w:t> </w:t>
      </w:r>
      <w:r w:rsidR="0044469B" w:rsidRPr="00C47EC9">
        <w:t>g/kg bw/day at the 90</w:t>
      </w:r>
      <w:r w:rsidR="0044469B" w:rsidRPr="00C47EC9">
        <w:rPr>
          <w:vertAlign w:val="superscript"/>
        </w:rPr>
        <w:t>th</w:t>
      </w:r>
      <w:r w:rsidR="0044469B" w:rsidRPr="00C47EC9">
        <w:t xml:space="preserve"> percentile, and for children 2</w:t>
      </w:r>
      <w:r w:rsidR="006E1133">
        <w:t>–</w:t>
      </w:r>
      <w:r w:rsidR="0044469B" w:rsidRPr="00C47EC9">
        <w:t>3 years from 0.077</w:t>
      </w:r>
      <w:r w:rsidR="0044469B">
        <w:rPr>
          <w:lang w:val="en-AU"/>
        </w:rPr>
        <w:t>–</w:t>
      </w:r>
      <w:r w:rsidR="0044469B" w:rsidRPr="00C47EC9">
        <w:t>0.15 g/kg bw/day at the mean and 0.15</w:t>
      </w:r>
      <w:r w:rsidR="0044469B">
        <w:rPr>
          <w:lang w:val="en-AU"/>
        </w:rPr>
        <w:t>–</w:t>
      </w:r>
      <w:r w:rsidR="0044469B" w:rsidRPr="00C47EC9">
        <w:t xml:space="preserve">0.31 </w:t>
      </w:r>
      <w:r w:rsidR="00E868C4">
        <w:t xml:space="preserve">g/kg bw/day </w:t>
      </w:r>
      <w:r w:rsidR="0044469B" w:rsidRPr="00C47EC9">
        <w:t>at the 90</w:t>
      </w:r>
      <w:r w:rsidR="0044469B" w:rsidRPr="00C47EC9">
        <w:rPr>
          <w:vertAlign w:val="superscript"/>
        </w:rPr>
        <w:t>th</w:t>
      </w:r>
      <w:r w:rsidR="0044469B" w:rsidRPr="00C47EC9">
        <w:t xml:space="preserve"> percentile.</w:t>
      </w:r>
    </w:p>
    <w:p w14:paraId="5C4E7F71" w14:textId="354012FC" w:rsidR="006827F1" w:rsidRDefault="006827F1" w:rsidP="006827F1">
      <w:r w:rsidRPr="00990C8B">
        <w:t>2′-FL</w:t>
      </w:r>
      <w:r>
        <w:t xml:space="preserve"> </w:t>
      </w:r>
      <w:r w:rsidR="007C0DA6">
        <w:t xml:space="preserve">sourced from microbial fermentation </w:t>
      </w:r>
      <w:r>
        <w:t>was shown to be</w:t>
      </w:r>
      <w:r w:rsidRPr="00990C8B">
        <w:t xml:space="preserve"> chemically and structurally identical to the naturally occurring oligosaccharide in human milk. </w:t>
      </w:r>
      <w:r>
        <w:t>The final product was shown to be free of fermentation-derived contaminants. The purity and other constituents of the final product have been identified and listed in the specification for the product</w:t>
      </w:r>
      <w:r w:rsidRPr="00990C8B">
        <w:t>. The shelf-life and specifications are appropriate for addition to IFP and FSFYC.</w:t>
      </w:r>
    </w:p>
    <w:p w14:paraId="3B79A68F" w14:textId="509B6D01" w:rsidR="00D55014" w:rsidRDefault="00F61AA4" w:rsidP="00D55014">
      <w:r>
        <w:t xml:space="preserve">The </w:t>
      </w:r>
      <w:r w:rsidR="0066464A">
        <w:t>examination</w:t>
      </w:r>
      <w:r w:rsidR="00652E12">
        <w:t xml:space="preserve"> of the source organism</w:t>
      </w:r>
      <w:r w:rsidR="00C47EC9">
        <w:t>s</w:t>
      </w:r>
      <w:r w:rsidR="00652E12">
        <w:t xml:space="preserve"> concluded there were no safety concerns. The </w:t>
      </w:r>
      <w:r w:rsidR="00C47EC9">
        <w:t>host</w:t>
      </w:r>
      <w:r w:rsidR="00652E12">
        <w:t xml:space="preserve"> organism is a well characterised bacterium with a recognised safe history of use for the production of </w:t>
      </w:r>
      <w:r w:rsidR="00971A21">
        <w:t>industrial compounds and human therapeutics</w:t>
      </w:r>
      <w:r w:rsidR="00652E12">
        <w:t>. It is neither pathogenic nor toxigenic.</w:t>
      </w:r>
      <w:r w:rsidR="00C47EC9">
        <w:t xml:space="preserve"> The production strains </w:t>
      </w:r>
      <w:r w:rsidR="007E09D7">
        <w:t>were</w:t>
      </w:r>
      <w:r w:rsidR="007E09D7" w:rsidRPr="007E09D7">
        <w:t xml:space="preserve"> confirmed to contain the inserted DNA</w:t>
      </w:r>
      <w:r w:rsidR="007E09D7">
        <w:t>, which was</w:t>
      </w:r>
      <w:r w:rsidR="007E09D7" w:rsidRPr="007E09D7">
        <w:t xml:space="preserve"> shown to be inhe</w:t>
      </w:r>
      <w:r w:rsidR="007E09D7">
        <w:t>rited across several generations.</w:t>
      </w:r>
    </w:p>
    <w:p w14:paraId="3ED032D3" w14:textId="62571ED9" w:rsidR="00135F07" w:rsidRDefault="00135F07" w:rsidP="00D55014">
      <w:pPr>
        <w:rPr>
          <w:lang w:val="en-AU"/>
        </w:rPr>
      </w:pPr>
      <w:r>
        <w:rPr>
          <w:lang w:val="en-AU"/>
        </w:rPr>
        <w:t>FSANZ has previously determined that</w:t>
      </w:r>
      <w:r w:rsidR="00D55014" w:rsidRPr="00990C8B">
        <w:rPr>
          <w:lang w:val="en-AU"/>
        </w:rPr>
        <w:t xml:space="preserve"> there </w:t>
      </w:r>
      <w:r w:rsidR="007E7D1C" w:rsidRPr="00990C8B">
        <w:rPr>
          <w:lang w:val="en-AU"/>
        </w:rPr>
        <w:t>are</w:t>
      </w:r>
      <w:r w:rsidR="00F26118">
        <w:rPr>
          <w:lang w:val="en-AU"/>
        </w:rPr>
        <w:t xml:space="preserve"> no </w:t>
      </w:r>
      <w:r w:rsidR="00D55014" w:rsidRPr="00990C8B">
        <w:rPr>
          <w:lang w:val="en-AU"/>
        </w:rPr>
        <w:t xml:space="preserve">safety concerns associated with </w:t>
      </w:r>
      <w:r w:rsidR="00D55014" w:rsidRPr="00990C8B">
        <w:rPr>
          <w:rFonts w:cs="Arial"/>
        </w:rPr>
        <w:t xml:space="preserve">the addition of 2′-FL to </w:t>
      </w:r>
      <w:r w:rsidR="0028762C" w:rsidRPr="00990C8B">
        <w:rPr>
          <w:rFonts w:cs="Arial"/>
        </w:rPr>
        <w:t>IFP</w:t>
      </w:r>
      <w:r w:rsidR="00D55014" w:rsidRPr="00990C8B">
        <w:rPr>
          <w:rFonts w:cs="Arial"/>
        </w:rPr>
        <w:t xml:space="preserve"> and </w:t>
      </w:r>
      <w:r w:rsidR="0028762C" w:rsidRPr="00990C8B">
        <w:rPr>
          <w:rFonts w:cs="Arial"/>
        </w:rPr>
        <w:t>FSFYC</w:t>
      </w:r>
      <w:r w:rsidR="00D55014" w:rsidRPr="00990C8B">
        <w:rPr>
          <w:rFonts w:cs="Arial"/>
        </w:rPr>
        <w:t xml:space="preserve"> </w:t>
      </w:r>
      <w:r w:rsidR="00D55014" w:rsidRPr="00990C8B">
        <w:rPr>
          <w:lang w:val="en-AU"/>
        </w:rPr>
        <w:t xml:space="preserve">at </w:t>
      </w:r>
      <w:r w:rsidR="00ED34C4" w:rsidRPr="00990C8B">
        <w:rPr>
          <w:lang w:val="en-AU"/>
        </w:rPr>
        <w:t>concentrations up to</w:t>
      </w:r>
      <w:r w:rsidR="00D55014" w:rsidRPr="00990C8B">
        <w:rPr>
          <w:lang w:val="en-AU"/>
        </w:rPr>
        <w:t xml:space="preserve"> 2.4 g/L</w:t>
      </w:r>
      <w:r w:rsidR="00D55014" w:rsidRPr="00965992">
        <w:rPr>
          <w:lang w:val="en-AU"/>
        </w:rPr>
        <w:t>.</w:t>
      </w:r>
      <w:r w:rsidR="00D55014" w:rsidRPr="00965992">
        <w:rPr>
          <w:rFonts w:cs="Arial"/>
        </w:rPr>
        <w:t xml:space="preserve"> </w:t>
      </w:r>
      <w:r w:rsidR="003470C3">
        <w:rPr>
          <w:rFonts w:cs="Arial"/>
        </w:rPr>
        <w:t xml:space="preserve">A number of new studies evaluated as a part of this </w:t>
      </w:r>
      <w:r w:rsidR="00307759">
        <w:rPr>
          <w:rFonts w:cs="Arial"/>
        </w:rPr>
        <w:t>a</w:t>
      </w:r>
      <w:r w:rsidR="003470C3">
        <w:rPr>
          <w:rFonts w:cs="Arial"/>
        </w:rPr>
        <w:t>pplication</w:t>
      </w:r>
      <w:r w:rsidR="003470C3" w:rsidRPr="00990C8B">
        <w:rPr>
          <w:rFonts w:cs="Arial"/>
        </w:rPr>
        <w:t xml:space="preserve"> </w:t>
      </w:r>
      <w:r w:rsidR="003470C3">
        <w:rPr>
          <w:rFonts w:cs="Arial"/>
        </w:rPr>
        <w:t xml:space="preserve">did not indicate a reason to change this conclusion. </w:t>
      </w:r>
    </w:p>
    <w:p w14:paraId="097C888F" w14:textId="251749BA" w:rsidR="004B0D27" w:rsidRDefault="00F25E51" w:rsidP="00D55014">
      <w:pPr>
        <w:pStyle w:val="NoSpacing"/>
      </w:pPr>
      <w:r>
        <w:rPr>
          <w:szCs w:val="22"/>
          <w:lang w:val="en-AU" w:eastAsia="en-AU"/>
        </w:rPr>
        <w:t>2′-</w:t>
      </w:r>
      <w:r w:rsidR="00D55014" w:rsidRPr="00990C8B">
        <w:rPr>
          <w:szCs w:val="22"/>
          <w:lang w:val="en-AU" w:eastAsia="en-AU"/>
        </w:rPr>
        <w:t xml:space="preserve">FL was not genotoxic </w:t>
      </w:r>
      <w:r w:rsidR="00D55014" w:rsidRPr="00990C8B">
        <w:rPr>
          <w:i/>
          <w:szCs w:val="22"/>
          <w:lang w:val="en-AU" w:eastAsia="en-AU"/>
        </w:rPr>
        <w:t>in vitro</w:t>
      </w:r>
      <w:r w:rsidR="00D55014" w:rsidRPr="00990C8B">
        <w:rPr>
          <w:szCs w:val="22"/>
          <w:lang w:val="en-AU" w:eastAsia="en-AU"/>
        </w:rPr>
        <w:t xml:space="preserve"> or </w:t>
      </w:r>
      <w:r w:rsidR="00D55014" w:rsidRPr="00990C8B">
        <w:rPr>
          <w:i/>
          <w:szCs w:val="22"/>
          <w:lang w:val="en-AU" w:eastAsia="en-AU"/>
        </w:rPr>
        <w:t xml:space="preserve">in </w:t>
      </w:r>
      <w:r w:rsidR="007E7D1C" w:rsidRPr="00990C8B">
        <w:rPr>
          <w:i/>
          <w:szCs w:val="22"/>
          <w:lang w:val="en-AU" w:eastAsia="en-AU"/>
        </w:rPr>
        <w:t>vivo</w:t>
      </w:r>
      <w:r w:rsidR="007E7D1C" w:rsidRPr="00990C8B">
        <w:rPr>
          <w:szCs w:val="22"/>
          <w:lang w:val="en-AU" w:eastAsia="en-AU"/>
        </w:rPr>
        <w:t>.</w:t>
      </w:r>
      <w:r w:rsidR="00D55014" w:rsidRPr="00990C8B">
        <w:rPr>
          <w:szCs w:val="22"/>
          <w:lang w:val="en-AU" w:eastAsia="en-AU"/>
        </w:rPr>
        <w:t xml:space="preserve"> No adverse effects were observed in </w:t>
      </w:r>
      <w:r w:rsidR="00634E20">
        <w:rPr>
          <w:szCs w:val="22"/>
          <w:lang w:val="en-AU" w:eastAsia="en-AU"/>
        </w:rPr>
        <w:t xml:space="preserve">multiple </w:t>
      </w:r>
      <w:r w:rsidR="00D55014" w:rsidRPr="00990C8B">
        <w:rPr>
          <w:szCs w:val="22"/>
          <w:lang w:val="en-AU" w:eastAsia="en-AU"/>
        </w:rPr>
        <w:t xml:space="preserve">subchronic oral toxicity studies in </w:t>
      </w:r>
      <w:r w:rsidR="00F26118">
        <w:rPr>
          <w:szCs w:val="22"/>
          <w:lang w:val="en-AU" w:eastAsia="en-AU"/>
        </w:rPr>
        <w:t>neonatal</w:t>
      </w:r>
      <w:r w:rsidR="00D55014" w:rsidRPr="00990C8B">
        <w:rPr>
          <w:szCs w:val="22"/>
          <w:lang w:val="en-AU" w:eastAsia="en-AU"/>
        </w:rPr>
        <w:t xml:space="preserve"> rats at doses up to 5000 mg/kg bw/day</w:t>
      </w:r>
      <w:r w:rsidR="007E7D1C" w:rsidRPr="00990C8B">
        <w:rPr>
          <w:szCs w:val="22"/>
          <w:lang w:val="en-AU" w:eastAsia="en-AU"/>
        </w:rPr>
        <w:t xml:space="preserve">, or in older rats at doses </w:t>
      </w:r>
      <w:r w:rsidR="00F26118">
        <w:rPr>
          <w:szCs w:val="22"/>
          <w:lang w:val="en-AU" w:eastAsia="en-AU"/>
        </w:rPr>
        <w:t>&gt;</w:t>
      </w:r>
      <w:r w:rsidR="007E7D1C" w:rsidRPr="00990C8B">
        <w:rPr>
          <w:szCs w:val="22"/>
          <w:lang w:val="en-AU" w:eastAsia="en-AU"/>
        </w:rPr>
        <w:t xml:space="preserve"> </w:t>
      </w:r>
      <w:r w:rsidR="00F26118">
        <w:rPr>
          <w:szCs w:val="22"/>
          <w:lang w:val="en-AU" w:eastAsia="en-AU"/>
        </w:rPr>
        <w:t>7000</w:t>
      </w:r>
      <w:r w:rsidR="007E7D1C" w:rsidRPr="00990C8B">
        <w:rPr>
          <w:szCs w:val="22"/>
          <w:lang w:val="en-AU" w:eastAsia="en-AU"/>
        </w:rPr>
        <w:t xml:space="preserve"> mg/kg bw/day. </w:t>
      </w:r>
      <w:r w:rsidR="00080D36">
        <w:rPr>
          <w:szCs w:val="22"/>
          <w:lang w:val="en-AU" w:eastAsia="en-AU"/>
        </w:rPr>
        <w:t>Three</w:t>
      </w:r>
      <w:r w:rsidR="007E7D1C" w:rsidRPr="00990C8B">
        <w:rPr>
          <w:szCs w:val="22"/>
          <w:lang w:val="en-AU" w:eastAsia="en-AU"/>
        </w:rPr>
        <w:t xml:space="preserve">-week </w:t>
      </w:r>
      <w:r w:rsidR="00101DA4" w:rsidRPr="00990C8B">
        <w:rPr>
          <w:szCs w:val="22"/>
          <w:lang w:val="en-AU" w:eastAsia="en-AU"/>
        </w:rPr>
        <w:t>stud</w:t>
      </w:r>
      <w:r w:rsidR="00101DA4">
        <w:rPr>
          <w:szCs w:val="22"/>
          <w:lang w:val="en-AU" w:eastAsia="en-AU"/>
        </w:rPr>
        <w:t>ies</w:t>
      </w:r>
      <w:r w:rsidR="007E7D1C" w:rsidRPr="00990C8B">
        <w:rPr>
          <w:szCs w:val="22"/>
          <w:lang w:val="en-AU" w:eastAsia="en-AU"/>
        </w:rPr>
        <w:t xml:space="preserve"> with neonatal piglets administered formula containing </w:t>
      </w:r>
      <w:r>
        <w:rPr>
          <w:szCs w:val="22"/>
          <w:lang w:val="en-AU" w:eastAsia="en-AU"/>
        </w:rPr>
        <w:t>2′-</w:t>
      </w:r>
      <w:r w:rsidR="00DF117D" w:rsidRPr="00990C8B">
        <w:rPr>
          <w:szCs w:val="22"/>
          <w:lang w:val="en-AU" w:eastAsia="en-AU"/>
        </w:rPr>
        <w:t>FL</w:t>
      </w:r>
      <w:r w:rsidR="007E7D1C" w:rsidRPr="00990C8B">
        <w:rPr>
          <w:szCs w:val="22"/>
          <w:lang w:val="en-AU" w:eastAsia="en-AU"/>
        </w:rPr>
        <w:t xml:space="preserve"> at concentrations up to </w:t>
      </w:r>
      <w:r w:rsidR="00101DA4">
        <w:rPr>
          <w:szCs w:val="22"/>
          <w:lang w:val="en-AU" w:eastAsia="en-AU"/>
        </w:rPr>
        <w:t>4</w:t>
      </w:r>
      <w:r w:rsidR="007E7D1C" w:rsidRPr="00990C8B">
        <w:rPr>
          <w:szCs w:val="22"/>
          <w:lang w:val="en-AU" w:eastAsia="en-AU"/>
        </w:rPr>
        <w:t xml:space="preserve"> g/L also found no adverse effects.</w:t>
      </w:r>
      <w:r w:rsidR="00D55014" w:rsidRPr="00990C8B">
        <w:rPr>
          <w:szCs w:val="22"/>
          <w:lang w:val="en-AU" w:eastAsia="en-AU"/>
        </w:rPr>
        <w:t xml:space="preserve"> </w:t>
      </w:r>
      <w:r w:rsidR="00D55014" w:rsidRPr="00990C8B">
        <w:rPr>
          <w:lang w:val="en-AU"/>
        </w:rPr>
        <w:t xml:space="preserve">In human studies, infant formula supplemented with 2′-FL was well tolerated with </w:t>
      </w:r>
      <w:r w:rsidR="00D55014" w:rsidRPr="00990C8B">
        <w:t xml:space="preserve">no significant increases in adverse events. 2′-FL </w:t>
      </w:r>
      <w:r w:rsidR="008E65AD" w:rsidRPr="00990C8B">
        <w:t>was</w:t>
      </w:r>
      <w:r w:rsidR="00D55014" w:rsidRPr="00990C8B">
        <w:t xml:space="preserve"> also well tolerated in studies with children </w:t>
      </w:r>
      <w:r w:rsidR="007E7D1C" w:rsidRPr="00990C8B">
        <w:t>and</w:t>
      </w:r>
      <w:r w:rsidR="00D55014" w:rsidRPr="00990C8B">
        <w:t xml:space="preserve"> adults.</w:t>
      </w:r>
    </w:p>
    <w:p w14:paraId="7FE0C4AD" w14:textId="33612771" w:rsidR="00F26118" w:rsidRDefault="0066464A" w:rsidP="00F26118">
      <w:pPr>
        <w:rPr>
          <w:lang w:val="en-AU"/>
        </w:rPr>
      </w:pPr>
      <w:r>
        <w:rPr>
          <w:lang w:val="en-AU"/>
        </w:rPr>
        <w:t xml:space="preserve">Protein was not detected in the </w:t>
      </w:r>
      <w:r w:rsidR="00F26118">
        <w:rPr>
          <w:lang w:val="en-AU"/>
        </w:rPr>
        <w:t>2′-FL</w:t>
      </w:r>
      <w:r>
        <w:rPr>
          <w:vertAlign w:val="subscript"/>
          <w:lang w:val="en-AU"/>
        </w:rPr>
        <w:t xml:space="preserve"> </w:t>
      </w:r>
      <w:r>
        <w:rPr>
          <w:lang w:val="en-AU"/>
        </w:rPr>
        <w:t>product,</w:t>
      </w:r>
      <w:r w:rsidR="00F26118">
        <w:rPr>
          <w:lang w:val="en-AU"/>
        </w:rPr>
        <w:t xml:space="preserve"> therefore </w:t>
      </w:r>
      <w:r w:rsidR="00080D36">
        <w:rPr>
          <w:lang w:val="en-AU"/>
        </w:rPr>
        <w:t>2′-FL</w:t>
      </w:r>
      <w:r>
        <w:rPr>
          <w:lang w:val="en-AU"/>
        </w:rPr>
        <w:t xml:space="preserve"> is </w:t>
      </w:r>
      <w:r w:rsidR="00F26118">
        <w:rPr>
          <w:lang w:val="en-AU"/>
        </w:rPr>
        <w:t xml:space="preserve">unlikely to pose an allergenicity concern. </w:t>
      </w:r>
    </w:p>
    <w:p w14:paraId="39361F68" w14:textId="779F9FAB" w:rsidR="0044469B" w:rsidRPr="00990C8B" w:rsidRDefault="00D55014" w:rsidP="0044469B">
      <w:pPr>
        <w:rPr>
          <w:rFonts w:cs="Arial"/>
          <w:iCs/>
          <w:lang w:val="en-AU" w:eastAsia="en-GB"/>
        </w:rPr>
      </w:pPr>
      <w:r w:rsidRPr="00990C8B">
        <w:rPr>
          <w:rFonts w:cs="Arial"/>
          <w:iCs/>
          <w:lang w:val="en-AU" w:eastAsia="en-GB"/>
        </w:rPr>
        <w:t xml:space="preserve">The </w:t>
      </w:r>
      <w:r w:rsidR="0057268E">
        <w:rPr>
          <w:rFonts w:cs="Arial"/>
          <w:iCs/>
          <w:lang w:val="en-AU" w:eastAsia="en-GB"/>
        </w:rPr>
        <w:t xml:space="preserve">nutritional </w:t>
      </w:r>
      <w:r w:rsidRPr="00990C8B">
        <w:rPr>
          <w:rFonts w:cs="Arial"/>
          <w:iCs/>
          <w:lang w:val="en-AU" w:eastAsia="en-GB"/>
        </w:rPr>
        <w:t xml:space="preserve">assessment concluded </w:t>
      </w:r>
      <w:r w:rsidR="00803A46">
        <w:rPr>
          <w:rFonts w:cs="Arial"/>
          <w:iCs/>
          <w:lang w:val="en-AU" w:eastAsia="en-GB"/>
        </w:rPr>
        <w:t xml:space="preserve">the addition of </w:t>
      </w:r>
      <w:r w:rsidR="00803A46" w:rsidRPr="009843EC">
        <w:rPr>
          <w:lang w:val="en-AU"/>
        </w:rPr>
        <w:t>2</w:t>
      </w:r>
      <w:r w:rsidR="00803A46">
        <w:rPr>
          <w:lang w:val="en-AU"/>
        </w:rPr>
        <w:t>′</w:t>
      </w:r>
      <w:r w:rsidR="00803A46" w:rsidRPr="009843EC">
        <w:rPr>
          <w:lang w:val="en-AU"/>
        </w:rPr>
        <w:t>-FL</w:t>
      </w:r>
      <w:r w:rsidR="00902FFE">
        <w:rPr>
          <w:lang w:val="en-AU"/>
        </w:rPr>
        <w:t xml:space="preserve"> to IFP</w:t>
      </w:r>
      <w:r w:rsidR="00803A46" w:rsidRPr="009843EC">
        <w:rPr>
          <w:lang w:val="en-AU"/>
        </w:rPr>
        <w:t xml:space="preserve"> </w:t>
      </w:r>
      <w:r w:rsidR="00803A46">
        <w:rPr>
          <w:lang w:val="en-AU"/>
        </w:rPr>
        <w:t xml:space="preserve">is not expected to </w:t>
      </w:r>
      <w:r w:rsidR="002F3AB9">
        <w:rPr>
          <w:lang w:val="en-AU"/>
        </w:rPr>
        <w:t>affect</w:t>
      </w:r>
      <w:r w:rsidR="00803A46">
        <w:rPr>
          <w:lang w:val="en-AU"/>
        </w:rPr>
        <w:t xml:space="preserve"> the </w:t>
      </w:r>
      <w:r w:rsidR="00803A46" w:rsidRPr="001E641B">
        <w:rPr>
          <w:lang w:val="en-AU" w:eastAsia="en-AU" w:bidi="ar-SA"/>
        </w:rPr>
        <w:t xml:space="preserve">growth </w:t>
      </w:r>
      <w:r w:rsidR="00803A46">
        <w:rPr>
          <w:lang w:val="en-AU" w:eastAsia="en-AU" w:bidi="ar-SA"/>
        </w:rPr>
        <w:t>profiles</w:t>
      </w:r>
      <w:r w:rsidR="00902FFE">
        <w:rPr>
          <w:lang w:val="en-AU" w:eastAsia="en-AU" w:bidi="ar-SA"/>
        </w:rPr>
        <w:t xml:space="preserve"> of infants</w:t>
      </w:r>
      <w:r w:rsidR="007E09D7">
        <w:rPr>
          <w:lang w:val="en-AU" w:eastAsia="en-AU" w:bidi="ar-SA"/>
        </w:rPr>
        <w:t>.</w:t>
      </w:r>
      <w:r w:rsidR="0044469B" w:rsidRPr="0044469B">
        <w:rPr>
          <w:rFonts w:cs="Arial"/>
          <w:iCs/>
          <w:lang w:val="en-AU" w:eastAsia="en-GB"/>
        </w:rPr>
        <w:t xml:space="preserve"> </w:t>
      </w:r>
      <w:r w:rsidR="0044469B">
        <w:rPr>
          <w:lang w:val="en-AU"/>
        </w:rPr>
        <w:t xml:space="preserve">Combined with </w:t>
      </w:r>
      <w:r w:rsidR="0044469B" w:rsidRPr="00990C8B">
        <w:rPr>
          <w:lang w:val="en-AU"/>
        </w:rPr>
        <w:t>the limited gastrointestinal absorption of 2′-FL, there is no evidence to indicate a nutritional concern at concentrations that are typically observed in human milk.</w:t>
      </w:r>
    </w:p>
    <w:p w14:paraId="20010D0B" w14:textId="50E7517D" w:rsidR="0057268E" w:rsidRDefault="009843EC" w:rsidP="0057268E">
      <w:pPr>
        <w:rPr>
          <w:lang w:val="en-AU"/>
        </w:rPr>
      </w:pPr>
      <w:r w:rsidRPr="009843EC">
        <w:rPr>
          <w:lang w:val="en-AU"/>
        </w:rPr>
        <w:t>Assessment of the proposed beneficial role of 2</w:t>
      </w:r>
      <w:r w:rsidR="00294342">
        <w:rPr>
          <w:lang w:val="en-AU"/>
        </w:rPr>
        <w:t>′</w:t>
      </w:r>
      <w:r w:rsidRPr="009843EC">
        <w:rPr>
          <w:lang w:val="en-AU"/>
        </w:rPr>
        <w:t xml:space="preserve">-FL concluded </w:t>
      </w:r>
      <w:r w:rsidR="00971A21">
        <w:rPr>
          <w:lang w:val="en-AU"/>
        </w:rPr>
        <w:t xml:space="preserve">there was </w:t>
      </w:r>
      <w:r w:rsidR="00D90765">
        <w:rPr>
          <w:lang w:val="en-AU"/>
        </w:rPr>
        <w:t xml:space="preserve">limited but </w:t>
      </w:r>
      <w:r w:rsidR="00971A21">
        <w:rPr>
          <w:lang w:val="en-AU"/>
        </w:rPr>
        <w:t>sufficient</w:t>
      </w:r>
      <w:r w:rsidRPr="009843EC">
        <w:rPr>
          <w:lang w:val="en-AU"/>
        </w:rPr>
        <w:t xml:space="preserve"> evidence to support a bifidogenic effect</w:t>
      </w:r>
      <w:r w:rsidR="0057268E">
        <w:rPr>
          <w:lang w:val="en-AU"/>
        </w:rPr>
        <w:t>. 2′-FL</w:t>
      </w:r>
      <w:r w:rsidR="0057268E" w:rsidRPr="00901242">
        <w:rPr>
          <w:lang w:val="en-AU"/>
        </w:rPr>
        <w:t xml:space="preserve"> dietary supplementation results in increased relat</w:t>
      </w:r>
      <w:r w:rsidR="0057268E">
        <w:rPr>
          <w:lang w:val="en-AU"/>
        </w:rPr>
        <w:t>ive abundance of bifodobacteria</w:t>
      </w:r>
      <w:r w:rsidR="0057268E" w:rsidRPr="00901242">
        <w:rPr>
          <w:lang w:val="en-AU"/>
        </w:rPr>
        <w:t xml:space="preserve"> in the gastrointestinal microbiome</w:t>
      </w:r>
      <w:r w:rsidR="0057268E">
        <w:rPr>
          <w:lang w:val="en-AU"/>
        </w:rPr>
        <w:t xml:space="preserve">. This observation is supported by </w:t>
      </w:r>
      <w:r w:rsidR="0057268E" w:rsidRPr="00901242">
        <w:rPr>
          <w:i/>
          <w:lang w:val="en-AU"/>
        </w:rPr>
        <w:t>in vitro</w:t>
      </w:r>
      <w:r w:rsidR="0057268E">
        <w:rPr>
          <w:lang w:val="en-AU"/>
        </w:rPr>
        <w:t xml:space="preserve"> studies </w:t>
      </w:r>
      <w:r w:rsidR="0057268E" w:rsidRPr="00901242">
        <w:rPr>
          <w:lang w:val="en-AU"/>
        </w:rPr>
        <w:t>demonstrating</w:t>
      </w:r>
      <w:r w:rsidR="0057268E">
        <w:rPr>
          <w:lang w:val="en-AU"/>
        </w:rPr>
        <w:t xml:space="preserve"> preferential utilisation of 2′-FL by specific </w:t>
      </w:r>
      <w:r w:rsidR="0057268E" w:rsidRPr="00FD225F">
        <w:rPr>
          <w:lang w:val="en-AU"/>
        </w:rPr>
        <w:t xml:space="preserve">strains of </w:t>
      </w:r>
      <w:r w:rsidR="0057268E">
        <w:rPr>
          <w:lang w:val="en-AU"/>
        </w:rPr>
        <w:t>b</w:t>
      </w:r>
      <w:r w:rsidR="0057268E" w:rsidRPr="00FD225F">
        <w:rPr>
          <w:lang w:val="en-AU"/>
        </w:rPr>
        <w:t>ifidobacteria, providing</w:t>
      </w:r>
      <w:r w:rsidR="0057268E">
        <w:rPr>
          <w:lang w:val="en-AU"/>
        </w:rPr>
        <w:t xml:space="preserve"> a </w:t>
      </w:r>
      <w:r w:rsidR="0057268E" w:rsidRPr="00901242">
        <w:rPr>
          <w:lang w:val="en-AU"/>
        </w:rPr>
        <w:t>selective</w:t>
      </w:r>
      <w:r w:rsidR="0057268E">
        <w:rPr>
          <w:lang w:val="en-AU"/>
        </w:rPr>
        <w:t xml:space="preserve"> growth advantage</w:t>
      </w:r>
      <w:r w:rsidR="0057268E" w:rsidRPr="00901242">
        <w:rPr>
          <w:lang w:val="en-AU"/>
        </w:rPr>
        <w:t xml:space="preserve"> </w:t>
      </w:r>
      <w:r w:rsidR="0057268E">
        <w:rPr>
          <w:lang w:val="en-AU"/>
        </w:rPr>
        <w:t>over other commensal and pathogenic bacteria. A</w:t>
      </w:r>
      <w:r w:rsidR="0057268E" w:rsidRPr="00901242">
        <w:rPr>
          <w:lang w:val="en-AU"/>
        </w:rPr>
        <w:t xml:space="preserve"> feeding study performed in adults showed that</w:t>
      </w:r>
      <w:r w:rsidR="0057268E">
        <w:rPr>
          <w:lang w:val="en-AU"/>
        </w:rPr>
        <w:t xml:space="preserve"> this effect is not restricted to infants.</w:t>
      </w:r>
    </w:p>
    <w:p w14:paraId="4597C2C9" w14:textId="5B4DD1FE" w:rsidR="00882455" w:rsidRDefault="0057268E" w:rsidP="00882455">
      <w:r>
        <w:rPr>
          <w:lang w:val="en-AU"/>
        </w:rPr>
        <w:t>Another</w:t>
      </w:r>
      <w:r w:rsidR="009843EC" w:rsidRPr="009843EC">
        <w:rPr>
          <w:lang w:val="en-AU"/>
        </w:rPr>
        <w:t xml:space="preserve"> </w:t>
      </w:r>
      <w:r w:rsidRPr="009843EC">
        <w:rPr>
          <w:lang w:val="en-AU"/>
        </w:rPr>
        <w:t>proposed beneficial role of 2</w:t>
      </w:r>
      <w:r>
        <w:rPr>
          <w:lang w:val="en-AU"/>
        </w:rPr>
        <w:t>′</w:t>
      </w:r>
      <w:r w:rsidRPr="009843EC">
        <w:rPr>
          <w:lang w:val="en-AU"/>
        </w:rPr>
        <w:t xml:space="preserve">-FL </w:t>
      </w:r>
      <w:r>
        <w:rPr>
          <w:lang w:val="en-AU"/>
        </w:rPr>
        <w:t>was the prevention of</w:t>
      </w:r>
      <w:r w:rsidR="009843EC" w:rsidRPr="009843EC">
        <w:rPr>
          <w:lang w:val="en-AU"/>
        </w:rPr>
        <w:t xml:space="preserve"> infection by pathogenic strains of </w:t>
      </w:r>
      <w:r w:rsidR="009843EC" w:rsidRPr="00956448">
        <w:rPr>
          <w:i/>
          <w:lang w:val="en-AU"/>
        </w:rPr>
        <w:t>Campylobacter jejuni</w:t>
      </w:r>
      <w:r w:rsidR="009843EC" w:rsidRPr="009843EC">
        <w:rPr>
          <w:lang w:val="en-AU"/>
        </w:rPr>
        <w:t>.</w:t>
      </w:r>
      <w:r>
        <w:rPr>
          <w:lang w:val="en-AU"/>
        </w:rPr>
        <w:t xml:space="preserve"> </w:t>
      </w:r>
      <w:r w:rsidR="00FD225F" w:rsidRPr="00FD225F">
        <w:rPr>
          <w:lang w:val="en-AU"/>
        </w:rPr>
        <w:t>The mechanism of action</w:t>
      </w:r>
      <w:r w:rsidR="00FD225F">
        <w:rPr>
          <w:lang w:val="en-AU"/>
        </w:rPr>
        <w:t xml:space="preserve"> by which 2</w:t>
      </w:r>
      <w:r w:rsidR="00294342">
        <w:rPr>
          <w:lang w:val="en-AU"/>
        </w:rPr>
        <w:t>′</w:t>
      </w:r>
      <w:r w:rsidR="00FD225F">
        <w:rPr>
          <w:lang w:val="en-AU"/>
        </w:rPr>
        <w:t>-FL</w:t>
      </w:r>
      <w:r w:rsidR="00E92097">
        <w:rPr>
          <w:lang w:val="en-AU"/>
        </w:rPr>
        <w:t xml:space="preserve"> can </w:t>
      </w:r>
      <w:r w:rsidR="00FD225F">
        <w:rPr>
          <w:lang w:val="en-AU"/>
        </w:rPr>
        <w:lastRenderedPageBreak/>
        <w:t>prevent</w:t>
      </w:r>
      <w:r w:rsidR="00FD225F" w:rsidRPr="00FD225F">
        <w:rPr>
          <w:lang w:val="en-AU"/>
        </w:rPr>
        <w:t xml:space="preserve"> infection and </w:t>
      </w:r>
      <w:r w:rsidR="00FD225F">
        <w:rPr>
          <w:lang w:val="en-AU"/>
        </w:rPr>
        <w:t xml:space="preserve">illness caused by invasive strains of </w:t>
      </w:r>
      <w:r w:rsidR="00FD225F" w:rsidRPr="00E92097">
        <w:rPr>
          <w:i/>
          <w:lang w:val="en-AU"/>
        </w:rPr>
        <w:t>Campylobacter jejuni</w:t>
      </w:r>
      <w:r w:rsidR="00FD225F">
        <w:rPr>
          <w:lang w:val="en-AU"/>
        </w:rPr>
        <w:t xml:space="preserve"> was established </w:t>
      </w:r>
      <w:r w:rsidR="00FD225F" w:rsidRPr="00E92097">
        <w:rPr>
          <w:i/>
          <w:lang w:val="en-AU"/>
        </w:rPr>
        <w:t>in vitro</w:t>
      </w:r>
      <w:r w:rsidR="00FD225F">
        <w:rPr>
          <w:lang w:val="en-AU"/>
        </w:rPr>
        <w:t xml:space="preserve">. It was shown that </w:t>
      </w:r>
      <w:r w:rsidR="00E92097">
        <w:rPr>
          <w:lang w:val="en-AU"/>
        </w:rPr>
        <w:t xml:space="preserve">2′-FL acted as an inhibitor of the </w:t>
      </w:r>
      <w:r w:rsidR="009843EC" w:rsidRPr="009843EC">
        <w:rPr>
          <w:lang w:val="en-AU"/>
        </w:rPr>
        <w:t xml:space="preserve">attachment of </w:t>
      </w:r>
      <w:r w:rsidR="009843EC" w:rsidRPr="00E92097">
        <w:rPr>
          <w:i/>
          <w:lang w:val="en-AU"/>
        </w:rPr>
        <w:t>C. jejuni</w:t>
      </w:r>
      <w:r w:rsidR="009843EC" w:rsidRPr="009843EC">
        <w:rPr>
          <w:lang w:val="en-AU"/>
        </w:rPr>
        <w:t xml:space="preserve"> to the intestinal H2 antigen binding receptor. The plausibility of this anti-infective health effect occurring in infants was demonstrated in </w:t>
      </w:r>
      <w:r w:rsidR="00E92097">
        <w:rPr>
          <w:lang w:val="en-AU"/>
        </w:rPr>
        <w:t>mice</w:t>
      </w:r>
      <w:r w:rsidR="009843EC" w:rsidRPr="009843EC">
        <w:rPr>
          <w:lang w:val="en-AU"/>
        </w:rPr>
        <w:t xml:space="preserve"> supplemented with 2′-FL and challenged with invasive </w:t>
      </w:r>
      <w:r w:rsidR="009843EC" w:rsidRPr="00E92097">
        <w:rPr>
          <w:i/>
          <w:lang w:val="en-AU"/>
        </w:rPr>
        <w:t>C. jejuni</w:t>
      </w:r>
      <w:r w:rsidR="00E92097">
        <w:rPr>
          <w:lang w:val="en-AU"/>
        </w:rPr>
        <w:t xml:space="preserve">. Animals </w:t>
      </w:r>
      <w:r w:rsidR="009843EC" w:rsidRPr="009843EC">
        <w:rPr>
          <w:lang w:val="en-AU"/>
        </w:rPr>
        <w:t xml:space="preserve">showed decreased intestinal infection, invasiveness and disease severity. A human study showing decreased incidence of </w:t>
      </w:r>
      <w:r w:rsidR="009843EC" w:rsidRPr="00E92097">
        <w:rPr>
          <w:i/>
          <w:lang w:val="en-AU"/>
        </w:rPr>
        <w:t>Campylobacter</w:t>
      </w:r>
      <w:r w:rsidR="009843EC" w:rsidRPr="009843EC">
        <w:rPr>
          <w:lang w:val="en-AU"/>
        </w:rPr>
        <w:t xml:space="preserve">-associated diarrhoea in infants </w:t>
      </w:r>
      <w:r w:rsidR="005F0EA9">
        <w:rPr>
          <w:lang w:val="en-AU"/>
        </w:rPr>
        <w:t xml:space="preserve">and young children </w:t>
      </w:r>
      <w:r w:rsidR="009843EC" w:rsidRPr="009843EC">
        <w:rPr>
          <w:lang w:val="en-AU"/>
        </w:rPr>
        <w:t>of mothers with a higher proportion of 2′-FL in their milk</w:t>
      </w:r>
      <w:r w:rsidR="004425E4">
        <w:rPr>
          <w:lang w:val="en-AU"/>
        </w:rPr>
        <w:t>,</w:t>
      </w:r>
      <w:r w:rsidR="009843EC" w:rsidRPr="009843EC">
        <w:rPr>
          <w:lang w:val="en-AU"/>
        </w:rPr>
        <w:t xml:space="preserve"> provides additional epidemiological evidence of 2′-FL having an anti-infective health effect.</w:t>
      </w:r>
    </w:p>
    <w:p w14:paraId="25DC121F" w14:textId="69BDDC40" w:rsidR="006E1133" w:rsidRDefault="009F7FE1" w:rsidP="009F7FE1">
      <w:pPr>
        <w:rPr>
          <w:lang w:val="en-AU"/>
        </w:rPr>
      </w:pPr>
      <w:r>
        <w:rPr>
          <w:lang w:val="en-AU"/>
        </w:rPr>
        <w:t>2′</w:t>
      </w:r>
      <w:r w:rsidRPr="00E41E19">
        <w:rPr>
          <w:lang w:val="en-AU"/>
        </w:rPr>
        <w:t xml:space="preserve">-FL </w:t>
      </w:r>
      <w:r>
        <w:rPr>
          <w:lang w:val="en-AU"/>
        </w:rPr>
        <w:t>is</w:t>
      </w:r>
      <w:r w:rsidRPr="00E41E19">
        <w:rPr>
          <w:lang w:val="en-AU"/>
        </w:rPr>
        <w:t xml:space="preserve"> naturally present in human milk in a range of concentrations, providing a history of safe human exposure. FSANZ concludes there are no safety concerns associated with the addition of </w:t>
      </w:r>
      <w:r>
        <w:rPr>
          <w:lang w:val="en-AU"/>
        </w:rPr>
        <w:t>2′</w:t>
      </w:r>
      <w:r w:rsidRPr="00E41E19">
        <w:rPr>
          <w:lang w:val="en-AU"/>
        </w:rPr>
        <w:t xml:space="preserve">-FL to </w:t>
      </w:r>
      <w:r>
        <w:rPr>
          <w:lang w:val="en-AU"/>
        </w:rPr>
        <w:t>IFP</w:t>
      </w:r>
      <w:r w:rsidRPr="00E41E19">
        <w:rPr>
          <w:lang w:val="en-AU"/>
        </w:rPr>
        <w:t xml:space="preserve"> and FSFYC at the requested level</w:t>
      </w:r>
      <w:r w:rsidR="004C6CD7">
        <w:rPr>
          <w:lang w:val="en-AU"/>
        </w:rPr>
        <w:t xml:space="preserve"> of 2 g/L</w:t>
      </w:r>
      <w:r w:rsidRPr="00E41E19">
        <w:rPr>
          <w:lang w:val="en-AU"/>
        </w:rPr>
        <w:t xml:space="preserve">, or at higher estimated dietary intakes based on </w:t>
      </w:r>
      <w:r w:rsidR="00C47EC9">
        <w:rPr>
          <w:lang w:val="en-AU"/>
        </w:rPr>
        <w:t>the permitted level in the Code (</w:t>
      </w:r>
      <w:r w:rsidRPr="00E41E19">
        <w:rPr>
          <w:lang w:val="en-AU"/>
        </w:rPr>
        <w:t>2.4 g/L</w:t>
      </w:r>
      <w:r w:rsidR="00C47EC9">
        <w:rPr>
          <w:lang w:val="en-AU"/>
        </w:rPr>
        <w:t>)</w:t>
      </w:r>
      <w:r>
        <w:rPr>
          <w:lang w:val="en-AU"/>
        </w:rPr>
        <w:t>.</w:t>
      </w:r>
    </w:p>
    <w:p w14:paraId="33B778E3" w14:textId="77777777" w:rsidR="006E1133" w:rsidRDefault="006E1133">
      <w:pPr>
        <w:spacing w:before="0" w:after="0"/>
        <w:rPr>
          <w:lang w:val="en-AU"/>
        </w:rPr>
      </w:pPr>
      <w:r>
        <w:rPr>
          <w:lang w:val="en-AU"/>
        </w:rPr>
        <w:br w:type="page"/>
      </w:r>
    </w:p>
    <w:p w14:paraId="2E1ED8F3" w14:textId="4AABAA40" w:rsidR="00D5255E" w:rsidRDefault="00D5255E" w:rsidP="00D5255E">
      <w:pPr>
        <w:pStyle w:val="Heading1"/>
      </w:pPr>
      <w:bookmarkStart w:id="6" w:name="_Toc13219496"/>
      <w:bookmarkStart w:id="7" w:name="_Toc70675675"/>
      <w:bookmarkStart w:id="8" w:name="_Toc70675768"/>
      <w:bookmarkStart w:id="9" w:name="_Toc72480607"/>
      <w:r>
        <w:lastRenderedPageBreak/>
        <w:t>Glossary of terms</w:t>
      </w:r>
      <w:bookmarkEnd w:id="6"/>
      <w:bookmarkEnd w:id="7"/>
      <w:bookmarkEnd w:id="8"/>
      <w:bookmarkEnd w:id="9"/>
    </w:p>
    <w:tbl>
      <w:tblPr>
        <w:tblStyle w:val="Table"/>
        <w:tblW w:w="0" w:type="auto"/>
        <w:tblLook w:val="04A0" w:firstRow="1" w:lastRow="0" w:firstColumn="1" w:lastColumn="0" w:noHBand="0" w:noVBand="1"/>
        <w:tblDescription w:val="Glossary of terms"/>
      </w:tblPr>
      <w:tblGrid>
        <w:gridCol w:w="1555"/>
        <w:gridCol w:w="7505"/>
      </w:tblGrid>
      <w:tr w:rsidR="006E1133" w:rsidRPr="006E1133" w14:paraId="0FC9BAF8" w14:textId="77777777" w:rsidTr="006E1133">
        <w:trPr>
          <w:cnfStyle w:val="100000000000" w:firstRow="1" w:lastRow="0" w:firstColumn="0" w:lastColumn="0" w:oddVBand="0" w:evenVBand="0" w:oddHBand="0" w:evenHBand="0" w:firstRowFirstColumn="0" w:firstRowLastColumn="0" w:lastRowFirstColumn="0" w:lastRowLastColumn="0"/>
          <w:trHeight w:val="340"/>
        </w:trPr>
        <w:tc>
          <w:tcPr>
            <w:tcW w:w="1555" w:type="dxa"/>
            <w:shd w:val="clear" w:color="auto" w:fill="auto"/>
          </w:tcPr>
          <w:p w14:paraId="74448FE4" w14:textId="77777777" w:rsidR="00D5255E" w:rsidRPr="006E1133" w:rsidRDefault="00D5255E" w:rsidP="00D420CF">
            <w:pPr>
              <w:spacing w:before="80" w:after="80"/>
              <w:rPr>
                <w:b w:val="0"/>
                <w:color w:val="auto"/>
                <w:sz w:val="20"/>
              </w:rPr>
            </w:pPr>
            <w:r w:rsidRPr="006E1133">
              <w:rPr>
                <w:b w:val="0"/>
                <w:color w:val="auto"/>
                <w:sz w:val="20"/>
              </w:rPr>
              <w:t>2′-FL</w:t>
            </w:r>
          </w:p>
        </w:tc>
        <w:tc>
          <w:tcPr>
            <w:tcW w:w="7505" w:type="dxa"/>
            <w:shd w:val="clear" w:color="auto" w:fill="auto"/>
          </w:tcPr>
          <w:p w14:paraId="05510216" w14:textId="25F13E1E" w:rsidR="00D5255E" w:rsidRPr="006E1133" w:rsidRDefault="005F0EA9" w:rsidP="00D420CF">
            <w:pPr>
              <w:spacing w:before="80" w:after="80"/>
              <w:rPr>
                <w:b w:val="0"/>
                <w:color w:val="auto"/>
                <w:sz w:val="20"/>
              </w:rPr>
            </w:pPr>
            <w:r w:rsidRPr="006E1133">
              <w:rPr>
                <w:b w:val="0"/>
                <w:color w:val="auto"/>
                <w:sz w:val="20"/>
                <w:szCs w:val="20"/>
              </w:rPr>
              <w:t>2′</w:t>
            </w:r>
            <w:r w:rsidRPr="006E1133">
              <w:rPr>
                <w:rFonts w:ascii="MSDDRU+Calibri" w:hAnsi="MSDDRU+Calibri" w:cs="MSDDRU+Calibri"/>
                <w:b w:val="0"/>
                <w:color w:val="auto"/>
                <w:sz w:val="20"/>
                <w:szCs w:val="22"/>
              </w:rPr>
              <w:t>-</w:t>
            </w:r>
            <w:r w:rsidRPr="006E1133">
              <w:rPr>
                <w:b w:val="0"/>
                <w:color w:val="auto"/>
                <w:sz w:val="20"/>
                <w:szCs w:val="22"/>
              </w:rPr>
              <w:t>fucosyllactose</w:t>
            </w:r>
            <w:r w:rsidRPr="006E1133">
              <w:rPr>
                <w:b w:val="0"/>
                <w:color w:val="auto"/>
                <w:sz w:val="20"/>
                <w:szCs w:val="20"/>
              </w:rPr>
              <w:t xml:space="preserve"> also known as </w:t>
            </w:r>
            <w:r w:rsidR="00D5255E" w:rsidRPr="006E1133">
              <w:rPr>
                <w:b w:val="0"/>
                <w:color w:val="auto"/>
                <w:sz w:val="20"/>
                <w:szCs w:val="20"/>
              </w:rPr>
              <w:t>2′</w:t>
            </w:r>
            <w:r w:rsidR="00D5255E" w:rsidRPr="006E1133">
              <w:rPr>
                <w:rFonts w:ascii="MSDDRU+Calibri" w:hAnsi="MSDDRU+Calibri" w:cs="MSDDRU+Calibri"/>
                <w:b w:val="0"/>
                <w:color w:val="auto"/>
                <w:sz w:val="20"/>
                <w:szCs w:val="22"/>
              </w:rPr>
              <w:t>-</w:t>
            </w:r>
            <w:r w:rsidR="00D01A35" w:rsidRPr="006E1133">
              <w:rPr>
                <w:rFonts w:cs="Arial"/>
                <w:b w:val="0"/>
                <w:i/>
                <w:iCs/>
                <w:color w:val="auto"/>
                <w:sz w:val="20"/>
                <w:szCs w:val="22"/>
              </w:rPr>
              <w:t>O</w:t>
            </w:r>
            <w:r w:rsidR="00D5255E" w:rsidRPr="006E1133">
              <w:rPr>
                <w:rFonts w:ascii="MSDDRU+Calibri" w:hAnsi="MSDDRU+Calibri" w:cs="MSDDRU+Calibri"/>
                <w:b w:val="0"/>
                <w:color w:val="auto"/>
                <w:sz w:val="20"/>
                <w:szCs w:val="22"/>
              </w:rPr>
              <w:t>-</w:t>
            </w:r>
            <w:r w:rsidR="00D5255E" w:rsidRPr="006E1133">
              <w:rPr>
                <w:b w:val="0"/>
                <w:color w:val="auto"/>
                <w:sz w:val="20"/>
                <w:szCs w:val="22"/>
              </w:rPr>
              <w:t>fucosyllactose</w:t>
            </w:r>
          </w:p>
        </w:tc>
      </w:tr>
      <w:tr w:rsidR="00D5255E" w14:paraId="7DE1DEFF"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9167FAE" w14:textId="77777777" w:rsidR="00D5255E" w:rsidRPr="00D01A35" w:rsidRDefault="00D5255E" w:rsidP="00D420CF">
            <w:pPr>
              <w:spacing w:before="80" w:after="80"/>
              <w:rPr>
                <w:sz w:val="20"/>
              </w:rPr>
            </w:pPr>
            <w:r w:rsidRPr="00D01A35">
              <w:rPr>
                <w:sz w:val="20"/>
              </w:rPr>
              <w:t>2′-FL</w:t>
            </w:r>
            <w:r w:rsidRPr="00D01A35">
              <w:rPr>
                <w:sz w:val="20"/>
                <w:vertAlign w:val="subscript"/>
              </w:rPr>
              <w:t>chem</w:t>
            </w:r>
            <w:r w:rsidRPr="00D01A35">
              <w:rPr>
                <w:sz w:val="20"/>
              </w:rPr>
              <w:t xml:space="preserve"> </w:t>
            </w:r>
          </w:p>
        </w:tc>
        <w:tc>
          <w:tcPr>
            <w:tcW w:w="7505" w:type="dxa"/>
          </w:tcPr>
          <w:p w14:paraId="7F2D09E7" w14:textId="0941EB50" w:rsidR="00D5255E" w:rsidRPr="00D01A35" w:rsidRDefault="00D5255E" w:rsidP="005F0EA9">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chemical synthesis</w:t>
            </w:r>
          </w:p>
        </w:tc>
      </w:tr>
      <w:tr w:rsidR="00D5255E" w14:paraId="363187ED"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D34D50C" w14:textId="77777777" w:rsidR="00D5255E" w:rsidRPr="00D01A35" w:rsidRDefault="00D5255E" w:rsidP="00D420CF">
            <w:pPr>
              <w:spacing w:before="80" w:after="80"/>
              <w:rPr>
                <w:sz w:val="20"/>
              </w:rPr>
            </w:pPr>
            <w:r w:rsidRPr="00D01A35">
              <w:rPr>
                <w:sz w:val="20"/>
              </w:rPr>
              <w:t>2′-FL</w:t>
            </w:r>
            <w:r w:rsidRPr="00D01A35">
              <w:rPr>
                <w:sz w:val="20"/>
                <w:vertAlign w:val="subscript"/>
              </w:rPr>
              <w:t>micro</w:t>
            </w:r>
            <w:r w:rsidRPr="00D01A35">
              <w:rPr>
                <w:sz w:val="20"/>
              </w:rPr>
              <w:t xml:space="preserve"> </w:t>
            </w:r>
          </w:p>
        </w:tc>
        <w:tc>
          <w:tcPr>
            <w:tcW w:w="7505" w:type="dxa"/>
          </w:tcPr>
          <w:p w14:paraId="4EDE034D" w14:textId="44B24AE7" w:rsidR="00D5255E" w:rsidRPr="00D01A35" w:rsidRDefault="00D5255E" w:rsidP="005F0EA9">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microbial fermentation</w:t>
            </w:r>
          </w:p>
        </w:tc>
      </w:tr>
      <w:tr w:rsidR="00D5255E" w14:paraId="47B1F526"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538589B" w14:textId="77777777" w:rsidR="00D5255E" w:rsidRPr="00D01A35" w:rsidRDefault="00D5255E" w:rsidP="00D420CF">
            <w:pPr>
              <w:spacing w:before="80" w:after="80"/>
              <w:rPr>
                <w:sz w:val="20"/>
              </w:rPr>
            </w:pPr>
            <w:r w:rsidRPr="00D01A35">
              <w:rPr>
                <w:sz w:val="20"/>
              </w:rPr>
              <w:t>2′-FL</w:t>
            </w:r>
            <w:r w:rsidRPr="00D01A35">
              <w:rPr>
                <w:sz w:val="20"/>
                <w:vertAlign w:val="subscript"/>
              </w:rPr>
              <w:t>human</w:t>
            </w:r>
            <w:r w:rsidRPr="00D01A35">
              <w:rPr>
                <w:sz w:val="20"/>
              </w:rPr>
              <w:t xml:space="preserve"> </w:t>
            </w:r>
          </w:p>
        </w:tc>
        <w:tc>
          <w:tcPr>
            <w:tcW w:w="7505" w:type="dxa"/>
          </w:tcPr>
          <w:p w14:paraId="7DABED0D" w14:textId="2E4BFE0E" w:rsidR="00D5255E" w:rsidRPr="00D01A35" w:rsidRDefault="00D5255E" w:rsidP="005F0EA9">
            <w:pPr>
              <w:spacing w:before="80" w:after="80"/>
              <w:rPr>
                <w:sz w:val="20"/>
                <w:szCs w:val="20"/>
              </w:rPr>
            </w:pPr>
            <w:r w:rsidRPr="00D01A35">
              <w:rPr>
                <w:sz w:val="20"/>
                <w:szCs w:val="20"/>
              </w:rPr>
              <w:t>2′</w:t>
            </w:r>
            <w:r w:rsidRPr="00D01A35">
              <w:rPr>
                <w:rFonts w:ascii="MSDDRU+Calibri" w:hAnsi="MSDDRU+Calibri" w:cs="MSDDRU+Calibri"/>
                <w:sz w:val="20"/>
                <w:szCs w:val="22"/>
              </w:rPr>
              <w:t>-</w:t>
            </w:r>
            <w:r w:rsidRPr="00D01A35">
              <w:rPr>
                <w:sz w:val="20"/>
                <w:szCs w:val="22"/>
              </w:rPr>
              <w:t>fucosyllactose naturally occurring in human milk</w:t>
            </w:r>
          </w:p>
        </w:tc>
      </w:tr>
      <w:tr w:rsidR="000D7599" w14:paraId="76799683"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4D28FA4E" w14:textId="751FE72D" w:rsidR="000D7599" w:rsidRPr="00D01A35" w:rsidRDefault="000D7599" w:rsidP="00D420CF">
            <w:pPr>
              <w:spacing w:before="80" w:after="80"/>
              <w:rPr>
                <w:sz w:val="20"/>
              </w:rPr>
            </w:pPr>
            <w:r>
              <w:rPr>
                <w:sz w:val="20"/>
              </w:rPr>
              <w:t>BMI</w:t>
            </w:r>
          </w:p>
        </w:tc>
        <w:tc>
          <w:tcPr>
            <w:tcW w:w="7505" w:type="dxa"/>
          </w:tcPr>
          <w:p w14:paraId="381771E8" w14:textId="3DFB7386" w:rsidR="000D7599" w:rsidRPr="00D01A35" w:rsidRDefault="004B0911" w:rsidP="004B0911">
            <w:pPr>
              <w:spacing w:before="80" w:after="80"/>
              <w:rPr>
                <w:sz w:val="20"/>
                <w:szCs w:val="20"/>
              </w:rPr>
            </w:pPr>
            <w:r>
              <w:rPr>
                <w:sz w:val="20"/>
                <w:szCs w:val="20"/>
              </w:rPr>
              <w:t>body mass index</w:t>
            </w:r>
          </w:p>
        </w:tc>
      </w:tr>
      <w:tr w:rsidR="005261BE" w14:paraId="53AE690A"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15D50D2" w14:textId="0F0A1C01" w:rsidR="005261BE" w:rsidRPr="00D01A35" w:rsidRDefault="005261BE" w:rsidP="00D420CF">
            <w:pPr>
              <w:spacing w:before="80" w:after="80"/>
              <w:rPr>
                <w:sz w:val="20"/>
              </w:rPr>
            </w:pPr>
            <w:r>
              <w:rPr>
                <w:sz w:val="20"/>
              </w:rPr>
              <w:t>bw</w:t>
            </w:r>
          </w:p>
        </w:tc>
        <w:tc>
          <w:tcPr>
            <w:tcW w:w="7505" w:type="dxa"/>
          </w:tcPr>
          <w:p w14:paraId="13F25B8A" w14:textId="76F1D12C" w:rsidR="005261BE" w:rsidRPr="00D01A35" w:rsidRDefault="005261BE" w:rsidP="00D420CF">
            <w:pPr>
              <w:spacing w:before="80" w:after="80"/>
              <w:rPr>
                <w:sz w:val="20"/>
                <w:szCs w:val="20"/>
              </w:rPr>
            </w:pPr>
            <w:r>
              <w:rPr>
                <w:sz w:val="20"/>
                <w:szCs w:val="20"/>
              </w:rPr>
              <w:t>body weight</w:t>
            </w:r>
          </w:p>
        </w:tc>
      </w:tr>
      <w:tr w:rsidR="00093B4A" w14:paraId="75B8238D"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B50E8D2" w14:textId="10147EEB" w:rsidR="00093B4A" w:rsidRDefault="00093B4A" w:rsidP="00D420CF">
            <w:pPr>
              <w:spacing w:before="80" w:after="80"/>
              <w:rPr>
                <w:sz w:val="20"/>
              </w:rPr>
            </w:pPr>
            <w:r>
              <w:rPr>
                <w:sz w:val="20"/>
              </w:rPr>
              <w:t>DFL</w:t>
            </w:r>
          </w:p>
        </w:tc>
        <w:tc>
          <w:tcPr>
            <w:tcW w:w="7505" w:type="dxa"/>
          </w:tcPr>
          <w:p w14:paraId="2A00A49F" w14:textId="7367AC27" w:rsidR="00093B4A" w:rsidRDefault="00093B4A" w:rsidP="00D420CF">
            <w:pPr>
              <w:spacing w:before="80" w:after="80"/>
              <w:rPr>
                <w:sz w:val="20"/>
                <w:szCs w:val="20"/>
              </w:rPr>
            </w:pPr>
            <w:r w:rsidRPr="00093B4A">
              <w:rPr>
                <w:sz w:val="20"/>
                <w:szCs w:val="20"/>
              </w:rPr>
              <w:t>difucosyllactose</w:t>
            </w:r>
          </w:p>
        </w:tc>
      </w:tr>
      <w:tr w:rsidR="005261BE" w14:paraId="3E791703"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F3A584E" w14:textId="2F59DA3C" w:rsidR="005261BE" w:rsidRPr="00D01A35" w:rsidRDefault="005261BE" w:rsidP="00D420CF">
            <w:pPr>
              <w:spacing w:before="80" w:after="80"/>
              <w:rPr>
                <w:sz w:val="20"/>
              </w:rPr>
            </w:pPr>
            <w:r>
              <w:rPr>
                <w:sz w:val="20"/>
              </w:rPr>
              <w:t>FOS</w:t>
            </w:r>
          </w:p>
        </w:tc>
        <w:tc>
          <w:tcPr>
            <w:tcW w:w="7505" w:type="dxa"/>
          </w:tcPr>
          <w:p w14:paraId="7C5AB25A" w14:textId="052DD102" w:rsidR="005261BE" w:rsidRPr="005261BE" w:rsidRDefault="005261BE" w:rsidP="00D420CF">
            <w:pPr>
              <w:spacing w:before="80" w:after="80"/>
              <w:rPr>
                <w:sz w:val="20"/>
                <w:szCs w:val="20"/>
              </w:rPr>
            </w:pPr>
            <w:r w:rsidRPr="005261BE">
              <w:rPr>
                <w:rFonts w:cs="Arial"/>
                <w:iCs/>
                <w:sz w:val="20"/>
                <w:lang w:eastAsia="en-GB"/>
              </w:rPr>
              <w:t>fructooligosaccharide</w:t>
            </w:r>
          </w:p>
        </w:tc>
      </w:tr>
      <w:tr w:rsidR="00D5255E" w14:paraId="49F6CB7A"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11167C2A" w14:textId="77777777" w:rsidR="00D5255E" w:rsidRPr="00D01A35" w:rsidRDefault="00D5255E" w:rsidP="00D420CF">
            <w:pPr>
              <w:spacing w:before="80" w:after="80"/>
              <w:rPr>
                <w:sz w:val="20"/>
              </w:rPr>
            </w:pPr>
            <w:r w:rsidRPr="00D01A35">
              <w:rPr>
                <w:sz w:val="20"/>
              </w:rPr>
              <w:t>FSFYC</w:t>
            </w:r>
          </w:p>
        </w:tc>
        <w:tc>
          <w:tcPr>
            <w:tcW w:w="7505" w:type="dxa"/>
          </w:tcPr>
          <w:p w14:paraId="26A60411" w14:textId="1EECF1FD" w:rsidR="00D5255E" w:rsidRPr="00D01A35" w:rsidRDefault="00D01A35" w:rsidP="00D420CF">
            <w:pPr>
              <w:spacing w:before="80" w:after="80"/>
              <w:rPr>
                <w:sz w:val="20"/>
              </w:rPr>
            </w:pPr>
            <w:r>
              <w:rPr>
                <w:sz w:val="20"/>
              </w:rPr>
              <w:t>f</w:t>
            </w:r>
            <w:r w:rsidR="00D5255E" w:rsidRPr="00D01A35">
              <w:rPr>
                <w:sz w:val="20"/>
              </w:rPr>
              <w:t>ormulated supplementary foods for young children (or ‘toddler milk’)</w:t>
            </w:r>
          </w:p>
        </w:tc>
      </w:tr>
      <w:tr w:rsidR="00961EDF" w14:paraId="37FBD79E"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B45E7FA" w14:textId="5590AFC7" w:rsidR="00961EDF" w:rsidRPr="00D01A35" w:rsidRDefault="00961EDF" w:rsidP="00D420CF">
            <w:pPr>
              <w:spacing w:before="80" w:after="80"/>
              <w:rPr>
                <w:sz w:val="20"/>
              </w:rPr>
            </w:pPr>
            <w:r>
              <w:rPr>
                <w:sz w:val="20"/>
              </w:rPr>
              <w:t>GLP</w:t>
            </w:r>
          </w:p>
        </w:tc>
        <w:tc>
          <w:tcPr>
            <w:tcW w:w="7505" w:type="dxa"/>
          </w:tcPr>
          <w:p w14:paraId="43E15EBA" w14:textId="390AB4D2" w:rsidR="00961EDF" w:rsidRDefault="00961EDF" w:rsidP="00D420CF">
            <w:pPr>
              <w:spacing w:before="80" w:after="80"/>
              <w:rPr>
                <w:sz w:val="20"/>
              </w:rPr>
            </w:pPr>
            <w:r>
              <w:rPr>
                <w:sz w:val="20"/>
              </w:rPr>
              <w:t>good laboratory practice</w:t>
            </w:r>
          </w:p>
        </w:tc>
      </w:tr>
      <w:tr w:rsidR="00093B4A" w14:paraId="650A9E88"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C80DDA6" w14:textId="1B67B592" w:rsidR="00093B4A" w:rsidRDefault="00093B4A" w:rsidP="00D420CF">
            <w:pPr>
              <w:spacing w:before="80" w:after="80"/>
              <w:rPr>
                <w:sz w:val="20"/>
              </w:rPr>
            </w:pPr>
            <w:r>
              <w:rPr>
                <w:sz w:val="20"/>
              </w:rPr>
              <w:t>g</w:t>
            </w:r>
          </w:p>
        </w:tc>
        <w:tc>
          <w:tcPr>
            <w:tcW w:w="7505" w:type="dxa"/>
          </w:tcPr>
          <w:p w14:paraId="46C3EA91" w14:textId="76A6EC71" w:rsidR="00093B4A" w:rsidRDefault="00093B4A" w:rsidP="00D420CF">
            <w:pPr>
              <w:spacing w:before="80" w:after="80"/>
              <w:rPr>
                <w:sz w:val="20"/>
              </w:rPr>
            </w:pPr>
            <w:r>
              <w:rPr>
                <w:sz w:val="20"/>
              </w:rPr>
              <w:t>gram</w:t>
            </w:r>
          </w:p>
        </w:tc>
      </w:tr>
      <w:tr w:rsidR="00D01A35" w14:paraId="6E7FDDC1"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86FD6D5" w14:textId="067E7E30" w:rsidR="00D01A35" w:rsidRPr="00D01A35" w:rsidRDefault="00D01A35" w:rsidP="00D420CF">
            <w:pPr>
              <w:spacing w:before="80" w:after="80"/>
              <w:rPr>
                <w:sz w:val="20"/>
              </w:rPr>
            </w:pPr>
            <w:r w:rsidRPr="00D01A35">
              <w:rPr>
                <w:sz w:val="20"/>
              </w:rPr>
              <w:t>GM</w:t>
            </w:r>
          </w:p>
        </w:tc>
        <w:tc>
          <w:tcPr>
            <w:tcW w:w="7505" w:type="dxa"/>
          </w:tcPr>
          <w:p w14:paraId="75919EA4" w14:textId="6AB3A391" w:rsidR="00D01A35" w:rsidRPr="00D01A35" w:rsidRDefault="00D01A35" w:rsidP="00D420CF">
            <w:pPr>
              <w:spacing w:before="80" w:after="80"/>
              <w:rPr>
                <w:sz w:val="20"/>
              </w:rPr>
            </w:pPr>
            <w:r>
              <w:rPr>
                <w:sz w:val="20"/>
              </w:rPr>
              <w:t>g</w:t>
            </w:r>
            <w:r w:rsidRPr="00D01A35">
              <w:rPr>
                <w:sz w:val="20"/>
              </w:rPr>
              <w:t>enetically modified</w:t>
            </w:r>
          </w:p>
        </w:tc>
      </w:tr>
      <w:tr w:rsidR="00D5255E" w14:paraId="03C9D658"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1BE8F637" w14:textId="77777777" w:rsidR="00D5255E" w:rsidRPr="00D01A35" w:rsidRDefault="00D5255E" w:rsidP="00D420CF">
            <w:pPr>
              <w:spacing w:before="80" w:after="80"/>
              <w:rPr>
                <w:sz w:val="20"/>
              </w:rPr>
            </w:pPr>
            <w:r w:rsidRPr="00D01A35">
              <w:rPr>
                <w:sz w:val="20"/>
              </w:rPr>
              <w:t>GOS</w:t>
            </w:r>
          </w:p>
        </w:tc>
        <w:tc>
          <w:tcPr>
            <w:tcW w:w="7505" w:type="dxa"/>
          </w:tcPr>
          <w:p w14:paraId="533A6F3A" w14:textId="7194787D" w:rsidR="00D5255E" w:rsidRPr="00D01A35" w:rsidRDefault="00D01A35" w:rsidP="00D420CF">
            <w:pPr>
              <w:spacing w:before="80" w:after="80"/>
              <w:rPr>
                <w:sz w:val="20"/>
              </w:rPr>
            </w:pPr>
            <w:r>
              <w:rPr>
                <w:sz w:val="20"/>
              </w:rPr>
              <w:t>g</w:t>
            </w:r>
            <w:r w:rsidR="005261BE">
              <w:rPr>
                <w:sz w:val="20"/>
              </w:rPr>
              <w:t>alacto</w:t>
            </w:r>
            <w:r w:rsidR="00D5255E" w:rsidRPr="00D01A35">
              <w:rPr>
                <w:sz w:val="20"/>
              </w:rPr>
              <w:t>oligosaccharide</w:t>
            </w:r>
          </w:p>
        </w:tc>
      </w:tr>
      <w:tr w:rsidR="007B2FF0" w14:paraId="59F545FB"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6593B80" w14:textId="4151AEA0" w:rsidR="007B2FF0" w:rsidRPr="00D01A35" w:rsidRDefault="007B2FF0" w:rsidP="00D420CF">
            <w:pPr>
              <w:spacing w:before="80" w:after="80"/>
              <w:rPr>
                <w:sz w:val="20"/>
              </w:rPr>
            </w:pPr>
            <w:r w:rsidRPr="00D01A35">
              <w:rPr>
                <w:sz w:val="20"/>
              </w:rPr>
              <w:t>IFP</w:t>
            </w:r>
          </w:p>
        </w:tc>
        <w:tc>
          <w:tcPr>
            <w:tcW w:w="7505" w:type="dxa"/>
          </w:tcPr>
          <w:p w14:paraId="684C80C7" w14:textId="6A97CFC1" w:rsidR="007B2FF0" w:rsidRPr="00D01A35" w:rsidRDefault="00D01A35" w:rsidP="00D420CF">
            <w:pPr>
              <w:spacing w:before="80" w:after="80"/>
              <w:rPr>
                <w:sz w:val="20"/>
              </w:rPr>
            </w:pPr>
            <w:r>
              <w:rPr>
                <w:sz w:val="20"/>
              </w:rPr>
              <w:t>i</w:t>
            </w:r>
            <w:r w:rsidR="007B2FF0" w:rsidRPr="00D01A35">
              <w:rPr>
                <w:sz w:val="20"/>
              </w:rPr>
              <w:t>nfant formula products</w:t>
            </w:r>
          </w:p>
        </w:tc>
      </w:tr>
      <w:tr w:rsidR="00093B4A" w14:paraId="728994D5"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E64365B" w14:textId="233DD208" w:rsidR="00093B4A" w:rsidRPr="00D01A35" w:rsidRDefault="00093B4A" w:rsidP="00D420CF">
            <w:pPr>
              <w:spacing w:before="80" w:after="80"/>
              <w:rPr>
                <w:sz w:val="20"/>
              </w:rPr>
            </w:pPr>
            <w:r>
              <w:rPr>
                <w:sz w:val="20"/>
              </w:rPr>
              <w:t>kg</w:t>
            </w:r>
          </w:p>
        </w:tc>
        <w:tc>
          <w:tcPr>
            <w:tcW w:w="7505" w:type="dxa"/>
          </w:tcPr>
          <w:p w14:paraId="35860C10" w14:textId="6A31F40C" w:rsidR="00093B4A" w:rsidRDefault="00093B4A" w:rsidP="00D420CF">
            <w:pPr>
              <w:spacing w:before="80" w:after="80"/>
              <w:rPr>
                <w:sz w:val="20"/>
              </w:rPr>
            </w:pPr>
            <w:r>
              <w:rPr>
                <w:sz w:val="20"/>
              </w:rPr>
              <w:t>kilogram</w:t>
            </w:r>
          </w:p>
        </w:tc>
      </w:tr>
      <w:tr w:rsidR="00093B4A" w14:paraId="4C1B7FD4"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7486F2B" w14:textId="641275F0" w:rsidR="00093B4A" w:rsidRPr="00D01A35" w:rsidRDefault="00093B4A" w:rsidP="00D420CF">
            <w:pPr>
              <w:spacing w:before="80" w:after="80"/>
              <w:rPr>
                <w:sz w:val="20"/>
              </w:rPr>
            </w:pPr>
            <w:r>
              <w:rPr>
                <w:sz w:val="20"/>
              </w:rPr>
              <w:t>L</w:t>
            </w:r>
          </w:p>
        </w:tc>
        <w:tc>
          <w:tcPr>
            <w:tcW w:w="7505" w:type="dxa"/>
          </w:tcPr>
          <w:p w14:paraId="00DD7D45" w14:textId="294B9AFB" w:rsidR="00093B4A" w:rsidRDefault="00093B4A" w:rsidP="00D420CF">
            <w:pPr>
              <w:spacing w:before="80" w:after="80"/>
              <w:rPr>
                <w:sz w:val="20"/>
              </w:rPr>
            </w:pPr>
            <w:r>
              <w:rPr>
                <w:sz w:val="20"/>
              </w:rPr>
              <w:t>litre</w:t>
            </w:r>
          </w:p>
        </w:tc>
      </w:tr>
      <w:tr w:rsidR="00EF2277" w14:paraId="69300A19"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263E9C14" w14:textId="0C9BE264" w:rsidR="00EF2277" w:rsidRPr="00D01A35" w:rsidRDefault="00EF2277" w:rsidP="00D420CF">
            <w:pPr>
              <w:spacing w:before="80" w:after="80"/>
              <w:rPr>
                <w:sz w:val="20"/>
              </w:rPr>
            </w:pPr>
            <w:r>
              <w:rPr>
                <w:sz w:val="20"/>
              </w:rPr>
              <w:t>LNnT</w:t>
            </w:r>
          </w:p>
        </w:tc>
        <w:tc>
          <w:tcPr>
            <w:tcW w:w="7505" w:type="dxa"/>
          </w:tcPr>
          <w:p w14:paraId="4AF66290" w14:textId="396F0A4A" w:rsidR="00EF2277" w:rsidRDefault="00EF2277" w:rsidP="00D420CF">
            <w:pPr>
              <w:spacing w:before="80" w:after="80"/>
              <w:rPr>
                <w:sz w:val="20"/>
              </w:rPr>
            </w:pPr>
            <w:r w:rsidRPr="00EF2277">
              <w:rPr>
                <w:rFonts w:cs="Arial"/>
                <w:iCs/>
                <w:sz w:val="20"/>
                <w:lang w:eastAsia="en-GB"/>
              </w:rPr>
              <w:t>lacto-N-neotetraose</w:t>
            </w:r>
          </w:p>
        </w:tc>
      </w:tr>
      <w:tr w:rsidR="00D5255E" w14:paraId="5EE39E55"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0975F7E" w14:textId="3D707826" w:rsidR="00D5255E" w:rsidRPr="00D01A35" w:rsidRDefault="00D01A35" w:rsidP="00D420CF">
            <w:pPr>
              <w:spacing w:before="80" w:after="80"/>
              <w:rPr>
                <w:sz w:val="20"/>
              </w:rPr>
            </w:pPr>
            <w:r>
              <w:rPr>
                <w:sz w:val="20"/>
              </w:rPr>
              <w:t>LOD</w:t>
            </w:r>
          </w:p>
        </w:tc>
        <w:tc>
          <w:tcPr>
            <w:tcW w:w="7505" w:type="dxa"/>
          </w:tcPr>
          <w:p w14:paraId="6A3719BF" w14:textId="0A74AB56" w:rsidR="00D5255E" w:rsidRPr="00D01A35" w:rsidRDefault="00D01A35" w:rsidP="00D420CF">
            <w:pPr>
              <w:spacing w:before="80" w:after="80"/>
              <w:rPr>
                <w:sz w:val="20"/>
              </w:rPr>
            </w:pPr>
            <w:r>
              <w:rPr>
                <w:sz w:val="20"/>
              </w:rPr>
              <w:t>limit of detection</w:t>
            </w:r>
          </w:p>
        </w:tc>
      </w:tr>
      <w:tr w:rsidR="00093B4A" w14:paraId="2C547371"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73B2483" w14:textId="08DC31A0" w:rsidR="00093B4A" w:rsidRDefault="00093B4A" w:rsidP="00093B4A">
            <w:pPr>
              <w:spacing w:before="80" w:after="80"/>
              <w:rPr>
                <w:sz w:val="20"/>
              </w:rPr>
            </w:pPr>
            <w:r>
              <w:rPr>
                <w:sz w:val="20"/>
              </w:rPr>
              <w:t>mg</w:t>
            </w:r>
          </w:p>
        </w:tc>
        <w:tc>
          <w:tcPr>
            <w:tcW w:w="7505" w:type="dxa"/>
          </w:tcPr>
          <w:p w14:paraId="72F49712" w14:textId="5882840E" w:rsidR="00093B4A" w:rsidRDefault="00093B4A" w:rsidP="00D420CF">
            <w:pPr>
              <w:spacing w:before="80" w:after="80"/>
              <w:rPr>
                <w:sz w:val="20"/>
              </w:rPr>
            </w:pPr>
            <w:r>
              <w:rPr>
                <w:sz w:val="20"/>
              </w:rPr>
              <w:t>milligram</w:t>
            </w:r>
          </w:p>
        </w:tc>
      </w:tr>
      <w:tr w:rsidR="00961EDF" w14:paraId="70652632"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41F776A" w14:textId="7EC7C25C" w:rsidR="00961EDF" w:rsidRDefault="00961EDF" w:rsidP="00D420CF">
            <w:pPr>
              <w:spacing w:before="80" w:after="80"/>
              <w:rPr>
                <w:sz w:val="20"/>
              </w:rPr>
            </w:pPr>
            <w:r>
              <w:rPr>
                <w:sz w:val="20"/>
              </w:rPr>
              <w:t>OECD</w:t>
            </w:r>
          </w:p>
        </w:tc>
        <w:tc>
          <w:tcPr>
            <w:tcW w:w="7505" w:type="dxa"/>
          </w:tcPr>
          <w:p w14:paraId="4634BDE0" w14:textId="57D3C63C" w:rsidR="00961EDF" w:rsidRDefault="00961EDF" w:rsidP="00D420CF">
            <w:pPr>
              <w:spacing w:before="80" w:after="80"/>
              <w:rPr>
                <w:sz w:val="20"/>
              </w:rPr>
            </w:pPr>
            <w:r w:rsidRPr="00961EDF">
              <w:rPr>
                <w:sz w:val="20"/>
              </w:rPr>
              <w:t>Organisation for Economic Co-operation and Development</w:t>
            </w:r>
          </w:p>
        </w:tc>
      </w:tr>
      <w:tr w:rsidR="00D5255E" w14:paraId="2EA1AE54"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D3E1CF0" w14:textId="2A1B6D35" w:rsidR="00D5255E" w:rsidRPr="00D01A35" w:rsidRDefault="00D01A35" w:rsidP="00D420CF">
            <w:pPr>
              <w:spacing w:before="80" w:after="80"/>
              <w:rPr>
                <w:sz w:val="20"/>
              </w:rPr>
            </w:pPr>
            <w:r>
              <w:rPr>
                <w:sz w:val="20"/>
              </w:rPr>
              <w:t>PCR</w:t>
            </w:r>
          </w:p>
        </w:tc>
        <w:tc>
          <w:tcPr>
            <w:tcW w:w="7505" w:type="dxa"/>
          </w:tcPr>
          <w:p w14:paraId="32E8F8E8" w14:textId="70325470" w:rsidR="00D5255E" w:rsidRPr="00D01A35" w:rsidRDefault="00D01A35" w:rsidP="00D420CF">
            <w:pPr>
              <w:spacing w:before="80" w:after="80"/>
              <w:rPr>
                <w:sz w:val="20"/>
              </w:rPr>
            </w:pPr>
            <w:r>
              <w:rPr>
                <w:sz w:val="20"/>
              </w:rPr>
              <w:t>polymerase chain reaction</w:t>
            </w:r>
          </w:p>
        </w:tc>
      </w:tr>
      <w:tr w:rsidR="00D5255E" w14:paraId="5F59D9B0"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B6241E9" w14:textId="77777777" w:rsidR="00D5255E" w:rsidRPr="00D01A35" w:rsidRDefault="00D5255E" w:rsidP="00D420CF">
            <w:pPr>
              <w:spacing w:before="80" w:after="80"/>
              <w:rPr>
                <w:sz w:val="20"/>
              </w:rPr>
            </w:pPr>
            <w:r w:rsidRPr="00D01A35">
              <w:rPr>
                <w:sz w:val="20"/>
              </w:rPr>
              <w:t>scFOS</w:t>
            </w:r>
          </w:p>
        </w:tc>
        <w:tc>
          <w:tcPr>
            <w:tcW w:w="7505" w:type="dxa"/>
          </w:tcPr>
          <w:p w14:paraId="638779D5" w14:textId="09CE5459" w:rsidR="00D5255E" w:rsidRPr="00D01A35" w:rsidRDefault="00D5255E" w:rsidP="00D420CF">
            <w:pPr>
              <w:spacing w:before="80" w:after="80"/>
              <w:rPr>
                <w:sz w:val="20"/>
              </w:rPr>
            </w:pPr>
            <w:r w:rsidRPr="00D01A35">
              <w:rPr>
                <w:sz w:val="20"/>
              </w:rPr>
              <w:t>Short-chain fructooligosaccharide</w:t>
            </w:r>
          </w:p>
        </w:tc>
      </w:tr>
    </w:tbl>
    <w:p w14:paraId="3A7E0953" w14:textId="068504D8" w:rsidR="00D55014" w:rsidRDefault="00D55014" w:rsidP="00D55014"/>
    <w:p w14:paraId="1293F17D" w14:textId="77777777" w:rsidR="00D55014" w:rsidRDefault="00D55014" w:rsidP="00D55014">
      <w:pPr>
        <w:sectPr w:rsidR="00D55014"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0E0FAC17" w14:textId="295CEF88" w:rsidR="002D76E9" w:rsidRDefault="00D01A35"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fldChar w:fldCharType="begin"/>
      </w:r>
      <w:r>
        <w:instrText xml:space="preserve"> TOC \o "1-2" \h \z \u </w:instrText>
      </w:r>
      <w:r>
        <w:fldChar w:fldCharType="separate"/>
      </w:r>
      <w:hyperlink w:anchor="_Toc72480606" w:history="1">
        <w:r w:rsidR="002D76E9" w:rsidRPr="008C7143">
          <w:rPr>
            <w:rStyle w:val="Hyperlink"/>
            <w:noProof/>
          </w:rPr>
          <w:t>Executive summary</w:t>
        </w:r>
        <w:r w:rsidR="002D76E9">
          <w:rPr>
            <w:noProof/>
            <w:webHidden/>
          </w:rPr>
          <w:tab/>
        </w:r>
        <w:r w:rsidR="002D76E9">
          <w:rPr>
            <w:noProof/>
            <w:webHidden/>
          </w:rPr>
          <w:fldChar w:fldCharType="begin"/>
        </w:r>
        <w:r w:rsidR="002D76E9">
          <w:rPr>
            <w:noProof/>
            <w:webHidden/>
          </w:rPr>
          <w:instrText xml:space="preserve"> PAGEREF _Toc72480606 \h </w:instrText>
        </w:r>
        <w:r w:rsidR="002D76E9">
          <w:rPr>
            <w:noProof/>
            <w:webHidden/>
          </w:rPr>
        </w:r>
        <w:r w:rsidR="002D76E9">
          <w:rPr>
            <w:noProof/>
            <w:webHidden/>
          </w:rPr>
          <w:fldChar w:fldCharType="separate"/>
        </w:r>
        <w:r w:rsidR="00446FFC">
          <w:rPr>
            <w:noProof/>
            <w:webHidden/>
          </w:rPr>
          <w:t>i</w:t>
        </w:r>
        <w:r w:rsidR="002D76E9">
          <w:rPr>
            <w:noProof/>
            <w:webHidden/>
          </w:rPr>
          <w:fldChar w:fldCharType="end"/>
        </w:r>
      </w:hyperlink>
    </w:p>
    <w:p w14:paraId="0A49A595" w14:textId="06592BB8"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7" w:history="1">
        <w:r w:rsidR="002D76E9" w:rsidRPr="008C7143">
          <w:rPr>
            <w:rStyle w:val="Hyperlink"/>
            <w:noProof/>
          </w:rPr>
          <w:t>Glossary of terms</w:t>
        </w:r>
        <w:r w:rsidR="002D76E9">
          <w:rPr>
            <w:noProof/>
            <w:webHidden/>
          </w:rPr>
          <w:tab/>
        </w:r>
        <w:r w:rsidR="002D76E9">
          <w:rPr>
            <w:noProof/>
            <w:webHidden/>
          </w:rPr>
          <w:fldChar w:fldCharType="begin"/>
        </w:r>
        <w:r w:rsidR="002D76E9">
          <w:rPr>
            <w:noProof/>
            <w:webHidden/>
          </w:rPr>
          <w:instrText xml:space="preserve"> PAGEREF _Toc72480607 \h </w:instrText>
        </w:r>
        <w:r w:rsidR="002D76E9">
          <w:rPr>
            <w:noProof/>
            <w:webHidden/>
          </w:rPr>
        </w:r>
        <w:r w:rsidR="002D76E9">
          <w:rPr>
            <w:noProof/>
            <w:webHidden/>
          </w:rPr>
          <w:fldChar w:fldCharType="separate"/>
        </w:r>
        <w:r>
          <w:rPr>
            <w:noProof/>
            <w:webHidden/>
          </w:rPr>
          <w:t>iv</w:t>
        </w:r>
        <w:r w:rsidR="002D76E9">
          <w:rPr>
            <w:noProof/>
            <w:webHidden/>
          </w:rPr>
          <w:fldChar w:fldCharType="end"/>
        </w:r>
      </w:hyperlink>
    </w:p>
    <w:p w14:paraId="4661F396" w14:textId="5A199E5D"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8" w:history="1">
        <w:r w:rsidR="002D76E9" w:rsidRPr="008C7143">
          <w:rPr>
            <w:rStyle w:val="Hyperlink"/>
            <w:noProof/>
          </w:rPr>
          <w:t>1 Introduction</w:t>
        </w:r>
        <w:r w:rsidR="002D76E9">
          <w:rPr>
            <w:noProof/>
            <w:webHidden/>
          </w:rPr>
          <w:tab/>
        </w:r>
        <w:r w:rsidR="002D76E9">
          <w:rPr>
            <w:noProof/>
            <w:webHidden/>
          </w:rPr>
          <w:fldChar w:fldCharType="begin"/>
        </w:r>
        <w:r w:rsidR="002D76E9">
          <w:rPr>
            <w:noProof/>
            <w:webHidden/>
          </w:rPr>
          <w:instrText xml:space="preserve"> PAGEREF _Toc72480608 \h </w:instrText>
        </w:r>
        <w:r w:rsidR="002D76E9">
          <w:rPr>
            <w:noProof/>
            <w:webHidden/>
          </w:rPr>
        </w:r>
        <w:r w:rsidR="002D76E9">
          <w:rPr>
            <w:noProof/>
            <w:webHidden/>
          </w:rPr>
          <w:fldChar w:fldCharType="separate"/>
        </w:r>
        <w:r>
          <w:rPr>
            <w:noProof/>
            <w:webHidden/>
          </w:rPr>
          <w:t>6</w:t>
        </w:r>
        <w:r w:rsidR="002D76E9">
          <w:rPr>
            <w:noProof/>
            <w:webHidden/>
          </w:rPr>
          <w:fldChar w:fldCharType="end"/>
        </w:r>
      </w:hyperlink>
    </w:p>
    <w:p w14:paraId="36CA8CA5" w14:textId="7913EC4D"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9" w:history="1">
        <w:r w:rsidR="002D76E9" w:rsidRPr="008C7143">
          <w:rPr>
            <w:rStyle w:val="Hyperlink"/>
            <w:noProof/>
          </w:rPr>
          <w:t>2 Food technology assessment</w:t>
        </w:r>
        <w:r w:rsidR="002D76E9">
          <w:rPr>
            <w:noProof/>
            <w:webHidden/>
          </w:rPr>
          <w:tab/>
        </w:r>
        <w:r w:rsidR="002D76E9">
          <w:rPr>
            <w:noProof/>
            <w:webHidden/>
          </w:rPr>
          <w:fldChar w:fldCharType="begin"/>
        </w:r>
        <w:r w:rsidR="002D76E9">
          <w:rPr>
            <w:noProof/>
            <w:webHidden/>
          </w:rPr>
          <w:instrText xml:space="preserve"> PAGEREF _Toc72480609 \h </w:instrText>
        </w:r>
        <w:r w:rsidR="002D76E9">
          <w:rPr>
            <w:noProof/>
            <w:webHidden/>
          </w:rPr>
        </w:r>
        <w:r w:rsidR="002D76E9">
          <w:rPr>
            <w:noProof/>
            <w:webHidden/>
          </w:rPr>
          <w:fldChar w:fldCharType="separate"/>
        </w:r>
        <w:r>
          <w:rPr>
            <w:noProof/>
            <w:webHidden/>
          </w:rPr>
          <w:t>6</w:t>
        </w:r>
        <w:r w:rsidR="002D76E9">
          <w:rPr>
            <w:noProof/>
            <w:webHidden/>
          </w:rPr>
          <w:fldChar w:fldCharType="end"/>
        </w:r>
      </w:hyperlink>
    </w:p>
    <w:p w14:paraId="138276E7" w14:textId="6F34F6B8"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0" w:history="1">
        <w:r w:rsidR="002D76E9" w:rsidRPr="008C7143">
          <w:rPr>
            <w:rStyle w:val="Hyperlink"/>
            <w:noProof/>
          </w:rPr>
          <w:t>2.1 Chemical properties</w:t>
        </w:r>
        <w:r w:rsidR="002D76E9">
          <w:rPr>
            <w:noProof/>
            <w:webHidden/>
          </w:rPr>
          <w:tab/>
        </w:r>
        <w:r w:rsidR="002D76E9">
          <w:rPr>
            <w:noProof/>
            <w:webHidden/>
          </w:rPr>
          <w:fldChar w:fldCharType="begin"/>
        </w:r>
        <w:r w:rsidR="002D76E9">
          <w:rPr>
            <w:noProof/>
            <w:webHidden/>
          </w:rPr>
          <w:instrText xml:space="preserve"> PAGEREF _Toc72480610 \h </w:instrText>
        </w:r>
        <w:r w:rsidR="002D76E9">
          <w:rPr>
            <w:noProof/>
            <w:webHidden/>
          </w:rPr>
        </w:r>
        <w:r w:rsidR="002D76E9">
          <w:rPr>
            <w:noProof/>
            <w:webHidden/>
          </w:rPr>
          <w:fldChar w:fldCharType="separate"/>
        </w:r>
        <w:r>
          <w:rPr>
            <w:noProof/>
            <w:webHidden/>
          </w:rPr>
          <w:t>6</w:t>
        </w:r>
        <w:r w:rsidR="002D76E9">
          <w:rPr>
            <w:noProof/>
            <w:webHidden/>
          </w:rPr>
          <w:fldChar w:fldCharType="end"/>
        </w:r>
      </w:hyperlink>
    </w:p>
    <w:p w14:paraId="0F18310C" w14:textId="6FF9EBE6"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1" w:history="1">
        <w:r w:rsidR="002D76E9" w:rsidRPr="008C7143">
          <w:rPr>
            <w:rStyle w:val="Hyperlink"/>
            <w:noProof/>
          </w:rPr>
          <w:t>2.2 Analytical methods for detection</w:t>
        </w:r>
        <w:r w:rsidR="002D76E9">
          <w:rPr>
            <w:noProof/>
            <w:webHidden/>
          </w:rPr>
          <w:tab/>
        </w:r>
        <w:r w:rsidR="002D76E9">
          <w:rPr>
            <w:noProof/>
            <w:webHidden/>
          </w:rPr>
          <w:fldChar w:fldCharType="begin"/>
        </w:r>
        <w:r w:rsidR="002D76E9">
          <w:rPr>
            <w:noProof/>
            <w:webHidden/>
          </w:rPr>
          <w:instrText xml:space="preserve"> PAGEREF _Toc72480611 \h </w:instrText>
        </w:r>
        <w:r w:rsidR="002D76E9">
          <w:rPr>
            <w:noProof/>
            <w:webHidden/>
          </w:rPr>
        </w:r>
        <w:r w:rsidR="002D76E9">
          <w:rPr>
            <w:noProof/>
            <w:webHidden/>
          </w:rPr>
          <w:fldChar w:fldCharType="separate"/>
        </w:r>
        <w:r>
          <w:rPr>
            <w:noProof/>
            <w:webHidden/>
          </w:rPr>
          <w:t>9</w:t>
        </w:r>
        <w:r w:rsidR="002D76E9">
          <w:rPr>
            <w:noProof/>
            <w:webHidden/>
          </w:rPr>
          <w:fldChar w:fldCharType="end"/>
        </w:r>
      </w:hyperlink>
    </w:p>
    <w:p w14:paraId="2E1E4485" w14:textId="4715E177"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2" w:history="1">
        <w:r w:rsidR="002D76E9" w:rsidRPr="008C7143">
          <w:rPr>
            <w:rStyle w:val="Hyperlink"/>
            <w:noProof/>
          </w:rPr>
          <w:t>2.3 Manufacturing processes</w:t>
        </w:r>
        <w:r w:rsidR="002D76E9">
          <w:rPr>
            <w:noProof/>
            <w:webHidden/>
          </w:rPr>
          <w:tab/>
        </w:r>
        <w:r w:rsidR="002D76E9">
          <w:rPr>
            <w:noProof/>
            <w:webHidden/>
          </w:rPr>
          <w:fldChar w:fldCharType="begin"/>
        </w:r>
        <w:r w:rsidR="002D76E9">
          <w:rPr>
            <w:noProof/>
            <w:webHidden/>
          </w:rPr>
          <w:instrText xml:space="preserve"> PAGEREF _Toc72480612 \h </w:instrText>
        </w:r>
        <w:r w:rsidR="002D76E9">
          <w:rPr>
            <w:noProof/>
            <w:webHidden/>
          </w:rPr>
        </w:r>
        <w:r w:rsidR="002D76E9">
          <w:rPr>
            <w:noProof/>
            <w:webHidden/>
          </w:rPr>
          <w:fldChar w:fldCharType="separate"/>
        </w:r>
        <w:r>
          <w:rPr>
            <w:noProof/>
            <w:webHidden/>
          </w:rPr>
          <w:t>9</w:t>
        </w:r>
        <w:r w:rsidR="002D76E9">
          <w:rPr>
            <w:noProof/>
            <w:webHidden/>
          </w:rPr>
          <w:fldChar w:fldCharType="end"/>
        </w:r>
      </w:hyperlink>
    </w:p>
    <w:p w14:paraId="5A376DC5" w14:textId="5ADB504D"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3" w:history="1">
        <w:r w:rsidR="002D76E9" w:rsidRPr="008C7143">
          <w:rPr>
            <w:rStyle w:val="Hyperlink"/>
            <w:noProof/>
          </w:rPr>
          <w:t>2.4 Product specifications</w:t>
        </w:r>
        <w:r w:rsidR="002D76E9">
          <w:rPr>
            <w:noProof/>
            <w:webHidden/>
          </w:rPr>
          <w:tab/>
        </w:r>
        <w:r w:rsidR="002D76E9">
          <w:rPr>
            <w:noProof/>
            <w:webHidden/>
          </w:rPr>
          <w:fldChar w:fldCharType="begin"/>
        </w:r>
        <w:r w:rsidR="002D76E9">
          <w:rPr>
            <w:noProof/>
            <w:webHidden/>
          </w:rPr>
          <w:instrText xml:space="preserve"> PAGEREF _Toc72480613 \h </w:instrText>
        </w:r>
        <w:r w:rsidR="002D76E9">
          <w:rPr>
            <w:noProof/>
            <w:webHidden/>
          </w:rPr>
        </w:r>
        <w:r w:rsidR="002D76E9">
          <w:rPr>
            <w:noProof/>
            <w:webHidden/>
          </w:rPr>
          <w:fldChar w:fldCharType="separate"/>
        </w:r>
        <w:r>
          <w:rPr>
            <w:noProof/>
            <w:webHidden/>
          </w:rPr>
          <w:t>11</w:t>
        </w:r>
        <w:r w:rsidR="002D76E9">
          <w:rPr>
            <w:noProof/>
            <w:webHidden/>
          </w:rPr>
          <w:fldChar w:fldCharType="end"/>
        </w:r>
      </w:hyperlink>
    </w:p>
    <w:p w14:paraId="1B7AF509" w14:textId="0670F0E5"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4" w:history="1">
        <w:r w:rsidR="002D76E9" w:rsidRPr="008C7143">
          <w:rPr>
            <w:rStyle w:val="Hyperlink"/>
            <w:noProof/>
          </w:rPr>
          <w:t>2.5 Key findings of the food technology assessment</w:t>
        </w:r>
        <w:r w:rsidR="002D76E9">
          <w:rPr>
            <w:noProof/>
            <w:webHidden/>
          </w:rPr>
          <w:tab/>
        </w:r>
        <w:r w:rsidR="002D76E9">
          <w:rPr>
            <w:noProof/>
            <w:webHidden/>
          </w:rPr>
          <w:fldChar w:fldCharType="begin"/>
        </w:r>
        <w:r w:rsidR="002D76E9">
          <w:rPr>
            <w:noProof/>
            <w:webHidden/>
          </w:rPr>
          <w:instrText xml:space="preserve"> PAGEREF _Toc72480614 \h </w:instrText>
        </w:r>
        <w:r w:rsidR="002D76E9">
          <w:rPr>
            <w:noProof/>
            <w:webHidden/>
          </w:rPr>
        </w:r>
        <w:r w:rsidR="002D76E9">
          <w:rPr>
            <w:noProof/>
            <w:webHidden/>
          </w:rPr>
          <w:fldChar w:fldCharType="separate"/>
        </w:r>
        <w:r>
          <w:rPr>
            <w:noProof/>
            <w:webHidden/>
          </w:rPr>
          <w:t>12</w:t>
        </w:r>
        <w:r w:rsidR="002D76E9">
          <w:rPr>
            <w:noProof/>
            <w:webHidden/>
          </w:rPr>
          <w:fldChar w:fldCharType="end"/>
        </w:r>
      </w:hyperlink>
    </w:p>
    <w:p w14:paraId="57172546" w14:textId="77A65F28"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15" w:history="1">
        <w:r w:rsidR="002D76E9" w:rsidRPr="008C7143">
          <w:rPr>
            <w:rStyle w:val="Hyperlink"/>
            <w:noProof/>
          </w:rPr>
          <w:t>3 Safety assessment of the genetically modified production strain</w:t>
        </w:r>
        <w:r w:rsidR="002D76E9">
          <w:rPr>
            <w:noProof/>
            <w:webHidden/>
          </w:rPr>
          <w:tab/>
        </w:r>
        <w:r w:rsidR="002D76E9">
          <w:rPr>
            <w:noProof/>
            <w:webHidden/>
          </w:rPr>
          <w:fldChar w:fldCharType="begin"/>
        </w:r>
        <w:r w:rsidR="002D76E9">
          <w:rPr>
            <w:noProof/>
            <w:webHidden/>
          </w:rPr>
          <w:instrText xml:space="preserve"> PAGEREF _Toc72480615 \h </w:instrText>
        </w:r>
        <w:r w:rsidR="002D76E9">
          <w:rPr>
            <w:noProof/>
            <w:webHidden/>
          </w:rPr>
        </w:r>
        <w:r w:rsidR="002D76E9">
          <w:rPr>
            <w:noProof/>
            <w:webHidden/>
          </w:rPr>
          <w:fldChar w:fldCharType="separate"/>
        </w:r>
        <w:r>
          <w:rPr>
            <w:noProof/>
            <w:webHidden/>
          </w:rPr>
          <w:t>13</w:t>
        </w:r>
        <w:r w:rsidR="002D76E9">
          <w:rPr>
            <w:noProof/>
            <w:webHidden/>
          </w:rPr>
          <w:fldChar w:fldCharType="end"/>
        </w:r>
      </w:hyperlink>
    </w:p>
    <w:p w14:paraId="2DFDC174" w14:textId="6A9DAE6C"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6" w:history="1">
        <w:r w:rsidR="002D76E9" w:rsidRPr="008C7143">
          <w:rPr>
            <w:rStyle w:val="Hyperlink"/>
            <w:noProof/>
          </w:rPr>
          <w:t>3.1 History of use</w:t>
        </w:r>
        <w:r w:rsidR="002D76E9">
          <w:rPr>
            <w:noProof/>
            <w:webHidden/>
          </w:rPr>
          <w:tab/>
        </w:r>
        <w:r w:rsidR="002D76E9">
          <w:rPr>
            <w:noProof/>
            <w:webHidden/>
          </w:rPr>
          <w:fldChar w:fldCharType="begin"/>
        </w:r>
        <w:r w:rsidR="002D76E9">
          <w:rPr>
            <w:noProof/>
            <w:webHidden/>
          </w:rPr>
          <w:instrText xml:space="preserve"> PAGEREF _Toc72480616 \h </w:instrText>
        </w:r>
        <w:r w:rsidR="002D76E9">
          <w:rPr>
            <w:noProof/>
            <w:webHidden/>
          </w:rPr>
        </w:r>
        <w:r w:rsidR="002D76E9">
          <w:rPr>
            <w:noProof/>
            <w:webHidden/>
          </w:rPr>
          <w:fldChar w:fldCharType="separate"/>
        </w:r>
        <w:r>
          <w:rPr>
            <w:noProof/>
            <w:webHidden/>
          </w:rPr>
          <w:t>13</w:t>
        </w:r>
        <w:r w:rsidR="002D76E9">
          <w:rPr>
            <w:noProof/>
            <w:webHidden/>
          </w:rPr>
          <w:fldChar w:fldCharType="end"/>
        </w:r>
      </w:hyperlink>
    </w:p>
    <w:p w14:paraId="7AF33C81" w14:textId="387A07F1"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7" w:history="1">
        <w:r w:rsidR="002D76E9" w:rsidRPr="008C7143">
          <w:rPr>
            <w:rStyle w:val="Hyperlink"/>
            <w:noProof/>
          </w:rPr>
          <w:t>3.2 Characterisation of the genetic modification(s)</w:t>
        </w:r>
        <w:r w:rsidR="002D76E9">
          <w:rPr>
            <w:noProof/>
            <w:webHidden/>
          </w:rPr>
          <w:tab/>
        </w:r>
        <w:r w:rsidR="002D76E9">
          <w:rPr>
            <w:noProof/>
            <w:webHidden/>
          </w:rPr>
          <w:fldChar w:fldCharType="begin"/>
        </w:r>
        <w:r w:rsidR="002D76E9">
          <w:rPr>
            <w:noProof/>
            <w:webHidden/>
          </w:rPr>
          <w:instrText xml:space="preserve"> PAGEREF _Toc72480617 \h </w:instrText>
        </w:r>
        <w:r w:rsidR="002D76E9">
          <w:rPr>
            <w:noProof/>
            <w:webHidden/>
          </w:rPr>
        </w:r>
        <w:r w:rsidR="002D76E9">
          <w:rPr>
            <w:noProof/>
            <w:webHidden/>
          </w:rPr>
          <w:fldChar w:fldCharType="separate"/>
        </w:r>
        <w:r>
          <w:rPr>
            <w:noProof/>
            <w:webHidden/>
          </w:rPr>
          <w:t>14</w:t>
        </w:r>
        <w:r w:rsidR="002D76E9">
          <w:rPr>
            <w:noProof/>
            <w:webHidden/>
          </w:rPr>
          <w:fldChar w:fldCharType="end"/>
        </w:r>
      </w:hyperlink>
    </w:p>
    <w:p w14:paraId="606517FF" w14:textId="66FA79F9"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18" w:history="1">
        <w:r w:rsidR="002D76E9" w:rsidRPr="008C7143">
          <w:rPr>
            <w:rStyle w:val="Hyperlink"/>
            <w:noProof/>
          </w:rPr>
          <w:t>3.3 Key findings of the GM assessment</w:t>
        </w:r>
        <w:r w:rsidR="002D76E9">
          <w:rPr>
            <w:noProof/>
            <w:webHidden/>
          </w:rPr>
          <w:tab/>
        </w:r>
        <w:r w:rsidR="002D76E9">
          <w:rPr>
            <w:noProof/>
            <w:webHidden/>
          </w:rPr>
          <w:fldChar w:fldCharType="begin"/>
        </w:r>
        <w:r w:rsidR="002D76E9">
          <w:rPr>
            <w:noProof/>
            <w:webHidden/>
          </w:rPr>
          <w:instrText xml:space="preserve"> PAGEREF _Toc72480618 \h </w:instrText>
        </w:r>
        <w:r w:rsidR="002D76E9">
          <w:rPr>
            <w:noProof/>
            <w:webHidden/>
          </w:rPr>
        </w:r>
        <w:r w:rsidR="002D76E9">
          <w:rPr>
            <w:noProof/>
            <w:webHidden/>
          </w:rPr>
          <w:fldChar w:fldCharType="separate"/>
        </w:r>
        <w:r>
          <w:rPr>
            <w:noProof/>
            <w:webHidden/>
          </w:rPr>
          <w:t>14</w:t>
        </w:r>
        <w:r w:rsidR="002D76E9">
          <w:rPr>
            <w:noProof/>
            <w:webHidden/>
          </w:rPr>
          <w:fldChar w:fldCharType="end"/>
        </w:r>
      </w:hyperlink>
    </w:p>
    <w:p w14:paraId="21568AA6" w14:textId="00D55B5F"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19" w:history="1">
        <w:r w:rsidR="002D76E9" w:rsidRPr="008C7143">
          <w:rPr>
            <w:rStyle w:val="Hyperlink"/>
            <w:noProof/>
          </w:rPr>
          <w:t>4 Toxicology assessment</w:t>
        </w:r>
        <w:r w:rsidR="002D76E9">
          <w:rPr>
            <w:noProof/>
            <w:webHidden/>
          </w:rPr>
          <w:tab/>
        </w:r>
        <w:r w:rsidR="002D76E9">
          <w:rPr>
            <w:noProof/>
            <w:webHidden/>
          </w:rPr>
          <w:fldChar w:fldCharType="begin"/>
        </w:r>
        <w:r w:rsidR="002D76E9">
          <w:rPr>
            <w:noProof/>
            <w:webHidden/>
          </w:rPr>
          <w:instrText xml:space="preserve"> PAGEREF _Toc72480619 \h </w:instrText>
        </w:r>
        <w:r w:rsidR="002D76E9">
          <w:rPr>
            <w:noProof/>
            <w:webHidden/>
          </w:rPr>
        </w:r>
        <w:r w:rsidR="002D76E9">
          <w:rPr>
            <w:noProof/>
            <w:webHidden/>
          </w:rPr>
          <w:fldChar w:fldCharType="separate"/>
        </w:r>
        <w:r>
          <w:rPr>
            <w:noProof/>
            <w:webHidden/>
          </w:rPr>
          <w:t>15</w:t>
        </w:r>
        <w:r w:rsidR="002D76E9">
          <w:rPr>
            <w:noProof/>
            <w:webHidden/>
          </w:rPr>
          <w:fldChar w:fldCharType="end"/>
        </w:r>
      </w:hyperlink>
    </w:p>
    <w:p w14:paraId="1011C332" w14:textId="066AC798"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0" w:history="1">
        <w:r w:rsidR="002D76E9" w:rsidRPr="008C7143">
          <w:rPr>
            <w:rStyle w:val="Hyperlink"/>
            <w:noProof/>
            <w:lang w:val="en-AU"/>
          </w:rPr>
          <w:t>4.1 Previous FSANZ safety assessments of 2′-FL</w:t>
        </w:r>
        <w:r w:rsidR="002D76E9">
          <w:rPr>
            <w:noProof/>
            <w:webHidden/>
          </w:rPr>
          <w:tab/>
        </w:r>
        <w:r w:rsidR="002D76E9">
          <w:rPr>
            <w:noProof/>
            <w:webHidden/>
          </w:rPr>
          <w:fldChar w:fldCharType="begin"/>
        </w:r>
        <w:r w:rsidR="002D76E9">
          <w:rPr>
            <w:noProof/>
            <w:webHidden/>
          </w:rPr>
          <w:instrText xml:space="preserve"> PAGEREF _Toc72480620 \h </w:instrText>
        </w:r>
        <w:r w:rsidR="002D76E9">
          <w:rPr>
            <w:noProof/>
            <w:webHidden/>
          </w:rPr>
        </w:r>
        <w:r w:rsidR="002D76E9">
          <w:rPr>
            <w:noProof/>
            <w:webHidden/>
          </w:rPr>
          <w:fldChar w:fldCharType="separate"/>
        </w:r>
        <w:r>
          <w:rPr>
            <w:noProof/>
            <w:webHidden/>
          </w:rPr>
          <w:t>15</w:t>
        </w:r>
        <w:r w:rsidR="002D76E9">
          <w:rPr>
            <w:noProof/>
            <w:webHidden/>
          </w:rPr>
          <w:fldChar w:fldCharType="end"/>
        </w:r>
      </w:hyperlink>
    </w:p>
    <w:p w14:paraId="147A142F" w14:textId="11291373"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1" w:history="1">
        <w:r w:rsidR="002D76E9" w:rsidRPr="008C7143">
          <w:rPr>
            <w:rStyle w:val="Hyperlink"/>
            <w:noProof/>
            <w:lang w:val="en-AU"/>
          </w:rPr>
          <w:t>4.2 Newly available data</w:t>
        </w:r>
        <w:r w:rsidR="002D76E9">
          <w:rPr>
            <w:noProof/>
            <w:webHidden/>
          </w:rPr>
          <w:tab/>
        </w:r>
        <w:r w:rsidR="002D76E9">
          <w:rPr>
            <w:noProof/>
            <w:webHidden/>
          </w:rPr>
          <w:fldChar w:fldCharType="begin"/>
        </w:r>
        <w:r w:rsidR="002D76E9">
          <w:rPr>
            <w:noProof/>
            <w:webHidden/>
          </w:rPr>
          <w:instrText xml:space="preserve"> PAGEREF _Toc72480621 \h </w:instrText>
        </w:r>
        <w:r w:rsidR="002D76E9">
          <w:rPr>
            <w:noProof/>
            <w:webHidden/>
          </w:rPr>
        </w:r>
        <w:r w:rsidR="002D76E9">
          <w:rPr>
            <w:noProof/>
            <w:webHidden/>
          </w:rPr>
          <w:fldChar w:fldCharType="separate"/>
        </w:r>
        <w:r>
          <w:rPr>
            <w:noProof/>
            <w:webHidden/>
          </w:rPr>
          <w:t>15</w:t>
        </w:r>
        <w:r w:rsidR="002D76E9">
          <w:rPr>
            <w:noProof/>
            <w:webHidden/>
          </w:rPr>
          <w:fldChar w:fldCharType="end"/>
        </w:r>
      </w:hyperlink>
    </w:p>
    <w:p w14:paraId="2A64F956" w14:textId="60D3E07B"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2" w:history="1">
        <w:r w:rsidR="002D76E9" w:rsidRPr="008C7143">
          <w:rPr>
            <w:rStyle w:val="Hyperlink"/>
            <w:noProof/>
          </w:rPr>
          <w:t>4.3</w:t>
        </w:r>
        <w:r w:rsidR="002D76E9">
          <w:rPr>
            <w:rFonts w:eastAsiaTheme="minorEastAsia" w:cstheme="minorBidi"/>
            <w:smallCaps w:val="0"/>
            <w:noProof/>
            <w:sz w:val="22"/>
            <w:szCs w:val="22"/>
            <w:lang w:eastAsia="en-GB" w:bidi="ar-SA"/>
          </w:rPr>
          <w:tab/>
        </w:r>
        <w:r w:rsidR="002D76E9" w:rsidRPr="008C7143">
          <w:rPr>
            <w:rStyle w:val="Hyperlink"/>
            <w:noProof/>
          </w:rPr>
          <w:t>Key findings of the toxicology assessment</w:t>
        </w:r>
        <w:r w:rsidR="002D76E9">
          <w:rPr>
            <w:noProof/>
            <w:webHidden/>
          </w:rPr>
          <w:tab/>
        </w:r>
        <w:r w:rsidR="002D76E9">
          <w:rPr>
            <w:noProof/>
            <w:webHidden/>
          </w:rPr>
          <w:fldChar w:fldCharType="begin"/>
        </w:r>
        <w:r w:rsidR="002D76E9">
          <w:rPr>
            <w:noProof/>
            <w:webHidden/>
          </w:rPr>
          <w:instrText xml:space="preserve"> PAGEREF _Toc72480622 \h </w:instrText>
        </w:r>
        <w:r w:rsidR="002D76E9">
          <w:rPr>
            <w:noProof/>
            <w:webHidden/>
          </w:rPr>
        </w:r>
        <w:r w:rsidR="002D76E9">
          <w:rPr>
            <w:noProof/>
            <w:webHidden/>
          </w:rPr>
          <w:fldChar w:fldCharType="separate"/>
        </w:r>
        <w:r>
          <w:rPr>
            <w:noProof/>
            <w:webHidden/>
          </w:rPr>
          <w:t>25</w:t>
        </w:r>
        <w:r w:rsidR="002D76E9">
          <w:rPr>
            <w:noProof/>
            <w:webHidden/>
          </w:rPr>
          <w:fldChar w:fldCharType="end"/>
        </w:r>
      </w:hyperlink>
    </w:p>
    <w:p w14:paraId="7EBE1CCC" w14:textId="2EF416D1"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3" w:history="1">
        <w:r w:rsidR="002D76E9" w:rsidRPr="008C7143">
          <w:rPr>
            <w:rStyle w:val="Hyperlink"/>
            <w:noProof/>
          </w:rPr>
          <w:t>5 Nutrition assessment</w:t>
        </w:r>
        <w:r w:rsidR="002D76E9">
          <w:rPr>
            <w:noProof/>
            <w:webHidden/>
          </w:rPr>
          <w:tab/>
        </w:r>
        <w:r w:rsidR="002D76E9">
          <w:rPr>
            <w:noProof/>
            <w:webHidden/>
          </w:rPr>
          <w:fldChar w:fldCharType="begin"/>
        </w:r>
        <w:r w:rsidR="002D76E9">
          <w:rPr>
            <w:noProof/>
            <w:webHidden/>
          </w:rPr>
          <w:instrText xml:space="preserve"> PAGEREF _Toc72480623 \h </w:instrText>
        </w:r>
        <w:r w:rsidR="002D76E9">
          <w:rPr>
            <w:noProof/>
            <w:webHidden/>
          </w:rPr>
        </w:r>
        <w:r w:rsidR="002D76E9">
          <w:rPr>
            <w:noProof/>
            <w:webHidden/>
          </w:rPr>
          <w:fldChar w:fldCharType="separate"/>
        </w:r>
        <w:r>
          <w:rPr>
            <w:noProof/>
            <w:webHidden/>
          </w:rPr>
          <w:t>25</w:t>
        </w:r>
        <w:r w:rsidR="002D76E9">
          <w:rPr>
            <w:noProof/>
            <w:webHidden/>
          </w:rPr>
          <w:fldChar w:fldCharType="end"/>
        </w:r>
      </w:hyperlink>
    </w:p>
    <w:p w14:paraId="5E63C607" w14:textId="013F3B20"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4" w:history="1">
        <w:r w:rsidR="002D76E9" w:rsidRPr="008C7143">
          <w:rPr>
            <w:rStyle w:val="Hyperlink"/>
            <w:noProof/>
            <w:lang w:val="en-AU"/>
          </w:rPr>
          <w:t>5.1 Previous FSANZ assessment</w:t>
        </w:r>
        <w:r w:rsidR="002D76E9">
          <w:rPr>
            <w:noProof/>
            <w:webHidden/>
          </w:rPr>
          <w:tab/>
        </w:r>
        <w:r w:rsidR="002D76E9">
          <w:rPr>
            <w:noProof/>
            <w:webHidden/>
          </w:rPr>
          <w:fldChar w:fldCharType="begin"/>
        </w:r>
        <w:r w:rsidR="002D76E9">
          <w:rPr>
            <w:noProof/>
            <w:webHidden/>
          </w:rPr>
          <w:instrText xml:space="preserve"> PAGEREF _Toc72480624 \h </w:instrText>
        </w:r>
        <w:r w:rsidR="002D76E9">
          <w:rPr>
            <w:noProof/>
            <w:webHidden/>
          </w:rPr>
        </w:r>
        <w:r w:rsidR="002D76E9">
          <w:rPr>
            <w:noProof/>
            <w:webHidden/>
          </w:rPr>
          <w:fldChar w:fldCharType="separate"/>
        </w:r>
        <w:r>
          <w:rPr>
            <w:noProof/>
            <w:webHidden/>
          </w:rPr>
          <w:t>25</w:t>
        </w:r>
        <w:r w:rsidR="002D76E9">
          <w:rPr>
            <w:noProof/>
            <w:webHidden/>
          </w:rPr>
          <w:fldChar w:fldCharType="end"/>
        </w:r>
      </w:hyperlink>
    </w:p>
    <w:p w14:paraId="34B0E791" w14:textId="370CF209"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5" w:history="1">
        <w:r w:rsidR="002D76E9" w:rsidRPr="008C7143">
          <w:rPr>
            <w:rStyle w:val="Hyperlink"/>
            <w:noProof/>
            <w:lang w:val="en-AU"/>
          </w:rPr>
          <w:t>5.2 Current assessment</w:t>
        </w:r>
        <w:r w:rsidR="002D76E9">
          <w:rPr>
            <w:noProof/>
            <w:webHidden/>
          </w:rPr>
          <w:tab/>
        </w:r>
        <w:r w:rsidR="002D76E9">
          <w:rPr>
            <w:noProof/>
            <w:webHidden/>
          </w:rPr>
          <w:fldChar w:fldCharType="begin"/>
        </w:r>
        <w:r w:rsidR="002D76E9">
          <w:rPr>
            <w:noProof/>
            <w:webHidden/>
          </w:rPr>
          <w:instrText xml:space="preserve"> PAGEREF _Toc72480625 \h </w:instrText>
        </w:r>
        <w:r w:rsidR="002D76E9">
          <w:rPr>
            <w:noProof/>
            <w:webHidden/>
          </w:rPr>
        </w:r>
        <w:r w:rsidR="002D76E9">
          <w:rPr>
            <w:noProof/>
            <w:webHidden/>
          </w:rPr>
          <w:fldChar w:fldCharType="separate"/>
        </w:r>
        <w:r>
          <w:rPr>
            <w:noProof/>
            <w:webHidden/>
          </w:rPr>
          <w:t>26</w:t>
        </w:r>
        <w:r w:rsidR="002D76E9">
          <w:rPr>
            <w:noProof/>
            <w:webHidden/>
          </w:rPr>
          <w:fldChar w:fldCharType="end"/>
        </w:r>
      </w:hyperlink>
    </w:p>
    <w:p w14:paraId="01B0642C" w14:textId="5D01F67C"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6" w:history="1">
        <w:r w:rsidR="002D76E9" w:rsidRPr="008C7143">
          <w:rPr>
            <w:rStyle w:val="Hyperlink"/>
            <w:noProof/>
          </w:rPr>
          <w:t>5.3 Key findings of the nutrition assessment</w:t>
        </w:r>
        <w:r w:rsidR="002D76E9">
          <w:rPr>
            <w:noProof/>
            <w:webHidden/>
          </w:rPr>
          <w:tab/>
        </w:r>
        <w:r w:rsidR="002D76E9">
          <w:rPr>
            <w:noProof/>
            <w:webHidden/>
          </w:rPr>
          <w:fldChar w:fldCharType="begin"/>
        </w:r>
        <w:r w:rsidR="002D76E9">
          <w:rPr>
            <w:noProof/>
            <w:webHidden/>
          </w:rPr>
          <w:instrText xml:space="preserve"> PAGEREF _Toc72480626 \h </w:instrText>
        </w:r>
        <w:r w:rsidR="002D76E9">
          <w:rPr>
            <w:noProof/>
            <w:webHidden/>
          </w:rPr>
        </w:r>
        <w:r w:rsidR="002D76E9">
          <w:rPr>
            <w:noProof/>
            <w:webHidden/>
          </w:rPr>
          <w:fldChar w:fldCharType="separate"/>
        </w:r>
        <w:r>
          <w:rPr>
            <w:noProof/>
            <w:webHidden/>
          </w:rPr>
          <w:t>27</w:t>
        </w:r>
        <w:r w:rsidR="002D76E9">
          <w:rPr>
            <w:noProof/>
            <w:webHidden/>
          </w:rPr>
          <w:fldChar w:fldCharType="end"/>
        </w:r>
      </w:hyperlink>
    </w:p>
    <w:p w14:paraId="66FF8BD4" w14:textId="2668CBDC"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7" w:history="1">
        <w:r w:rsidR="002D76E9" w:rsidRPr="008C7143">
          <w:rPr>
            <w:rStyle w:val="Hyperlink"/>
            <w:noProof/>
          </w:rPr>
          <w:t>6 Dietary intake assessment</w:t>
        </w:r>
        <w:r w:rsidR="002D76E9">
          <w:rPr>
            <w:noProof/>
            <w:webHidden/>
          </w:rPr>
          <w:tab/>
        </w:r>
        <w:r w:rsidR="002D76E9">
          <w:rPr>
            <w:noProof/>
            <w:webHidden/>
          </w:rPr>
          <w:fldChar w:fldCharType="begin"/>
        </w:r>
        <w:r w:rsidR="002D76E9">
          <w:rPr>
            <w:noProof/>
            <w:webHidden/>
          </w:rPr>
          <w:instrText xml:space="preserve"> PAGEREF _Toc72480627 \h </w:instrText>
        </w:r>
        <w:r w:rsidR="002D76E9">
          <w:rPr>
            <w:noProof/>
            <w:webHidden/>
          </w:rPr>
        </w:r>
        <w:r w:rsidR="002D76E9">
          <w:rPr>
            <w:noProof/>
            <w:webHidden/>
          </w:rPr>
          <w:fldChar w:fldCharType="separate"/>
        </w:r>
        <w:r>
          <w:rPr>
            <w:noProof/>
            <w:webHidden/>
          </w:rPr>
          <w:t>27</w:t>
        </w:r>
        <w:r w:rsidR="002D76E9">
          <w:rPr>
            <w:noProof/>
            <w:webHidden/>
          </w:rPr>
          <w:fldChar w:fldCharType="end"/>
        </w:r>
      </w:hyperlink>
    </w:p>
    <w:p w14:paraId="74A4256C" w14:textId="3E55500E"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8" w:history="1">
        <w:r w:rsidR="002D76E9" w:rsidRPr="008C7143">
          <w:rPr>
            <w:rStyle w:val="Hyperlink"/>
            <w:noProof/>
          </w:rPr>
          <w:t>7 Benefit assessment</w:t>
        </w:r>
        <w:r w:rsidR="002D76E9">
          <w:rPr>
            <w:noProof/>
            <w:webHidden/>
          </w:rPr>
          <w:tab/>
        </w:r>
        <w:r w:rsidR="002D76E9">
          <w:rPr>
            <w:noProof/>
            <w:webHidden/>
          </w:rPr>
          <w:fldChar w:fldCharType="begin"/>
        </w:r>
        <w:r w:rsidR="002D76E9">
          <w:rPr>
            <w:noProof/>
            <w:webHidden/>
          </w:rPr>
          <w:instrText xml:space="preserve"> PAGEREF _Toc72480628 \h </w:instrText>
        </w:r>
        <w:r w:rsidR="002D76E9">
          <w:rPr>
            <w:noProof/>
            <w:webHidden/>
          </w:rPr>
        </w:r>
        <w:r w:rsidR="002D76E9">
          <w:rPr>
            <w:noProof/>
            <w:webHidden/>
          </w:rPr>
          <w:fldChar w:fldCharType="separate"/>
        </w:r>
        <w:r>
          <w:rPr>
            <w:noProof/>
            <w:webHidden/>
          </w:rPr>
          <w:t>28</w:t>
        </w:r>
        <w:r w:rsidR="002D76E9">
          <w:rPr>
            <w:noProof/>
            <w:webHidden/>
          </w:rPr>
          <w:fldChar w:fldCharType="end"/>
        </w:r>
      </w:hyperlink>
    </w:p>
    <w:p w14:paraId="583C962C" w14:textId="417CB377"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29" w:history="1">
        <w:r w:rsidR="002D76E9" w:rsidRPr="008C7143">
          <w:rPr>
            <w:rStyle w:val="Hyperlink"/>
            <w:noProof/>
          </w:rPr>
          <w:t>7.1 Previous FSANZ assessment (A1155)</w:t>
        </w:r>
        <w:r w:rsidR="002D76E9">
          <w:rPr>
            <w:noProof/>
            <w:webHidden/>
          </w:rPr>
          <w:tab/>
        </w:r>
        <w:r w:rsidR="002D76E9">
          <w:rPr>
            <w:noProof/>
            <w:webHidden/>
          </w:rPr>
          <w:fldChar w:fldCharType="begin"/>
        </w:r>
        <w:r w:rsidR="002D76E9">
          <w:rPr>
            <w:noProof/>
            <w:webHidden/>
          </w:rPr>
          <w:instrText xml:space="preserve"> PAGEREF _Toc72480629 \h </w:instrText>
        </w:r>
        <w:r w:rsidR="002D76E9">
          <w:rPr>
            <w:noProof/>
            <w:webHidden/>
          </w:rPr>
        </w:r>
        <w:r w:rsidR="002D76E9">
          <w:rPr>
            <w:noProof/>
            <w:webHidden/>
          </w:rPr>
          <w:fldChar w:fldCharType="separate"/>
        </w:r>
        <w:r>
          <w:rPr>
            <w:noProof/>
            <w:webHidden/>
          </w:rPr>
          <w:t>29</w:t>
        </w:r>
        <w:r w:rsidR="002D76E9">
          <w:rPr>
            <w:noProof/>
            <w:webHidden/>
          </w:rPr>
          <w:fldChar w:fldCharType="end"/>
        </w:r>
      </w:hyperlink>
    </w:p>
    <w:p w14:paraId="2759EC3B" w14:textId="0927FA45"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30" w:history="1">
        <w:r w:rsidR="002D76E9" w:rsidRPr="008C7143">
          <w:rPr>
            <w:rStyle w:val="Hyperlink"/>
            <w:noProof/>
          </w:rPr>
          <w:t>7.2 Current assessment</w:t>
        </w:r>
        <w:r w:rsidR="002D76E9">
          <w:rPr>
            <w:noProof/>
            <w:webHidden/>
          </w:rPr>
          <w:tab/>
        </w:r>
        <w:r w:rsidR="002D76E9">
          <w:rPr>
            <w:noProof/>
            <w:webHidden/>
          </w:rPr>
          <w:fldChar w:fldCharType="begin"/>
        </w:r>
        <w:r w:rsidR="002D76E9">
          <w:rPr>
            <w:noProof/>
            <w:webHidden/>
          </w:rPr>
          <w:instrText xml:space="preserve"> PAGEREF _Toc72480630 \h </w:instrText>
        </w:r>
        <w:r w:rsidR="002D76E9">
          <w:rPr>
            <w:noProof/>
            <w:webHidden/>
          </w:rPr>
        </w:r>
        <w:r w:rsidR="002D76E9">
          <w:rPr>
            <w:noProof/>
            <w:webHidden/>
          </w:rPr>
          <w:fldChar w:fldCharType="separate"/>
        </w:r>
        <w:r>
          <w:rPr>
            <w:noProof/>
            <w:webHidden/>
          </w:rPr>
          <w:t>31</w:t>
        </w:r>
        <w:r w:rsidR="002D76E9">
          <w:rPr>
            <w:noProof/>
            <w:webHidden/>
          </w:rPr>
          <w:fldChar w:fldCharType="end"/>
        </w:r>
      </w:hyperlink>
    </w:p>
    <w:p w14:paraId="3FC84988" w14:textId="17C3943D" w:rsidR="002D76E9" w:rsidRDefault="00446FFC" w:rsidP="006E1133">
      <w:pPr>
        <w:pStyle w:val="TOC2"/>
        <w:spacing w:before="120" w:after="120"/>
        <w:rPr>
          <w:rFonts w:eastAsiaTheme="minorEastAsia" w:cstheme="minorBidi"/>
          <w:smallCaps w:val="0"/>
          <w:noProof/>
          <w:sz w:val="22"/>
          <w:szCs w:val="22"/>
          <w:lang w:eastAsia="en-GB" w:bidi="ar-SA"/>
        </w:rPr>
      </w:pPr>
      <w:hyperlink w:anchor="_Toc72480631" w:history="1">
        <w:r w:rsidR="002D76E9" w:rsidRPr="008C7143">
          <w:rPr>
            <w:rStyle w:val="Hyperlink"/>
            <w:noProof/>
          </w:rPr>
          <w:t>7.3 Key findings of the health benefit assessment</w:t>
        </w:r>
        <w:r w:rsidR="002D76E9">
          <w:rPr>
            <w:noProof/>
            <w:webHidden/>
          </w:rPr>
          <w:tab/>
        </w:r>
        <w:r w:rsidR="002D76E9">
          <w:rPr>
            <w:noProof/>
            <w:webHidden/>
          </w:rPr>
          <w:fldChar w:fldCharType="begin"/>
        </w:r>
        <w:r w:rsidR="002D76E9">
          <w:rPr>
            <w:noProof/>
            <w:webHidden/>
          </w:rPr>
          <w:instrText xml:space="preserve"> PAGEREF _Toc72480631 \h </w:instrText>
        </w:r>
        <w:r w:rsidR="002D76E9">
          <w:rPr>
            <w:noProof/>
            <w:webHidden/>
          </w:rPr>
        </w:r>
        <w:r w:rsidR="002D76E9">
          <w:rPr>
            <w:noProof/>
            <w:webHidden/>
          </w:rPr>
          <w:fldChar w:fldCharType="separate"/>
        </w:r>
        <w:r>
          <w:rPr>
            <w:noProof/>
            <w:webHidden/>
          </w:rPr>
          <w:t>35</w:t>
        </w:r>
        <w:r w:rsidR="002D76E9">
          <w:rPr>
            <w:noProof/>
            <w:webHidden/>
          </w:rPr>
          <w:fldChar w:fldCharType="end"/>
        </w:r>
      </w:hyperlink>
    </w:p>
    <w:p w14:paraId="01B9C5CB" w14:textId="2CE21F12"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32" w:history="1">
        <w:r w:rsidR="002D76E9" w:rsidRPr="008C7143">
          <w:rPr>
            <w:rStyle w:val="Hyperlink"/>
            <w:noProof/>
          </w:rPr>
          <w:t>8 Summary and conclusions</w:t>
        </w:r>
        <w:r w:rsidR="002D76E9">
          <w:rPr>
            <w:noProof/>
            <w:webHidden/>
          </w:rPr>
          <w:tab/>
        </w:r>
        <w:r w:rsidR="002D76E9">
          <w:rPr>
            <w:noProof/>
            <w:webHidden/>
          </w:rPr>
          <w:fldChar w:fldCharType="begin"/>
        </w:r>
        <w:r w:rsidR="002D76E9">
          <w:rPr>
            <w:noProof/>
            <w:webHidden/>
          </w:rPr>
          <w:instrText xml:space="preserve"> PAGEREF _Toc72480632 \h </w:instrText>
        </w:r>
        <w:r w:rsidR="002D76E9">
          <w:rPr>
            <w:noProof/>
            <w:webHidden/>
          </w:rPr>
        </w:r>
        <w:r w:rsidR="002D76E9">
          <w:rPr>
            <w:noProof/>
            <w:webHidden/>
          </w:rPr>
          <w:fldChar w:fldCharType="separate"/>
        </w:r>
        <w:r>
          <w:rPr>
            <w:noProof/>
            <w:webHidden/>
          </w:rPr>
          <w:t>36</w:t>
        </w:r>
        <w:r w:rsidR="002D76E9">
          <w:rPr>
            <w:noProof/>
            <w:webHidden/>
          </w:rPr>
          <w:fldChar w:fldCharType="end"/>
        </w:r>
      </w:hyperlink>
    </w:p>
    <w:p w14:paraId="4EE5B8FD" w14:textId="0E8C0730" w:rsidR="002D76E9" w:rsidRDefault="00446FFC"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33" w:history="1">
        <w:r w:rsidR="002D76E9" w:rsidRPr="008C7143">
          <w:rPr>
            <w:rStyle w:val="Hyperlink"/>
            <w:noProof/>
          </w:rPr>
          <w:t>9 References</w:t>
        </w:r>
        <w:r w:rsidR="002D76E9">
          <w:rPr>
            <w:noProof/>
            <w:webHidden/>
          </w:rPr>
          <w:tab/>
        </w:r>
        <w:r w:rsidR="002D76E9">
          <w:rPr>
            <w:noProof/>
            <w:webHidden/>
          </w:rPr>
          <w:fldChar w:fldCharType="begin"/>
        </w:r>
        <w:r w:rsidR="002D76E9">
          <w:rPr>
            <w:noProof/>
            <w:webHidden/>
          </w:rPr>
          <w:instrText xml:space="preserve"> PAGEREF _Toc72480633 \h </w:instrText>
        </w:r>
        <w:r w:rsidR="002D76E9">
          <w:rPr>
            <w:noProof/>
            <w:webHidden/>
          </w:rPr>
        </w:r>
        <w:r w:rsidR="002D76E9">
          <w:rPr>
            <w:noProof/>
            <w:webHidden/>
          </w:rPr>
          <w:fldChar w:fldCharType="separate"/>
        </w:r>
        <w:r>
          <w:rPr>
            <w:noProof/>
            <w:webHidden/>
          </w:rPr>
          <w:t>38</w:t>
        </w:r>
        <w:r w:rsidR="002D76E9">
          <w:rPr>
            <w:noProof/>
            <w:webHidden/>
          </w:rPr>
          <w:fldChar w:fldCharType="end"/>
        </w:r>
      </w:hyperlink>
    </w:p>
    <w:p w14:paraId="1FA405FD" w14:textId="1AA04628" w:rsidR="00051ED9" w:rsidRDefault="00D01A35" w:rsidP="006E1133">
      <w:pPr>
        <w:spacing w:before="120" w:after="120"/>
      </w:pPr>
      <w:r>
        <w:fldChar w:fldCharType="end"/>
      </w:r>
      <w:r w:rsidR="00562917" w:rsidRPr="00E203C2">
        <w:br w:type="page"/>
      </w:r>
    </w:p>
    <w:p w14:paraId="254515CD" w14:textId="08049350" w:rsidR="00D92EF0" w:rsidRDefault="00D92EF0" w:rsidP="00C14F72">
      <w:pPr>
        <w:pStyle w:val="Heading1"/>
        <w:ind w:left="567" w:hanging="567"/>
      </w:pPr>
      <w:bookmarkStart w:id="10" w:name="_Toc496169767"/>
      <w:bookmarkStart w:id="11" w:name="_Toc500321328"/>
      <w:bookmarkStart w:id="12" w:name="_Toc18399685"/>
      <w:bookmarkStart w:id="13" w:name="_Toc70675676"/>
      <w:bookmarkStart w:id="14" w:name="_Toc70675769"/>
      <w:bookmarkStart w:id="15" w:name="_Toc72480608"/>
      <w:r>
        <w:lastRenderedPageBreak/>
        <w:t>1</w:t>
      </w:r>
      <w:r w:rsidR="00EE1CC3">
        <w:t xml:space="preserve"> </w:t>
      </w:r>
      <w:r>
        <w:t>Introduction</w:t>
      </w:r>
      <w:bookmarkEnd w:id="10"/>
      <w:bookmarkEnd w:id="11"/>
      <w:bookmarkEnd w:id="12"/>
      <w:bookmarkEnd w:id="13"/>
      <w:bookmarkEnd w:id="14"/>
      <w:bookmarkEnd w:id="15"/>
    </w:p>
    <w:p w14:paraId="51387C11" w14:textId="54CE3211" w:rsidR="004736F4" w:rsidRPr="0068034A" w:rsidRDefault="00D92EF0" w:rsidP="004736F4">
      <w:pPr>
        <w:rPr>
          <w:color w:val="000000" w:themeColor="text1"/>
        </w:rPr>
      </w:pPr>
      <w:r>
        <w:rPr>
          <w:color w:val="000000" w:themeColor="text1"/>
        </w:rPr>
        <w:t xml:space="preserve">FSANZ has received an application from </w:t>
      </w:r>
      <w:r w:rsidR="00913C90" w:rsidRPr="00EC4490">
        <w:rPr>
          <w:color w:val="000000" w:themeColor="text1"/>
        </w:rPr>
        <w:t>Jennewein Biotechnologie GmbH</w:t>
      </w:r>
      <w:r w:rsidR="00EC4490">
        <w:rPr>
          <w:rStyle w:val="FootnoteReference"/>
          <w:color w:val="000000" w:themeColor="text1"/>
        </w:rPr>
        <w:footnoteReference w:id="2"/>
      </w:r>
      <w:r w:rsidR="0068034A">
        <w:rPr>
          <w:color w:val="000000" w:themeColor="text1"/>
        </w:rPr>
        <w:t xml:space="preserve"> </w:t>
      </w:r>
      <w:r w:rsidR="004736F4">
        <w:rPr>
          <w:szCs w:val="20"/>
        </w:rPr>
        <w:t xml:space="preserve">to </w:t>
      </w:r>
      <w:r w:rsidR="00913C90">
        <w:rPr>
          <w:szCs w:val="20"/>
        </w:rPr>
        <w:t>amend</w:t>
      </w:r>
      <w:r w:rsidR="004736F4">
        <w:rPr>
          <w:szCs w:val="20"/>
        </w:rPr>
        <w:t xml:space="preserve"> the </w:t>
      </w:r>
      <w:r w:rsidR="004736F4" w:rsidRPr="00C47EC9">
        <w:rPr>
          <w:szCs w:val="20"/>
        </w:rPr>
        <w:t>Australia New Zealand Food Standards Code</w:t>
      </w:r>
      <w:r w:rsidR="004736F4">
        <w:rPr>
          <w:szCs w:val="20"/>
        </w:rPr>
        <w:t xml:space="preserve"> </w:t>
      </w:r>
      <w:r w:rsidR="00356E3A">
        <w:rPr>
          <w:szCs w:val="20"/>
        </w:rPr>
        <w:t xml:space="preserve">(the Code) </w:t>
      </w:r>
      <w:r w:rsidR="004736F4">
        <w:rPr>
          <w:szCs w:val="20"/>
        </w:rPr>
        <w:t xml:space="preserve">to </w:t>
      </w:r>
      <w:r w:rsidR="00CD59E7">
        <w:rPr>
          <w:szCs w:val="20"/>
        </w:rPr>
        <w:t>include</w:t>
      </w:r>
      <w:r w:rsidR="004736F4">
        <w:rPr>
          <w:szCs w:val="20"/>
        </w:rPr>
        <w:t xml:space="preserve"> </w:t>
      </w:r>
      <w:r w:rsidR="00CD59E7">
        <w:rPr>
          <w:szCs w:val="20"/>
        </w:rPr>
        <w:t>an oligosaccharide found in</w:t>
      </w:r>
      <w:r w:rsidR="004736F4">
        <w:rPr>
          <w:szCs w:val="20"/>
        </w:rPr>
        <w:t xml:space="preserve"> human milk</w:t>
      </w:r>
      <w:r w:rsidR="00CD59E7">
        <w:rPr>
          <w:rStyle w:val="FootnoteReference"/>
          <w:szCs w:val="20"/>
        </w:rPr>
        <w:footnoteReference w:id="3"/>
      </w:r>
      <w:r w:rsidR="004736F4">
        <w:rPr>
          <w:szCs w:val="20"/>
        </w:rPr>
        <w:t xml:space="preserve"> </w:t>
      </w:r>
      <w:r w:rsidR="00CD59E7">
        <w:rPr>
          <w:szCs w:val="20"/>
        </w:rPr>
        <w:t xml:space="preserve">known as </w:t>
      </w:r>
      <w:r w:rsidR="004736F4">
        <w:rPr>
          <w:szCs w:val="20"/>
        </w:rPr>
        <w:t>2′</w:t>
      </w:r>
      <w:r w:rsidR="004736F4">
        <w:rPr>
          <w:rFonts w:ascii="MSDDRU+Calibri" w:hAnsi="MSDDRU+Calibri" w:cs="MSDDRU+Calibri"/>
          <w:szCs w:val="22"/>
        </w:rPr>
        <w:t>-</w:t>
      </w:r>
      <w:r w:rsidR="004736F4">
        <w:rPr>
          <w:szCs w:val="22"/>
        </w:rPr>
        <w:t>fucosyllactose (</w:t>
      </w:r>
      <w:r w:rsidR="004736F4">
        <w:rPr>
          <w:szCs w:val="20"/>
        </w:rPr>
        <w:t>2′</w:t>
      </w:r>
      <w:r w:rsidR="004736F4" w:rsidRPr="00B55354">
        <w:rPr>
          <w:szCs w:val="20"/>
        </w:rPr>
        <w:t>-FL</w:t>
      </w:r>
      <w:r w:rsidR="004736F4">
        <w:rPr>
          <w:szCs w:val="20"/>
        </w:rPr>
        <w:t>)</w:t>
      </w:r>
      <w:r w:rsidR="00CD59E7">
        <w:rPr>
          <w:szCs w:val="20"/>
        </w:rPr>
        <w:t>,</w:t>
      </w:r>
      <w:r w:rsidR="004736F4" w:rsidRPr="00B55354">
        <w:rPr>
          <w:szCs w:val="20"/>
        </w:rPr>
        <w:t xml:space="preserve"> </w:t>
      </w:r>
      <w:r w:rsidR="004736F4">
        <w:rPr>
          <w:szCs w:val="20"/>
        </w:rPr>
        <w:t>derived from</w:t>
      </w:r>
      <w:r w:rsidR="00DB79A2">
        <w:rPr>
          <w:szCs w:val="20"/>
        </w:rPr>
        <w:t xml:space="preserve"> a</w:t>
      </w:r>
      <w:r w:rsidR="004736F4">
        <w:rPr>
          <w:szCs w:val="20"/>
        </w:rPr>
        <w:t xml:space="preserve"> genetically modified (GM) </w:t>
      </w:r>
      <w:r w:rsidR="004736F4" w:rsidRPr="00BF2BED">
        <w:rPr>
          <w:i/>
          <w:szCs w:val="20"/>
        </w:rPr>
        <w:t>Escherichia coli</w:t>
      </w:r>
      <w:r w:rsidR="00136D15">
        <w:rPr>
          <w:szCs w:val="20"/>
        </w:rPr>
        <w:t xml:space="preserve"> BL21.</w:t>
      </w:r>
      <w:r w:rsidR="004736F4">
        <w:rPr>
          <w:szCs w:val="20"/>
        </w:rPr>
        <w:t xml:space="preserve"> </w:t>
      </w:r>
      <w:r w:rsidR="00CF49D3">
        <w:rPr>
          <w:szCs w:val="20"/>
        </w:rPr>
        <w:t>The applicant has requested</w:t>
      </w:r>
      <w:r w:rsidR="00CD59E7">
        <w:rPr>
          <w:szCs w:val="20"/>
        </w:rPr>
        <w:t xml:space="preserve"> the addition of </w:t>
      </w:r>
      <w:r w:rsidR="004736F4">
        <w:rPr>
          <w:szCs w:val="20"/>
        </w:rPr>
        <w:t xml:space="preserve">2′-FL to </w:t>
      </w:r>
      <w:r w:rsidR="004736F4" w:rsidRPr="00B55354">
        <w:rPr>
          <w:szCs w:val="20"/>
        </w:rPr>
        <w:t>infant formula products</w:t>
      </w:r>
      <w:r w:rsidR="00DB79A2">
        <w:rPr>
          <w:szCs w:val="20"/>
        </w:rPr>
        <w:t xml:space="preserve"> (IFP), which include:</w:t>
      </w:r>
      <w:r w:rsidR="004736F4" w:rsidRPr="00B55354">
        <w:rPr>
          <w:szCs w:val="20"/>
        </w:rPr>
        <w:t xml:space="preserve"> infant formula, follow-on formula, and infant formula products for special dietary use</w:t>
      </w:r>
      <w:r w:rsidR="00DB79A2">
        <w:rPr>
          <w:szCs w:val="20"/>
        </w:rPr>
        <w:t>;</w:t>
      </w:r>
      <w:r w:rsidR="004736F4" w:rsidRPr="00B55354">
        <w:rPr>
          <w:szCs w:val="20"/>
        </w:rPr>
        <w:t xml:space="preserve"> and formulated supplementary foods for young children (FSFYC or ‘toddler milk</w:t>
      </w:r>
      <w:r w:rsidR="004736F4">
        <w:rPr>
          <w:szCs w:val="20"/>
        </w:rPr>
        <w:t>’).</w:t>
      </w:r>
      <w:r w:rsidR="004736F4" w:rsidRPr="00A05D2B">
        <w:t xml:space="preserve"> </w:t>
      </w:r>
      <w:r w:rsidR="00EC4490">
        <w:t xml:space="preserve">While the applicant has </w:t>
      </w:r>
      <w:r w:rsidR="00DB79A2">
        <w:t>requested</w:t>
      </w:r>
      <w:r w:rsidR="00DB79A2" w:rsidRPr="00E517ED">
        <w:t xml:space="preserve"> </w:t>
      </w:r>
      <w:r w:rsidR="00EC4490">
        <w:t>a maximum of 2 g/L</w:t>
      </w:r>
      <w:r w:rsidR="00DB79A2">
        <w:t xml:space="preserve"> </w:t>
      </w:r>
      <w:r w:rsidR="00F25E51">
        <w:t>2′-</w:t>
      </w:r>
      <w:r w:rsidR="00DB79A2">
        <w:t xml:space="preserve">FL to be used in </w:t>
      </w:r>
      <w:r w:rsidR="00866C60">
        <w:t>these products</w:t>
      </w:r>
      <w:r w:rsidR="00EC4490">
        <w:t xml:space="preserve">, the maximum </w:t>
      </w:r>
      <w:r w:rsidR="00CD59E7">
        <w:t xml:space="preserve">level </w:t>
      </w:r>
      <w:r w:rsidR="00EC4490">
        <w:t xml:space="preserve">permitted in the </w:t>
      </w:r>
      <w:r w:rsidR="005250A1">
        <w:t>Code</w:t>
      </w:r>
      <w:r w:rsidR="00EC4490">
        <w:t xml:space="preserve"> is </w:t>
      </w:r>
      <w:r w:rsidR="001F4557">
        <w:t xml:space="preserve">96 mg/100 kJ, which is equivalent to </w:t>
      </w:r>
      <w:r w:rsidR="00EC4490">
        <w:t>2.4 g/</w:t>
      </w:r>
      <w:r w:rsidR="00DB29B4">
        <w:t>L</w:t>
      </w:r>
      <w:r w:rsidR="001F4557">
        <w:t>.</w:t>
      </w:r>
      <w:r w:rsidR="00991B8F">
        <w:t xml:space="preserve"> </w:t>
      </w:r>
      <w:r w:rsidR="00991B8F">
        <w:rPr>
          <w:bCs/>
        </w:rPr>
        <w:t>As 2</w:t>
      </w:r>
      <w:r w:rsidR="00991B8F" w:rsidRPr="00990C8B">
        <w:rPr>
          <w:lang w:val="en-AU"/>
        </w:rPr>
        <w:t>′</w:t>
      </w:r>
      <w:r w:rsidR="00991B8F">
        <w:rPr>
          <w:bCs/>
        </w:rPr>
        <w:t>-FL is already permitted in the Code, the purpose of this assessment is to determine the risk and safety of 2</w:t>
      </w:r>
      <w:r w:rsidR="00991B8F" w:rsidRPr="00990C8B">
        <w:rPr>
          <w:lang w:val="en-AU"/>
        </w:rPr>
        <w:t>′</w:t>
      </w:r>
      <w:r w:rsidR="00991B8F">
        <w:rPr>
          <w:bCs/>
        </w:rPr>
        <w:t>-FL</w:t>
      </w:r>
      <w:r w:rsidR="00D90765">
        <w:rPr>
          <w:bCs/>
        </w:rPr>
        <w:t>,</w:t>
      </w:r>
      <w:r w:rsidR="00991B8F">
        <w:rPr>
          <w:bCs/>
        </w:rPr>
        <w:t xml:space="preserve"> produced by a new production strain</w:t>
      </w:r>
      <w:r w:rsidR="00D90765">
        <w:rPr>
          <w:bCs/>
        </w:rPr>
        <w:t>,</w:t>
      </w:r>
      <w:r w:rsidR="00991B8F">
        <w:rPr>
          <w:bCs/>
        </w:rPr>
        <w:t xml:space="preserve"> with </w:t>
      </w:r>
      <w:r w:rsidR="00E63172">
        <w:rPr>
          <w:bCs/>
        </w:rPr>
        <w:t>its</w:t>
      </w:r>
      <w:r w:rsidR="00991B8F">
        <w:rPr>
          <w:bCs/>
        </w:rPr>
        <w:t xml:space="preserve"> own specifications.</w:t>
      </w:r>
    </w:p>
    <w:p w14:paraId="387D74CB" w14:textId="7AB4082C" w:rsidR="004736F4" w:rsidRDefault="004736F4" w:rsidP="004736F4">
      <w:pPr>
        <w:rPr>
          <w:szCs w:val="20"/>
        </w:rPr>
      </w:pPr>
      <w:r w:rsidRPr="00E517ED">
        <w:rPr>
          <w:szCs w:val="20"/>
        </w:rPr>
        <w:t xml:space="preserve">The stated purpose for adding </w:t>
      </w:r>
      <w:r>
        <w:rPr>
          <w:szCs w:val="20"/>
        </w:rPr>
        <w:t>2′</w:t>
      </w:r>
      <w:r w:rsidRPr="00E517ED">
        <w:rPr>
          <w:szCs w:val="20"/>
        </w:rPr>
        <w:t xml:space="preserve">-FL </w:t>
      </w:r>
      <w:r>
        <w:rPr>
          <w:szCs w:val="20"/>
        </w:rPr>
        <w:t xml:space="preserve">to </w:t>
      </w:r>
      <w:r w:rsidR="00DB79A2">
        <w:rPr>
          <w:szCs w:val="20"/>
        </w:rPr>
        <w:t>IFP</w:t>
      </w:r>
      <w:r w:rsidR="00CF49D3">
        <w:rPr>
          <w:szCs w:val="20"/>
        </w:rPr>
        <w:t xml:space="preserve"> and</w:t>
      </w:r>
      <w:r>
        <w:rPr>
          <w:szCs w:val="20"/>
        </w:rPr>
        <w:t xml:space="preserve"> FSFYC </w:t>
      </w:r>
      <w:r w:rsidRPr="00E517ED">
        <w:rPr>
          <w:szCs w:val="20"/>
        </w:rPr>
        <w:t xml:space="preserve">is to better reflect </w:t>
      </w:r>
      <w:r w:rsidRPr="003C365C">
        <w:rPr>
          <w:szCs w:val="20"/>
        </w:rPr>
        <w:t>the oligosaccharide composition</w:t>
      </w:r>
      <w:r>
        <w:rPr>
          <w:szCs w:val="20"/>
        </w:rPr>
        <w:t xml:space="preserve"> </w:t>
      </w:r>
      <w:r w:rsidRPr="00A90AEB">
        <w:rPr>
          <w:szCs w:val="20"/>
        </w:rPr>
        <w:t xml:space="preserve">of human milk. </w:t>
      </w:r>
      <w:r w:rsidR="00913C90">
        <w:rPr>
          <w:szCs w:val="20"/>
        </w:rPr>
        <w:t>The applicant s</w:t>
      </w:r>
      <w:r>
        <w:rPr>
          <w:szCs w:val="20"/>
        </w:rPr>
        <w:t>tat</w:t>
      </w:r>
      <w:r w:rsidRPr="00A90AEB">
        <w:rPr>
          <w:szCs w:val="20"/>
        </w:rPr>
        <w:t>e</w:t>
      </w:r>
      <w:r w:rsidR="00913C90">
        <w:rPr>
          <w:szCs w:val="20"/>
        </w:rPr>
        <w:t xml:space="preserve">s that </w:t>
      </w:r>
      <w:r w:rsidR="00F25E51">
        <w:rPr>
          <w:szCs w:val="20"/>
        </w:rPr>
        <w:t>2′-</w:t>
      </w:r>
      <w:r w:rsidR="00913C90">
        <w:rPr>
          <w:szCs w:val="20"/>
        </w:rPr>
        <w:t>FL</w:t>
      </w:r>
      <w:r w:rsidRPr="00A90AEB">
        <w:rPr>
          <w:szCs w:val="20"/>
        </w:rPr>
        <w:t xml:space="preserve"> confer</w:t>
      </w:r>
      <w:r w:rsidR="00913C90">
        <w:rPr>
          <w:szCs w:val="20"/>
        </w:rPr>
        <w:t>s</w:t>
      </w:r>
      <w:r w:rsidRPr="00A90AEB">
        <w:rPr>
          <w:szCs w:val="20"/>
        </w:rPr>
        <w:t xml:space="preserve"> functional benefits</w:t>
      </w:r>
      <w:r>
        <w:rPr>
          <w:szCs w:val="20"/>
        </w:rPr>
        <w:t xml:space="preserve"> to infants and </w:t>
      </w:r>
      <w:r w:rsidR="00D11675">
        <w:rPr>
          <w:szCs w:val="20"/>
        </w:rPr>
        <w:t>toddlers</w:t>
      </w:r>
      <w:r w:rsidR="00E22D8E">
        <w:rPr>
          <w:szCs w:val="20"/>
        </w:rPr>
        <w:t>.</w:t>
      </w:r>
    </w:p>
    <w:p w14:paraId="6C00E85E" w14:textId="58B59C41" w:rsidR="004736F4" w:rsidRDefault="004736F4" w:rsidP="004736F4">
      <w:r w:rsidRPr="00AE69A7">
        <w:t xml:space="preserve">The </w:t>
      </w:r>
      <w:r>
        <w:t>primary</w:t>
      </w:r>
      <w:r w:rsidRPr="00AE69A7">
        <w:t xml:space="preserve"> risk assessment </w:t>
      </w:r>
      <w:r w:rsidR="00CF49D3">
        <w:t>question</w:t>
      </w:r>
      <w:r w:rsidRPr="00AE69A7">
        <w:t xml:space="preserve"> to be addressed is whether </w:t>
      </w:r>
      <w:r>
        <w:t xml:space="preserve">addition of 2′-FL </w:t>
      </w:r>
      <w:r w:rsidRPr="00AE69A7">
        <w:t>would pose a public health and safety</w:t>
      </w:r>
      <w:r>
        <w:t xml:space="preserve"> risk to the target population when added to </w:t>
      </w:r>
      <w:r w:rsidR="0028762C">
        <w:t>IFP</w:t>
      </w:r>
      <w:r>
        <w:t xml:space="preserve"> or FSFYC.</w:t>
      </w:r>
    </w:p>
    <w:p w14:paraId="60A68F75" w14:textId="73C31126" w:rsidR="0055283E" w:rsidRDefault="0055283E" w:rsidP="00C14F72">
      <w:pPr>
        <w:pStyle w:val="Heading1"/>
        <w:ind w:left="567" w:hanging="567"/>
      </w:pPr>
      <w:bookmarkStart w:id="16" w:name="_Toc515634585"/>
      <w:bookmarkStart w:id="17" w:name="_Toc517451199"/>
      <w:bookmarkStart w:id="18" w:name="_Toc518397304"/>
      <w:bookmarkStart w:id="19" w:name="_Toc518400830"/>
      <w:bookmarkStart w:id="20" w:name="_Toc518475262"/>
      <w:bookmarkStart w:id="21" w:name="_Toc518478859"/>
      <w:bookmarkStart w:id="22" w:name="_Toc518995910"/>
      <w:bookmarkStart w:id="23" w:name="_Toc519260313"/>
      <w:bookmarkStart w:id="24" w:name="_Toc519260639"/>
      <w:bookmarkStart w:id="25" w:name="_Toc519607920"/>
      <w:bookmarkStart w:id="26" w:name="_Toc521418035"/>
      <w:bookmarkStart w:id="27" w:name="_Toc529357570"/>
      <w:bookmarkStart w:id="28" w:name="_Toc70675677"/>
      <w:bookmarkStart w:id="29" w:name="_Toc70675770"/>
      <w:bookmarkStart w:id="30" w:name="_Toc72480609"/>
      <w:r>
        <w:t>2</w:t>
      </w:r>
      <w:r w:rsidR="00EE1CC3">
        <w:t xml:space="preserve"> </w:t>
      </w:r>
      <w:r>
        <w:t>Food technology assessment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76A4509" w14:textId="49FA47B4" w:rsidR="000368F6" w:rsidRDefault="000368F6" w:rsidP="000368F6">
      <w:pPr>
        <w:rPr>
          <w:lang w:eastAsia="en-AU"/>
        </w:rPr>
      </w:pPr>
      <w:r>
        <w:rPr>
          <w:lang w:eastAsia="en-AU"/>
        </w:rPr>
        <w:t xml:space="preserve">The food technology assessment provides information on the chemical identification, physicochemical properties and specifications for </w:t>
      </w:r>
      <w:r>
        <w:t>2</w:t>
      </w:r>
      <w:r>
        <w:rPr>
          <w:rFonts w:cs="Arial"/>
        </w:rPr>
        <w:t>′</w:t>
      </w:r>
      <w:r>
        <w:t>-FL</w:t>
      </w:r>
      <w:r>
        <w:rPr>
          <w:lang w:eastAsia="en-AU"/>
        </w:rPr>
        <w:t xml:space="preserve">. </w:t>
      </w:r>
      <w:r w:rsidRPr="00A842FF">
        <w:rPr>
          <w:lang w:eastAsia="en-AU"/>
        </w:rPr>
        <w:t xml:space="preserve">The assessment primarily aimed to address whether </w:t>
      </w:r>
      <w:r w:rsidR="006C33F3">
        <w:rPr>
          <w:lang w:eastAsia="en-AU"/>
        </w:rPr>
        <w:t>the</w:t>
      </w:r>
      <w:r w:rsidRPr="00A842FF">
        <w:rPr>
          <w:lang w:eastAsia="en-AU"/>
        </w:rPr>
        <w:t xml:space="preserve"> microbiologically-synthesised </w:t>
      </w:r>
      <w:r w:rsidR="00F25E51">
        <w:rPr>
          <w:lang w:eastAsia="en-AU"/>
        </w:rPr>
        <w:t>2′-</w:t>
      </w:r>
      <w:r w:rsidRPr="00A842FF">
        <w:rPr>
          <w:lang w:eastAsia="en-AU"/>
        </w:rPr>
        <w:t xml:space="preserve">FL is chemically and structurally identical to the naturally occurring oligosaccharide present in human milk. The assessment also considered the manufacturing process and the validity of analytical methods used to characterise 2′-FL during production and as a component of </w:t>
      </w:r>
      <w:r w:rsidR="0016055C" w:rsidRPr="00F70F72">
        <w:rPr>
          <w:lang w:eastAsia="en-AU"/>
        </w:rPr>
        <w:t>IFP</w:t>
      </w:r>
      <w:r w:rsidRPr="00F70F72">
        <w:rPr>
          <w:lang w:eastAsia="en-AU"/>
        </w:rPr>
        <w:t xml:space="preserve"> and FSFYC</w:t>
      </w:r>
      <w:r w:rsidRPr="00A842FF">
        <w:rPr>
          <w:lang w:eastAsia="en-AU"/>
        </w:rPr>
        <w:t>.</w:t>
      </w:r>
    </w:p>
    <w:p w14:paraId="24DA79DF" w14:textId="68372794" w:rsidR="000368F6" w:rsidRDefault="000368F6" w:rsidP="000368F6">
      <w:pPr>
        <w:pStyle w:val="Heading2"/>
      </w:pPr>
      <w:bookmarkStart w:id="31" w:name="_Toc515634586"/>
      <w:bookmarkStart w:id="32" w:name="_Toc517451200"/>
      <w:bookmarkStart w:id="33" w:name="_Toc518397305"/>
      <w:bookmarkStart w:id="34" w:name="_Toc518400831"/>
      <w:bookmarkStart w:id="35" w:name="_Toc518475263"/>
      <w:bookmarkStart w:id="36" w:name="_Toc518478860"/>
      <w:bookmarkStart w:id="37" w:name="_Toc518995911"/>
      <w:bookmarkStart w:id="38" w:name="_Toc519260314"/>
      <w:bookmarkStart w:id="39" w:name="_Toc519260640"/>
      <w:bookmarkStart w:id="40" w:name="_Toc519607921"/>
      <w:bookmarkStart w:id="41" w:name="_Toc521418036"/>
      <w:bookmarkStart w:id="42" w:name="_Toc13219499"/>
      <w:bookmarkStart w:id="43" w:name="_Toc70675678"/>
      <w:bookmarkStart w:id="44" w:name="_Toc70675771"/>
      <w:bookmarkStart w:id="45" w:name="_Toc72480610"/>
      <w:r>
        <w:t>2.1</w:t>
      </w:r>
      <w:r w:rsidR="00EE1CC3">
        <w:t xml:space="preserve"> </w:t>
      </w:r>
      <w:r>
        <w:t>Chemical properties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82282A" w14:textId="444B3B7D" w:rsidR="000368F6" w:rsidRDefault="000368F6" w:rsidP="000368F6">
      <w:pPr>
        <w:pStyle w:val="Heading3"/>
      </w:pPr>
      <w:bookmarkStart w:id="46" w:name="_Toc515634587"/>
      <w:bookmarkStart w:id="47" w:name="_Toc517451201"/>
      <w:bookmarkStart w:id="48" w:name="_Toc518397306"/>
      <w:bookmarkStart w:id="49" w:name="_Toc518400832"/>
      <w:bookmarkStart w:id="50" w:name="_Toc518475264"/>
      <w:bookmarkStart w:id="51" w:name="_Toc518478861"/>
      <w:bookmarkStart w:id="52" w:name="_Toc518995912"/>
      <w:bookmarkStart w:id="53" w:name="_Toc519260315"/>
      <w:bookmarkStart w:id="54" w:name="_Toc519260641"/>
      <w:bookmarkStart w:id="55" w:name="_Toc519607922"/>
      <w:bookmarkStart w:id="56" w:name="_Toc521418037"/>
      <w:bookmarkStart w:id="57" w:name="_Toc13219500"/>
      <w:r>
        <w:t>2.1.1 Chemical names, properties, and structures</w:t>
      </w:r>
      <w:bookmarkEnd w:id="46"/>
      <w:bookmarkEnd w:id="47"/>
      <w:bookmarkEnd w:id="48"/>
      <w:bookmarkEnd w:id="49"/>
      <w:bookmarkEnd w:id="50"/>
      <w:bookmarkEnd w:id="51"/>
      <w:bookmarkEnd w:id="52"/>
      <w:bookmarkEnd w:id="53"/>
      <w:bookmarkEnd w:id="54"/>
      <w:bookmarkEnd w:id="55"/>
      <w:bookmarkEnd w:id="56"/>
      <w:bookmarkEnd w:id="57"/>
    </w:p>
    <w:p w14:paraId="5E2240F9" w14:textId="4DEBC245" w:rsidR="00820A2C" w:rsidRDefault="000368F6" w:rsidP="000368F6">
      <w:r>
        <w:t xml:space="preserve">2′-FL is a naturally occurring oligosaccharide </w:t>
      </w:r>
      <w:r w:rsidR="00CF49D3">
        <w:t xml:space="preserve">found </w:t>
      </w:r>
      <w:r>
        <w:t xml:space="preserve">in human milk. </w:t>
      </w:r>
      <w:r w:rsidR="00CF49D3">
        <w:t xml:space="preserve">For research and commercial purposes, it </w:t>
      </w:r>
      <w:r>
        <w:t xml:space="preserve">has been </w:t>
      </w:r>
      <w:r w:rsidR="00CF49D3">
        <w:t xml:space="preserve">isolated </w:t>
      </w:r>
      <w:r>
        <w:t>from human milk</w:t>
      </w:r>
      <w:r w:rsidR="00CF49D3">
        <w:t xml:space="preserve"> or produced using</w:t>
      </w:r>
      <w:r>
        <w:t xml:space="preserve"> chemical synthesis </w:t>
      </w:r>
      <w:r w:rsidR="00CF49D3">
        <w:t>or microbial fermentation</w:t>
      </w:r>
      <w:r>
        <w:t xml:space="preserve">. This application relates specifically to the production and isolation of 2′-FL by microbial fermentation. </w:t>
      </w:r>
      <w:r w:rsidR="00CF49D3">
        <w:t xml:space="preserve">Throughout this assessment, the differently produced forms of </w:t>
      </w:r>
      <w:r w:rsidR="00F25E51">
        <w:t>2′-</w:t>
      </w:r>
      <w:r w:rsidR="00CF49D3">
        <w:t>FL will be identified using the following subscripts:</w:t>
      </w:r>
    </w:p>
    <w:p w14:paraId="2ED126B7" w14:textId="1C6B2FE9" w:rsidR="00446CF7" w:rsidRDefault="00446CF7" w:rsidP="000254AB">
      <w:pPr>
        <w:pStyle w:val="FSBullet1"/>
      </w:pPr>
      <w:r>
        <w:lastRenderedPageBreak/>
        <w:t>2′-FL</w:t>
      </w:r>
      <w:r w:rsidRPr="00820A2C">
        <w:rPr>
          <w:vertAlign w:val="subscript"/>
        </w:rPr>
        <w:t>human</w:t>
      </w:r>
      <w:r>
        <w:t xml:space="preserve"> - 2′-FL in human milk </w:t>
      </w:r>
    </w:p>
    <w:p w14:paraId="72113A7C" w14:textId="09DBC5D7" w:rsidR="00820A2C" w:rsidRDefault="000368F6" w:rsidP="000254AB">
      <w:pPr>
        <w:pStyle w:val="FSBullet1"/>
      </w:pPr>
      <w:r>
        <w:t>2′-FL</w:t>
      </w:r>
      <w:r w:rsidRPr="00446CF7">
        <w:rPr>
          <w:vertAlign w:val="subscript"/>
        </w:rPr>
        <w:t>chem</w:t>
      </w:r>
      <w:r w:rsidR="00356E3A">
        <w:t xml:space="preserve"> -</w:t>
      </w:r>
      <w:r>
        <w:t xml:space="preserve"> </w:t>
      </w:r>
      <w:r w:rsidR="000866F2">
        <w:t xml:space="preserve">2′-FL </w:t>
      </w:r>
      <w:r w:rsidR="00446CF7">
        <w:t>produced by</w:t>
      </w:r>
      <w:r w:rsidR="000866F2">
        <w:t xml:space="preserve"> </w:t>
      </w:r>
      <w:r>
        <w:t>chemical synthesis</w:t>
      </w:r>
    </w:p>
    <w:p w14:paraId="7887B30A" w14:textId="0810F2F5" w:rsidR="00820A2C" w:rsidRDefault="000368F6" w:rsidP="000254AB">
      <w:pPr>
        <w:pStyle w:val="FSBullet1"/>
      </w:pPr>
      <w:r>
        <w:t>2′-FL</w:t>
      </w:r>
      <w:r w:rsidRPr="00820A2C">
        <w:rPr>
          <w:vertAlign w:val="subscript"/>
        </w:rPr>
        <w:t>micro</w:t>
      </w:r>
      <w:r w:rsidR="00356E3A">
        <w:t xml:space="preserve"> -</w:t>
      </w:r>
      <w:r>
        <w:t xml:space="preserve"> 2′-FL </w:t>
      </w:r>
      <w:r w:rsidR="00446CF7">
        <w:t>produced by</w:t>
      </w:r>
      <w:r>
        <w:t xml:space="preserve"> microbial fermentation</w:t>
      </w:r>
      <w:r w:rsidR="00AF5259">
        <w:t>.</w:t>
      </w:r>
    </w:p>
    <w:p w14:paraId="0E447CC0" w14:textId="364BAA10" w:rsidR="000368F6" w:rsidRDefault="000368F6" w:rsidP="000368F6">
      <w:r>
        <w:t xml:space="preserve">The </w:t>
      </w:r>
      <w:r w:rsidR="001E43BE">
        <w:t>nomenclature and chemical</w:t>
      </w:r>
      <w:r>
        <w:t xml:space="preserve"> properties for 2′-FL are listed in</w:t>
      </w:r>
      <w:r w:rsidR="0048242F">
        <w:t xml:space="preserve"> </w:t>
      </w:r>
      <w:hyperlink w:anchor="Table2_1" w:history="1">
        <w:r w:rsidR="0048242F" w:rsidRPr="0048242F">
          <w:rPr>
            <w:rStyle w:val="Hyperlink"/>
          </w:rPr>
          <w:t>Table 2.1</w:t>
        </w:r>
      </w:hyperlink>
      <w:r>
        <w:t>.</w:t>
      </w:r>
      <w:r w:rsidR="00B337A1">
        <w:t xml:space="preserve"> </w:t>
      </w:r>
    </w:p>
    <w:p w14:paraId="68EC4E0D" w14:textId="5A45AB87" w:rsidR="000368F6" w:rsidRPr="00FB005F" w:rsidRDefault="000368F6" w:rsidP="006E1133">
      <w:pPr>
        <w:pStyle w:val="FSTableFigureHeading"/>
        <w:keepNext/>
      </w:pPr>
      <w:bookmarkStart w:id="58" w:name="Table2_1"/>
      <w:r w:rsidRPr="00FB005F">
        <w:t xml:space="preserve">Table </w:t>
      </w:r>
      <w:r>
        <w:t>2.1</w:t>
      </w:r>
      <w:bookmarkEnd w:id="58"/>
      <w:r w:rsidRPr="00FB005F">
        <w:t>:</w:t>
      </w:r>
      <w:r w:rsidRPr="002F1DFA">
        <w:rPr>
          <w:b w:val="0"/>
        </w:rPr>
        <w:tab/>
      </w:r>
      <w:r w:rsidR="002F1DFA" w:rsidRPr="002F1DFA">
        <w:rPr>
          <w:b w:val="0"/>
        </w:rPr>
        <w:t>Nomenclature and c</w:t>
      </w:r>
      <w:r w:rsidRPr="009D3BED">
        <w:rPr>
          <w:b w:val="0"/>
        </w:rPr>
        <w:t>hemical properties of 2′-FL</w:t>
      </w:r>
      <w:r w:rsidRPr="00FB005F">
        <w:t xml:space="preserve"> </w:t>
      </w:r>
    </w:p>
    <w:tbl>
      <w:tblPr>
        <w:tblStyle w:val="Table"/>
        <w:tblW w:w="4533" w:type="pct"/>
        <w:tblLook w:val="04A0" w:firstRow="1" w:lastRow="0" w:firstColumn="1" w:lastColumn="0" w:noHBand="0" w:noVBand="1"/>
        <w:tblCaption w:val="Table 2.1: Chemical properties of 2'-FL and LNnT"/>
        <w:tblDescription w:val="Chemical names and properties for 2'-FL and LNnT"/>
      </w:tblPr>
      <w:tblGrid>
        <w:gridCol w:w="2373"/>
        <w:gridCol w:w="5850"/>
      </w:tblGrid>
      <w:tr w:rsidR="000368F6" w:rsidRPr="00FB005F" w14:paraId="79DF4110" w14:textId="77777777" w:rsidTr="00F46964">
        <w:trPr>
          <w:cnfStyle w:val="100000000000" w:firstRow="1" w:lastRow="0" w:firstColumn="0" w:lastColumn="0" w:oddVBand="0" w:evenVBand="0" w:oddHBand="0" w:evenHBand="0" w:firstRowFirstColumn="0" w:firstRowLastColumn="0" w:lastRowFirstColumn="0" w:lastRowLastColumn="0"/>
          <w:trHeight w:val="397"/>
          <w:tblHeader/>
        </w:trPr>
        <w:tc>
          <w:tcPr>
            <w:tcW w:w="1443" w:type="pct"/>
            <w:shd w:val="clear" w:color="auto" w:fill="7F7F7F"/>
            <w:vAlign w:val="center"/>
          </w:tcPr>
          <w:p w14:paraId="4C7B2CC0" w14:textId="77777777" w:rsidR="000368F6" w:rsidRPr="00936D21" w:rsidRDefault="000368F6" w:rsidP="007020CD">
            <w:pPr>
              <w:spacing w:before="0" w:after="0"/>
              <w:rPr>
                <w:sz w:val="20"/>
                <w:szCs w:val="20"/>
              </w:rPr>
            </w:pPr>
            <w:r w:rsidRPr="00936D21">
              <w:rPr>
                <w:sz w:val="20"/>
                <w:szCs w:val="20"/>
              </w:rPr>
              <w:t>Property</w:t>
            </w:r>
          </w:p>
        </w:tc>
        <w:tc>
          <w:tcPr>
            <w:tcW w:w="3557" w:type="pct"/>
            <w:shd w:val="clear" w:color="auto" w:fill="7F7F7F"/>
            <w:vAlign w:val="center"/>
          </w:tcPr>
          <w:p w14:paraId="2C70AE66" w14:textId="77777777" w:rsidR="000368F6" w:rsidRPr="00936D21" w:rsidRDefault="000368F6" w:rsidP="007020CD">
            <w:pPr>
              <w:spacing w:before="0" w:after="0"/>
              <w:rPr>
                <w:sz w:val="20"/>
                <w:szCs w:val="20"/>
              </w:rPr>
            </w:pPr>
            <w:r>
              <w:rPr>
                <w:sz w:val="20"/>
                <w:szCs w:val="20"/>
              </w:rPr>
              <w:t>2′</w:t>
            </w:r>
            <w:r w:rsidRPr="00936D21">
              <w:rPr>
                <w:sz w:val="20"/>
                <w:szCs w:val="20"/>
              </w:rPr>
              <w:t>-FL</w:t>
            </w:r>
            <w:r w:rsidRPr="00F30174">
              <w:rPr>
                <w:sz w:val="20"/>
                <w:szCs w:val="20"/>
              </w:rPr>
              <w:t xml:space="preserve"> </w:t>
            </w:r>
          </w:p>
        </w:tc>
      </w:tr>
      <w:tr w:rsidR="000368F6" w:rsidRPr="00FB005F" w14:paraId="1CF03F98"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04D003FE" w14:textId="77777777" w:rsidR="000368F6" w:rsidRPr="00F30174" w:rsidRDefault="000368F6" w:rsidP="007020CD">
            <w:pPr>
              <w:spacing w:before="0" w:after="0"/>
              <w:rPr>
                <w:sz w:val="20"/>
                <w:szCs w:val="20"/>
              </w:rPr>
            </w:pPr>
            <w:r w:rsidRPr="00F30174">
              <w:rPr>
                <w:sz w:val="20"/>
                <w:szCs w:val="20"/>
              </w:rPr>
              <w:t xml:space="preserve">Chemical name </w:t>
            </w:r>
          </w:p>
        </w:tc>
        <w:tc>
          <w:tcPr>
            <w:tcW w:w="3557" w:type="pct"/>
            <w:vAlign w:val="center"/>
          </w:tcPr>
          <w:p w14:paraId="3B35E072" w14:textId="5D9F7D04" w:rsidR="000368F6" w:rsidRPr="00F30174" w:rsidRDefault="000368F6" w:rsidP="00102C63">
            <w:pPr>
              <w:spacing w:before="40" w:after="40"/>
              <w:rPr>
                <w:sz w:val="20"/>
                <w:szCs w:val="20"/>
              </w:rPr>
            </w:pPr>
            <w:r w:rsidRPr="00F30174">
              <w:rPr>
                <w:sz w:val="20"/>
                <w:szCs w:val="20"/>
              </w:rPr>
              <w:t>α-</w:t>
            </w:r>
            <w:r>
              <w:rPr>
                <w:sz w:val="20"/>
                <w:szCs w:val="20"/>
              </w:rPr>
              <w:t>L</w:t>
            </w:r>
            <w:r w:rsidRPr="006E358C">
              <w:rPr>
                <w:sz w:val="20"/>
                <w:szCs w:val="20"/>
              </w:rPr>
              <w:t>-</w:t>
            </w:r>
            <w:r w:rsidR="00DB79A2">
              <w:rPr>
                <w:sz w:val="20"/>
                <w:szCs w:val="20"/>
              </w:rPr>
              <w:t>f</w:t>
            </w:r>
            <w:r w:rsidRPr="00F30174">
              <w:rPr>
                <w:sz w:val="20"/>
                <w:szCs w:val="20"/>
              </w:rPr>
              <w:t>ucopyranosyl-(1→2)-β-D-galact</w:t>
            </w:r>
            <w:r>
              <w:rPr>
                <w:sz w:val="20"/>
                <w:szCs w:val="20"/>
              </w:rPr>
              <w:t>opyranosyl-(1→4)-D-glucopyranose</w:t>
            </w:r>
            <w:r w:rsidRPr="00F30174">
              <w:rPr>
                <w:sz w:val="20"/>
                <w:szCs w:val="20"/>
              </w:rPr>
              <w:t xml:space="preserve"> </w:t>
            </w:r>
          </w:p>
        </w:tc>
      </w:tr>
      <w:tr w:rsidR="000368F6" w:rsidRPr="00FB005F" w14:paraId="520F157E"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47C47D50" w14:textId="77777777" w:rsidR="000368F6" w:rsidRPr="00F30174" w:rsidRDefault="000368F6" w:rsidP="007020CD">
            <w:pPr>
              <w:spacing w:before="0" w:after="0"/>
              <w:rPr>
                <w:sz w:val="20"/>
                <w:szCs w:val="20"/>
              </w:rPr>
            </w:pPr>
            <w:r w:rsidRPr="00F30174">
              <w:rPr>
                <w:sz w:val="20"/>
                <w:szCs w:val="20"/>
              </w:rPr>
              <w:t xml:space="preserve">Common name </w:t>
            </w:r>
          </w:p>
        </w:tc>
        <w:tc>
          <w:tcPr>
            <w:tcW w:w="3557" w:type="pct"/>
            <w:vAlign w:val="center"/>
          </w:tcPr>
          <w:p w14:paraId="5CF05542" w14:textId="6C2B09A2" w:rsidR="00DB79A2" w:rsidRPr="00DB79A2" w:rsidRDefault="00DB79A2" w:rsidP="007020CD">
            <w:pPr>
              <w:spacing w:before="0" w:after="0"/>
              <w:rPr>
                <w:sz w:val="20"/>
                <w:szCs w:val="20"/>
              </w:rPr>
            </w:pPr>
            <w:r w:rsidRPr="00DB79A2">
              <w:rPr>
                <w:sz w:val="20"/>
                <w:szCs w:val="20"/>
              </w:rPr>
              <w:t>2′-</w:t>
            </w:r>
            <w:r w:rsidRPr="00DB79A2">
              <w:rPr>
                <w:i/>
                <w:sz w:val="20"/>
                <w:szCs w:val="20"/>
              </w:rPr>
              <w:t>O</w:t>
            </w:r>
            <w:r w:rsidRPr="00DB79A2">
              <w:rPr>
                <w:sz w:val="20"/>
                <w:szCs w:val="20"/>
              </w:rPr>
              <w:t>-</w:t>
            </w:r>
            <w:r>
              <w:rPr>
                <w:sz w:val="20"/>
                <w:szCs w:val="20"/>
              </w:rPr>
              <w:t>f</w:t>
            </w:r>
            <w:r w:rsidRPr="00DB79A2">
              <w:rPr>
                <w:sz w:val="20"/>
                <w:szCs w:val="20"/>
              </w:rPr>
              <w:t xml:space="preserve">ucocsyllactose </w:t>
            </w:r>
          </w:p>
          <w:p w14:paraId="0A858E4E" w14:textId="657EC48B" w:rsidR="00DB79A2" w:rsidRPr="00DB79A2" w:rsidRDefault="00DB79A2" w:rsidP="00102C63">
            <w:pPr>
              <w:spacing w:before="40" w:after="40"/>
              <w:rPr>
                <w:sz w:val="20"/>
                <w:szCs w:val="20"/>
              </w:rPr>
            </w:pPr>
            <w:r>
              <w:rPr>
                <w:sz w:val="20"/>
                <w:szCs w:val="20"/>
              </w:rPr>
              <w:t>2′-f</w:t>
            </w:r>
            <w:r w:rsidR="000368F6" w:rsidRPr="00DB79A2">
              <w:rPr>
                <w:sz w:val="20"/>
                <w:szCs w:val="20"/>
              </w:rPr>
              <w:t xml:space="preserve">ucocsyllactose </w:t>
            </w:r>
          </w:p>
          <w:p w14:paraId="580850C2" w14:textId="5CCFC993" w:rsidR="000368F6" w:rsidRPr="00DB79A2" w:rsidRDefault="000368F6" w:rsidP="00DB79A2">
            <w:pPr>
              <w:spacing w:before="0" w:after="0"/>
              <w:rPr>
                <w:sz w:val="20"/>
                <w:szCs w:val="20"/>
              </w:rPr>
            </w:pPr>
            <w:r w:rsidRPr="00DB79A2">
              <w:rPr>
                <w:sz w:val="20"/>
                <w:szCs w:val="20"/>
              </w:rPr>
              <w:t>2</w:t>
            </w:r>
            <w:r w:rsidR="007522F2">
              <w:rPr>
                <w:sz w:val="20"/>
                <w:szCs w:val="20"/>
              </w:rPr>
              <w:t>′</w:t>
            </w:r>
            <w:r w:rsidRPr="00DB79A2">
              <w:rPr>
                <w:sz w:val="20"/>
                <w:szCs w:val="20"/>
              </w:rPr>
              <w:t>-fucosyl-D-lactose</w:t>
            </w:r>
          </w:p>
        </w:tc>
      </w:tr>
      <w:tr w:rsidR="000368F6" w:rsidRPr="00FB005F" w14:paraId="5B1AD549"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27B855A5" w14:textId="77777777" w:rsidR="000368F6" w:rsidRPr="00F30174" w:rsidRDefault="000368F6" w:rsidP="007020CD">
            <w:pPr>
              <w:spacing w:before="0" w:after="0"/>
              <w:rPr>
                <w:sz w:val="20"/>
                <w:szCs w:val="20"/>
              </w:rPr>
            </w:pPr>
            <w:r w:rsidRPr="00F30174">
              <w:rPr>
                <w:sz w:val="20"/>
                <w:szCs w:val="20"/>
              </w:rPr>
              <w:t>Alternative names</w:t>
            </w:r>
            <w:r w:rsidRPr="00F30174">
              <w:rPr>
                <w:sz w:val="20"/>
                <w:szCs w:val="20"/>
                <w:vertAlign w:val="superscript"/>
              </w:rPr>
              <w:t>1</w:t>
            </w:r>
          </w:p>
        </w:tc>
        <w:tc>
          <w:tcPr>
            <w:tcW w:w="3557" w:type="pct"/>
            <w:vAlign w:val="center"/>
          </w:tcPr>
          <w:p w14:paraId="65BA70BB" w14:textId="77777777" w:rsidR="000368F6" w:rsidRPr="00F30174" w:rsidRDefault="000368F6" w:rsidP="007020CD">
            <w:pPr>
              <w:spacing w:before="0" w:after="0"/>
              <w:rPr>
                <w:sz w:val="20"/>
                <w:szCs w:val="20"/>
              </w:rPr>
            </w:pPr>
            <w:r w:rsidRPr="008D3CC3">
              <w:rPr>
                <w:sz w:val="20"/>
                <w:szCs w:val="20"/>
              </w:rPr>
              <w:t>α-L-Fuc-(1→2)-β-D-Gal-(1→4)-D-Glc</w:t>
            </w:r>
            <w:r w:rsidRPr="00F30174">
              <w:rPr>
                <w:sz w:val="20"/>
                <w:szCs w:val="20"/>
              </w:rPr>
              <w:t xml:space="preserve"> </w:t>
            </w:r>
          </w:p>
          <w:p w14:paraId="23CF8FD0" w14:textId="77777777" w:rsidR="000368F6" w:rsidRDefault="000368F6" w:rsidP="00102C63">
            <w:pPr>
              <w:spacing w:before="40" w:after="40"/>
              <w:rPr>
                <w:sz w:val="20"/>
                <w:szCs w:val="20"/>
              </w:rPr>
            </w:pPr>
            <w:r w:rsidRPr="008D3CC3">
              <w:rPr>
                <w:sz w:val="20"/>
                <w:szCs w:val="20"/>
              </w:rPr>
              <w:t>Fuc-α-1,2-Gal-β-1,4-Glc</w:t>
            </w:r>
            <w:r w:rsidRPr="00F30174">
              <w:rPr>
                <w:sz w:val="20"/>
                <w:szCs w:val="20"/>
              </w:rPr>
              <w:t xml:space="preserve"> </w:t>
            </w:r>
          </w:p>
          <w:p w14:paraId="099CB00F" w14:textId="5FC6444B" w:rsidR="000368F6" w:rsidRPr="00F30174" w:rsidRDefault="00F25E51" w:rsidP="007020CD">
            <w:pPr>
              <w:spacing w:before="0" w:after="0"/>
              <w:rPr>
                <w:sz w:val="20"/>
                <w:szCs w:val="20"/>
              </w:rPr>
            </w:pPr>
            <w:r>
              <w:rPr>
                <w:sz w:val="20"/>
                <w:szCs w:val="20"/>
              </w:rPr>
              <w:t>2′-</w:t>
            </w:r>
            <w:r w:rsidR="000368F6" w:rsidRPr="008D3CC3">
              <w:rPr>
                <w:sz w:val="20"/>
                <w:szCs w:val="20"/>
              </w:rPr>
              <w:t>FL</w:t>
            </w:r>
            <w:r w:rsidR="000368F6" w:rsidRPr="00F30174">
              <w:rPr>
                <w:sz w:val="20"/>
                <w:szCs w:val="20"/>
              </w:rPr>
              <w:t xml:space="preserve"> </w:t>
            </w:r>
          </w:p>
        </w:tc>
      </w:tr>
      <w:tr w:rsidR="000368F6" w:rsidRPr="00FB005F" w14:paraId="6C12CD53"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2F75474F" w14:textId="77777777" w:rsidR="000368F6" w:rsidRPr="00F30174" w:rsidRDefault="000368F6" w:rsidP="007020CD">
            <w:pPr>
              <w:spacing w:before="0" w:after="0"/>
              <w:rPr>
                <w:sz w:val="20"/>
                <w:szCs w:val="20"/>
              </w:rPr>
            </w:pPr>
            <w:r w:rsidRPr="00F30174">
              <w:rPr>
                <w:sz w:val="20"/>
                <w:szCs w:val="20"/>
              </w:rPr>
              <w:t>CAS registry number</w:t>
            </w:r>
          </w:p>
        </w:tc>
        <w:tc>
          <w:tcPr>
            <w:tcW w:w="3557" w:type="pct"/>
            <w:vAlign w:val="center"/>
          </w:tcPr>
          <w:p w14:paraId="413D69DB" w14:textId="77777777" w:rsidR="000368F6" w:rsidRPr="00F30174" w:rsidRDefault="000368F6" w:rsidP="007020CD">
            <w:pPr>
              <w:spacing w:before="0" w:after="0"/>
              <w:rPr>
                <w:sz w:val="20"/>
                <w:szCs w:val="20"/>
              </w:rPr>
            </w:pPr>
            <w:r w:rsidRPr="00F30174">
              <w:rPr>
                <w:sz w:val="20"/>
                <w:szCs w:val="20"/>
              </w:rPr>
              <w:t xml:space="preserve">41263-94-9 </w:t>
            </w:r>
          </w:p>
        </w:tc>
      </w:tr>
      <w:tr w:rsidR="000368F6" w:rsidRPr="00FB005F" w14:paraId="2A370527"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285BD008" w14:textId="77777777" w:rsidR="000368F6" w:rsidRPr="00F30174" w:rsidRDefault="000368F6" w:rsidP="007020CD">
            <w:pPr>
              <w:spacing w:before="0" w:after="0"/>
              <w:rPr>
                <w:sz w:val="20"/>
                <w:szCs w:val="20"/>
              </w:rPr>
            </w:pPr>
            <w:r w:rsidRPr="00F30174">
              <w:rPr>
                <w:sz w:val="20"/>
                <w:szCs w:val="20"/>
              </w:rPr>
              <w:t>Chemical formula</w:t>
            </w:r>
          </w:p>
        </w:tc>
        <w:tc>
          <w:tcPr>
            <w:tcW w:w="3557" w:type="pct"/>
            <w:vAlign w:val="center"/>
          </w:tcPr>
          <w:p w14:paraId="65488584" w14:textId="77777777" w:rsidR="000368F6" w:rsidRPr="00F30174" w:rsidRDefault="000368F6" w:rsidP="007020CD">
            <w:pPr>
              <w:spacing w:before="0" w:after="0"/>
              <w:rPr>
                <w:sz w:val="20"/>
                <w:szCs w:val="20"/>
              </w:rPr>
            </w:pPr>
            <w:r w:rsidRPr="00F30174">
              <w:rPr>
                <w:sz w:val="20"/>
                <w:szCs w:val="20"/>
                <w:lang w:val="en"/>
              </w:rPr>
              <w:t>C</w:t>
            </w:r>
            <w:r w:rsidRPr="00F30174">
              <w:rPr>
                <w:sz w:val="20"/>
                <w:szCs w:val="20"/>
                <w:vertAlign w:val="subscript"/>
                <w:lang w:val="en"/>
              </w:rPr>
              <w:t>18</w:t>
            </w:r>
            <w:r w:rsidRPr="00F30174">
              <w:rPr>
                <w:sz w:val="20"/>
                <w:szCs w:val="20"/>
                <w:lang w:val="en"/>
              </w:rPr>
              <w:t>H</w:t>
            </w:r>
            <w:r w:rsidRPr="00F30174">
              <w:rPr>
                <w:sz w:val="20"/>
                <w:szCs w:val="20"/>
                <w:vertAlign w:val="subscript"/>
                <w:lang w:val="en"/>
              </w:rPr>
              <w:t>32</w:t>
            </w:r>
            <w:r w:rsidRPr="00F30174">
              <w:rPr>
                <w:sz w:val="20"/>
                <w:szCs w:val="20"/>
                <w:lang w:val="en"/>
              </w:rPr>
              <w:t>O</w:t>
            </w:r>
            <w:r w:rsidRPr="00F30174">
              <w:rPr>
                <w:sz w:val="20"/>
                <w:szCs w:val="20"/>
                <w:vertAlign w:val="subscript"/>
                <w:lang w:val="en"/>
              </w:rPr>
              <w:t>15</w:t>
            </w:r>
          </w:p>
        </w:tc>
      </w:tr>
      <w:tr w:rsidR="000368F6" w:rsidRPr="00FB005F" w14:paraId="6048533E"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1BCD67BC" w14:textId="77777777" w:rsidR="000368F6" w:rsidRPr="00F30174" w:rsidRDefault="000368F6" w:rsidP="007020CD">
            <w:pPr>
              <w:spacing w:before="0" w:after="0"/>
              <w:rPr>
                <w:sz w:val="20"/>
                <w:szCs w:val="20"/>
              </w:rPr>
            </w:pPr>
            <w:r w:rsidRPr="00F30174">
              <w:rPr>
                <w:sz w:val="20"/>
                <w:szCs w:val="20"/>
              </w:rPr>
              <w:t>Molecular mass</w:t>
            </w:r>
          </w:p>
        </w:tc>
        <w:tc>
          <w:tcPr>
            <w:tcW w:w="3557" w:type="pct"/>
            <w:vAlign w:val="center"/>
          </w:tcPr>
          <w:p w14:paraId="32116479" w14:textId="77777777" w:rsidR="000368F6" w:rsidRPr="00F30174" w:rsidRDefault="000368F6" w:rsidP="007020CD">
            <w:pPr>
              <w:spacing w:before="0" w:after="0"/>
              <w:rPr>
                <w:sz w:val="20"/>
                <w:szCs w:val="20"/>
              </w:rPr>
            </w:pPr>
            <w:r>
              <w:rPr>
                <w:sz w:val="20"/>
                <w:szCs w:val="20"/>
              </w:rPr>
              <w:t xml:space="preserve">488.44 g / mol </w:t>
            </w:r>
          </w:p>
        </w:tc>
      </w:tr>
    </w:tbl>
    <w:p w14:paraId="51AE50D5" w14:textId="77777777" w:rsidR="000368F6" w:rsidRPr="001548E1" w:rsidRDefault="000368F6" w:rsidP="00512378">
      <w:pPr>
        <w:spacing w:before="80"/>
        <w:ind w:left="142" w:hanging="142"/>
        <w:rPr>
          <w:i/>
          <w:sz w:val="16"/>
          <w:szCs w:val="16"/>
        </w:rPr>
      </w:pPr>
      <w:r w:rsidRPr="001548E1">
        <w:rPr>
          <w:i/>
          <w:sz w:val="16"/>
          <w:szCs w:val="16"/>
          <w:vertAlign w:val="superscript"/>
        </w:rPr>
        <w:t>1</w:t>
      </w:r>
      <w:r w:rsidRPr="001548E1">
        <w:rPr>
          <w:i/>
          <w:sz w:val="16"/>
          <w:szCs w:val="16"/>
        </w:rPr>
        <w:t xml:space="preserve"> Fuc = fucose or fucosylpyranose; Gal = galactose or galactosylpyranose; Glc = glucose or glucosylpyranose</w:t>
      </w:r>
    </w:p>
    <w:p w14:paraId="03DF3B39" w14:textId="7D1F400B" w:rsidR="000368F6" w:rsidRDefault="00CF49D3" w:rsidP="006E1133">
      <w:pPr>
        <w:rPr>
          <w:b/>
          <w:i/>
        </w:rPr>
      </w:pPr>
      <w:r>
        <w:t>The applicant</w:t>
      </w:r>
      <w:r w:rsidR="00811997">
        <w:t>’</w:t>
      </w:r>
      <w:r>
        <w:t>s</w:t>
      </w:r>
      <w:r w:rsidRPr="00EC2283">
        <w:t xml:space="preserve"> </w:t>
      </w:r>
      <w:r w:rsidR="00F25E51">
        <w:t>2′-</w:t>
      </w:r>
      <w:r w:rsidR="000368F6" w:rsidRPr="00EC2283">
        <w:t>FL</w:t>
      </w:r>
      <w:r w:rsidR="000368F6">
        <w:rPr>
          <w:vertAlign w:val="subscript"/>
        </w:rPr>
        <w:t>micro</w:t>
      </w:r>
      <w:r w:rsidR="000368F6" w:rsidRPr="00EC2283">
        <w:t xml:space="preserve"> is available </w:t>
      </w:r>
      <w:r>
        <w:t xml:space="preserve">both </w:t>
      </w:r>
      <w:r w:rsidR="000368F6" w:rsidRPr="00EC2283">
        <w:t xml:space="preserve">as </w:t>
      </w:r>
      <w:r w:rsidR="003F01A3">
        <w:t>a powder and</w:t>
      </w:r>
      <w:r w:rsidR="000368F6" w:rsidRPr="00EC2283">
        <w:t xml:space="preserve"> liquid concentrate</w:t>
      </w:r>
      <w:r w:rsidR="000866F2" w:rsidRPr="000866F2">
        <w:t xml:space="preserve"> </w:t>
      </w:r>
      <w:r w:rsidR="000866F2" w:rsidRPr="00565BA3">
        <w:t xml:space="preserve">and will be marketed as an ingredient to be added to </w:t>
      </w:r>
      <w:r w:rsidR="000866F2" w:rsidRPr="00F70F72">
        <w:t>IFP and FSFYC</w:t>
      </w:r>
      <w:r w:rsidR="000866F2" w:rsidRPr="00565BA3">
        <w:t>.</w:t>
      </w:r>
      <w:r w:rsidR="000368F6">
        <w:rPr>
          <w:sz w:val="20"/>
          <w:szCs w:val="20"/>
        </w:rPr>
        <w:t xml:space="preserve"> </w:t>
      </w:r>
      <w:r w:rsidR="000368F6">
        <w:t xml:space="preserve">The general </w:t>
      </w:r>
      <w:r w:rsidR="000368F6" w:rsidRPr="004131F5">
        <w:t>physical properties for the p</w:t>
      </w:r>
      <w:r w:rsidR="000368F6">
        <w:t>o</w:t>
      </w:r>
      <w:r w:rsidR="000368F6" w:rsidRPr="004131F5">
        <w:t xml:space="preserve">wder and concentrate are listed in </w:t>
      </w:r>
      <w:hyperlink w:anchor="Table2_2" w:history="1">
        <w:r w:rsidR="000368F6" w:rsidRPr="004D15D8">
          <w:rPr>
            <w:rStyle w:val="Hyperlink"/>
          </w:rPr>
          <w:t>Table 2.2</w:t>
        </w:r>
      </w:hyperlink>
      <w:r w:rsidR="000368F6" w:rsidRPr="004131F5">
        <w:t>.</w:t>
      </w:r>
    </w:p>
    <w:p w14:paraId="4516E8E5" w14:textId="76F33073" w:rsidR="000368F6" w:rsidRPr="00FB005F" w:rsidRDefault="000368F6" w:rsidP="000368F6">
      <w:pPr>
        <w:pStyle w:val="FSTableFigureHeading"/>
      </w:pPr>
      <w:bookmarkStart w:id="59" w:name="Table2_2"/>
      <w:r w:rsidRPr="00FB005F">
        <w:t xml:space="preserve">Table </w:t>
      </w:r>
      <w:r>
        <w:t>2.2</w:t>
      </w:r>
      <w:bookmarkEnd w:id="59"/>
      <w:r w:rsidRPr="00FB005F">
        <w:t>:</w:t>
      </w:r>
      <w:r w:rsidRPr="00FB005F">
        <w:tab/>
      </w:r>
      <w:r w:rsidR="002F1DFA">
        <w:rPr>
          <w:b w:val="0"/>
        </w:rPr>
        <w:t>P</w:t>
      </w:r>
      <w:r w:rsidRPr="009D3BED">
        <w:rPr>
          <w:b w:val="0"/>
        </w:rPr>
        <w:t>hysical properties of 2′-FL</w:t>
      </w:r>
    </w:p>
    <w:tbl>
      <w:tblPr>
        <w:tblStyle w:val="Table"/>
        <w:tblW w:w="4517" w:type="pct"/>
        <w:tblLook w:val="04A0" w:firstRow="1" w:lastRow="0" w:firstColumn="1" w:lastColumn="0" w:noHBand="0" w:noVBand="1"/>
        <w:tblCaption w:val="Table 2.1: Chemical properties of 2'-FL and LNnT"/>
        <w:tblDescription w:val="Chemical names and properties for 2'-FL and LNnT"/>
      </w:tblPr>
      <w:tblGrid>
        <w:gridCol w:w="2980"/>
        <w:gridCol w:w="2607"/>
        <w:gridCol w:w="2607"/>
      </w:tblGrid>
      <w:tr w:rsidR="00C052B7" w:rsidRPr="00FB005F" w14:paraId="265671E0" w14:textId="77777777" w:rsidTr="00F46964">
        <w:trPr>
          <w:cnfStyle w:val="100000000000" w:firstRow="1" w:lastRow="0" w:firstColumn="0" w:lastColumn="0" w:oddVBand="0" w:evenVBand="0" w:oddHBand="0" w:evenHBand="0" w:firstRowFirstColumn="0" w:firstRowLastColumn="0" w:lastRowFirstColumn="0" w:lastRowLastColumn="0"/>
          <w:trHeight w:val="397"/>
          <w:tblHeader/>
        </w:trPr>
        <w:tc>
          <w:tcPr>
            <w:tcW w:w="1818" w:type="pct"/>
            <w:shd w:val="clear" w:color="auto" w:fill="7F7F7F"/>
            <w:vAlign w:val="center"/>
          </w:tcPr>
          <w:p w14:paraId="1AF17B93" w14:textId="77777777" w:rsidR="000368F6" w:rsidRPr="00936D21" w:rsidRDefault="000368F6" w:rsidP="006E1133">
            <w:pPr>
              <w:spacing w:before="0" w:after="0"/>
              <w:rPr>
                <w:sz w:val="20"/>
                <w:szCs w:val="20"/>
              </w:rPr>
            </w:pPr>
            <w:r w:rsidRPr="00936D21">
              <w:rPr>
                <w:sz w:val="20"/>
                <w:szCs w:val="20"/>
              </w:rPr>
              <w:t>Property</w:t>
            </w:r>
          </w:p>
        </w:tc>
        <w:tc>
          <w:tcPr>
            <w:tcW w:w="1591" w:type="pct"/>
            <w:shd w:val="clear" w:color="auto" w:fill="7F7F7F"/>
            <w:vAlign w:val="center"/>
          </w:tcPr>
          <w:p w14:paraId="3D1E7CD6" w14:textId="77777777" w:rsidR="000368F6" w:rsidRPr="00936D21" w:rsidRDefault="000368F6" w:rsidP="006E1133">
            <w:pPr>
              <w:spacing w:before="0" w:after="0"/>
              <w:ind w:left="0"/>
              <w:rPr>
                <w:sz w:val="20"/>
                <w:szCs w:val="20"/>
              </w:rPr>
            </w:pPr>
            <w:r>
              <w:rPr>
                <w:sz w:val="20"/>
                <w:szCs w:val="20"/>
              </w:rPr>
              <w:t>Powder</w:t>
            </w:r>
          </w:p>
        </w:tc>
        <w:tc>
          <w:tcPr>
            <w:tcW w:w="1591" w:type="pct"/>
            <w:shd w:val="clear" w:color="auto" w:fill="7F7F7F"/>
          </w:tcPr>
          <w:p w14:paraId="55A7EDB1" w14:textId="77777777" w:rsidR="000368F6" w:rsidRDefault="000368F6" w:rsidP="006E1133">
            <w:pPr>
              <w:spacing w:before="0" w:after="0"/>
              <w:ind w:left="0"/>
              <w:rPr>
                <w:sz w:val="20"/>
                <w:szCs w:val="20"/>
              </w:rPr>
            </w:pPr>
            <w:r>
              <w:rPr>
                <w:sz w:val="20"/>
                <w:szCs w:val="20"/>
              </w:rPr>
              <w:t>Concentrate</w:t>
            </w:r>
          </w:p>
        </w:tc>
      </w:tr>
      <w:tr w:rsidR="00C052B7" w:rsidRPr="00FB005F" w14:paraId="4B39164C"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5D5B584B" w14:textId="77777777" w:rsidR="000368F6" w:rsidRPr="00EC2283" w:rsidRDefault="000368F6" w:rsidP="006E1133">
            <w:pPr>
              <w:spacing w:before="0" w:after="0"/>
              <w:rPr>
                <w:sz w:val="20"/>
                <w:szCs w:val="20"/>
              </w:rPr>
            </w:pPr>
            <w:r w:rsidRPr="00F30174">
              <w:rPr>
                <w:sz w:val="20"/>
                <w:szCs w:val="20"/>
              </w:rPr>
              <w:t>Solubility</w:t>
            </w:r>
            <w:r>
              <w:rPr>
                <w:sz w:val="20"/>
                <w:szCs w:val="20"/>
                <w:vertAlign w:val="superscript"/>
              </w:rPr>
              <w:t xml:space="preserve">1 </w:t>
            </w:r>
            <w:r>
              <w:rPr>
                <w:sz w:val="20"/>
                <w:szCs w:val="20"/>
              </w:rPr>
              <w:t>in water</w:t>
            </w:r>
          </w:p>
        </w:tc>
        <w:tc>
          <w:tcPr>
            <w:tcW w:w="1591" w:type="pct"/>
            <w:vAlign w:val="center"/>
          </w:tcPr>
          <w:p w14:paraId="14571EC0" w14:textId="77777777" w:rsidR="000368F6" w:rsidRPr="00F30174" w:rsidRDefault="000368F6" w:rsidP="006E1133">
            <w:pPr>
              <w:spacing w:before="0" w:after="0"/>
              <w:ind w:left="0"/>
              <w:rPr>
                <w:sz w:val="20"/>
                <w:szCs w:val="20"/>
              </w:rPr>
            </w:pPr>
            <w:r>
              <w:rPr>
                <w:sz w:val="20"/>
                <w:szCs w:val="20"/>
              </w:rPr>
              <w:t>min. 500</w:t>
            </w:r>
            <w:r w:rsidRPr="00F30174">
              <w:rPr>
                <w:sz w:val="20"/>
                <w:szCs w:val="20"/>
              </w:rPr>
              <w:t xml:space="preserve"> g/L</w:t>
            </w:r>
            <w:r>
              <w:rPr>
                <w:sz w:val="20"/>
                <w:szCs w:val="20"/>
              </w:rPr>
              <w:t xml:space="preserve"> (25</w:t>
            </w:r>
            <w:r>
              <w:rPr>
                <w:rFonts w:cs="Arial"/>
                <w:sz w:val="20"/>
                <w:szCs w:val="20"/>
              </w:rPr>
              <w:t>ºC)</w:t>
            </w:r>
          </w:p>
        </w:tc>
        <w:tc>
          <w:tcPr>
            <w:tcW w:w="1591" w:type="pct"/>
          </w:tcPr>
          <w:p w14:paraId="6D4355A2" w14:textId="77777777" w:rsidR="000368F6" w:rsidRDefault="000368F6" w:rsidP="006E1133">
            <w:pPr>
              <w:spacing w:before="0" w:after="0"/>
              <w:rPr>
                <w:sz w:val="20"/>
                <w:szCs w:val="20"/>
              </w:rPr>
            </w:pPr>
            <w:r>
              <w:rPr>
                <w:sz w:val="20"/>
                <w:szCs w:val="20"/>
              </w:rPr>
              <w:t>N/A</w:t>
            </w:r>
          </w:p>
        </w:tc>
      </w:tr>
      <w:tr w:rsidR="00C052B7" w:rsidRPr="00FB005F" w14:paraId="458CE215" w14:textId="77777777" w:rsidTr="00102C63">
        <w:trPr>
          <w:cnfStyle w:val="000000010000" w:firstRow="0" w:lastRow="0" w:firstColumn="0" w:lastColumn="0" w:oddVBand="0" w:evenVBand="0" w:oddHBand="0" w:evenHBand="1" w:firstRowFirstColumn="0" w:firstRowLastColumn="0" w:lastRowFirstColumn="0" w:lastRowLastColumn="0"/>
          <w:trHeight w:val="397"/>
        </w:trPr>
        <w:tc>
          <w:tcPr>
            <w:tcW w:w="1818" w:type="pct"/>
            <w:vAlign w:val="center"/>
          </w:tcPr>
          <w:p w14:paraId="22C0DB0F" w14:textId="77777777" w:rsidR="00102C63" w:rsidRDefault="000368F6" w:rsidP="006E1133">
            <w:pPr>
              <w:spacing w:before="0" w:after="0"/>
              <w:rPr>
                <w:sz w:val="20"/>
                <w:szCs w:val="20"/>
              </w:rPr>
            </w:pPr>
            <w:r>
              <w:rPr>
                <w:sz w:val="20"/>
                <w:szCs w:val="20"/>
              </w:rPr>
              <w:t xml:space="preserve">Stability </w:t>
            </w:r>
          </w:p>
          <w:p w14:paraId="6819318E" w14:textId="16ADC08F" w:rsidR="000368F6" w:rsidRPr="00F30174" w:rsidRDefault="000368F6" w:rsidP="006E1133">
            <w:pPr>
              <w:spacing w:before="0" w:after="0"/>
              <w:rPr>
                <w:sz w:val="20"/>
                <w:szCs w:val="20"/>
              </w:rPr>
            </w:pPr>
            <w:r>
              <w:rPr>
                <w:sz w:val="20"/>
                <w:szCs w:val="20"/>
              </w:rPr>
              <w:t>(25</w:t>
            </w:r>
            <w:r>
              <w:rPr>
                <w:rFonts w:cs="Arial"/>
                <w:sz w:val="20"/>
                <w:szCs w:val="20"/>
              </w:rPr>
              <w:t>º</w:t>
            </w:r>
            <w:r>
              <w:rPr>
                <w:sz w:val="20"/>
                <w:szCs w:val="20"/>
              </w:rPr>
              <w:t>C/ 65% humidity)</w:t>
            </w:r>
          </w:p>
        </w:tc>
        <w:tc>
          <w:tcPr>
            <w:tcW w:w="1591" w:type="pct"/>
            <w:vAlign w:val="center"/>
          </w:tcPr>
          <w:p w14:paraId="298F0D86" w14:textId="77777777" w:rsidR="000368F6" w:rsidRDefault="000368F6" w:rsidP="006E1133">
            <w:pPr>
              <w:spacing w:before="0" w:after="0"/>
              <w:ind w:left="0"/>
              <w:rPr>
                <w:sz w:val="20"/>
                <w:szCs w:val="20"/>
              </w:rPr>
            </w:pPr>
            <w:r>
              <w:rPr>
                <w:sz w:val="20"/>
                <w:szCs w:val="20"/>
              </w:rPr>
              <w:t xml:space="preserve">2 years </w:t>
            </w:r>
          </w:p>
        </w:tc>
        <w:tc>
          <w:tcPr>
            <w:tcW w:w="1591" w:type="pct"/>
            <w:vAlign w:val="center"/>
          </w:tcPr>
          <w:p w14:paraId="70068799" w14:textId="77777777" w:rsidR="000368F6" w:rsidRDefault="000368F6" w:rsidP="006E1133">
            <w:pPr>
              <w:spacing w:before="0" w:after="0"/>
              <w:rPr>
                <w:sz w:val="20"/>
                <w:szCs w:val="20"/>
              </w:rPr>
            </w:pPr>
            <w:r>
              <w:rPr>
                <w:sz w:val="20"/>
                <w:szCs w:val="20"/>
              </w:rPr>
              <w:t>6 months</w:t>
            </w:r>
          </w:p>
        </w:tc>
      </w:tr>
      <w:tr w:rsidR="00C052B7" w:rsidRPr="00FB005F" w14:paraId="1DC560FE"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48CA0FE0" w14:textId="77777777" w:rsidR="000368F6" w:rsidRPr="00F30174" w:rsidRDefault="000368F6" w:rsidP="006E1133">
            <w:pPr>
              <w:spacing w:before="0" w:after="0"/>
              <w:rPr>
                <w:sz w:val="20"/>
                <w:szCs w:val="20"/>
              </w:rPr>
            </w:pPr>
            <w:r>
              <w:rPr>
                <w:sz w:val="20"/>
                <w:szCs w:val="20"/>
              </w:rPr>
              <w:t>Form</w:t>
            </w:r>
            <w:r w:rsidRPr="00EC2283">
              <w:rPr>
                <w:rFonts w:eastAsia="Times New Roman" w:cs="Times New Roman"/>
                <w:b/>
                <w:i/>
              </w:rPr>
              <w:t xml:space="preserve"> </w:t>
            </w:r>
          </w:p>
        </w:tc>
        <w:tc>
          <w:tcPr>
            <w:tcW w:w="1591" w:type="pct"/>
            <w:vAlign w:val="center"/>
          </w:tcPr>
          <w:p w14:paraId="0ACFF2D3" w14:textId="77777777" w:rsidR="000368F6" w:rsidRDefault="000368F6" w:rsidP="006E1133">
            <w:pPr>
              <w:spacing w:before="0" w:after="0"/>
              <w:ind w:left="0"/>
              <w:rPr>
                <w:sz w:val="20"/>
                <w:szCs w:val="20"/>
              </w:rPr>
            </w:pPr>
            <w:r>
              <w:rPr>
                <w:sz w:val="20"/>
                <w:szCs w:val="20"/>
              </w:rPr>
              <w:t>F</w:t>
            </w:r>
            <w:r w:rsidRPr="00EC2283">
              <w:rPr>
                <w:sz w:val="20"/>
                <w:szCs w:val="20"/>
              </w:rPr>
              <w:t>ine, hygroscopic spray-dried</w:t>
            </w:r>
            <w:r>
              <w:rPr>
                <w:sz w:val="20"/>
                <w:szCs w:val="20"/>
              </w:rPr>
              <w:t xml:space="preserve"> powder</w:t>
            </w:r>
          </w:p>
        </w:tc>
        <w:tc>
          <w:tcPr>
            <w:tcW w:w="1591" w:type="pct"/>
          </w:tcPr>
          <w:p w14:paraId="66A33216" w14:textId="77777777" w:rsidR="000368F6" w:rsidRDefault="000368F6" w:rsidP="006E1133">
            <w:pPr>
              <w:spacing w:before="0" w:after="0"/>
              <w:ind w:left="0"/>
              <w:rPr>
                <w:sz w:val="20"/>
                <w:szCs w:val="20"/>
              </w:rPr>
            </w:pPr>
            <w:r>
              <w:rPr>
                <w:sz w:val="20"/>
                <w:szCs w:val="20"/>
              </w:rPr>
              <w:t>Liquid; clear solution</w:t>
            </w:r>
          </w:p>
        </w:tc>
      </w:tr>
      <w:tr w:rsidR="00C052B7" w:rsidRPr="00FB005F" w14:paraId="1C89D618" w14:textId="77777777" w:rsidTr="00C052B7">
        <w:trPr>
          <w:cnfStyle w:val="000000010000" w:firstRow="0" w:lastRow="0" w:firstColumn="0" w:lastColumn="0" w:oddVBand="0" w:evenVBand="0" w:oddHBand="0" w:evenHBand="1" w:firstRowFirstColumn="0" w:firstRowLastColumn="0" w:lastRowFirstColumn="0" w:lastRowLastColumn="0"/>
          <w:trHeight w:val="397"/>
        </w:trPr>
        <w:tc>
          <w:tcPr>
            <w:tcW w:w="1818" w:type="pct"/>
            <w:vAlign w:val="center"/>
          </w:tcPr>
          <w:p w14:paraId="3826B270" w14:textId="77777777" w:rsidR="000368F6" w:rsidRDefault="000368F6" w:rsidP="006E1133">
            <w:pPr>
              <w:spacing w:before="0" w:after="0"/>
              <w:rPr>
                <w:sz w:val="20"/>
                <w:szCs w:val="20"/>
              </w:rPr>
            </w:pPr>
            <w:r>
              <w:rPr>
                <w:sz w:val="20"/>
                <w:szCs w:val="20"/>
              </w:rPr>
              <w:t>Colour</w:t>
            </w:r>
          </w:p>
        </w:tc>
        <w:tc>
          <w:tcPr>
            <w:tcW w:w="1591" w:type="pct"/>
            <w:vAlign w:val="center"/>
          </w:tcPr>
          <w:p w14:paraId="3F983513" w14:textId="77777777" w:rsidR="000368F6" w:rsidRDefault="000368F6" w:rsidP="006E1133">
            <w:pPr>
              <w:spacing w:before="0" w:after="0"/>
              <w:ind w:left="0"/>
              <w:rPr>
                <w:sz w:val="20"/>
                <w:szCs w:val="20"/>
              </w:rPr>
            </w:pPr>
            <w:r>
              <w:rPr>
                <w:sz w:val="20"/>
                <w:szCs w:val="20"/>
              </w:rPr>
              <w:t>White to ivory</w:t>
            </w:r>
          </w:p>
        </w:tc>
        <w:tc>
          <w:tcPr>
            <w:tcW w:w="1591" w:type="pct"/>
          </w:tcPr>
          <w:p w14:paraId="4D38F131" w14:textId="77777777" w:rsidR="000368F6" w:rsidRDefault="000368F6" w:rsidP="006E1133">
            <w:pPr>
              <w:spacing w:before="0" w:after="0"/>
              <w:ind w:left="0"/>
              <w:rPr>
                <w:sz w:val="20"/>
                <w:szCs w:val="20"/>
              </w:rPr>
            </w:pPr>
            <w:r>
              <w:rPr>
                <w:sz w:val="20"/>
                <w:szCs w:val="20"/>
              </w:rPr>
              <w:t>C</w:t>
            </w:r>
            <w:r w:rsidRPr="00EC2283">
              <w:rPr>
                <w:sz w:val="20"/>
                <w:szCs w:val="20"/>
              </w:rPr>
              <w:t>lear, colourless to slightly yellow</w:t>
            </w:r>
          </w:p>
        </w:tc>
      </w:tr>
      <w:tr w:rsidR="000866F2" w:rsidRPr="00FB005F" w14:paraId="0381B6B9"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1E5E046A" w14:textId="36F6F80A" w:rsidR="000866F2" w:rsidRDefault="000866F2" w:rsidP="006E1133">
            <w:pPr>
              <w:spacing w:before="0" w:after="0"/>
              <w:rPr>
                <w:sz w:val="20"/>
                <w:szCs w:val="20"/>
              </w:rPr>
            </w:pPr>
            <w:r>
              <w:rPr>
                <w:sz w:val="20"/>
                <w:szCs w:val="20"/>
              </w:rPr>
              <w:t>M</w:t>
            </w:r>
            <w:r w:rsidRPr="000866F2">
              <w:rPr>
                <w:sz w:val="20"/>
                <w:szCs w:val="20"/>
              </w:rPr>
              <w:t>inimum purity</w:t>
            </w:r>
          </w:p>
        </w:tc>
        <w:tc>
          <w:tcPr>
            <w:tcW w:w="1591" w:type="pct"/>
            <w:vAlign w:val="center"/>
          </w:tcPr>
          <w:p w14:paraId="17DC0950" w14:textId="1C227029" w:rsidR="000866F2" w:rsidRDefault="000866F2" w:rsidP="006E1133">
            <w:pPr>
              <w:spacing w:before="0" w:after="0"/>
              <w:rPr>
                <w:sz w:val="20"/>
                <w:szCs w:val="20"/>
              </w:rPr>
            </w:pPr>
            <w:r w:rsidRPr="000866F2">
              <w:rPr>
                <w:sz w:val="20"/>
                <w:szCs w:val="20"/>
              </w:rPr>
              <w:t>90%</w:t>
            </w:r>
          </w:p>
        </w:tc>
        <w:tc>
          <w:tcPr>
            <w:tcW w:w="1591" w:type="pct"/>
          </w:tcPr>
          <w:p w14:paraId="6F5DFB61" w14:textId="3B966688" w:rsidR="000866F2" w:rsidRDefault="000866F2" w:rsidP="006E1133">
            <w:pPr>
              <w:spacing w:before="0" w:after="0"/>
              <w:rPr>
                <w:sz w:val="20"/>
                <w:szCs w:val="20"/>
              </w:rPr>
            </w:pPr>
            <w:r w:rsidRPr="000866F2">
              <w:rPr>
                <w:sz w:val="20"/>
                <w:szCs w:val="20"/>
              </w:rPr>
              <w:t>90%</w:t>
            </w:r>
          </w:p>
        </w:tc>
      </w:tr>
    </w:tbl>
    <w:p w14:paraId="6EE722C5" w14:textId="77777777" w:rsidR="000368F6" w:rsidRPr="0041587B" w:rsidRDefault="000368F6" w:rsidP="005D469C">
      <w:pPr>
        <w:spacing w:before="80"/>
        <w:rPr>
          <w:i/>
          <w:sz w:val="18"/>
          <w:szCs w:val="16"/>
        </w:rPr>
      </w:pPr>
      <w:r w:rsidRPr="0041587B">
        <w:rPr>
          <w:i/>
          <w:sz w:val="18"/>
          <w:szCs w:val="16"/>
          <w:vertAlign w:val="superscript"/>
        </w:rPr>
        <w:t>1</w:t>
      </w:r>
      <w:r w:rsidRPr="0041587B">
        <w:rPr>
          <w:i/>
          <w:sz w:val="18"/>
          <w:szCs w:val="16"/>
        </w:rPr>
        <w:t xml:space="preserve"> For comparison, the solubility of lactose = 195 g/L.</w:t>
      </w:r>
    </w:p>
    <w:p w14:paraId="79AA00D2" w14:textId="2C79EEAE" w:rsidR="000368F6" w:rsidRDefault="000368F6" w:rsidP="000368F6">
      <w:r>
        <w:t>2′</w:t>
      </w:r>
      <w:r w:rsidRPr="00BD190A">
        <w:t xml:space="preserve">-FL </w:t>
      </w:r>
      <w:r>
        <w:t xml:space="preserve">is the most abundant oligosaccharide in human milk and has a </w:t>
      </w:r>
      <w:r w:rsidRPr="00623BDA">
        <w:t>simple structure</w:t>
      </w:r>
      <w:r>
        <w:t>. It</w:t>
      </w:r>
      <w:r w:rsidRPr="00623BDA">
        <w:t xml:space="preserve"> </w:t>
      </w:r>
      <w:r w:rsidRPr="00BD190A">
        <w:t xml:space="preserve">is a </w:t>
      </w:r>
      <w:r w:rsidRPr="00623BDA">
        <w:t xml:space="preserve">fucosylated, neutral </w:t>
      </w:r>
      <w:r w:rsidRPr="00BD190A">
        <w:t>trisaccharide consisting of the monosaccharides L-fucose, D-galactose, and D-glucose</w:t>
      </w:r>
      <w:r w:rsidR="0048242F">
        <w:t xml:space="preserve"> (</w:t>
      </w:r>
      <w:hyperlink w:anchor="Figure2_1" w:history="1">
        <w:r w:rsidR="0048242F" w:rsidRPr="0048242F">
          <w:rPr>
            <w:rStyle w:val="Hyperlink"/>
          </w:rPr>
          <w:t>Figure 2.1</w:t>
        </w:r>
      </w:hyperlink>
      <w:r w:rsidR="0048242F">
        <w:t>)</w:t>
      </w:r>
      <w:r w:rsidRPr="00BD190A">
        <w:t xml:space="preserve">. It can also be described as the disaccharide D-lactose </w:t>
      </w:r>
      <w:r>
        <w:t xml:space="preserve">at the reducing end and the </w:t>
      </w:r>
      <w:r w:rsidRPr="00BD190A">
        <w:t xml:space="preserve">monosaccharide L-fucose </w:t>
      </w:r>
      <w:r>
        <w:t>at the terminal galactose in</w:t>
      </w:r>
      <w:r w:rsidRPr="00BD190A">
        <w:t xml:space="preserve"> alpha (1→2) </w:t>
      </w:r>
      <w:r>
        <w:t>linkage</w:t>
      </w:r>
      <w:r w:rsidRPr="00BD190A">
        <w:t xml:space="preserve"> to form the trisaccharide</w:t>
      </w:r>
      <w:r w:rsidR="00070384">
        <w:t>.</w:t>
      </w:r>
    </w:p>
    <w:p w14:paraId="1E577717" w14:textId="77777777" w:rsidR="000368F6" w:rsidRDefault="000368F6" w:rsidP="000368F6">
      <w:pPr>
        <w:jc w:val="center"/>
        <w:rPr>
          <w:lang w:eastAsia="en-AU"/>
        </w:rPr>
      </w:pPr>
      <w:r>
        <w:rPr>
          <w:noProof/>
          <w:lang w:eastAsia="en-GB" w:bidi="ar-SA"/>
        </w:rPr>
        <w:lastRenderedPageBreak/>
        <w:drawing>
          <wp:inline distT="0" distB="0" distL="0" distR="0" wp14:anchorId="2C7D8514" wp14:editId="4838F28E">
            <wp:extent cx="4352925" cy="3933825"/>
            <wp:effectExtent l="0" t="0" r="9525" b="9525"/>
            <wp:docPr id="18" name="Picture 18" descr="Molecular structure of 2'-FL"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52925" cy="3933825"/>
                    </a:xfrm>
                    <a:prstGeom prst="rect">
                      <a:avLst/>
                    </a:prstGeom>
                  </pic:spPr>
                </pic:pic>
              </a:graphicData>
            </a:graphic>
          </wp:inline>
        </w:drawing>
      </w:r>
    </w:p>
    <w:p w14:paraId="49002C3D" w14:textId="0FCC4791" w:rsidR="000368F6" w:rsidRDefault="000368F6" w:rsidP="00512378">
      <w:pPr>
        <w:pStyle w:val="FSTableFigureHeading"/>
        <w:spacing w:after="0"/>
        <w:jc w:val="both"/>
        <w:rPr>
          <w:b w:val="0"/>
          <w:i w:val="0"/>
          <w:sz w:val="20"/>
          <w:szCs w:val="20"/>
        </w:rPr>
      </w:pPr>
      <w:bookmarkStart w:id="60" w:name="Figure2_1"/>
      <w:r>
        <w:t>Figure 2.1</w:t>
      </w:r>
      <w:bookmarkEnd w:id="60"/>
      <w:r>
        <w:tab/>
      </w:r>
      <w:r w:rsidRPr="009D3BED">
        <w:rPr>
          <w:b w:val="0"/>
        </w:rPr>
        <w:t xml:space="preserve">Molecular Structure of </w:t>
      </w:r>
      <w:r w:rsidR="00F25E51">
        <w:rPr>
          <w:b w:val="0"/>
        </w:rPr>
        <w:t>2′-</w:t>
      </w:r>
      <w:r w:rsidRPr="009D3BED">
        <w:rPr>
          <w:b w:val="0"/>
        </w:rPr>
        <w:t>FL</w:t>
      </w:r>
      <w:r w:rsidR="008F7D36">
        <w:rPr>
          <w:b w:val="0"/>
        </w:rPr>
        <w:t xml:space="preserve"> (</w:t>
      </w:r>
      <w:r w:rsidRPr="008F7D36">
        <w:rPr>
          <w:rFonts w:cs="Arial"/>
          <w:b w:val="0"/>
          <w:sz w:val="20"/>
          <w:szCs w:val="20"/>
          <w:lang w:eastAsia="en-GB"/>
        </w:rPr>
        <w:t xml:space="preserve">Image from: </w:t>
      </w:r>
      <w:hyperlink r:id="rId19" w:history="1">
        <w:r w:rsidRPr="004D15D8">
          <w:rPr>
            <w:rStyle w:val="Hyperlink"/>
            <w:rFonts w:cs="Arial"/>
            <w:b w:val="0"/>
            <w:sz w:val="20"/>
            <w:szCs w:val="20"/>
            <w:lang w:eastAsia="en-GB"/>
          </w:rPr>
          <w:t>EFSA NDA Panel 2015</w:t>
        </w:r>
      </w:hyperlink>
      <w:r w:rsidR="004D15D8">
        <w:rPr>
          <w:rStyle w:val="FootnoteReference"/>
          <w:rFonts w:cs="Arial"/>
          <w:b w:val="0"/>
          <w:sz w:val="20"/>
          <w:szCs w:val="20"/>
          <w:lang w:eastAsia="en-GB"/>
        </w:rPr>
        <w:footnoteReference w:id="4"/>
      </w:r>
      <w:r w:rsidR="008F7D36">
        <w:rPr>
          <w:rFonts w:cs="Arial"/>
          <w:b w:val="0"/>
          <w:sz w:val="20"/>
          <w:szCs w:val="20"/>
          <w:lang w:eastAsia="en-GB"/>
        </w:rPr>
        <w:t>)</w:t>
      </w:r>
    </w:p>
    <w:p w14:paraId="26AE07DD" w14:textId="019952BE" w:rsidR="000368F6" w:rsidRDefault="000368F6" w:rsidP="000368F6">
      <w:pPr>
        <w:pStyle w:val="Heading3"/>
      </w:pPr>
      <w:bookmarkStart w:id="61" w:name="_2.1.2_Structural_identification"/>
      <w:bookmarkStart w:id="62" w:name="_Toc515634588"/>
      <w:bookmarkStart w:id="63" w:name="_Toc517451202"/>
      <w:bookmarkStart w:id="64" w:name="_Toc518397307"/>
      <w:bookmarkStart w:id="65" w:name="_Toc518400833"/>
      <w:bookmarkStart w:id="66" w:name="_Toc518475265"/>
      <w:bookmarkStart w:id="67" w:name="_Toc518478862"/>
      <w:bookmarkStart w:id="68" w:name="_Toc518995913"/>
      <w:bookmarkStart w:id="69" w:name="_Toc519260316"/>
      <w:bookmarkStart w:id="70" w:name="_Toc519260642"/>
      <w:bookmarkStart w:id="71" w:name="_Toc519607923"/>
      <w:bookmarkStart w:id="72" w:name="_Toc521418038"/>
      <w:bookmarkStart w:id="73" w:name="_Toc13219501"/>
      <w:bookmarkEnd w:id="61"/>
      <w:r w:rsidRPr="00685C40">
        <w:t>2</w:t>
      </w:r>
      <w:r>
        <w:t>.1</w:t>
      </w:r>
      <w:r w:rsidRPr="00685C40">
        <w:t>.2</w:t>
      </w:r>
      <w:r w:rsidR="00EE1CC3">
        <w:t xml:space="preserve"> </w:t>
      </w:r>
      <w:r>
        <w:t>Structural identification</w:t>
      </w:r>
      <w:bookmarkEnd w:id="62"/>
      <w:bookmarkEnd w:id="63"/>
      <w:bookmarkEnd w:id="64"/>
      <w:bookmarkEnd w:id="65"/>
      <w:bookmarkEnd w:id="66"/>
      <w:bookmarkEnd w:id="67"/>
      <w:bookmarkEnd w:id="68"/>
      <w:bookmarkEnd w:id="69"/>
      <w:bookmarkEnd w:id="70"/>
      <w:bookmarkEnd w:id="71"/>
      <w:bookmarkEnd w:id="72"/>
      <w:bookmarkEnd w:id="73"/>
    </w:p>
    <w:p w14:paraId="7D706BBE" w14:textId="5F288557" w:rsidR="000368F6" w:rsidRDefault="00102C63" w:rsidP="000368F6">
      <w:pPr>
        <w:rPr>
          <w:lang w:eastAsia="en-AU" w:bidi="ar-SA"/>
        </w:rPr>
      </w:pPr>
      <w:r>
        <w:rPr>
          <w:lang w:eastAsia="en-AU" w:bidi="ar-SA"/>
        </w:rPr>
        <w:t xml:space="preserve">A </w:t>
      </w:r>
      <w:r w:rsidR="00794D6D">
        <w:rPr>
          <w:lang w:eastAsia="en-AU" w:bidi="ar-SA"/>
        </w:rPr>
        <w:t xml:space="preserve">range of </w:t>
      </w:r>
      <w:r w:rsidR="000368F6" w:rsidRPr="006A3F5B">
        <w:rPr>
          <w:lang w:eastAsia="en-AU" w:bidi="ar-SA"/>
        </w:rPr>
        <w:t>methods</w:t>
      </w:r>
      <w:r w:rsidR="000368F6">
        <w:rPr>
          <w:lang w:eastAsia="en-AU" w:bidi="ar-SA"/>
        </w:rPr>
        <w:t xml:space="preserve"> were used to confirm the identity of </w:t>
      </w:r>
      <w:r w:rsidR="00F25E51">
        <w:rPr>
          <w:lang w:eastAsia="en-AU" w:bidi="ar-SA"/>
        </w:rPr>
        <w:t>2′-</w:t>
      </w:r>
      <w:r w:rsidR="003E55B5" w:rsidRPr="003E55B5">
        <w:rPr>
          <w:lang w:eastAsia="en-AU" w:bidi="ar-SA"/>
        </w:rPr>
        <w:t>FL</w:t>
      </w:r>
      <w:r w:rsidR="003E55B5" w:rsidRPr="00512378">
        <w:rPr>
          <w:vertAlign w:val="subscript"/>
          <w:lang w:eastAsia="en-AU" w:bidi="ar-SA"/>
        </w:rPr>
        <w:t>micro</w:t>
      </w:r>
      <w:r w:rsidR="001F7A1C">
        <w:rPr>
          <w:lang w:eastAsia="en-AU" w:bidi="ar-SA"/>
        </w:rPr>
        <w:t xml:space="preserve"> and determine it</w:t>
      </w:r>
      <w:r w:rsidR="000368F6">
        <w:rPr>
          <w:lang w:eastAsia="en-AU" w:bidi="ar-SA"/>
        </w:rPr>
        <w:t xml:space="preserve">s structural and chemical equivalence to </w:t>
      </w:r>
      <w:r w:rsidR="009214AB">
        <w:rPr>
          <w:lang w:eastAsia="en-AU" w:bidi="ar-SA"/>
        </w:rPr>
        <w:t xml:space="preserve">a commercially available </w:t>
      </w:r>
      <w:r w:rsidR="00F25E51">
        <w:rPr>
          <w:lang w:eastAsia="en-AU" w:bidi="ar-SA"/>
        </w:rPr>
        <w:t>2′-</w:t>
      </w:r>
      <w:r w:rsidR="002679AE">
        <w:rPr>
          <w:lang w:eastAsia="en-AU" w:bidi="ar-SA"/>
        </w:rPr>
        <w:t>FL</w:t>
      </w:r>
      <w:r w:rsidR="002679AE" w:rsidRPr="002679AE">
        <w:rPr>
          <w:vertAlign w:val="subscript"/>
          <w:lang w:eastAsia="en-AU" w:bidi="ar-SA"/>
        </w:rPr>
        <w:t>human</w:t>
      </w:r>
      <w:r w:rsidR="009214AB">
        <w:rPr>
          <w:lang w:eastAsia="en-AU" w:bidi="ar-SA"/>
        </w:rPr>
        <w:t xml:space="preserve"> reference</w:t>
      </w:r>
      <w:r w:rsidR="000368F6" w:rsidDel="009214AB">
        <w:rPr>
          <w:lang w:eastAsia="en-AU" w:bidi="ar-SA"/>
        </w:rPr>
        <w:t>.</w:t>
      </w:r>
      <w:r w:rsidR="000368F6">
        <w:rPr>
          <w:lang w:eastAsia="en-AU" w:bidi="ar-SA"/>
        </w:rPr>
        <w:t xml:space="preserve"> Methods included nuclear magnetic resonance (NMR) spectroscopy, liquid chromatography and mass spectrometry (LC-MS/MS), m</w:t>
      </w:r>
      <w:r w:rsidR="000368F6" w:rsidRPr="00895C55">
        <w:rPr>
          <w:lang w:eastAsia="en-AU" w:bidi="ar-SA"/>
        </w:rPr>
        <w:t xml:space="preserve">ultiple reaction monitoring </w:t>
      </w:r>
      <w:r w:rsidR="000368F6">
        <w:rPr>
          <w:lang w:eastAsia="en-AU" w:bidi="ar-SA"/>
        </w:rPr>
        <w:t xml:space="preserve">(MRM) mass spectrometry, high-performance anion-exchange chromatography with pulsed amperometric detection (HPAEC/PAD) and optical rotation. These methods are all accepted techniques </w:t>
      </w:r>
      <w:r w:rsidR="002679AE">
        <w:rPr>
          <w:lang w:eastAsia="en-AU" w:bidi="ar-SA"/>
        </w:rPr>
        <w:t>for</w:t>
      </w:r>
      <w:r w:rsidR="000368F6">
        <w:rPr>
          <w:lang w:eastAsia="en-AU" w:bidi="ar-SA"/>
        </w:rPr>
        <w:t xml:space="preserve"> identifying and characterising </w:t>
      </w:r>
      <w:r w:rsidR="00136D15">
        <w:rPr>
          <w:lang w:eastAsia="en-AU" w:bidi="ar-SA"/>
        </w:rPr>
        <w:t xml:space="preserve">oligosaccharides </w:t>
      </w:r>
      <w:r w:rsidR="002679AE">
        <w:rPr>
          <w:lang w:eastAsia="en-AU" w:bidi="ar-SA"/>
        </w:rPr>
        <w:t>(Ruhaak and Lebrilla 2012;</w:t>
      </w:r>
      <w:r w:rsidR="000368F6">
        <w:rPr>
          <w:lang w:eastAsia="en-AU" w:bidi="ar-SA"/>
        </w:rPr>
        <w:t xml:space="preserve"> Tonon e</w:t>
      </w:r>
      <w:r w:rsidR="001430DF">
        <w:rPr>
          <w:lang w:eastAsia="en-AU" w:bidi="ar-SA"/>
        </w:rPr>
        <w:t>t al. 201</w:t>
      </w:r>
      <w:r w:rsidR="00E20C67">
        <w:rPr>
          <w:lang w:eastAsia="en-AU" w:bidi="ar-SA"/>
        </w:rPr>
        <w:t>9</w:t>
      </w:r>
      <w:r w:rsidR="00C82615">
        <w:rPr>
          <w:lang w:eastAsia="en-AU" w:bidi="ar-SA"/>
        </w:rPr>
        <w:t>a</w:t>
      </w:r>
      <w:r w:rsidR="002679AE">
        <w:rPr>
          <w:lang w:eastAsia="en-AU" w:bidi="ar-SA"/>
        </w:rPr>
        <w:t>;</w:t>
      </w:r>
      <w:r w:rsidR="001430DF">
        <w:rPr>
          <w:lang w:eastAsia="en-AU" w:bidi="ar-SA"/>
        </w:rPr>
        <w:t xml:space="preserve"> Xu et al. </w:t>
      </w:r>
      <w:r w:rsidR="009C4D25">
        <w:rPr>
          <w:lang w:eastAsia="en-AU" w:bidi="ar-SA"/>
        </w:rPr>
        <w:t>2017</w:t>
      </w:r>
      <w:r w:rsidR="001430DF">
        <w:rPr>
          <w:lang w:eastAsia="en-AU" w:bidi="ar-SA"/>
        </w:rPr>
        <w:t>).</w:t>
      </w:r>
      <w:r w:rsidR="001E735F">
        <w:rPr>
          <w:lang w:eastAsia="en-AU" w:bidi="ar-SA"/>
        </w:rPr>
        <w:t xml:space="preserve"> The applicant has provided sufficient explanation of how these methods were used.</w:t>
      </w:r>
    </w:p>
    <w:p w14:paraId="35D4B5D1" w14:textId="0019573F" w:rsidR="0057136B" w:rsidRDefault="0057136B" w:rsidP="000368F6">
      <w:pPr>
        <w:rPr>
          <w:lang w:eastAsia="en-AU" w:bidi="ar-SA"/>
        </w:rPr>
      </w:pPr>
      <w:r>
        <w:rPr>
          <w:lang w:eastAsia="en-AU" w:bidi="ar-SA"/>
        </w:rPr>
        <w:t xml:space="preserve">The </w:t>
      </w:r>
      <w:r w:rsidR="009214AB">
        <w:rPr>
          <w:lang w:eastAsia="en-AU" w:bidi="ar-SA"/>
        </w:rPr>
        <w:t>analyses performed on</w:t>
      </w:r>
      <w:r>
        <w:rPr>
          <w:lang w:eastAsia="en-AU" w:bidi="ar-SA"/>
        </w:rPr>
        <w:t xml:space="preserve"> </w:t>
      </w:r>
      <w:r w:rsidR="009214AB">
        <w:rPr>
          <w:lang w:eastAsia="en-AU" w:bidi="ar-SA"/>
        </w:rPr>
        <w:t>several batches of 2′-FL</w:t>
      </w:r>
      <w:r w:rsidR="009214AB" w:rsidRPr="00D12A84">
        <w:rPr>
          <w:vertAlign w:val="subscript"/>
          <w:lang w:eastAsia="en-AU" w:bidi="ar-SA"/>
        </w:rPr>
        <w:t>micro</w:t>
      </w:r>
      <w:r w:rsidR="009214AB">
        <w:rPr>
          <w:lang w:eastAsia="en-AU" w:bidi="ar-SA"/>
        </w:rPr>
        <w:t xml:space="preserve"> confirmed </w:t>
      </w:r>
      <w:r w:rsidR="00E63172">
        <w:rPr>
          <w:lang w:eastAsia="en-AU" w:bidi="ar-SA"/>
        </w:rPr>
        <w:t>its</w:t>
      </w:r>
      <w:r w:rsidR="009214AB">
        <w:rPr>
          <w:lang w:eastAsia="en-AU" w:bidi="ar-SA"/>
        </w:rPr>
        <w:t xml:space="preserve"> identity and it’s </w:t>
      </w:r>
      <w:r>
        <w:t>structural</w:t>
      </w:r>
      <w:r w:rsidR="009214AB">
        <w:t xml:space="preserve"> and chemical</w:t>
      </w:r>
      <w:r>
        <w:t xml:space="preserve"> equivalen</w:t>
      </w:r>
      <w:r w:rsidR="009214AB">
        <w:t>ce</w:t>
      </w:r>
      <w:r>
        <w:t xml:space="preserve"> to </w:t>
      </w:r>
      <w:r w:rsidR="00F25E51">
        <w:rPr>
          <w:lang w:eastAsia="en-AU" w:bidi="ar-SA"/>
        </w:rPr>
        <w:t>2′-</w:t>
      </w:r>
      <w:r>
        <w:rPr>
          <w:lang w:eastAsia="en-AU" w:bidi="ar-SA"/>
        </w:rPr>
        <w:t>FL</w:t>
      </w:r>
      <w:r w:rsidRPr="0061156A">
        <w:rPr>
          <w:vertAlign w:val="subscript"/>
          <w:lang w:eastAsia="en-AU" w:bidi="ar-SA"/>
        </w:rPr>
        <w:t>human</w:t>
      </w:r>
      <w:r>
        <w:rPr>
          <w:lang w:eastAsia="en-AU" w:bidi="ar-SA"/>
        </w:rPr>
        <w:t>.</w:t>
      </w:r>
      <w:r w:rsidR="00B337A1">
        <w:rPr>
          <w:lang w:eastAsia="en-AU" w:bidi="ar-SA"/>
        </w:rPr>
        <w:t xml:space="preserve"> </w:t>
      </w:r>
      <w:r w:rsidR="009214AB">
        <w:rPr>
          <w:lang w:eastAsia="en-AU" w:bidi="ar-SA"/>
        </w:rPr>
        <w:t>The data also showed 2′-FL</w:t>
      </w:r>
      <w:r w:rsidR="009214AB" w:rsidRPr="00D12A84">
        <w:rPr>
          <w:vertAlign w:val="subscript"/>
          <w:lang w:eastAsia="en-AU" w:bidi="ar-SA"/>
        </w:rPr>
        <w:t>micro</w:t>
      </w:r>
      <w:r w:rsidR="009214AB">
        <w:rPr>
          <w:lang w:eastAsia="en-AU" w:bidi="ar-SA"/>
        </w:rPr>
        <w:t xml:space="preserve"> was the main constituent of the final product, with a purity of 90%.</w:t>
      </w:r>
    </w:p>
    <w:p w14:paraId="28EC353E" w14:textId="7BBCA69C" w:rsidR="000368F6" w:rsidRDefault="001430DF" w:rsidP="000368F6">
      <w:pPr>
        <w:pStyle w:val="Heading4"/>
      </w:pPr>
      <w:bookmarkStart w:id="74" w:name="_Chemically-derived_versus_human"/>
      <w:bookmarkEnd w:id="74"/>
      <w:r>
        <w:t xml:space="preserve">Importance of confirming structural equivalence of </w:t>
      </w:r>
      <w:r w:rsidR="00F25E51">
        <w:t>2′-</w:t>
      </w:r>
      <w:r>
        <w:t>FL based on source</w:t>
      </w:r>
    </w:p>
    <w:p w14:paraId="378F44F3" w14:textId="615D8B15" w:rsidR="000368F6" w:rsidRDefault="00D70114" w:rsidP="000368F6">
      <w:pPr>
        <w:rPr>
          <w:lang w:eastAsia="en-AU"/>
        </w:rPr>
      </w:pPr>
      <w:r>
        <w:t>2′-FL</w:t>
      </w:r>
      <w:r w:rsidRPr="001A1916">
        <w:rPr>
          <w:vertAlign w:val="subscript"/>
        </w:rPr>
        <w:t>chem</w:t>
      </w:r>
      <w:r>
        <w:t xml:space="preserve"> </w:t>
      </w:r>
      <w:r>
        <w:rPr>
          <w:lang w:eastAsia="en-AU"/>
        </w:rPr>
        <w:t>was used in studies submitted by the applicant as supporting evidence for the safety and health benefits of 2</w:t>
      </w:r>
      <w:r w:rsidR="00F3448F">
        <w:t>′-</w:t>
      </w:r>
      <w:r>
        <w:rPr>
          <w:lang w:eastAsia="en-AU"/>
        </w:rPr>
        <w:t>FL. S</w:t>
      </w:r>
      <w:r>
        <w:t>tructural data demonstrating the equivalence of</w:t>
      </w:r>
      <w:r w:rsidRPr="00463E0E">
        <w:rPr>
          <w:lang w:eastAsia="en-AU" w:bidi="ar-SA"/>
        </w:rPr>
        <w:t xml:space="preserve"> </w:t>
      </w:r>
      <w:r w:rsidR="00B04105">
        <w:rPr>
          <w:lang w:eastAsia="en-AU" w:bidi="ar-SA"/>
        </w:rPr>
        <w:t xml:space="preserve">the applicants </w:t>
      </w:r>
      <w:r w:rsidRPr="00463E0E">
        <w:rPr>
          <w:lang w:eastAsia="en-AU" w:bidi="ar-SA"/>
        </w:rPr>
        <w:t>2′-FL</w:t>
      </w:r>
      <w:r w:rsidRPr="00463E0E">
        <w:rPr>
          <w:vertAlign w:val="subscript"/>
          <w:lang w:eastAsia="en-AU" w:bidi="ar-SA"/>
        </w:rPr>
        <w:t>micro</w:t>
      </w:r>
      <w:r>
        <w:t xml:space="preserve"> and  </w:t>
      </w:r>
      <w:r w:rsidRPr="00463E0E">
        <w:rPr>
          <w:lang w:eastAsia="en-AU" w:bidi="ar-SA"/>
        </w:rPr>
        <w:t>2′-FL</w:t>
      </w:r>
      <w:r>
        <w:rPr>
          <w:vertAlign w:val="subscript"/>
          <w:lang w:eastAsia="en-AU" w:bidi="ar-SA"/>
        </w:rPr>
        <w:t>chem</w:t>
      </w:r>
      <w:r>
        <w:t xml:space="preserve"> was not provided. </w:t>
      </w:r>
      <w:r w:rsidRPr="00362DB8">
        <w:rPr>
          <w:lang w:eastAsia="en-AU" w:bidi="ar-SA"/>
        </w:rPr>
        <w:t xml:space="preserve">FSANZ has </w:t>
      </w:r>
      <w:r>
        <w:rPr>
          <w:lang w:eastAsia="en-AU" w:bidi="ar-SA"/>
        </w:rPr>
        <w:t>previ</w:t>
      </w:r>
      <w:r>
        <w:rPr>
          <w:lang w:eastAsia="en-AU" w:bidi="ar-SA"/>
        </w:rPr>
        <w:lastRenderedPageBreak/>
        <w:t>ously reviewed structural analyses</w:t>
      </w:r>
      <w:r w:rsidRPr="00362DB8">
        <w:rPr>
          <w:lang w:eastAsia="en-AU" w:bidi="ar-SA"/>
        </w:rPr>
        <w:t xml:space="preserve"> </w:t>
      </w:r>
      <w:r w:rsidRPr="00362DB8">
        <w:t xml:space="preserve">for </w:t>
      </w:r>
      <w:r w:rsidR="00F25E51">
        <w:t>2′-</w:t>
      </w:r>
      <w:r>
        <w:t>FL</w:t>
      </w:r>
      <w:r w:rsidRPr="00362DB8">
        <w:t xml:space="preserve"> derived from all three sources</w:t>
      </w:r>
      <w:r w:rsidRPr="00362DB8">
        <w:rPr>
          <w:lang w:eastAsia="en-AU" w:bidi="ar-SA"/>
        </w:rPr>
        <w:t xml:space="preserve"> and </w:t>
      </w:r>
      <w:r>
        <w:rPr>
          <w:lang w:eastAsia="en-AU" w:bidi="ar-SA"/>
        </w:rPr>
        <w:t>confirm</w:t>
      </w:r>
      <w:r w:rsidRPr="000623B7">
        <w:rPr>
          <w:lang w:eastAsia="en-AU" w:bidi="ar-SA"/>
        </w:rPr>
        <w:t xml:space="preserve">ed that </w:t>
      </w:r>
      <w:r w:rsidRPr="000623B7">
        <w:t>2′-FL</w:t>
      </w:r>
      <w:r w:rsidRPr="000623B7">
        <w:rPr>
          <w:vertAlign w:val="subscript"/>
          <w:lang w:eastAsia="en-AU"/>
        </w:rPr>
        <w:t>chem</w:t>
      </w:r>
      <w:r w:rsidRPr="000623B7">
        <w:rPr>
          <w:lang w:eastAsia="en-AU" w:bidi="ar-SA"/>
        </w:rPr>
        <w:t xml:space="preserve"> is chemically and structurally identical to the naturally occurring substances in human milk and 2′-FL</w:t>
      </w:r>
      <w:r w:rsidRPr="000623B7">
        <w:rPr>
          <w:vertAlign w:val="subscript"/>
          <w:lang w:eastAsia="en-AU" w:bidi="ar-SA"/>
        </w:rPr>
        <w:t>micro</w:t>
      </w:r>
      <w:r w:rsidRPr="000623B7">
        <w:rPr>
          <w:lang w:eastAsia="en-AU" w:bidi="ar-SA"/>
        </w:rPr>
        <w:t xml:space="preserve"> </w:t>
      </w:r>
      <w:r w:rsidRPr="000623B7">
        <w:rPr>
          <w:lang w:eastAsia="en-AU"/>
        </w:rPr>
        <w:t>(FSANZ</w:t>
      </w:r>
      <w:r w:rsidRPr="008153AE">
        <w:rPr>
          <w:lang w:eastAsia="en-AU"/>
        </w:rPr>
        <w:t xml:space="preserve"> 2019).</w:t>
      </w:r>
    </w:p>
    <w:p w14:paraId="0E54FECA" w14:textId="482FC930" w:rsidR="000368F6" w:rsidRDefault="000368F6" w:rsidP="000368F6">
      <w:pPr>
        <w:pStyle w:val="Heading2"/>
      </w:pPr>
      <w:bookmarkStart w:id="75" w:name="_Toc515634589"/>
      <w:bookmarkStart w:id="76" w:name="_Toc517451203"/>
      <w:bookmarkStart w:id="77" w:name="_Toc518397308"/>
      <w:bookmarkStart w:id="78" w:name="_Toc518400834"/>
      <w:bookmarkStart w:id="79" w:name="_Toc518475266"/>
      <w:bookmarkStart w:id="80" w:name="_Toc518478863"/>
      <w:bookmarkStart w:id="81" w:name="_Toc518995914"/>
      <w:bookmarkStart w:id="82" w:name="_Toc519260317"/>
      <w:bookmarkStart w:id="83" w:name="_Toc519260643"/>
      <w:bookmarkStart w:id="84" w:name="_Toc519607924"/>
      <w:bookmarkStart w:id="85" w:name="_Toc521418039"/>
      <w:bookmarkStart w:id="86" w:name="_Toc13219502"/>
      <w:bookmarkStart w:id="87" w:name="_Toc70675679"/>
      <w:bookmarkStart w:id="88" w:name="_Toc70675772"/>
      <w:bookmarkStart w:id="89" w:name="_Toc72480611"/>
      <w:r>
        <w:t>2.2</w:t>
      </w:r>
      <w:r w:rsidR="00EE1CC3">
        <w:t xml:space="preserve"> </w:t>
      </w:r>
      <w:r>
        <w:t>Analytical methods for detection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BF3D0F" w14:textId="7FBF58F9" w:rsidR="000368F6" w:rsidRDefault="000368F6" w:rsidP="000368F6">
      <w:pPr>
        <w:spacing w:after="120"/>
      </w:pPr>
      <w:r>
        <w:t>There are no internationally recognised methods for the analysis of 2′-FL. However there is a large body of information in the scientific literature on the separation, quantitation and characterisation of milk oligosaccharides (Grabarics et al. 2017). Appropriate analytical detection me</w:t>
      </w:r>
      <w:r w:rsidR="007530DB">
        <w:t xml:space="preserve">thods were developed by </w:t>
      </w:r>
      <w:r w:rsidR="00B04105">
        <w:t xml:space="preserve">the applicant </w:t>
      </w:r>
      <w:r>
        <w:t xml:space="preserve">and these were </w:t>
      </w:r>
      <w:r w:rsidR="007530DB">
        <w:t>provided</w:t>
      </w:r>
      <w:r>
        <w:t xml:space="preserve"> to FSANZ. The information provided included:</w:t>
      </w:r>
    </w:p>
    <w:p w14:paraId="5C9652B2" w14:textId="4DCA01F6" w:rsidR="000368F6" w:rsidRPr="000254AB" w:rsidRDefault="00883FBB" w:rsidP="000254AB">
      <w:pPr>
        <w:pStyle w:val="FSBullet1"/>
      </w:pPr>
      <w:r w:rsidRPr="000254AB">
        <w:t>d</w:t>
      </w:r>
      <w:r w:rsidR="000368F6" w:rsidRPr="000254AB">
        <w:t xml:space="preserve">etailed methods to determine carbohydrate </w:t>
      </w:r>
      <w:r w:rsidR="00E63172" w:rsidRPr="000254AB">
        <w:t>composition</w:t>
      </w:r>
      <w:r w:rsidR="000368F6" w:rsidRPr="000254AB">
        <w:t xml:space="preserve"> using LC-MS/MS, high performance liquid chromatography (HPLC) and HPAEC-PAD. These methods are well established techniques for the analysis of oligosaccharides with sensitivity to ensure that degradation product</w:t>
      </w:r>
      <w:r w:rsidR="001F7A1C" w:rsidRPr="000254AB">
        <w:t xml:space="preserve">s and contaminants </w:t>
      </w:r>
      <w:r w:rsidR="007530DB" w:rsidRPr="000254AB">
        <w:t>can be</w:t>
      </w:r>
      <w:r w:rsidR="001F7A1C" w:rsidRPr="000254AB">
        <w:t xml:space="preserve"> detected</w:t>
      </w:r>
    </w:p>
    <w:p w14:paraId="0DEF6663" w14:textId="23253FB3" w:rsidR="000368F6" w:rsidRPr="000254AB" w:rsidRDefault="00883FBB" w:rsidP="000254AB">
      <w:pPr>
        <w:pStyle w:val="FSBullet1"/>
      </w:pPr>
      <w:r w:rsidRPr="000254AB">
        <w:t>d</w:t>
      </w:r>
      <w:r w:rsidR="000368F6" w:rsidRPr="000254AB">
        <w:t>etails including reagents, reference materials and standards, solution preparation, run parameters and procedures, evaluation, calculations, and typical chromatograms</w:t>
      </w:r>
    </w:p>
    <w:p w14:paraId="5776BB47" w14:textId="11F8C935" w:rsidR="001F7A1C" w:rsidRPr="000254AB" w:rsidRDefault="00883FBB" w:rsidP="000254AB">
      <w:pPr>
        <w:pStyle w:val="FSBullet1"/>
      </w:pPr>
      <w:r w:rsidRPr="000254AB">
        <w:t>d</w:t>
      </w:r>
      <w:r w:rsidR="000368F6" w:rsidRPr="000254AB">
        <w:t xml:space="preserve">escription of analytical procedures to assay for carbohydrate impurities listed in the specification (see </w:t>
      </w:r>
      <w:hyperlink w:anchor="_2.3.2_Information_on" w:history="1">
        <w:r w:rsidR="0048242F" w:rsidRPr="000254AB">
          <w:rPr>
            <w:rStyle w:val="Hyperlink"/>
            <w:color w:val="auto"/>
            <w:u w:val="none"/>
          </w:rPr>
          <w:t>S</w:t>
        </w:r>
        <w:r w:rsidR="000368F6" w:rsidRPr="000254AB">
          <w:rPr>
            <w:rStyle w:val="Hyperlink"/>
            <w:color w:val="auto"/>
            <w:u w:val="none"/>
          </w:rPr>
          <w:t>ection 2.3.2</w:t>
        </w:r>
      </w:hyperlink>
      <w:r w:rsidR="000368F6" w:rsidRPr="000254AB">
        <w:t>)</w:t>
      </w:r>
    </w:p>
    <w:p w14:paraId="52B9C73B" w14:textId="0A73F8A4" w:rsidR="000368F6" w:rsidRPr="000254AB" w:rsidRDefault="00883FBB" w:rsidP="000254AB">
      <w:pPr>
        <w:pStyle w:val="FSBullet1"/>
      </w:pPr>
      <w:r w:rsidRPr="000254AB">
        <w:t>q</w:t>
      </w:r>
      <w:r w:rsidR="000368F6" w:rsidRPr="000254AB">
        <w:t>uantification of 2′-FL in infant formula (conducted by a 3rd party laboratory).</w:t>
      </w:r>
    </w:p>
    <w:p w14:paraId="3C1D1154" w14:textId="7623B562" w:rsidR="000368F6" w:rsidRDefault="000368F6" w:rsidP="000368F6">
      <w:r>
        <w:t xml:space="preserve">Batch analyses were conducted </w:t>
      </w:r>
      <w:r w:rsidR="007530DB">
        <w:t>by the applicant or by an accredited</w:t>
      </w:r>
      <w:r>
        <w:t xml:space="preserve"> analytical laboratory. The </w:t>
      </w:r>
      <w:r w:rsidR="007530DB">
        <w:t>analyses</w:t>
      </w:r>
      <w:r>
        <w:t xml:space="preserve"> demonstrated that 2′-FL</w:t>
      </w:r>
      <w:r w:rsidRPr="00E45909">
        <w:rPr>
          <w:vertAlign w:val="subscript"/>
        </w:rPr>
        <w:t>micro</w:t>
      </w:r>
      <w:r>
        <w:t xml:space="preserve"> can be manufactured and assayed to a purity that would be consistent with the specifications proposed by the applicant (see </w:t>
      </w:r>
      <w:hyperlink w:anchor="_2.4_Product_specifications" w:history="1">
        <w:r w:rsidRPr="00360C17">
          <w:rPr>
            <w:rStyle w:val="Hyperlink"/>
          </w:rPr>
          <w:t>Section</w:t>
        </w:r>
        <w:r w:rsidR="00360C17" w:rsidRPr="00360C17">
          <w:rPr>
            <w:rStyle w:val="Hyperlink"/>
          </w:rPr>
          <w:t xml:space="preserve"> 2</w:t>
        </w:r>
        <w:r w:rsidRPr="00360C17">
          <w:rPr>
            <w:rStyle w:val="Hyperlink"/>
          </w:rPr>
          <w:t>.4</w:t>
        </w:r>
      </w:hyperlink>
      <w:r>
        <w:t>).</w:t>
      </w:r>
    </w:p>
    <w:p w14:paraId="422E96C3" w14:textId="2E887B9A" w:rsidR="000368F6" w:rsidRDefault="000368F6" w:rsidP="000368F6">
      <w:pPr>
        <w:pStyle w:val="Heading2"/>
      </w:pPr>
      <w:bookmarkStart w:id="90" w:name="_Toc515634590"/>
      <w:bookmarkStart w:id="91" w:name="_Toc517451204"/>
      <w:bookmarkStart w:id="92" w:name="_Toc518397309"/>
      <w:bookmarkStart w:id="93" w:name="_Toc518400835"/>
      <w:bookmarkStart w:id="94" w:name="_Toc518475267"/>
      <w:bookmarkStart w:id="95" w:name="_Toc518478864"/>
      <w:bookmarkStart w:id="96" w:name="_Toc518995915"/>
      <w:bookmarkStart w:id="97" w:name="_Toc519260318"/>
      <w:bookmarkStart w:id="98" w:name="_Toc519260644"/>
      <w:bookmarkStart w:id="99" w:name="_Toc519607925"/>
      <w:bookmarkStart w:id="100" w:name="_Toc521418040"/>
      <w:bookmarkStart w:id="101" w:name="_Toc13219503"/>
      <w:bookmarkStart w:id="102" w:name="_Toc70675680"/>
      <w:bookmarkStart w:id="103" w:name="_Toc70675773"/>
      <w:bookmarkStart w:id="104" w:name="_Toc72480612"/>
      <w:r>
        <w:t>2.3</w:t>
      </w:r>
      <w:r w:rsidR="00EE1CC3">
        <w:t xml:space="preserve"> </w:t>
      </w:r>
      <w:r>
        <w:t>Manufacturing processes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1C453DD" w14:textId="6D97E75D" w:rsidR="00844B12" w:rsidRDefault="00844B12" w:rsidP="00844B12">
      <w:pPr>
        <w:pStyle w:val="Heading3"/>
      </w:pPr>
      <w:r>
        <w:t xml:space="preserve">2.3.1 </w:t>
      </w:r>
      <w:r w:rsidR="0092558B">
        <w:t>Fermentation and purification</w:t>
      </w:r>
    </w:p>
    <w:p w14:paraId="105A891D" w14:textId="16139299" w:rsidR="000368F6" w:rsidRDefault="000368F6" w:rsidP="000368F6">
      <w:r>
        <w:t>2′-FL</w:t>
      </w:r>
      <w:r w:rsidRPr="00E45909">
        <w:rPr>
          <w:vertAlign w:val="subscript"/>
        </w:rPr>
        <w:t>micro</w:t>
      </w:r>
      <w:r>
        <w:t xml:space="preserve"> </w:t>
      </w:r>
      <w:r w:rsidRPr="00E45909">
        <w:t xml:space="preserve">is manufactured via </w:t>
      </w:r>
      <w:r>
        <w:t>batch fermentation</w:t>
      </w:r>
      <w:r w:rsidR="005971B2">
        <w:t>,</w:t>
      </w:r>
      <w:r w:rsidR="00820A2C">
        <w:t xml:space="preserve"> using glycerol as the primary carbon source. The production organism is</w:t>
      </w:r>
      <w:r w:rsidRPr="00E45909">
        <w:t xml:space="preserve"> a </w:t>
      </w:r>
      <w:r>
        <w:t>GM</w:t>
      </w:r>
      <w:r w:rsidRPr="00E45909">
        <w:t xml:space="preserve"> </w:t>
      </w:r>
      <w:r>
        <w:t>s</w:t>
      </w:r>
      <w:r w:rsidRPr="00E45909">
        <w:t xml:space="preserve">train of </w:t>
      </w:r>
      <w:r w:rsidRPr="00021C19">
        <w:rPr>
          <w:i/>
        </w:rPr>
        <w:t xml:space="preserve">E. coli </w:t>
      </w:r>
      <w:r w:rsidR="007530DB">
        <w:t>BL21</w:t>
      </w:r>
      <w:r w:rsidR="00B07647">
        <w:t>(DE3)</w:t>
      </w:r>
      <w:r w:rsidR="007530DB">
        <w:t xml:space="preserve"> </w:t>
      </w:r>
      <w:r>
        <w:t xml:space="preserve">(See </w:t>
      </w:r>
      <w:hyperlink w:anchor="_3_Safety_assessment" w:history="1">
        <w:r w:rsidRPr="009C3B0F">
          <w:rPr>
            <w:rStyle w:val="Hyperlink"/>
          </w:rPr>
          <w:t>Section 3</w:t>
        </w:r>
      </w:hyperlink>
      <w:r>
        <w:t>). Microbial fermentation is a well established method for the production of food and food grade ingredients.</w:t>
      </w:r>
    </w:p>
    <w:p w14:paraId="5FCAD488" w14:textId="058034E0" w:rsidR="000368F6" w:rsidRPr="007879F9" w:rsidRDefault="000368F6" w:rsidP="000368F6">
      <w:pPr>
        <w:autoSpaceDE w:val="0"/>
        <w:autoSpaceDN w:val="0"/>
        <w:adjustRightInd w:val="0"/>
        <w:rPr>
          <w:rFonts w:cs="Arial"/>
          <w:szCs w:val="22"/>
          <w:lang w:eastAsia="en-GB" w:bidi="ar-SA"/>
        </w:rPr>
      </w:pPr>
      <w:r w:rsidRPr="007879F9">
        <w:rPr>
          <w:rFonts w:cs="Arial"/>
          <w:szCs w:val="22"/>
          <w:lang w:eastAsia="en-GB" w:bidi="ar-SA"/>
        </w:rPr>
        <w:t>After the f</w:t>
      </w:r>
      <w:r w:rsidR="007530DB">
        <w:rPr>
          <w:rFonts w:cs="Arial"/>
          <w:szCs w:val="22"/>
          <w:lang w:eastAsia="en-GB" w:bidi="ar-SA"/>
        </w:rPr>
        <w:t>ermentation process is complete</w:t>
      </w:r>
      <w:r w:rsidRPr="007879F9">
        <w:rPr>
          <w:rFonts w:cs="Arial"/>
          <w:szCs w:val="22"/>
          <w:lang w:eastAsia="en-GB" w:bidi="ar-SA"/>
        </w:rPr>
        <w:t xml:space="preserve">, bacterial cells are separated from the medium and </w:t>
      </w:r>
      <w:r w:rsidR="001700EB">
        <w:rPr>
          <w:rFonts w:cs="Arial"/>
          <w:szCs w:val="22"/>
          <w:lang w:eastAsia="en-GB" w:bidi="ar-SA"/>
        </w:rPr>
        <w:t>the</w:t>
      </w:r>
      <w:r w:rsidRPr="007879F9">
        <w:rPr>
          <w:rFonts w:cs="Arial"/>
          <w:szCs w:val="22"/>
          <w:lang w:eastAsia="en-GB" w:bidi="ar-SA"/>
        </w:rPr>
        <w:t xml:space="preserve"> </w:t>
      </w:r>
      <w:r w:rsidR="00F25E51">
        <w:rPr>
          <w:rFonts w:cs="Arial"/>
          <w:szCs w:val="22"/>
          <w:lang w:eastAsia="en-GB" w:bidi="ar-SA"/>
        </w:rPr>
        <w:t>2′-</w:t>
      </w:r>
      <w:r w:rsidR="007530DB">
        <w:rPr>
          <w:rFonts w:cs="Arial"/>
          <w:szCs w:val="22"/>
          <w:lang w:eastAsia="en-GB" w:bidi="ar-SA"/>
        </w:rPr>
        <w:t xml:space="preserve">FL is purified from the fermentation medium using a variety of </w:t>
      </w:r>
      <w:r w:rsidRPr="007879F9">
        <w:rPr>
          <w:rFonts w:cs="Arial"/>
          <w:szCs w:val="22"/>
          <w:lang w:eastAsia="en-GB" w:bidi="ar-SA"/>
        </w:rPr>
        <w:t xml:space="preserve">purification steps </w:t>
      </w:r>
      <w:r w:rsidR="001700EB">
        <w:rPr>
          <w:rFonts w:cs="Arial"/>
          <w:szCs w:val="22"/>
        </w:rPr>
        <w:t>involving sequential filtration and chromatographic procedures</w:t>
      </w:r>
      <w:r w:rsidR="00820A2C">
        <w:rPr>
          <w:rFonts w:cs="Arial"/>
          <w:szCs w:val="22"/>
        </w:rPr>
        <w:t xml:space="preserve"> (</w:t>
      </w:r>
      <w:hyperlink w:anchor="Figure2_2" w:history="1">
        <w:r w:rsidRPr="009C3B0F">
          <w:rPr>
            <w:rStyle w:val="Hyperlink"/>
          </w:rPr>
          <w:t>Figure 2.2</w:t>
        </w:r>
      </w:hyperlink>
      <w:r>
        <w:t>)</w:t>
      </w:r>
      <w:r w:rsidRPr="007879F9">
        <w:rPr>
          <w:rFonts w:cs="Arial"/>
          <w:szCs w:val="22"/>
          <w:lang w:eastAsia="en-GB" w:bidi="ar-SA"/>
        </w:rPr>
        <w:t>.</w:t>
      </w:r>
    </w:p>
    <w:p w14:paraId="044024AD" w14:textId="54CCC791" w:rsidR="007530DB" w:rsidRDefault="000368F6" w:rsidP="000368F6">
      <w:r>
        <w:t xml:space="preserve">The applicant provided </w:t>
      </w:r>
      <w:r w:rsidR="007530DB">
        <w:t xml:space="preserve">full </w:t>
      </w:r>
      <w:r>
        <w:t xml:space="preserve">details of their manufacturing </w:t>
      </w:r>
      <w:r w:rsidR="007530DB">
        <w:t xml:space="preserve">and purification </w:t>
      </w:r>
      <w:r>
        <w:t>process</w:t>
      </w:r>
      <w:r w:rsidR="007530DB">
        <w:t>es,</w:t>
      </w:r>
      <w:r>
        <w:t xml:space="preserve"> including</w:t>
      </w:r>
      <w:r w:rsidDel="00070384">
        <w:t xml:space="preserve"> </w:t>
      </w:r>
      <w:r w:rsidR="007530DB">
        <w:t>identification</w:t>
      </w:r>
      <w:r>
        <w:t xml:space="preserve"> of the raw materials and processing aids, the production organisms, </w:t>
      </w:r>
      <w:r w:rsidR="007530DB">
        <w:t xml:space="preserve">methodology </w:t>
      </w:r>
      <w:r w:rsidR="00446CF7">
        <w:t>f</w:t>
      </w:r>
      <w:r w:rsidR="007530DB">
        <w:t>o</w:t>
      </w:r>
      <w:r w:rsidR="00446CF7">
        <w:t>r</w:t>
      </w:r>
      <w:r w:rsidR="007530DB">
        <w:t xml:space="preserve"> the </w:t>
      </w:r>
      <w:r>
        <w:t>purification and isolation steps, and quality controls.</w:t>
      </w:r>
      <w:r w:rsidR="00794D6D">
        <w:t xml:space="preserve"> Detailed information cannot be specified in this assessment as it is considered confidential commercial information (CCI).</w:t>
      </w:r>
    </w:p>
    <w:p w14:paraId="1D6ED0A2" w14:textId="01E33710" w:rsidR="000368F6" w:rsidRPr="00E87131" w:rsidRDefault="001700EB" w:rsidP="000368F6">
      <w:pPr>
        <w:jc w:val="center"/>
        <w:rPr>
          <w:lang w:eastAsia="en-AU" w:bidi="ar-SA"/>
        </w:rPr>
      </w:pPr>
      <w:r w:rsidRPr="001700EB">
        <w:rPr>
          <w:noProof/>
          <w:lang w:eastAsia="en-GB" w:bidi="ar-SA"/>
        </w:rPr>
        <w:lastRenderedPageBreak/>
        <w:drawing>
          <wp:inline distT="0" distB="0" distL="0" distR="0" wp14:anchorId="04C40B73" wp14:editId="6FF7FBD1">
            <wp:extent cx="3215919" cy="459525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15919" cy="4595258"/>
                    </a:xfrm>
                    <a:prstGeom prst="rect">
                      <a:avLst/>
                    </a:prstGeom>
                  </pic:spPr>
                </pic:pic>
              </a:graphicData>
            </a:graphic>
          </wp:inline>
        </w:drawing>
      </w:r>
    </w:p>
    <w:p w14:paraId="1393E365" w14:textId="416B055A" w:rsidR="000368F6" w:rsidRDefault="000368F6" w:rsidP="001700EB">
      <w:pPr>
        <w:pStyle w:val="FSTableFigureHeading"/>
        <w:spacing w:after="0"/>
        <w:jc w:val="center"/>
        <w:rPr>
          <w:i w:val="0"/>
        </w:rPr>
      </w:pPr>
      <w:bookmarkStart w:id="105" w:name="Figure2_2"/>
      <w:r w:rsidRPr="007038CA">
        <w:t xml:space="preserve">Figure </w:t>
      </w:r>
      <w:r w:rsidRPr="00E67D7F">
        <w:t>2</w:t>
      </w:r>
      <w:r w:rsidRPr="007038CA">
        <w:t>.2</w:t>
      </w:r>
      <w:bookmarkEnd w:id="105"/>
      <w:r w:rsidRPr="007038CA">
        <w:tab/>
      </w:r>
      <w:r w:rsidR="00820A2C">
        <w:rPr>
          <w:b w:val="0"/>
        </w:rPr>
        <w:t>Purification</w:t>
      </w:r>
      <w:r w:rsidRPr="00976261">
        <w:rPr>
          <w:b w:val="0"/>
        </w:rPr>
        <w:t xml:space="preserve"> process for 2′-FL</w:t>
      </w:r>
      <w:r w:rsidRPr="00976261">
        <w:rPr>
          <w:b w:val="0"/>
          <w:vertAlign w:val="subscript"/>
        </w:rPr>
        <w:t>micro</w:t>
      </w:r>
    </w:p>
    <w:p w14:paraId="7B2B36C7" w14:textId="77777777" w:rsidR="001700EB" w:rsidRDefault="001700EB" w:rsidP="000368F6">
      <w:pPr>
        <w:pStyle w:val="Heading3"/>
      </w:pPr>
      <w:bookmarkStart w:id="106" w:name="_2.3.2_Information_on"/>
      <w:bookmarkEnd w:id="106"/>
    </w:p>
    <w:p w14:paraId="2B874407" w14:textId="3F9967AD" w:rsidR="000368F6" w:rsidRDefault="00360C17" w:rsidP="000368F6">
      <w:pPr>
        <w:pStyle w:val="Heading3"/>
      </w:pPr>
      <w:r>
        <w:t xml:space="preserve">2.3.2 </w:t>
      </w:r>
      <w:r w:rsidR="00446CF7">
        <w:t>F</w:t>
      </w:r>
      <w:r w:rsidR="00CF0F64">
        <w:t>ermentation-</w:t>
      </w:r>
      <w:r w:rsidR="00446CF7">
        <w:t>derived contaminants</w:t>
      </w:r>
    </w:p>
    <w:p w14:paraId="438F6BFA" w14:textId="0A757EC1" w:rsidR="000368F6" w:rsidRDefault="004A6891" w:rsidP="00A739F8">
      <w:r>
        <w:t>T</w:t>
      </w:r>
      <w:r w:rsidR="000368F6">
        <w:t>he final 2′-FL</w:t>
      </w:r>
      <w:r w:rsidR="000368F6" w:rsidRPr="001E0147">
        <w:rPr>
          <w:vertAlign w:val="subscript"/>
          <w:lang w:eastAsia="en-AU"/>
        </w:rPr>
        <w:t>micro</w:t>
      </w:r>
      <w:r w:rsidR="000368F6">
        <w:rPr>
          <w:lang w:eastAsia="en-AU"/>
        </w:rPr>
        <w:t xml:space="preserve"> </w:t>
      </w:r>
      <w:r w:rsidR="00A739F8">
        <w:rPr>
          <w:lang w:eastAsia="en-AU"/>
        </w:rPr>
        <w:t>product was</w:t>
      </w:r>
      <w:r>
        <w:rPr>
          <w:lang w:eastAsia="en-AU"/>
        </w:rPr>
        <w:t xml:space="preserve"> </w:t>
      </w:r>
      <w:r w:rsidR="00820A2C">
        <w:rPr>
          <w:lang w:eastAsia="en-AU"/>
        </w:rPr>
        <w:t xml:space="preserve">analysed to </w:t>
      </w:r>
      <w:r w:rsidR="00446CF7">
        <w:rPr>
          <w:lang w:eastAsia="en-AU"/>
        </w:rPr>
        <w:t xml:space="preserve">determine if there were any </w:t>
      </w:r>
      <w:r w:rsidR="00EE41E1">
        <w:t>fermentation</w:t>
      </w:r>
      <w:r w:rsidR="000368F6">
        <w:t>-related contaminants</w:t>
      </w:r>
      <w:r w:rsidR="00446CF7">
        <w:t xml:space="preserve">. This </w:t>
      </w:r>
      <w:r w:rsidR="00095AA2">
        <w:t>included</w:t>
      </w:r>
      <w:r w:rsidR="000368F6">
        <w:t xml:space="preserve"> bacterial DNA</w:t>
      </w:r>
      <w:r w:rsidR="00516761">
        <w:t>,</w:t>
      </w:r>
      <w:r w:rsidR="000368F6">
        <w:t xml:space="preserve"> </w:t>
      </w:r>
      <w:r w:rsidR="00A739F8">
        <w:t xml:space="preserve">protein </w:t>
      </w:r>
      <w:r w:rsidR="00516761">
        <w:t>and</w:t>
      </w:r>
      <w:r w:rsidR="00446CF7">
        <w:t xml:space="preserve"> </w:t>
      </w:r>
      <w:r w:rsidR="00A739F8">
        <w:t xml:space="preserve">microbial </w:t>
      </w:r>
      <w:r w:rsidR="000368F6">
        <w:t>toxins</w:t>
      </w:r>
      <w:r w:rsidR="00446CF7">
        <w:t xml:space="preserve">, such as </w:t>
      </w:r>
      <w:r w:rsidR="00446CF7" w:rsidRPr="00CF0F64">
        <w:rPr>
          <w:i/>
        </w:rPr>
        <w:t>E.</w:t>
      </w:r>
      <w:r w:rsidR="00D01A35">
        <w:rPr>
          <w:i/>
        </w:rPr>
        <w:t> </w:t>
      </w:r>
      <w:r w:rsidR="00446CF7" w:rsidRPr="00CF0F64">
        <w:rPr>
          <w:i/>
        </w:rPr>
        <w:t>coli</w:t>
      </w:r>
      <w:r w:rsidR="00446CF7">
        <w:t xml:space="preserve">-derived endotoxin and </w:t>
      </w:r>
      <w:r w:rsidR="00CF0F64">
        <w:t>fungal-derived aflatoxin, which could indicate contamination of the fermentation system</w:t>
      </w:r>
      <w:r w:rsidR="000368F6">
        <w:t xml:space="preserve">. </w:t>
      </w:r>
      <w:r w:rsidR="00C704BC">
        <w:t>B</w:t>
      </w:r>
      <w:r>
        <w:t xml:space="preserve">acterial DNA was </w:t>
      </w:r>
      <w:r w:rsidR="00C704BC">
        <w:t>measured</w:t>
      </w:r>
      <w:r>
        <w:t xml:space="preserve"> </w:t>
      </w:r>
      <w:r w:rsidR="00A739F8">
        <w:t xml:space="preserve">using </w:t>
      </w:r>
      <w:r w:rsidR="00A739F8" w:rsidRPr="00E568AC">
        <w:t>a qu</w:t>
      </w:r>
      <w:r w:rsidR="00A739F8">
        <w:t>antitative PCR method</w:t>
      </w:r>
      <w:r w:rsidR="00820A2C">
        <w:t xml:space="preserve"> with an </w:t>
      </w:r>
      <w:r w:rsidR="00A426EB">
        <w:t>LOD &lt; 9 x 10</w:t>
      </w:r>
      <w:r w:rsidR="00A426EB" w:rsidRPr="00A426EB">
        <w:rPr>
          <w:vertAlign w:val="superscript"/>
        </w:rPr>
        <w:t>5</w:t>
      </w:r>
      <w:r w:rsidR="00A426EB">
        <w:t xml:space="preserve"> ng/</w:t>
      </w:r>
      <w:r w:rsidR="00A426EB">
        <w:rPr>
          <w:rFonts w:cs="Arial"/>
        </w:rPr>
        <w:t>µ</w:t>
      </w:r>
      <w:r w:rsidR="00A426EB">
        <w:t>l</w:t>
      </w:r>
      <w:r w:rsidR="00A739F8">
        <w:t xml:space="preserve"> DNA</w:t>
      </w:r>
      <w:r w:rsidR="00820A2C">
        <w:t xml:space="preserve">. </w:t>
      </w:r>
      <w:r w:rsidR="00C704BC">
        <w:t>P</w:t>
      </w:r>
      <w:r w:rsidR="00A739F8">
        <w:t xml:space="preserve">rotein was </w:t>
      </w:r>
      <w:r w:rsidR="00C704BC">
        <w:t>analysed</w:t>
      </w:r>
      <w:r w:rsidR="00435213">
        <w:t xml:space="preserve"> </w:t>
      </w:r>
      <w:r w:rsidR="00356E3A">
        <w:t xml:space="preserve">using </w:t>
      </w:r>
      <w:r w:rsidR="00A739F8">
        <w:t>a quantitative modified Bradford assay</w:t>
      </w:r>
      <w:r w:rsidR="00356E3A">
        <w:t xml:space="preserve">, with an LOD = </w:t>
      </w:r>
      <w:r w:rsidR="00A739F8">
        <w:t xml:space="preserve">100 </w:t>
      </w:r>
      <w:r w:rsidR="00A739F8">
        <w:rPr>
          <w:rFonts w:cs="Arial"/>
        </w:rPr>
        <w:t>µ</w:t>
      </w:r>
      <w:r w:rsidR="00A739F8">
        <w:t>g/g. The microbial toxins e</w:t>
      </w:r>
      <w:r w:rsidR="000368F6">
        <w:t xml:space="preserve">ndotoxin </w:t>
      </w:r>
      <w:r w:rsidR="000368F6" w:rsidRPr="008E27EC">
        <w:t xml:space="preserve">and aflatoxin </w:t>
      </w:r>
      <w:r w:rsidR="000368F6">
        <w:t xml:space="preserve">were </w:t>
      </w:r>
      <w:r w:rsidR="00356E3A">
        <w:t>measured</w:t>
      </w:r>
      <w:r w:rsidR="000368F6">
        <w:t xml:space="preserve"> using inte</w:t>
      </w:r>
      <w:r w:rsidR="00A739F8">
        <w:t>rnationally recognised methods.</w:t>
      </w:r>
      <w:r w:rsidR="00356E3A">
        <w:t xml:space="preserve"> The results from these analyses showed that there was no bacterial DNA, protein or microbial toxins in the final product.</w:t>
      </w:r>
    </w:p>
    <w:p w14:paraId="702E1CC6" w14:textId="46C2AD62" w:rsidR="000368F6" w:rsidRPr="00E721A9" w:rsidRDefault="00CF0F64" w:rsidP="000368F6">
      <w:pPr>
        <w:rPr>
          <w:rFonts w:cs="Arial"/>
          <w:szCs w:val="20"/>
          <w:lang w:eastAsia="en-AU"/>
        </w:rPr>
      </w:pPr>
      <w:r>
        <w:t xml:space="preserve">During the fermentation process, it is expected that other carbohydrates will be produced or will remain in the fermentation medium. </w:t>
      </w:r>
      <w:r w:rsidR="006D28EA">
        <w:t>The p</w:t>
      </w:r>
      <w:r w:rsidR="00A739F8">
        <w:t xml:space="preserve">resence of </w:t>
      </w:r>
      <w:r>
        <w:t xml:space="preserve">these </w:t>
      </w:r>
      <w:r w:rsidR="00A739F8">
        <w:t>other carbohydrates was determine</w:t>
      </w:r>
      <w:r w:rsidR="006D28EA">
        <w:t>d</w:t>
      </w:r>
      <w:r w:rsidR="00A739F8">
        <w:t xml:space="preserve"> by </w:t>
      </w:r>
      <w:r w:rsidR="000368F6">
        <w:rPr>
          <w:lang w:eastAsia="en-AU"/>
        </w:rPr>
        <w:t>chromatographic and mass spectrometry techniques</w:t>
      </w:r>
      <w:r w:rsidR="00A739F8">
        <w:rPr>
          <w:lang w:eastAsia="en-AU"/>
        </w:rPr>
        <w:t xml:space="preserve">. </w:t>
      </w:r>
      <w:r>
        <w:rPr>
          <w:lang w:eastAsia="en-AU"/>
        </w:rPr>
        <w:t>These analyses identified a</w:t>
      </w:r>
      <w:r w:rsidR="004A6891">
        <w:rPr>
          <w:lang w:eastAsia="en-AU"/>
        </w:rPr>
        <w:t xml:space="preserve"> mixture of carbohydrates </w:t>
      </w:r>
      <w:r w:rsidR="00A739F8">
        <w:rPr>
          <w:lang w:eastAsia="en-AU"/>
        </w:rPr>
        <w:t>including</w:t>
      </w:r>
      <w:r>
        <w:rPr>
          <w:lang w:eastAsia="en-AU"/>
        </w:rPr>
        <w:t>: 3</w:t>
      </w:r>
      <w:r w:rsidR="00520E42" w:rsidRPr="00980EEB">
        <w:rPr>
          <w:lang w:eastAsia="en-AU"/>
        </w:rPr>
        <w:t>′</w:t>
      </w:r>
      <w:r>
        <w:rPr>
          <w:lang w:eastAsia="en-AU"/>
        </w:rPr>
        <w:t>-</w:t>
      </w:r>
      <w:r w:rsidR="000368F6" w:rsidRPr="003F49A6">
        <w:rPr>
          <w:lang w:eastAsia="en-AU"/>
        </w:rPr>
        <w:t>fucosyllactose</w:t>
      </w:r>
      <w:r w:rsidR="000368F6">
        <w:rPr>
          <w:lang w:eastAsia="en-AU"/>
        </w:rPr>
        <w:t xml:space="preserve">, </w:t>
      </w:r>
      <w:r w:rsidR="000368F6">
        <w:t>difucosyllactose, lactose, fucose and galactose</w:t>
      </w:r>
      <w:r w:rsidR="00A739F8">
        <w:t xml:space="preserve">. These </w:t>
      </w:r>
      <w:r w:rsidR="000368F6">
        <w:t>are naturally occurring carbohydrates</w:t>
      </w:r>
      <w:r w:rsidR="00A739F8">
        <w:t xml:space="preserve"> found</w:t>
      </w:r>
      <w:r w:rsidR="000368F6">
        <w:t xml:space="preserve"> in human milk (Asakuma et al</w:t>
      </w:r>
      <w:r w:rsidR="005971B2">
        <w:t>.</w:t>
      </w:r>
      <w:r w:rsidR="000368F6">
        <w:t xml:space="preserve"> 2008; Thurl et al</w:t>
      </w:r>
      <w:r w:rsidR="005971B2">
        <w:t>.</w:t>
      </w:r>
      <w:r w:rsidR="000368F6">
        <w:t xml:space="preserve"> 1996).</w:t>
      </w:r>
      <w:r w:rsidR="000368F6">
        <w:rPr>
          <w:lang w:eastAsia="en-AU"/>
        </w:rPr>
        <w:t xml:space="preserve"> Fucosyl-galactose, a naturally occurring breakdown product of </w:t>
      </w:r>
      <w:r w:rsidR="00F25E51">
        <w:rPr>
          <w:lang w:eastAsia="en-AU"/>
        </w:rPr>
        <w:t>2′-</w:t>
      </w:r>
      <w:r w:rsidR="000368F6">
        <w:rPr>
          <w:lang w:eastAsia="en-AU"/>
        </w:rPr>
        <w:t>FL was also detected and quantified. Results from m</w:t>
      </w:r>
      <w:r w:rsidR="000368F6" w:rsidRPr="00980EEB">
        <w:rPr>
          <w:lang w:eastAsia="en-AU"/>
        </w:rPr>
        <w:t>ultiple batch analyses of the final isolated 2′-</w:t>
      </w:r>
      <w:r w:rsidR="000368F6" w:rsidRPr="00980EEB">
        <w:rPr>
          <w:lang w:eastAsia="en-AU"/>
        </w:rPr>
        <w:lastRenderedPageBreak/>
        <w:t>FL</w:t>
      </w:r>
      <w:r w:rsidR="000368F6" w:rsidRPr="00FB2DC0">
        <w:rPr>
          <w:vertAlign w:val="subscript"/>
          <w:lang w:eastAsia="en-AU"/>
        </w:rPr>
        <w:t>micro</w:t>
      </w:r>
      <w:r w:rsidR="000368F6" w:rsidRPr="00980EEB">
        <w:rPr>
          <w:lang w:eastAsia="en-AU"/>
        </w:rPr>
        <w:t xml:space="preserve"> </w:t>
      </w:r>
      <w:r w:rsidR="000368F6">
        <w:rPr>
          <w:lang w:eastAsia="en-AU"/>
        </w:rPr>
        <w:t xml:space="preserve">demonstrate that amounts of these </w:t>
      </w:r>
      <w:r w:rsidR="005714DC">
        <w:rPr>
          <w:lang w:eastAsia="en-AU"/>
        </w:rPr>
        <w:t>carbohydrat</w:t>
      </w:r>
      <w:r w:rsidR="000368F6">
        <w:rPr>
          <w:lang w:eastAsia="en-AU"/>
        </w:rPr>
        <w:t>es were consistently within the specifications proposed by the applicant</w:t>
      </w:r>
      <w:r w:rsidR="008A2508">
        <w:rPr>
          <w:lang w:eastAsia="en-AU"/>
        </w:rPr>
        <w:t>.</w:t>
      </w:r>
    </w:p>
    <w:p w14:paraId="3412D8A8" w14:textId="2148421B" w:rsidR="000368F6" w:rsidRDefault="00360C17" w:rsidP="000368F6">
      <w:pPr>
        <w:pStyle w:val="Heading3"/>
      </w:pPr>
      <w:bookmarkStart w:id="107" w:name="_Toc515634593"/>
      <w:bookmarkStart w:id="108" w:name="_Toc517451207"/>
      <w:bookmarkStart w:id="109" w:name="_Toc518397312"/>
      <w:bookmarkStart w:id="110" w:name="_Toc518400838"/>
      <w:bookmarkStart w:id="111" w:name="_Toc518475270"/>
      <w:bookmarkStart w:id="112" w:name="_Toc518478867"/>
      <w:bookmarkStart w:id="113" w:name="_Toc518995918"/>
      <w:bookmarkStart w:id="114" w:name="_Toc519260321"/>
      <w:bookmarkStart w:id="115" w:name="_Toc519260647"/>
      <w:bookmarkStart w:id="116" w:name="_Toc519607928"/>
      <w:bookmarkStart w:id="117" w:name="_Toc521418043"/>
      <w:bookmarkStart w:id="118" w:name="_Toc13219506"/>
      <w:r>
        <w:t xml:space="preserve">2.3.3 </w:t>
      </w:r>
      <w:r w:rsidR="000368F6">
        <w:t>Stability</w:t>
      </w:r>
      <w:bookmarkEnd w:id="107"/>
      <w:bookmarkEnd w:id="108"/>
      <w:bookmarkEnd w:id="109"/>
      <w:bookmarkEnd w:id="110"/>
      <w:bookmarkEnd w:id="111"/>
      <w:bookmarkEnd w:id="112"/>
      <w:bookmarkEnd w:id="113"/>
      <w:bookmarkEnd w:id="114"/>
      <w:bookmarkEnd w:id="115"/>
      <w:bookmarkEnd w:id="116"/>
      <w:bookmarkEnd w:id="117"/>
      <w:bookmarkEnd w:id="118"/>
    </w:p>
    <w:p w14:paraId="562D2994" w14:textId="4C8EE662" w:rsidR="0022343F" w:rsidRDefault="0022343F" w:rsidP="005714DC">
      <w:pPr>
        <w:spacing w:after="120"/>
      </w:pPr>
      <w:bookmarkStart w:id="119" w:name="_2.3.4_Product_specifications"/>
      <w:bookmarkStart w:id="120" w:name="_Toc515634594"/>
      <w:bookmarkStart w:id="121" w:name="_Toc517451208"/>
      <w:bookmarkStart w:id="122" w:name="_Toc518397313"/>
      <w:bookmarkStart w:id="123" w:name="_Toc518400839"/>
      <w:bookmarkStart w:id="124" w:name="_Toc518478868"/>
      <w:bookmarkStart w:id="125" w:name="_Toc518995919"/>
      <w:bookmarkStart w:id="126" w:name="_Toc519260322"/>
      <w:bookmarkStart w:id="127" w:name="_Toc519260648"/>
      <w:bookmarkStart w:id="128" w:name="_Toc519607929"/>
      <w:bookmarkStart w:id="129" w:name="_Toc521418044"/>
      <w:bookmarkStart w:id="130" w:name="_Toc13219507"/>
      <w:bookmarkStart w:id="131" w:name="_Toc518475271"/>
      <w:bookmarkEnd w:id="119"/>
      <w:r>
        <w:t xml:space="preserve">Stability studies conducted on </w:t>
      </w:r>
      <w:r w:rsidR="00B07647">
        <w:t xml:space="preserve">at least </w:t>
      </w:r>
      <w:r>
        <w:t>two batches of 2′-FL</w:t>
      </w:r>
      <w:r w:rsidRPr="007D47BD">
        <w:rPr>
          <w:vertAlign w:val="subscript"/>
        </w:rPr>
        <w:t>micro</w:t>
      </w:r>
      <w:r>
        <w:t xml:space="preserve"> powder and liquid concentrate demonstrated a shelf life of two years </w:t>
      </w:r>
      <w:r w:rsidR="00B07647">
        <w:t xml:space="preserve">or </w:t>
      </w:r>
      <w:r w:rsidR="00081D40">
        <w:t xml:space="preserve">six </w:t>
      </w:r>
      <w:r w:rsidR="00B07647">
        <w:t xml:space="preserve">months respectively, </w:t>
      </w:r>
      <w:r>
        <w:t>when stored under standard conditions (25°C/60% humidity</w:t>
      </w:r>
      <w:r w:rsidR="00794D6D">
        <w:t>)</w:t>
      </w:r>
      <w:r w:rsidR="00A363BE">
        <w:t>.</w:t>
      </w:r>
      <w:r>
        <w:t xml:space="preserve"> Additional studies performed on powder demonstrated that under accelerated storage conditions (40°C/75% humidity), 2′-FL</w:t>
      </w:r>
      <w:r w:rsidRPr="007D47BD">
        <w:rPr>
          <w:vertAlign w:val="subscript"/>
        </w:rPr>
        <w:t>micro</w:t>
      </w:r>
      <w:r>
        <w:t xml:space="preserve"> is stable for at least six months.</w:t>
      </w:r>
      <w:r w:rsidR="00B337A1">
        <w:t xml:space="preserve"> </w:t>
      </w:r>
    </w:p>
    <w:p w14:paraId="40E6F063" w14:textId="34559DDA" w:rsidR="0022343F" w:rsidRDefault="00F25E51" w:rsidP="0022343F">
      <w:pPr>
        <w:spacing w:after="120"/>
      </w:pPr>
      <w:r>
        <w:t>2′-</w:t>
      </w:r>
      <w:r w:rsidR="0022343F">
        <w:t>FL</w:t>
      </w:r>
      <w:r w:rsidR="0022343F">
        <w:rPr>
          <w:vertAlign w:val="subscript"/>
        </w:rPr>
        <w:t>micro</w:t>
      </w:r>
      <w:r w:rsidR="0022343F" w:rsidDel="00794D6D">
        <w:t xml:space="preserve"> </w:t>
      </w:r>
      <w:r w:rsidR="00794D6D">
        <w:t xml:space="preserve">will be </w:t>
      </w:r>
      <w:r w:rsidR="0022343F">
        <w:t xml:space="preserve">added to IFP and </w:t>
      </w:r>
      <w:r w:rsidR="0022343F">
        <w:rPr>
          <w:lang w:eastAsia="en-AU"/>
        </w:rPr>
        <w:t>FSFYC either via</w:t>
      </w:r>
      <w:r w:rsidR="0022343F">
        <w:t xml:space="preserve"> wet blending with subsequent spray drying or dry-blending, where the </w:t>
      </w:r>
      <w:r>
        <w:t>2′-</w:t>
      </w:r>
      <w:r w:rsidR="0022343F">
        <w:t>FL</w:t>
      </w:r>
      <w:r w:rsidR="0022343F">
        <w:rPr>
          <w:vertAlign w:val="subscript"/>
        </w:rPr>
        <w:t>micro</w:t>
      </w:r>
      <w:r w:rsidR="0022343F">
        <w:t xml:space="preserve"> is added to other previously spray-dried ingredients.</w:t>
      </w:r>
      <w:r w:rsidR="00B337A1">
        <w:t xml:space="preserve"> </w:t>
      </w:r>
    </w:p>
    <w:p w14:paraId="0602BFE9" w14:textId="29AD23C1" w:rsidR="00CF0F64" w:rsidRDefault="00F25E51" w:rsidP="0022343F">
      <w:r>
        <w:t>2′-</w:t>
      </w:r>
      <w:r w:rsidR="0022343F">
        <w:t>FL</w:t>
      </w:r>
      <w:r w:rsidR="0022343F">
        <w:rPr>
          <w:vertAlign w:val="subscript"/>
        </w:rPr>
        <w:t>micro</w:t>
      </w:r>
      <w:r w:rsidR="0022343F">
        <w:t xml:space="preserve"> is stable when incorporated into IFP and the reconstitution process of dry IFP has no significant effect on </w:t>
      </w:r>
      <w:r>
        <w:t>2′-</w:t>
      </w:r>
      <w:r w:rsidR="0022343F">
        <w:t>FL levels. An analysis of IFP containing 2′-FL</w:t>
      </w:r>
      <w:r w:rsidR="0022343F">
        <w:rPr>
          <w:vertAlign w:val="subscript"/>
          <w:lang w:eastAsia="en-AU"/>
        </w:rPr>
        <w:t>micro</w:t>
      </w:r>
      <w:r w:rsidR="0022343F">
        <w:t xml:space="preserve"> powder was submitted by the applicant </w:t>
      </w:r>
      <w:r w:rsidR="00CF0F64">
        <w:t>as</w:t>
      </w:r>
      <w:r w:rsidR="0022343F">
        <w:t xml:space="preserve"> </w:t>
      </w:r>
      <w:r w:rsidR="00CF0F64">
        <w:t>confidential commercial information</w:t>
      </w:r>
      <w:r w:rsidR="0022343F">
        <w:t xml:space="preserve">. The data demonstrated that </w:t>
      </w:r>
      <w:r w:rsidRPr="00081D40">
        <w:t>2′-</w:t>
      </w:r>
      <w:r w:rsidR="0022343F" w:rsidRPr="00081D40">
        <w:t xml:space="preserve">FL concentrations remained stable for </w:t>
      </w:r>
      <w:r w:rsidR="00A363BE">
        <w:t xml:space="preserve">up to </w:t>
      </w:r>
      <w:r w:rsidR="0022343F">
        <w:t xml:space="preserve">12 months in liquid formula </w:t>
      </w:r>
      <w:r w:rsidR="0022343F" w:rsidRPr="007C0DA6">
        <w:t xml:space="preserve">and </w:t>
      </w:r>
      <w:r w:rsidR="005F5DD1" w:rsidRPr="007C0DA6">
        <w:t>show no signs of degr</w:t>
      </w:r>
      <w:r w:rsidR="005F6139">
        <w:t>a</w:t>
      </w:r>
      <w:r w:rsidR="005F5DD1" w:rsidRPr="007C0DA6">
        <w:t xml:space="preserve">dation </w:t>
      </w:r>
      <w:r w:rsidR="00081D40" w:rsidRPr="007C0DA6">
        <w:t>at</w:t>
      </w:r>
      <w:r w:rsidR="00A363BE" w:rsidRPr="007C0DA6">
        <w:t xml:space="preserve"> </w:t>
      </w:r>
      <w:r w:rsidR="009B28DE">
        <w:t>24</w:t>
      </w:r>
      <w:r w:rsidR="009B28DE" w:rsidRPr="007C0DA6">
        <w:t xml:space="preserve"> </w:t>
      </w:r>
      <w:r w:rsidR="0022343F" w:rsidRPr="007C0DA6">
        <w:t>months in powdered formula</w:t>
      </w:r>
      <w:r w:rsidR="005F5DD1" w:rsidRPr="007C0DA6">
        <w:t>,</w:t>
      </w:r>
      <w:r w:rsidR="0022343F" w:rsidRPr="007C0DA6">
        <w:t xml:space="preserve"> when stored under ambient conditions. In additional stability studies, </w:t>
      </w:r>
      <w:r w:rsidRPr="007C0DA6">
        <w:t>2′-</w:t>
      </w:r>
      <w:r w:rsidR="0022343F" w:rsidRPr="007C0DA6">
        <w:t>FL</w:t>
      </w:r>
      <w:r w:rsidR="0022343F" w:rsidRPr="007C0DA6">
        <w:rPr>
          <w:vertAlign w:val="subscript"/>
        </w:rPr>
        <w:t>micro</w:t>
      </w:r>
      <w:r w:rsidR="0022343F" w:rsidRPr="007C0DA6">
        <w:t xml:space="preserve"> was demonstrated to be stabl</w:t>
      </w:r>
      <w:r w:rsidR="0022343F">
        <w:t>e in three representative batches of powdered IFP for at least 6</w:t>
      </w:r>
      <w:r w:rsidR="00CF0F64">
        <w:t>0 minutes after reconstitution.</w:t>
      </w:r>
      <w:r w:rsidR="00B337A1">
        <w:t xml:space="preserve"> </w:t>
      </w:r>
    </w:p>
    <w:p w14:paraId="13AEB4A7" w14:textId="65165275" w:rsidR="000368F6" w:rsidRDefault="00446CF7" w:rsidP="00446CF7">
      <w:pPr>
        <w:pStyle w:val="Heading2"/>
      </w:pPr>
      <w:bookmarkStart w:id="132" w:name="_2.4_Product_specifications"/>
      <w:bookmarkStart w:id="133" w:name="_Toc70675681"/>
      <w:bookmarkStart w:id="134" w:name="_Toc70675774"/>
      <w:bookmarkStart w:id="135" w:name="_Toc72480613"/>
      <w:bookmarkEnd w:id="132"/>
      <w:r>
        <w:t xml:space="preserve">2.4 </w:t>
      </w:r>
      <w:r w:rsidR="000368F6">
        <w:t>Product specifications</w:t>
      </w:r>
      <w:bookmarkEnd w:id="120"/>
      <w:bookmarkEnd w:id="121"/>
      <w:bookmarkEnd w:id="122"/>
      <w:bookmarkEnd w:id="123"/>
      <w:bookmarkEnd w:id="124"/>
      <w:bookmarkEnd w:id="125"/>
      <w:bookmarkEnd w:id="126"/>
      <w:bookmarkEnd w:id="127"/>
      <w:bookmarkEnd w:id="128"/>
      <w:bookmarkEnd w:id="129"/>
      <w:bookmarkEnd w:id="130"/>
      <w:bookmarkEnd w:id="133"/>
      <w:bookmarkEnd w:id="134"/>
      <w:bookmarkEnd w:id="135"/>
    </w:p>
    <w:p w14:paraId="30551681" w14:textId="3C020243" w:rsidR="000368F6" w:rsidRDefault="000368F6" w:rsidP="000368F6">
      <w:r>
        <w:t xml:space="preserve">The applicant has established a specification for </w:t>
      </w:r>
      <w:r w:rsidR="00F25E51">
        <w:t>2′-</w:t>
      </w:r>
      <w:r>
        <w:t>FL</w:t>
      </w:r>
      <w:r w:rsidRPr="0082212B">
        <w:rPr>
          <w:vertAlign w:val="subscript"/>
        </w:rPr>
        <w:t>micro</w:t>
      </w:r>
      <w:r w:rsidR="00962BD1">
        <w:t xml:space="preserve">. </w:t>
      </w:r>
      <w:r w:rsidR="0082446C">
        <w:t xml:space="preserve">A </w:t>
      </w:r>
      <w:r>
        <w:t xml:space="preserve"> relevant specification for </w:t>
      </w:r>
      <w:r w:rsidR="00F25E51">
        <w:t>2′-</w:t>
      </w:r>
      <w:r>
        <w:t xml:space="preserve">FL </w:t>
      </w:r>
      <w:r w:rsidR="0082446C">
        <w:t xml:space="preserve">is </w:t>
      </w:r>
      <w:r>
        <w:t xml:space="preserve">listed </w:t>
      </w:r>
      <w:r w:rsidR="00356E3A">
        <w:t xml:space="preserve">in Schedule 3 </w:t>
      </w:r>
      <w:r>
        <w:t xml:space="preserve">under section </w:t>
      </w:r>
      <w:r w:rsidRPr="00CB5325">
        <w:t>S3—2</w:t>
      </w:r>
      <w:r w:rsidR="0082446C">
        <w:t xml:space="preserve">(2) </w:t>
      </w:r>
      <w:r w:rsidR="00E167CA">
        <w:t>o</w:t>
      </w:r>
      <w:r>
        <w:t>f the Code</w:t>
      </w:r>
      <w:r w:rsidR="000C76FD">
        <w:t xml:space="preserve"> (gazetted 25 March 2021 A1155</w:t>
      </w:r>
      <w:r w:rsidR="00E97945">
        <w:t>; FSANZ 2019</w:t>
      </w:r>
      <w:r w:rsidR="000C76FD">
        <w:t>)</w:t>
      </w:r>
      <w:r>
        <w:t>.</w:t>
      </w:r>
      <w:r w:rsidR="00E167CA">
        <w:t xml:space="preserve">The applicant’s </w:t>
      </w:r>
      <w:r w:rsidRPr="00362E92">
        <w:t>specification prescribe</w:t>
      </w:r>
      <w:r w:rsidR="00520E42">
        <w:t>s</w:t>
      </w:r>
      <w:r w:rsidRPr="00362E92">
        <w:t xml:space="preserve"> maximum amounts for carbohydrate by-products (see </w:t>
      </w:r>
      <w:hyperlink w:anchor="_2.3.2_Information_on" w:history="1">
        <w:r w:rsidRPr="005D469C">
          <w:rPr>
            <w:rStyle w:val="Hyperlink"/>
          </w:rPr>
          <w:t>Section 2.3.2</w:t>
        </w:r>
      </w:hyperlink>
      <w:r w:rsidRPr="00362E92">
        <w:t>) and impurities related to the microorganisms used in the fermentation process</w:t>
      </w:r>
      <w:r w:rsidR="00E167CA">
        <w:t xml:space="preserve"> that differ from those listed in Schedule 3 under section </w:t>
      </w:r>
      <w:r w:rsidR="00E167CA" w:rsidRPr="00CB5325">
        <w:t>S3—2</w:t>
      </w:r>
      <w:r w:rsidR="00E167CA">
        <w:t>(2)</w:t>
      </w:r>
      <w:r w:rsidRPr="00362E92">
        <w:t xml:space="preserve">. </w:t>
      </w:r>
      <w:r>
        <w:t xml:space="preserve">The chemical, physical and microbiological specifications are presented in </w:t>
      </w:r>
      <w:hyperlink w:anchor="Table2_3" w:history="1">
        <w:r w:rsidR="00844B12" w:rsidRPr="00844B12">
          <w:rPr>
            <w:rStyle w:val="Hyperlink"/>
          </w:rPr>
          <w:t>Table 2.3</w:t>
        </w:r>
      </w:hyperlink>
      <w:r>
        <w:t>.</w:t>
      </w:r>
    </w:p>
    <w:p w14:paraId="66775813" w14:textId="00B81C84" w:rsidR="000368F6" w:rsidRDefault="000368F6" w:rsidP="000368F6">
      <w:r>
        <w:t xml:space="preserve">Submitted certificates of analysis for </w:t>
      </w:r>
      <w:r w:rsidR="00E90332">
        <w:t>several</w:t>
      </w:r>
      <w:r w:rsidR="00B07647">
        <w:t xml:space="preserve"> </w:t>
      </w:r>
      <w:r>
        <w:t xml:space="preserve">batches of </w:t>
      </w:r>
      <w:r w:rsidR="00F25E51">
        <w:t>2′-</w:t>
      </w:r>
      <w:r>
        <w:t>FL</w:t>
      </w:r>
      <w:r w:rsidRPr="0082212B">
        <w:rPr>
          <w:vertAlign w:val="subscript"/>
        </w:rPr>
        <w:t>micro</w:t>
      </w:r>
      <w:r>
        <w:t xml:space="preserve"> demonstrated that both the powdered product and liquid concentrate meet the specifications proposed by the applicant. </w:t>
      </w:r>
      <w:r w:rsidRPr="0082212B">
        <w:t>Results were consistent across all batches tested.</w:t>
      </w:r>
    </w:p>
    <w:p w14:paraId="7FFCFE44" w14:textId="76B969A0" w:rsidR="000368F6" w:rsidRDefault="000368F6" w:rsidP="000368F6">
      <w:r>
        <w:t xml:space="preserve">Where </w:t>
      </w:r>
      <w:r w:rsidRPr="00CB5325">
        <w:t>there is no relevant specification under section S3—2 or S3—3</w:t>
      </w:r>
      <w:r>
        <w:t xml:space="preserve">, there are additional requirements for a substance under section S3—4 relating to heavy metals. </w:t>
      </w:r>
      <w:r w:rsidRPr="0082212B">
        <w:t xml:space="preserve">The certificates of analysis </w:t>
      </w:r>
      <w:r>
        <w:t>demonstrate</w:t>
      </w:r>
      <w:r w:rsidRPr="0082212B">
        <w:t xml:space="preserve"> that </w:t>
      </w:r>
      <w:r w:rsidR="00F25E51">
        <w:t>2′-</w:t>
      </w:r>
      <w:r>
        <w:t>FL</w:t>
      </w:r>
      <w:r w:rsidRPr="0082212B">
        <w:rPr>
          <w:vertAlign w:val="subscript"/>
        </w:rPr>
        <w:t>micro</w:t>
      </w:r>
      <w:r>
        <w:t xml:space="preserve"> </w:t>
      </w:r>
      <w:r w:rsidRPr="0082212B">
        <w:t>meet</w:t>
      </w:r>
      <w:r>
        <w:t>s</w:t>
      </w:r>
      <w:r w:rsidRPr="0082212B">
        <w:t xml:space="preserve"> </w:t>
      </w:r>
      <w:r>
        <w:t xml:space="preserve">S3—4 </w:t>
      </w:r>
      <w:r w:rsidRPr="0082212B">
        <w:t>requirements for lead, arsenic, cadmium and mercury.</w:t>
      </w:r>
      <w:r w:rsidR="00B337A1">
        <w:t xml:space="preserve"> </w:t>
      </w:r>
    </w:p>
    <w:p w14:paraId="27957A1B" w14:textId="6F6DD546" w:rsidR="000368F6" w:rsidRPr="00976261" w:rsidRDefault="00844B12" w:rsidP="000368F6">
      <w:pPr>
        <w:pStyle w:val="FSTableFigureHeading"/>
        <w:rPr>
          <w:b w:val="0"/>
        </w:rPr>
      </w:pPr>
      <w:bookmarkStart w:id="136" w:name="Table2_3"/>
      <w:bookmarkEnd w:id="131"/>
      <w:r>
        <w:t>Table 2.3</w:t>
      </w:r>
      <w:bookmarkEnd w:id="136"/>
      <w:r w:rsidR="000368F6">
        <w:tab/>
      </w:r>
      <w:r w:rsidR="000368F6" w:rsidRPr="00976261">
        <w:rPr>
          <w:b w:val="0"/>
        </w:rPr>
        <w:t xml:space="preserve">Product specifications proposed for 2′-FL </w:t>
      </w:r>
    </w:p>
    <w:tbl>
      <w:tblPr>
        <w:tblStyle w:val="Table"/>
        <w:tblW w:w="5000" w:type="pct"/>
        <w:tblLook w:val="00A0" w:firstRow="1" w:lastRow="0" w:firstColumn="1" w:lastColumn="0" w:noHBand="0" w:noVBand="0"/>
        <w:tblCaption w:val="Table 2.5"/>
        <w:tblDescription w:val="Product specifications proposed by the applicant for 2'-FL"/>
      </w:tblPr>
      <w:tblGrid>
        <w:gridCol w:w="2267"/>
        <w:gridCol w:w="755"/>
        <w:gridCol w:w="1513"/>
        <w:gridCol w:w="1509"/>
        <w:gridCol w:w="758"/>
        <w:gridCol w:w="2268"/>
      </w:tblGrid>
      <w:tr w:rsidR="000368F6" w:rsidRPr="003E137B" w14:paraId="35AC5063" w14:textId="77777777" w:rsidTr="00E3143E">
        <w:trPr>
          <w:cnfStyle w:val="100000000000" w:firstRow="1" w:lastRow="0" w:firstColumn="0" w:lastColumn="0" w:oddVBand="0" w:evenVBand="0" w:oddHBand="0" w:evenHBand="0" w:firstRowFirstColumn="0" w:firstRowLastColumn="0" w:lastRowFirstColumn="0" w:lastRowLastColumn="0"/>
          <w:trHeight w:val="397"/>
          <w:tblHeader/>
        </w:trPr>
        <w:tc>
          <w:tcPr>
            <w:tcW w:w="1666" w:type="pct"/>
            <w:gridSpan w:val="2"/>
            <w:shd w:val="clear" w:color="auto" w:fill="7F7F7F"/>
            <w:vAlign w:val="center"/>
          </w:tcPr>
          <w:p w14:paraId="2C7A2B49" w14:textId="77777777" w:rsidR="000368F6" w:rsidRPr="002E7999" w:rsidRDefault="000368F6" w:rsidP="00567589">
            <w:pPr>
              <w:spacing w:before="0" w:after="0"/>
              <w:rPr>
                <w:sz w:val="20"/>
                <w:szCs w:val="20"/>
              </w:rPr>
            </w:pPr>
          </w:p>
        </w:tc>
        <w:tc>
          <w:tcPr>
            <w:tcW w:w="1666" w:type="pct"/>
            <w:gridSpan w:val="2"/>
            <w:shd w:val="clear" w:color="auto" w:fill="7F7F7F"/>
            <w:vAlign w:val="center"/>
          </w:tcPr>
          <w:p w14:paraId="65DB6250" w14:textId="77777777" w:rsidR="000368F6" w:rsidRDefault="000368F6" w:rsidP="00567589">
            <w:pPr>
              <w:spacing w:before="0" w:after="0"/>
              <w:jc w:val="center"/>
              <w:rPr>
                <w:sz w:val="20"/>
                <w:szCs w:val="20"/>
              </w:rPr>
            </w:pPr>
            <w:r w:rsidRPr="002E7999">
              <w:rPr>
                <w:sz w:val="20"/>
                <w:szCs w:val="20"/>
              </w:rPr>
              <w:t>Specification</w:t>
            </w:r>
          </w:p>
        </w:tc>
        <w:tc>
          <w:tcPr>
            <w:tcW w:w="1668" w:type="pct"/>
            <w:gridSpan w:val="2"/>
            <w:shd w:val="clear" w:color="auto" w:fill="7F7F7F"/>
            <w:vAlign w:val="center"/>
          </w:tcPr>
          <w:p w14:paraId="2C578C40" w14:textId="77777777" w:rsidR="000368F6" w:rsidRPr="002E7999" w:rsidRDefault="000368F6" w:rsidP="00567589">
            <w:pPr>
              <w:spacing w:before="0" w:after="0"/>
              <w:rPr>
                <w:sz w:val="20"/>
                <w:szCs w:val="20"/>
              </w:rPr>
            </w:pPr>
          </w:p>
        </w:tc>
      </w:tr>
      <w:tr w:rsidR="000368F6" w:rsidRPr="003E137B" w14:paraId="44B1B72E" w14:textId="77777777" w:rsidTr="00E3143E">
        <w:trPr>
          <w:cnfStyle w:val="100000000000" w:firstRow="1" w:lastRow="0" w:firstColumn="0" w:lastColumn="0" w:oddVBand="0" w:evenVBand="0" w:oddHBand="0" w:evenHBand="0" w:firstRowFirstColumn="0" w:firstRowLastColumn="0" w:lastRowFirstColumn="0" w:lastRowLastColumn="0"/>
          <w:trHeight w:val="397"/>
          <w:tblHeader/>
        </w:trPr>
        <w:tc>
          <w:tcPr>
            <w:tcW w:w="1250" w:type="pct"/>
            <w:shd w:val="clear" w:color="auto" w:fill="7F7F7F"/>
            <w:vAlign w:val="center"/>
          </w:tcPr>
          <w:p w14:paraId="2E94B757" w14:textId="77777777" w:rsidR="000368F6" w:rsidRPr="002E7999" w:rsidRDefault="000368F6" w:rsidP="00567589">
            <w:pPr>
              <w:spacing w:before="0" w:after="0"/>
              <w:jc w:val="center"/>
              <w:rPr>
                <w:sz w:val="20"/>
                <w:szCs w:val="20"/>
              </w:rPr>
            </w:pPr>
            <w:r w:rsidRPr="002E7999">
              <w:rPr>
                <w:sz w:val="20"/>
                <w:szCs w:val="20"/>
              </w:rPr>
              <w:t>Parameter</w:t>
            </w:r>
          </w:p>
        </w:tc>
        <w:tc>
          <w:tcPr>
            <w:tcW w:w="1250" w:type="pct"/>
            <w:gridSpan w:val="2"/>
            <w:shd w:val="clear" w:color="auto" w:fill="7F7F7F"/>
            <w:vAlign w:val="center"/>
          </w:tcPr>
          <w:p w14:paraId="1A4A4220" w14:textId="77777777" w:rsidR="000368F6" w:rsidRPr="002E7999" w:rsidRDefault="000368F6" w:rsidP="00567589">
            <w:pPr>
              <w:spacing w:before="0" w:after="0"/>
              <w:jc w:val="center"/>
              <w:rPr>
                <w:sz w:val="20"/>
                <w:szCs w:val="20"/>
              </w:rPr>
            </w:pPr>
            <w:r>
              <w:rPr>
                <w:sz w:val="20"/>
                <w:szCs w:val="20"/>
              </w:rPr>
              <w:t xml:space="preserve">Powder </w:t>
            </w:r>
          </w:p>
        </w:tc>
        <w:tc>
          <w:tcPr>
            <w:tcW w:w="1250" w:type="pct"/>
            <w:gridSpan w:val="2"/>
            <w:shd w:val="clear" w:color="auto" w:fill="7F7F7F"/>
          </w:tcPr>
          <w:p w14:paraId="2DD77DF9" w14:textId="77777777" w:rsidR="000368F6" w:rsidRPr="002E7999" w:rsidRDefault="000368F6" w:rsidP="00567589">
            <w:pPr>
              <w:spacing w:before="0" w:after="0"/>
              <w:jc w:val="center"/>
              <w:rPr>
                <w:sz w:val="20"/>
                <w:szCs w:val="20"/>
              </w:rPr>
            </w:pPr>
            <w:r>
              <w:rPr>
                <w:sz w:val="20"/>
                <w:szCs w:val="20"/>
              </w:rPr>
              <w:t>Liquid concentrate</w:t>
            </w:r>
          </w:p>
        </w:tc>
        <w:tc>
          <w:tcPr>
            <w:tcW w:w="1250" w:type="pct"/>
            <w:shd w:val="clear" w:color="auto" w:fill="7F7F7F"/>
            <w:vAlign w:val="center"/>
          </w:tcPr>
          <w:p w14:paraId="3F0883B6" w14:textId="77777777" w:rsidR="000368F6" w:rsidRPr="002E7999" w:rsidRDefault="000368F6" w:rsidP="00567589">
            <w:pPr>
              <w:spacing w:before="0" w:after="0"/>
              <w:jc w:val="center"/>
              <w:rPr>
                <w:sz w:val="20"/>
                <w:szCs w:val="20"/>
              </w:rPr>
            </w:pPr>
            <w:r w:rsidRPr="002E7999">
              <w:rPr>
                <w:sz w:val="20"/>
                <w:szCs w:val="20"/>
              </w:rPr>
              <w:t>Method</w:t>
            </w:r>
          </w:p>
        </w:tc>
      </w:tr>
      <w:tr w:rsidR="000368F6" w:rsidRPr="007D2801" w14:paraId="0E0E51E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6"/>
            <w:vAlign w:val="center"/>
          </w:tcPr>
          <w:p w14:paraId="70CD4649" w14:textId="77777777" w:rsidR="000368F6" w:rsidRPr="007D2801" w:rsidRDefault="000368F6" w:rsidP="007020CD">
            <w:pPr>
              <w:spacing w:before="0" w:after="0"/>
              <w:jc w:val="center"/>
              <w:rPr>
                <w:rFonts w:cs="Arial"/>
                <w:b/>
                <w:sz w:val="20"/>
                <w:szCs w:val="20"/>
              </w:rPr>
            </w:pPr>
            <w:r w:rsidRPr="007D2801">
              <w:rPr>
                <w:rFonts w:cs="Arial"/>
                <w:b/>
                <w:sz w:val="20"/>
                <w:szCs w:val="20"/>
              </w:rPr>
              <w:t>Chemical</w:t>
            </w:r>
          </w:p>
        </w:tc>
      </w:tr>
      <w:tr w:rsidR="000368F6" w:rsidRPr="007D2801" w14:paraId="6CA8D145"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566926FE" w14:textId="77777777" w:rsidR="000368F6" w:rsidRPr="007D2801" w:rsidRDefault="000368F6" w:rsidP="00A44F37">
            <w:pPr>
              <w:spacing w:before="60" w:after="60"/>
              <w:rPr>
                <w:rFonts w:cs="Arial"/>
                <w:sz w:val="20"/>
                <w:szCs w:val="20"/>
              </w:rPr>
            </w:pPr>
            <w:r w:rsidRPr="007D2801">
              <w:rPr>
                <w:rFonts w:cs="Arial"/>
                <w:sz w:val="20"/>
                <w:szCs w:val="20"/>
              </w:rPr>
              <w:t>Solids Content</w:t>
            </w:r>
          </w:p>
        </w:tc>
        <w:tc>
          <w:tcPr>
            <w:tcW w:w="1250" w:type="pct"/>
            <w:gridSpan w:val="2"/>
            <w:vAlign w:val="center"/>
          </w:tcPr>
          <w:p w14:paraId="1B09C5D4" w14:textId="77777777" w:rsidR="000368F6" w:rsidRPr="007D2801" w:rsidRDefault="000368F6" w:rsidP="00A44F37">
            <w:pPr>
              <w:spacing w:before="60" w:after="60"/>
              <w:rPr>
                <w:rFonts w:cs="Arial"/>
                <w:sz w:val="20"/>
                <w:szCs w:val="20"/>
              </w:rPr>
            </w:pPr>
            <w:r w:rsidRPr="007D2801">
              <w:rPr>
                <w:rFonts w:cs="Arial"/>
                <w:sz w:val="20"/>
                <w:szCs w:val="20"/>
              </w:rPr>
              <w:t>N/A</w:t>
            </w:r>
          </w:p>
        </w:tc>
        <w:tc>
          <w:tcPr>
            <w:tcW w:w="1250" w:type="pct"/>
            <w:gridSpan w:val="2"/>
            <w:vAlign w:val="center"/>
          </w:tcPr>
          <w:p w14:paraId="60F70A8A" w14:textId="77777777" w:rsidR="000368F6" w:rsidRPr="007D2801" w:rsidRDefault="000368F6" w:rsidP="00A44F37">
            <w:pPr>
              <w:spacing w:before="60" w:after="60"/>
              <w:rPr>
                <w:rFonts w:cs="Arial"/>
                <w:sz w:val="20"/>
                <w:szCs w:val="20"/>
              </w:rPr>
            </w:pPr>
            <w:r w:rsidRPr="007D2801">
              <w:rPr>
                <w:rFonts w:cs="Arial"/>
                <w:sz w:val="20"/>
                <w:szCs w:val="20"/>
              </w:rPr>
              <w:t>45% w/v (± 5% w/v) dry matter in</w:t>
            </w:r>
            <w:r>
              <w:rPr>
                <w:rFonts w:cs="Arial"/>
                <w:sz w:val="20"/>
                <w:szCs w:val="20"/>
              </w:rPr>
              <w:t xml:space="preserve"> </w:t>
            </w:r>
            <w:r w:rsidRPr="007D2801">
              <w:rPr>
                <w:rFonts w:cs="Arial"/>
                <w:sz w:val="20"/>
                <w:szCs w:val="20"/>
              </w:rPr>
              <w:t>water</w:t>
            </w:r>
          </w:p>
        </w:tc>
        <w:tc>
          <w:tcPr>
            <w:tcW w:w="1250" w:type="pct"/>
            <w:vAlign w:val="center"/>
          </w:tcPr>
          <w:p w14:paraId="005C36A4"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Dry weight after freeze-drying</w:t>
            </w:r>
          </w:p>
        </w:tc>
      </w:tr>
      <w:tr w:rsidR="000368F6" w:rsidRPr="007D2801" w14:paraId="0B3972AD"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3713DE7" w14:textId="77777777" w:rsidR="000368F6" w:rsidRPr="007D2801" w:rsidRDefault="000368F6" w:rsidP="00A44F37">
            <w:pPr>
              <w:spacing w:before="60" w:after="60"/>
              <w:rPr>
                <w:rFonts w:cs="Arial"/>
                <w:sz w:val="20"/>
                <w:szCs w:val="20"/>
              </w:rPr>
            </w:pPr>
            <w:r w:rsidRPr="007D2801">
              <w:rPr>
                <w:rFonts w:cs="Arial"/>
                <w:sz w:val="20"/>
                <w:szCs w:val="20"/>
              </w:rPr>
              <w:t>Water content</w:t>
            </w:r>
          </w:p>
        </w:tc>
        <w:tc>
          <w:tcPr>
            <w:tcW w:w="1250" w:type="pct"/>
            <w:gridSpan w:val="2"/>
            <w:vAlign w:val="center"/>
          </w:tcPr>
          <w:p w14:paraId="4A60961E" w14:textId="77777777" w:rsidR="000368F6" w:rsidRPr="007D2801" w:rsidRDefault="000368F6" w:rsidP="00A44F37">
            <w:pPr>
              <w:spacing w:before="60" w:after="60"/>
              <w:rPr>
                <w:rFonts w:cs="Arial"/>
                <w:sz w:val="20"/>
                <w:szCs w:val="20"/>
              </w:rPr>
            </w:pPr>
            <w:r w:rsidRPr="007D2801">
              <w:rPr>
                <w:rFonts w:cs="Arial"/>
                <w:sz w:val="20"/>
                <w:szCs w:val="20"/>
              </w:rPr>
              <w:t>≤ 9.0%</w:t>
            </w:r>
          </w:p>
        </w:tc>
        <w:tc>
          <w:tcPr>
            <w:tcW w:w="1250" w:type="pct"/>
            <w:gridSpan w:val="2"/>
            <w:vAlign w:val="center"/>
          </w:tcPr>
          <w:p w14:paraId="766BD682" w14:textId="77777777" w:rsidR="000368F6" w:rsidRPr="007D2801" w:rsidRDefault="000368F6" w:rsidP="00A44F37">
            <w:pPr>
              <w:spacing w:before="60" w:after="60"/>
              <w:rPr>
                <w:rFonts w:cs="Arial"/>
                <w:sz w:val="20"/>
                <w:szCs w:val="20"/>
              </w:rPr>
            </w:pPr>
            <w:r w:rsidRPr="007D2801">
              <w:rPr>
                <w:rFonts w:cs="Arial"/>
                <w:sz w:val="20"/>
                <w:szCs w:val="20"/>
              </w:rPr>
              <w:t>N/A</w:t>
            </w:r>
          </w:p>
        </w:tc>
        <w:tc>
          <w:tcPr>
            <w:tcW w:w="1250" w:type="pct"/>
            <w:vAlign w:val="center"/>
          </w:tcPr>
          <w:p w14:paraId="221142B9" w14:textId="77777777" w:rsidR="000368F6" w:rsidRPr="007D2801" w:rsidRDefault="000368F6" w:rsidP="00A44F37">
            <w:pPr>
              <w:spacing w:before="60" w:after="60"/>
              <w:rPr>
                <w:rFonts w:cs="Arial"/>
                <w:sz w:val="20"/>
                <w:szCs w:val="20"/>
              </w:rPr>
            </w:pPr>
            <w:r w:rsidRPr="007D2801">
              <w:rPr>
                <w:rFonts w:cs="Arial"/>
                <w:sz w:val="20"/>
                <w:szCs w:val="20"/>
              </w:rPr>
              <w:t>Karl-Fischer titration</w:t>
            </w:r>
          </w:p>
        </w:tc>
      </w:tr>
      <w:tr w:rsidR="000368F6" w:rsidRPr="007D2801" w14:paraId="62C45A0C"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35F1048E" w14:textId="77777777" w:rsidR="000368F6" w:rsidRPr="007D2801" w:rsidRDefault="000368F6" w:rsidP="00A44F37">
            <w:pPr>
              <w:spacing w:before="60" w:after="60"/>
              <w:rPr>
                <w:rFonts w:cs="Arial"/>
                <w:sz w:val="20"/>
                <w:szCs w:val="20"/>
              </w:rPr>
            </w:pPr>
            <w:r w:rsidRPr="007D2801">
              <w:rPr>
                <w:rFonts w:cs="Arial"/>
                <w:sz w:val="20"/>
                <w:szCs w:val="20"/>
              </w:rPr>
              <w:t>Protein content</w:t>
            </w:r>
          </w:p>
        </w:tc>
        <w:tc>
          <w:tcPr>
            <w:tcW w:w="1250" w:type="pct"/>
            <w:gridSpan w:val="2"/>
            <w:vAlign w:val="center"/>
          </w:tcPr>
          <w:p w14:paraId="7A488DC7" w14:textId="77777777" w:rsidR="000368F6" w:rsidRPr="007D2801" w:rsidRDefault="000368F6" w:rsidP="00A44F37">
            <w:pPr>
              <w:spacing w:before="60" w:after="60"/>
              <w:rPr>
                <w:rFonts w:cs="Arial"/>
                <w:sz w:val="20"/>
                <w:szCs w:val="20"/>
              </w:rPr>
            </w:pPr>
            <w:r w:rsidRPr="007D2801">
              <w:rPr>
                <w:rFonts w:cs="Arial"/>
                <w:sz w:val="20"/>
                <w:szCs w:val="20"/>
              </w:rPr>
              <w:t>≤ 100 μg/g</w:t>
            </w:r>
          </w:p>
        </w:tc>
        <w:tc>
          <w:tcPr>
            <w:tcW w:w="1250" w:type="pct"/>
            <w:gridSpan w:val="2"/>
            <w:vAlign w:val="center"/>
          </w:tcPr>
          <w:p w14:paraId="4C741576" w14:textId="6CB37BCE" w:rsidR="000368F6" w:rsidRPr="007D2801" w:rsidRDefault="000368F6" w:rsidP="00AB0497">
            <w:pPr>
              <w:spacing w:before="60" w:after="60"/>
              <w:rPr>
                <w:rFonts w:cs="Arial"/>
                <w:sz w:val="20"/>
                <w:szCs w:val="20"/>
              </w:rPr>
            </w:pPr>
            <w:r w:rsidRPr="007D2801">
              <w:rPr>
                <w:rFonts w:cs="Arial"/>
                <w:sz w:val="20"/>
                <w:szCs w:val="20"/>
              </w:rPr>
              <w:t xml:space="preserve">≤ 100 μg/g </w:t>
            </w:r>
            <w:r w:rsidR="00AB0497">
              <w:rPr>
                <w:rFonts w:cs="Arial"/>
                <w:sz w:val="20"/>
                <w:szCs w:val="20"/>
              </w:rPr>
              <w:t>FDM</w:t>
            </w:r>
          </w:p>
        </w:tc>
        <w:tc>
          <w:tcPr>
            <w:tcW w:w="1250" w:type="pct"/>
            <w:vAlign w:val="center"/>
          </w:tcPr>
          <w:p w14:paraId="1C68279C" w14:textId="77777777" w:rsidR="000368F6" w:rsidRPr="007D2801" w:rsidRDefault="000368F6" w:rsidP="00A44F37">
            <w:pPr>
              <w:spacing w:before="60" w:after="60"/>
              <w:rPr>
                <w:rFonts w:cs="Arial"/>
                <w:sz w:val="20"/>
                <w:szCs w:val="20"/>
              </w:rPr>
            </w:pPr>
            <w:r w:rsidRPr="007D2801">
              <w:rPr>
                <w:rFonts w:cs="Arial"/>
                <w:sz w:val="20"/>
                <w:szCs w:val="20"/>
              </w:rPr>
              <w:t>Nanoquant (modified</w:t>
            </w:r>
            <w:r>
              <w:rPr>
                <w:rFonts w:cs="Arial"/>
                <w:sz w:val="20"/>
                <w:szCs w:val="20"/>
              </w:rPr>
              <w:t xml:space="preserve"> </w:t>
            </w:r>
            <w:r w:rsidRPr="007D2801">
              <w:rPr>
                <w:rFonts w:cs="Arial"/>
                <w:sz w:val="20"/>
                <w:szCs w:val="20"/>
              </w:rPr>
              <w:t>Bradford)</w:t>
            </w:r>
          </w:p>
        </w:tc>
      </w:tr>
      <w:tr w:rsidR="000368F6" w:rsidRPr="007D2801" w14:paraId="04A6269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1BF580D" w14:textId="77777777" w:rsidR="000368F6" w:rsidRPr="007D2801" w:rsidRDefault="000368F6" w:rsidP="00A44F37">
            <w:pPr>
              <w:spacing w:before="60" w:after="60"/>
              <w:rPr>
                <w:rFonts w:cs="Arial"/>
                <w:sz w:val="20"/>
                <w:szCs w:val="20"/>
              </w:rPr>
            </w:pPr>
            <w:r w:rsidRPr="007D2801">
              <w:rPr>
                <w:rFonts w:cs="Arial"/>
                <w:sz w:val="20"/>
                <w:szCs w:val="20"/>
              </w:rPr>
              <w:t>Total ash</w:t>
            </w:r>
          </w:p>
        </w:tc>
        <w:tc>
          <w:tcPr>
            <w:tcW w:w="1250" w:type="pct"/>
            <w:gridSpan w:val="2"/>
            <w:vAlign w:val="center"/>
          </w:tcPr>
          <w:p w14:paraId="44A1AE75" w14:textId="77777777" w:rsidR="000368F6" w:rsidRPr="007D2801" w:rsidRDefault="000368F6" w:rsidP="00A44F37">
            <w:pPr>
              <w:spacing w:before="60" w:after="60"/>
              <w:rPr>
                <w:rFonts w:cs="Arial"/>
                <w:sz w:val="20"/>
                <w:szCs w:val="20"/>
              </w:rPr>
            </w:pPr>
            <w:r w:rsidRPr="007D2801">
              <w:rPr>
                <w:rFonts w:cs="Arial"/>
                <w:sz w:val="20"/>
                <w:szCs w:val="20"/>
              </w:rPr>
              <w:t>≤ 0.5%</w:t>
            </w:r>
          </w:p>
        </w:tc>
        <w:tc>
          <w:tcPr>
            <w:tcW w:w="1250" w:type="pct"/>
            <w:gridSpan w:val="2"/>
            <w:vAlign w:val="center"/>
          </w:tcPr>
          <w:p w14:paraId="09AEA024" w14:textId="36AECC26" w:rsidR="000368F6" w:rsidRPr="007D2801" w:rsidRDefault="000368F6" w:rsidP="00AB0497">
            <w:pPr>
              <w:spacing w:before="60" w:after="60"/>
              <w:rPr>
                <w:rFonts w:cs="Arial"/>
                <w:sz w:val="20"/>
                <w:szCs w:val="20"/>
              </w:rPr>
            </w:pPr>
            <w:r w:rsidRPr="007D2801">
              <w:rPr>
                <w:rFonts w:cs="Arial"/>
                <w:sz w:val="20"/>
                <w:szCs w:val="20"/>
              </w:rPr>
              <w:t xml:space="preserve">≤ 0.5% </w:t>
            </w:r>
            <w:r w:rsidR="00AB0497">
              <w:rPr>
                <w:rFonts w:cs="Arial"/>
                <w:sz w:val="20"/>
                <w:szCs w:val="20"/>
              </w:rPr>
              <w:t>FDM</w:t>
            </w:r>
          </w:p>
        </w:tc>
        <w:tc>
          <w:tcPr>
            <w:tcW w:w="1250" w:type="pct"/>
            <w:vAlign w:val="center"/>
          </w:tcPr>
          <w:p w14:paraId="0B422C32" w14:textId="77777777" w:rsidR="000368F6" w:rsidRPr="007D2801" w:rsidRDefault="000368F6" w:rsidP="00A44F37">
            <w:pPr>
              <w:spacing w:before="60" w:after="60"/>
              <w:rPr>
                <w:rFonts w:cs="Arial"/>
                <w:sz w:val="20"/>
                <w:szCs w:val="20"/>
              </w:rPr>
            </w:pPr>
            <w:r w:rsidRPr="007D2801">
              <w:rPr>
                <w:rFonts w:cs="Arial"/>
                <w:sz w:val="20"/>
                <w:szCs w:val="20"/>
              </w:rPr>
              <w:t>ASU L 06.00-4 (a)</w:t>
            </w:r>
          </w:p>
        </w:tc>
      </w:tr>
      <w:tr w:rsidR="000368F6" w:rsidRPr="007D2801" w14:paraId="36ED5E64"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75238A67" w14:textId="77777777" w:rsidR="000368F6" w:rsidRPr="007D2801" w:rsidRDefault="000368F6" w:rsidP="00A44F37">
            <w:pPr>
              <w:spacing w:before="60" w:after="60"/>
              <w:rPr>
                <w:rFonts w:cs="Arial"/>
                <w:sz w:val="20"/>
                <w:szCs w:val="20"/>
              </w:rPr>
            </w:pPr>
            <w:r w:rsidRPr="007D2801">
              <w:rPr>
                <w:rFonts w:cs="Arial"/>
                <w:sz w:val="20"/>
                <w:szCs w:val="20"/>
              </w:rPr>
              <w:t xml:space="preserve">2'-Fucosyllactose </w:t>
            </w:r>
          </w:p>
        </w:tc>
        <w:tc>
          <w:tcPr>
            <w:tcW w:w="1250" w:type="pct"/>
            <w:gridSpan w:val="2"/>
            <w:vAlign w:val="center"/>
          </w:tcPr>
          <w:p w14:paraId="6F8194EA"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 90% (Area)</w:t>
            </w:r>
          </w:p>
        </w:tc>
        <w:tc>
          <w:tcPr>
            <w:tcW w:w="1250" w:type="pct"/>
            <w:gridSpan w:val="2"/>
            <w:vAlign w:val="center"/>
          </w:tcPr>
          <w:p w14:paraId="593ACCD1"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 90% (Area)</w:t>
            </w:r>
          </w:p>
        </w:tc>
        <w:tc>
          <w:tcPr>
            <w:tcW w:w="1250" w:type="pct"/>
            <w:vAlign w:val="center"/>
          </w:tcPr>
          <w:p w14:paraId="3FD058D9"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38C86D9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4B4AE8D6" w14:textId="77777777" w:rsidR="000368F6" w:rsidRPr="007D2801" w:rsidRDefault="000368F6" w:rsidP="00A44F37">
            <w:pPr>
              <w:spacing w:before="60" w:after="60"/>
              <w:rPr>
                <w:rFonts w:cs="Arial"/>
                <w:sz w:val="20"/>
                <w:szCs w:val="20"/>
              </w:rPr>
            </w:pPr>
            <w:r w:rsidRPr="007D2801">
              <w:rPr>
                <w:rFonts w:cs="Arial"/>
                <w:sz w:val="20"/>
                <w:szCs w:val="20"/>
              </w:rPr>
              <w:lastRenderedPageBreak/>
              <w:t xml:space="preserve">Lactose </w:t>
            </w:r>
          </w:p>
        </w:tc>
        <w:tc>
          <w:tcPr>
            <w:tcW w:w="1250" w:type="pct"/>
            <w:gridSpan w:val="2"/>
            <w:vAlign w:val="center"/>
          </w:tcPr>
          <w:p w14:paraId="13D330A9" w14:textId="5AE96945" w:rsidR="000368F6" w:rsidRPr="007D2801" w:rsidRDefault="000368F6" w:rsidP="003D7B4E">
            <w:pPr>
              <w:spacing w:before="60" w:after="60"/>
              <w:rPr>
                <w:rFonts w:cs="Arial"/>
                <w:sz w:val="20"/>
                <w:szCs w:val="20"/>
              </w:rPr>
            </w:pPr>
            <w:r w:rsidRPr="007D2801">
              <w:rPr>
                <w:rFonts w:cs="Arial"/>
                <w:sz w:val="20"/>
                <w:szCs w:val="20"/>
                <w:lang w:eastAsia="en-GB" w:bidi="ar-SA"/>
              </w:rPr>
              <w:t>≤ 5% (Area</w:t>
            </w:r>
            <w:r w:rsidR="003D7B4E">
              <w:rPr>
                <w:rFonts w:cs="Arial"/>
                <w:sz w:val="20"/>
                <w:szCs w:val="20"/>
                <w:lang w:eastAsia="en-GB" w:bidi="ar-SA"/>
              </w:rPr>
              <w:t>)</w:t>
            </w:r>
          </w:p>
        </w:tc>
        <w:tc>
          <w:tcPr>
            <w:tcW w:w="1250" w:type="pct"/>
            <w:gridSpan w:val="2"/>
            <w:vAlign w:val="center"/>
          </w:tcPr>
          <w:p w14:paraId="27FE91D9" w14:textId="49128110"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6C2DEC20"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63AAC288"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7C218F06" w14:textId="77777777" w:rsidR="000368F6" w:rsidRPr="007D2801" w:rsidRDefault="000368F6" w:rsidP="00A44F37">
            <w:pPr>
              <w:spacing w:before="60" w:after="60"/>
              <w:rPr>
                <w:rFonts w:cs="Arial"/>
                <w:sz w:val="20"/>
                <w:szCs w:val="20"/>
              </w:rPr>
            </w:pPr>
            <w:r w:rsidRPr="007D2801">
              <w:rPr>
                <w:rFonts w:cs="Arial"/>
                <w:sz w:val="20"/>
                <w:szCs w:val="20"/>
              </w:rPr>
              <w:t xml:space="preserve">3-Fucosyllactose </w:t>
            </w:r>
          </w:p>
        </w:tc>
        <w:tc>
          <w:tcPr>
            <w:tcW w:w="1250" w:type="pct"/>
            <w:gridSpan w:val="2"/>
            <w:vAlign w:val="center"/>
          </w:tcPr>
          <w:p w14:paraId="2E78D078" w14:textId="436CE56B" w:rsidR="000368F6" w:rsidRPr="007D2801" w:rsidRDefault="003D7B4E" w:rsidP="003D7B4E">
            <w:pPr>
              <w:spacing w:before="60" w:after="60"/>
              <w:rPr>
                <w:rFonts w:cs="Arial"/>
                <w:sz w:val="20"/>
                <w:szCs w:val="20"/>
              </w:rPr>
            </w:pPr>
            <w:r>
              <w:rPr>
                <w:rFonts w:cs="Arial"/>
                <w:sz w:val="20"/>
                <w:szCs w:val="20"/>
                <w:lang w:eastAsia="en-GB" w:bidi="ar-SA"/>
              </w:rPr>
              <w:t>≤ 5% (Area)</w:t>
            </w:r>
          </w:p>
        </w:tc>
        <w:tc>
          <w:tcPr>
            <w:tcW w:w="1250" w:type="pct"/>
            <w:gridSpan w:val="2"/>
            <w:vAlign w:val="center"/>
          </w:tcPr>
          <w:p w14:paraId="6BE245A9" w14:textId="29BAF19B"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62975BD4"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4E25DEEE"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8F5D88A" w14:textId="77777777" w:rsidR="000368F6" w:rsidRPr="007D2801" w:rsidRDefault="000368F6" w:rsidP="00A44F37">
            <w:pPr>
              <w:spacing w:before="60" w:after="60"/>
              <w:rPr>
                <w:rFonts w:cs="Arial"/>
                <w:sz w:val="20"/>
                <w:szCs w:val="20"/>
              </w:rPr>
            </w:pPr>
            <w:r w:rsidRPr="007D2801">
              <w:rPr>
                <w:rFonts w:cs="Arial"/>
                <w:sz w:val="20"/>
                <w:szCs w:val="20"/>
              </w:rPr>
              <w:t xml:space="preserve">Difucosyllactose </w:t>
            </w:r>
          </w:p>
        </w:tc>
        <w:tc>
          <w:tcPr>
            <w:tcW w:w="1250" w:type="pct"/>
            <w:gridSpan w:val="2"/>
            <w:vAlign w:val="center"/>
          </w:tcPr>
          <w:p w14:paraId="7A80E6A5" w14:textId="6A9B6F6B"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gridSpan w:val="2"/>
            <w:vAlign w:val="center"/>
          </w:tcPr>
          <w:p w14:paraId="3E1D30D7" w14:textId="5AB1672D"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00E78D56"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43AB5F61"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1DE61D44" w14:textId="77777777" w:rsidR="000368F6" w:rsidRPr="007D2801" w:rsidRDefault="000368F6" w:rsidP="00A44F37">
            <w:pPr>
              <w:spacing w:before="60" w:after="60"/>
              <w:rPr>
                <w:rFonts w:cs="Arial"/>
                <w:sz w:val="20"/>
                <w:szCs w:val="20"/>
              </w:rPr>
            </w:pPr>
            <w:r w:rsidRPr="007D2801">
              <w:rPr>
                <w:rFonts w:cs="Arial"/>
                <w:sz w:val="20"/>
                <w:szCs w:val="20"/>
              </w:rPr>
              <w:t xml:space="preserve">Fucosyl-Galactose </w:t>
            </w:r>
          </w:p>
        </w:tc>
        <w:tc>
          <w:tcPr>
            <w:tcW w:w="1250" w:type="pct"/>
            <w:gridSpan w:val="2"/>
            <w:vAlign w:val="center"/>
          </w:tcPr>
          <w:p w14:paraId="1FFD7F9D" w14:textId="5E79CC4E"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5B156F91" w14:textId="74580C8E"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6065FD18"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50CE109E"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076E807" w14:textId="77777777" w:rsidR="000368F6" w:rsidRPr="007D2801" w:rsidRDefault="000368F6" w:rsidP="00A44F37">
            <w:pPr>
              <w:spacing w:before="60" w:after="60"/>
              <w:rPr>
                <w:rFonts w:cs="Arial"/>
                <w:sz w:val="20"/>
                <w:szCs w:val="20"/>
              </w:rPr>
            </w:pPr>
            <w:r w:rsidRPr="007D2801">
              <w:rPr>
                <w:rFonts w:cs="Arial"/>
                <w:sz w:val="20"/>
                <w:szCs w:val="20"/>
              </w:rPr>
              <w:t>Glucose</w:t>
            </w:r>
          </w:p>
        </w:tc>
        <w:tc>
          <w:tcPr>
            <w:tcW w:w="1250" w:type="pct"/>
            <w:gridSpan w:val="2"/>
            <w:vAlign w:val="center"/>
          </w:tcPr>
          <w:p w14:paraId="0CB01B94" w14:textId="30B21706"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5B1EB7BC" w14:textId="284FD7A8"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447B7F43"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2AFD108C"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C607117" w14:textId="77777777" w:rsidR="000368F6" w:rsidRPr="007D2801" w:rsidRDefault="000368F6" w:rsidP="00A44F37">
            <w:pPr>
              <w:spacing w:before="60" w:after="60"/>
              <w:rPr>
                <w:rFonts w:cs="Arial"/>
                <w:sz w:val="20"/>
                <w:szCs w:val="20"/>
              </w:rPr>
            </w:pPr>
            <w:r w:rsidRPr="007D2801">
              <w:rPr>
                <w:rFonts w:cs="Arial"/>
                <w:sz w:val="20"/>
                <w:szCs w:val="20"/>
              </w:rPr>
              <w:t>Galactose</w:t>
            </w:r>
          </w:p>
        </w:tc>
        <w:tc>
          <w:tcPr>
            <w:tcW w:w="1250" w:type="pct"/>
            <w:gridSpan w:val="2"/>
            <w:vAlign w:val="center"/>
          </w:tcPr>
          <w:p w14:paraId="6ADF4436" w14:textId="44E7CA80"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1248C90D" w14:textId="203686D3"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0D55ADE6"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78B715A7"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497082FB" w14:textId="77777777" w:rsidR="000368F6" w:rsidRPr="007D2801" w:rsidRDefault="000368F6" w:rsidP="00A44F37">
            <w:pPr>
              <w:spacing w:before="60" w:after="60"/>
              <w:rPr>
                <w:rFonts w:cs="Arial"/>
                <w:sz w:val="20"/>
                <w:szCs w:val="20"/>
              </w:rPr>
            </w:pPr>
            <w:r w:rsidRPr="007D2801">
              <w:rPr>
                <w:rFonts w:cs="Arial"/>
                <w:sz w:val="20"/>
                <w:szCs w:val="20"/>
              </w:rPr>
              <w:t>Fucose</w:t>
            </w:r>
          </w:p>
        </w:tc>
        <w:tc>
          <w:tcPr>
            <w:tcW w:w="1250" w:type="pct"/>
            <w:gridSpan w:val="2"/>
            <w:vAlign w:val="center"/>
          </w:tcPr>
          <w:p w14:paraId="7C5DB2E4" w14:textId="37173067"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31A4E19F" w14:textId="7DCF6A43" w:rsidR="000368F6" w:rsidRPr="007D2801" w:rsidRDefault="003D7B4E" w:rsidP="003D7B4E">
            <w:pPr>
              <w:spacing w:before="60" w:after="60"/>
              <w:rPr>
                <w:rFonts w:cs="Arial"/>
                <w:sz w:val="20"/>
                <w:szCs w:val="20"/>
              </w:rPr>
            </w:pPr>
            <w:r>
              <w:rPr>
                <w:rFonts w:cs="Arial"/>
                <w:sz w:val="20"/>
                <w:szCs w:val="20"/>
                <w:lang w:eastAsia="en-GB" w:bidi="ar-SA"/>
              </w:rPr>
              <w:t>≤ 3% (Area)</w:t>
            </w:r>
          </w:p>
        </w:tc>
        <w:tc>
          <w:tcPr>
            <w:tcW w:w="1250" w:type="pct"/>
            <w:vAlign w:val="center"/>
          </w:tcPr>
          <w:p w14:paraId="1D704FEE"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7B751CC5" w14:textId="77777777" w:rsidTr="00567589">
        <w:trPr>
          <w:cnfStyle w:val="000000010000" w:firstRow="0" w:lastRow="0" w:firstColumn="0" w:lastColumn="0" w:oddVBand="0" w:evenVBand="0" w:oddHBand="0" w:evenHBand="1" w:firstRowFirstColumn="0" w:firstRowLastColumn="0" w:lastRowFirstColumn="0" w:lastRowLastColumn="0"/>
          <w:trHeight w:val="397"/>
        </w:trPr>
        <w:tc>
          <w:tcPr>
            <w:tcW w:w="5000" w:type="pct"/>
            <w:gridSpan w:val="6"/>
            <w:vAlign w:val="center"/>
          </w:tcPr>
          <w:p w14:paraId="3C96ACEF" w14:textId="6D3F5A97" w:rsidR="000368F6" w:rsidRPr="007D2801" w:rsidRDefault="00567589" w:rsidP="00567589">
            <w:pPr>
              <w:spacing w:before="0" w:after="0"/>
              <w:jc w:val="center"/>
              <w:rPr>
                <w:rFonts w:cs="Arial"/>
                <w:sz w:val="20"/>
                <w:szCs w:val="20"/>
              </w:rPr>
            </w:pPr>
            <w:r w:rsidRPr="007D2801">
              <w:rPr>
                <w:rFonts w:cs="Arial"/>
                <w:b/>
                <w:sz w:val="20"/>
                <w:szCs w:val="20"/>
              </w:rPr>
              <w:t>Heavy Metals</w:t>
            </w:r>
          </w:p>
        </w:tc>
      </w:tr>
      <w:tr w:rsidR="000368F6" w:rsidRPr="007D2801" w14:paraId="549FB924"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56DDAA80" w14:textId="77777777" w:rsidR="000368F6" w:rsidRPr="007D2801" w:rsidRDefault="000368F6" w:rsidP="00CD3E4F">
            <w:pPr>
              <w:spacing w:before="60" w:after="60"/>
              <w:rPr>
                <w:rFonts w:cs="Arial"/>
                <w:sz w:val="20"/>
                <w:szCs w:val="20"/>
              </w:rPr>
            </w:pPr>
            <w:r w:rsidRPr="007D2801">
              <w:rPr>
                <w:rFonts w:cs="Arial"/>
                <w:sz w:val="20"/>
                <w:szCs w:val="20"/>
              </w:rPr>
              <w:t>Lead</w:t>
            </w:r>
          </w:p>
        </w:tc>
        <w:tc>
          <w:tcPr>
            <w:tcW w:w="1250" w:type="pct"/>
            <w:gridSpan w:val="2"/>
            <w:vAlign w:val="center"/>
          </w:tcPr>
          <w:p w14:paraId="10E2D0F0"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0.02 mg/kg</w:t>
            </w:r>
          </w:p>
        </w:tc>
        <w:tc>
          <w:tcPr>
            <w:tcW w:w="1250" w:type="pct"/>
            <w:gridSpan w:val="2"/>
            <w:vAlign w:val="center"/>
          </w:tcPr>
          <w:p w14:paraId="687631E5" w14:textId="6575610E" w:rsidR="000368F6" w:rsidRPr="007D2801" w:rsidRDefault="00AB0497" w:rsidP="00AB0497">
            <w:pPr>
              <w:spacing w:before="60" w:after="60"/>
              <w:rPr>
                <w:rFonts w:cs="Arial"/>
                <w:sz w:val="20"/>
                <w:szCs w:val="20"/>
              </w:rPr>
            </w:pPr>
            <w:r>
              <w:rPr>
                <w:rFonts w:cs="Arial"/>
                <w:sz w:val="20"/>
                <w:szCs w:val="20"/>
              </w:rPr>
              <w:t>≤ 0.02 mg/kg FDM</w:t>
            </w:r>
          </w:p>
        </w:tc>
        <w:tc>
          <w:tcPr>
            <w:tcW w:w="1250" w:type="pct"/>
            <w:vAlign w:val="center"/>
          </w:tcPr>
          <w:p w14:paraId="19650C90" w14:textId="77777777" w:rsidR="000368F6" w:rsidRPr="007D2801" w:rsidRDefault="000368F6" w:rsidP="00CD3E4F">
            <w:pPr>
              <w:spacing w:before="60" w:after="60"/>
              <w:rPr>
                <w:rFonts w:cs="Arial"/>
                <w:sz w:val="20"/>
                <w:szCs w:val="20"/>
              </w:rPr>
            </w:pPr>
            <w:r w:rsidRPr="007D2801">
              <w:rPr>
                <w:rFonts w:cs="Arial"/>
                <w:sz w:val="20"/>
                <w:szCs w:val="20"/>
              </w:rPr>
              <w:t>ASU L 00.00-19/3 (a)</w:t>
            </w:r>
          </w:p>
        </w:tc>
      </w:tr>
      <w:tr w:rsidR="000368F6" w:rsidRPr="007D2801" w14:paraId="28936B5A"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E8E8933" w14:textId="77777777" w:rsidR="000368F6" w:rsidRPr="007D2801" w:rsidRDefault="000368F6" w:rsidP="00CD3E4F">
            <w:pPr>
              <w:spacing w:before="60" w:after="60"/>
              <w:rPr>
                <w:rFonts w:cs="Arial"/>
                <w:sz w:val="20"/>
                <w:szCs w:val="20"/>
              </w:rPr>
            </w:pPr>
            <w:r w:rsidRPr="007D2801">
              <w:rPr>
                <w:rFonts w:cs="Arial"/>
                <w:sz w:val="20"/>
                <w:szCs w:val="20"/>
              </w:rPr>
              <w:t>Arsenic</w:t>
            </w:r>
          </w:p>
        </w:tc>
        <w:tc>
          <w:tcPr>
            <w:tcW w:w="1250" w:type="pct"/>
            <w:gridSpan w:val="2"/>
            <w:vAlign w:val="center"/>
          </w:tcPr>
          <w:p w14:paraId="0D322B51"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0.2 mg/kg</w:t>
            </w:r>
          </w:p>
        </w:tc>
        <w:tc>
          <w:tcPr>
            <w:tcW w:w="1250" w:type="pct"/>
            <w:gridSpan w:val="2"/>
            <w:vAlign w:val="center"/>
          </w:tcPr>
          <w:p w14:paraId="58B48855" w14:textId="702E3F07" w:rsidR="000368F6" w:rsidRPr="007D2801" w:rsidRDefault="000368F6" w:rsidP="00AB0497">
            <w:pPr>
              <w:spacing w:before="60" w:after="60"/>
              <w:rPr>
                <w:rFonts w:cs="Arial"/>
                <w:sz w:val="20"/>
                <w:szCs w:val="20"/>
              </w:rPr>
            </w:pPr>
            <w:r w:rsidRPr="007D2801">
              <w:rPr>
                <w:rFonts w:cs="Arial"/>
                <w:sz w:val="20"/>
                <w:szCs w:val="20"/>
              </w:rPr>
              <w:t xml:space="preserve">≤ 0.2 mg/kg </w:t>
            </w:r>
            <w:r w:rsidR="00AB0497">
              <w:rPr>
                <w:rFonts w:cs="Arial"/>
                <w:sz w:val="20"/>
                <w:szCs w:val="20"/>
              </w:rPr>
              <w:t>FDM</w:t>
            </w:r>
          </w:p>
        </w:tc>
        <w:tc>
          <w:tcPr>
            <w:tcW w:w="1250" w:type="pct"/>
            <w:vAlign w:val="center"/>
          </w:tcPr>
          <w:p w14:paraId="20DF10C7" w14:textId="77777777" w:rsidR="000368F6" w:rsidRPr="007D2801" w:rsidRDefault="000368F6" w:rsidP="00CD3E4F">
            <w:pPr>
              <w:spacing w:before="60" w:after="60"/>
              <w:rPr>
                <w:rFonts w:cs="Arial"/>
                <w:sz w:val="20"/>
                <w:szCs w:val="20"/>
              </w:rPr>
            </w:pPr>
            <w:r w:rsidRPr="007D2801">
              <w:rPr>
                <w:rFonts w:cs="Arial"/>
                <w:sz w:val="20"/>
                <w:szCs w:val="20"/>
              </w:rPr>
              <w:t>ASU L 12.00-06 (a)</w:t>
            </w:r>
          </w:p>
        </w:tc>
      </w:tr>
      <w:tr w:rsidR="000368F6" w:rsidRPr="007D2801" w14:paraId="64B04D70"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3A8A12FE" w14:textId="77777777" w:rsidR="000368F6" w:rsidRPr="007D2801" w:rsidRDefault="000368F6" w:rsidP="00CD3E4F">
            <w:pPr>
              <w:spacing w:before="60" w:after="60"/>
              <w:rPr>
                <w:rFonts w:cs="Arial"/>
                <w:sz w:val="20"/>
                <w:szCs w:val="20"/>
              </w:rPr>
            </w:pPr>
            <w:r w:rsidRPr="007D2801">
              <w:rPr>
                <w:rFonts w:cs="Arial"/>
                <w:sz w:val="20"/>
                <w:szCs w:val="20"/>
              </w:rPr>
              <w:t>Cadmium</w:t>
            </w:r>
          </w:p>
        </w:tc>
        <w:tc>
          <w:tcPr>
            <w:tcW w:w="1250" w:type="pct"/>
            <w:gridSpan w:val="2"/>
            <w:vAlign w:val="center"/>
          </w:tcPr>
          <w:p w14:paraId="5E07760F"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0.1 mg/kg</w:t>
            </w:r>
          </w:p>
        </w:tc>
        <w:tc>
          <w:tcPr>
            <w:tcW w:w="1250" w:type="pct"/>
            <w:gridSpan w:val="2"/>
            <w:vAlign w:val="center"/>
          </w:tcPr>
          <w:p w14:paraId="5F490AD8" w14:textId="05F79C1B" w:rsidR="000368F6" w:rsidRPr="007D2801" w:rsidRDefault="000368F6" w:rsidP="00AB0497">
            <w:pPr>
              <w:spacing w:before="60" w:after="60"/>
              <w:rPr>
                <w:rFonts w:cs="Arial"/>
                <w:sz w:val="20"/>
                <w:szCs w:val="20"/>
              </w:rPr>
            </w:pPr>
            <w:r w:rsidRPr="007D2801">
              <w:rPr>
                <w:rFonts w:cs="Arial"/>
                <w:sz w:val="20"/>
                <w:szCs w:val="20"/>
              </w:rPr>
              <w:t xml:space="preserve">≤ 0.1 mg/kg </w:t>
            </w:r>
            <w:r w:rsidR="00AB0497">
              <w:rPr>
                <w:rFonts w:cs="Arial"/>
                <w:sz w:val="20"/>
                <w:szCs w:val="20"/>
              </w:rPr>
              <w:t>FDM</w:t>
            </w:r>
          </w:p>
        </w:tc>
        <w:tc>
          <w:tcPr>
            <w:tcW w:w="1250" w:type="pct"/>
            <w:vAlign w:val="center"/>
          </w:tcPr>
          <w:p w14:paraId="1031E1CE" w14:textId="77777777" w:rsidR="000368F6" w:rsidRPr="007D2801" w:rsidRDefault="000368F6" w:rsidP="00CD3E4F">
            <w:pPr>
              <w:spacing w:before="60" w:after="60"/>
              <w:rPr>
                <w:rFonts w:cs="Arial"/>
                <w:sz w:val="20"/>
                <w:szCs w:val="20"/>
              </w:rPr>
            </w:pPr>
            <w:r w:rsidRPr="007D2801">
              <w:rPr>
                <w:rFonts w:cs="Arial"/>
                <w:sz w:val="20"/>
                <w:szCs w:val="20"/>
              </w:rPr>
              <w:t>ASU L 00.00-19/3 (a)</w:t>
            </w:r>
          </w:p>
        </w:tc>
      </w:tr>
      <w:tr w:rsidR="000368F6" w:rsidRPr="007D2801" w14:paraId="35379968"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5A97A4F7" w14:textId="77777777" w:rsidR="000368F6" w:rsidRPr="007D2801" w:rsidRDefault="000368F6" w:rsidP="00CD3E4F">
            <w:pPr>
              <w:spacing w:before="60" w:after="60"/>
              <w:rPr>
                <w:rFonts w:cs="Arial"/>
                <w:sz w:val="20"/>
                <w:szCs w:val="20"/>
              </w:rPr>
            </w:pPr>
            <w:r w:rsidRPr="007D2801">
              <w:rPr>
                <w:rFonts w:cs="Arial"/>
                <w:sz w:val="20"/>
                <w:szCs w:val="20"/>
              </w:rPr>
              <w:t>Mercury</w:t>
            </w:r>
          </w:p>
        </w:tc>
        <w:tc>
          <w:tcPr>
            <w:tcW w:w="1250" w:type="pct"/>
            <w:gridSpan w:val="2"/>
            <w:vAlign w:val="center"/>
          </w:tcPr>
          <w:p w14:paraId="06A08B6C"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0.5 mg/kg</w:t>
            </w:r>
          </w:p>
        </w:tc>
        <w:tc>
          <w:tcPr>
            <w:tcW w:w="1250" w:type="pct"/>
            <w:gridSpan w:val="2"/>
            <w:vAlign w:val="center"/>
          </w:tcPr>
          <w:p w14:paraId="58117318" w14:textId="7D2F6421" w:rsidR="000368F6" w:rsidRPr="007D2801" w:rsidRDefault="000368F6" w:rsidP="00AB0497">
            <w:pPr>
              <w:spacing w:before="60" w:after="60"/>
              <w:rPr>
                <w:rFonts w:cs="Arial"/>
                <w:sz w:val="20"/>
                <w:szCs w:val="20"/>
              </w:rPr>
            </w:pPr>
            <w:r w:rsidRPr="007D2801">
              <w:rPr>
                <w:rFonts w:cs="Arial"/>
                <w:sz w:val="20"/>
                <w:szCs w:val="20"/>
              </w:rPr>
              <w:t xml:space="preserve">≤ 0.5 mg/kg </w:t>
            </w:r>
            <w:r w:rsidR="00AB0497">
              <w:rPr>
                <w:rFonts w:cs="Arial"/>
                <w:sz w:val="20"/>
                <w:szCs w:val="20"/>
              </w:rPr>
              <w:t>FDM</w:t>
            </w:r>
          </w:p>
        </w:tc>
        <w:tc>
          <w:tcPr>
            <w:tcW w:w="1250" w:type="pct"/>
            <w:vAlign w:val="center"/>
          </w:tcPr>
          <w:p w14:paraId="307936C9" w14:textId="77777777" w:rsidR="000368F6" w:rsidRPr="007D2801" w:rsidRDefault="000368F6" w:rsidP="00CD3E4F">
            <w:pPr>
              <w:spacing w:before="60" w:after="60"/>
              <w:rPr>
                <w:rFonts w:cs="Arial"/>
                <w:sz w:val="20"/>
                <w:szCs w:val="20"/>
              </w:rPr>
            </w:pPr>
            <w:r w:rsidRPr="007D2801">
              <w:rPr>
                <w:rFonts w:cs="Arial"/>
                <w:sz w:val="20"/>
                <w:szCs w:val="20"/>
              </w:rPr>
              <w:t>ASU 00.00-19/4 (a)</w:t>
            </w:r>
          </w:p>
        </w:tc>
      </w:tr>
      <w:tr w:rsidR="000368F6" w:rsidRPr="007D2801" w14:paraId="28587BE4"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6"/>
            <w:vAlign w:val="center"/>
          </w:tcPr>
          <w:p w14:paraId="31050333" w14:textId="77777777" w:rsidR="000368F6" w:rsidRPr="007D2801" w:rsidRDefault="000368F6" w:rsidP="007020CD">
            <w:pPr>
              <w:spacing w:before="0" w:after="0"/>
              <w:jc w:val="center"/>
              <w:rPr>
                <w:rFonts w:cs="Arial"/>
                <w:b/>
                <w:sz w:val="20"/>
                <w:szCs w:val="20"/>
              </w:rPr>
            </w:pPr>
            <w:r w:rsidRPr="007D2801">
              <w:rPr>
                <w:rFonts w:cs="Arial"/>
                <w:b/>
                <w:sz w:val="20"/>
                <w:szCs w:val="20"/>
              </w:rPr>
              <w:t>Microbiological Parameters</w:t>
            </w:r>
          </w:p>
        </w:tc>
      </w:tr>
      <w:tr w:rsidR="000368F6" w:rsidRPr="007D2801" w14:paraId="012268EB"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6595B4CA" w14:textId="77777777" w:rsidR="000368F6" w:rsidRPr="007D2801" w:rsidRDefault="000368F6" w:rsidP="00567589">
            <w:pPr>
              <w:spacing w:before="0" w:after="0"/>
              <w:rPr>
                <w:rFonts w:cs="Arial"/>
                <w:sz w:val="20"/>
                <w:szCs w:val="20"/>
              </w:rPr>
            </w:pPr>
            <w:r w:rsidRPr="007D2801">
              <w:rPr>
                <w:rFonts w:cs="Arial"/>
                <w:sz w:val="20"/>
                <w:szCs w:val="20"/>
                <w:lang w:eastAsia="en-GB" w:bidi="ar-SA"/>
              </w:rPr>
              <w:t>Standard Plate Count</w:t>
            </w:r>
          </w:p>
        </w:tc>
        <w:tc>
          <w:tcPr>
            <w:tcW w:w="1250" w:type="pct"/>
            <w:gridSpan w:val="2"/>
            <w:vAlign w:val="center"/>
          </w:tcPr>
          <w:p w14:paraId="3B4596DB" w14:textId="77777777" w:rsidR="000368F6" w:rsidRPr="007D2801" w:rsidRDefault="000368F6" w:rsidP="00567589">
            <w:pPr>
              <w:spacing w:before="0" w:after="0"/>
              <w:rPr>
                <w:rFonts w:cs="Arial"/>
                <w:sz w:val="20"/>
                <w:szCs w:val="20"/>
              </w:rPr>
            </w:pPr>
            <w:r w:rsidRPr="007D2801">
              <w:rPr>
                <w:rFonts w:cs="Arial"/>
                <w:sz w:val="20"/>
                <w:szCs w:val="20"/>
                <w:lang w:eastAsia="en-GB" w:bidi="ar-SA"/>
              </w:rPr>
              <w:t>≤ 10000 cfu/g</w:t>
            </w:r>
          </w:p>
        </w:tc>
        <w:tc>
          <w:tcPr>
            <w:tcW w:w="1250" w:type="pct"/>
            <w:gridSpan w:val="2"/>
            <w:vAlign w:val="center"/>
          </w:tcPr>
          <w:p w14:paraId="77B9117E" w14:textId="77777777" w:rsidR="000368F6" w:rsidRPr="007D2801" w:rsidRDefault="000368F6" w:rsidP="00567589">
            <w:pPr>
              <w:spacing w:before="0" w:after="0"/>
              <w:rPr>
                <w:rFonts w:cs="Arial"/>
                <w:sz w:val="20"/>
                <w:szCs w:val="20"/>
              </w:rPr>
            </w:pPr>
            <w:r w:rsidRPr="007D2801">
              <w:rPr>
                <w:rFonts w:cs="Arial"/>
                <w:sz w:val="20"/>
                <w:szCs w:val="20"/>
                <w:lang w:eastAsia="en-GB" w:bidi="ar-SA"/>
              </w:rPr>
              <w:t>≤ 5000 cfu/g</w:t>
            </w:r>
          </w:p>
        </w:tc>
        <w:tc>
          <w:tcPr>
            <w:tcW w:w="1250" w:type="pct"/>
            <w:vAlign w:val="center"/>
          </w:tcPr>
          <w:p w14:paraId="11E108FC"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 4833-2</w:t>
            </w:r>
          </w:p>
        </w:tc>
      </w:tr>
      <w:tr w:rsidR="000368F6" w:rsidRPr="007D2801" w14:paraId="4399904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hideMark/>
          </w:tcPr>
          <w:p w14:paraId="201FA9C8" w14:textId="77777777" w:rsidR="000368F6" w:rsidRPr="007D2801" w:rsidRDefault="000368F6" w:rsidP="00567589">
            <w:pPr>
              <w:autoSpaceDE w:val="0"/>
              <w:autoSpaceDN w:val="0"/>
              <w:adjustRightInd w:val="0"/>
              <w:spacing w:before="0" w:after="0"/>
              <w:rPr>
                <w:rFonts w:cs="Arial"/>
                <w:sz w:val="20"/>
                <w:szCs w:val="20"/>
                <w:lang w:eastAsia="en-GB" w:bidi="ar-SA"/>
              </w:rPr>
            </w:pPr>
            <w:r w:rsidRPr="007D2801">
              <w:rPr>
                <w:rFonts w:cs="Arial"/>
                <w:sz w:val="20"/>
                <w:szCs w:val="20"/>
                <w:lang w:eastAsia="en-GB" w:bidi="ar-SA"/>
              </w:rPr>
              <w:t>Coliform /</w:t>
            </w:r>
          </w:p>
          <w:p w14:paraId="79C13026" w14:textId="77777777" w:rsidR="000368F6" w:rsidRPr="007D2801" w:rsidRDefault="000368F6" w:rsidP="00567589">
            <w:pPr>
              <w:spacing w:before="0" w:after="0"/>
              <w:rPr>
                <w:rFonts w:cs="Arial"/>
                <w:sz w:val="20"/>
                <w:szCs w:val="20"/>
              </w:rPr>
            </w:pPr>
            <w:r w:rsidRPr="007D2801">
              <w:rPr>
                <w:rFonts w:cs="Arial"/>
                <w:sz w:val="20"/>
                <w:szCs w:val="20"/>
                <w:lang w:eastAsia="en-GB" w:bidi="ar-SA"/>
              </w:rPr>
              <w:t>Enterobacteriaceae</w:t>
            </w:r>
          </w:p>
        </w:tc>
        <w:tc>
          <w:tcPr>
            <w:tcW w:w="1250" w:type="pct"/>
            <w:gridSpan w:val="2"/>
            <w:vAlign w:val="center"/>
          </w:tcPr>
          <w:p w14:paraId="03612CFD" w14:textId="77777777" w:rsidR="000368F6" w:rsidRPr="007D2801" w:rsidRDefault="000368F6" w:rsidP="00567589">
            <w:pPr>
              <w:spacing w:before="0" w:after="0"/>
              <w:rPr>
                <w:rFonts w:cs="Arial"/>
                <w:sz w:val="20"/>
                <w:szCs w:val="20"/>
              </w:rPr>
            </w:pPr>
            <w:r w:rsidRPr="007D2801">
              <w:rPr>
                <w:rFonts w:cs="Arial"/>
                <w:sz w:val="20"/>
                <w:szCs w:val="20"/>
              </w:rPr>
              <w:t>Absent in 11 g</w:t>
            </w:r>
          </w:p>
        </w:tc>
        <w:tc>
          <w:tcPr>
            <w:tcW w:w="1250" w:type="pct"/>
            <w:gridSpan w:val="2"/>
            <w:vAlign w:val="center"/>
          </w:tcPr>
          <w:p w14:paraId="4207957D" w14:textId="77777777" w:rsidR="000368F6" w:rsidRPr="007D2801" w:rsidRDefault="000368F6" w:rsidP="00567589">
            <w:pPr>
              <w:spacing w:before="0" w:after="0"/>
              <w:rPr>
                <w:rFonts w:cs="Arial"/>
                <w:sz w:val="20"/>
                <w:szCs w:val="20"/>
              </w:rPr>
            </w:pPr>
            <w:r w:rsidRPr="007D2801">
              <w:rPr>
                <w:rFonts w:cs="Arial"/>
                <w:sz w:val="20"/>
                <w:szCs w:val="20"/>
                <w:lang w:eastAsia="en-GB" w:bidi="ar-SA"/>
              </w:rPr>
              <w:t>absent in 22 ml</w:t>
            </w:r>
          </w:p>
        </w:tc>
        <w:tc>
          <w:tcPr>
            <w:tcW w:w="1250" w:type="pct"/>
            <w:vAlign w:val="center"/>
          </w:tcPr>
          <w:p w14:paraId="37FEC35D"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 4832 / ISO 21528-2</w:t>
            </w:r>
          </w:p>
        </w:tc>
      </w:tr>
      <w:tr w:rsidR="000368F6" w:rsidRPr="007D2801" w14:paraId="587C996A"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754147FD" w14:textId="77777777" w:rsidR="000368F6" w:rsidRPr="007D2801" w:rsidRDefault="000368F6" w:rsidP="00567589">
            <w:pPr>
              <w:spacing w:before="0" w:after="0"/>
              <w:rPr>
                <w:rFonts w:cs="Arial"/>
                <w:sz w:val="20"/>
                <w:szCs w:val="20"/>
              </w:rPr>
            </w:pPr>
            <w:r w:rsidRPr="007D2801">
              <w:rPr>
                <w:rFonts w:cs="Arial"/>
                <w:sz w:val="20"/>
                <w:szCs w:val="20"/>
              </w:rPr>
              <w:t>Cronobacter sakazakii</w:t>
            </w:r>
          </w:p>
        </w:tc>
        <w:tc>
          <w:tcPr>
            <w:tcW w:w="1250" w:type="pct"/>
            <w:gridSpan w:val="2"/>
            <w:vAlign w:val="center"/>
          </w:tcPr>
          <w:p w14:paraId="64739E55" w14:textId="77777777" w:rsidR="000368F6" w:rsidRPr="007D2801" w:rsidRDefault="000368F6" w:rsidP="00567589">
            <w:pPr>
              <w:spacing w:before="0" w:after="0"/>
              <w:rPr>
                <w:rFonts w:cs="Arial"/>
                <w:sz w:val="20"/>
                <w:szCs w:val="20"/>
              </w:rPr>
            </w:pPr>
            <w:r w:rsidRPr="007D2801">
              <w:rPr>
                <w:rFonts w:cs="Arial"/>
                <w:sz w:val="20"/>
                <w:szCs w:val="20"/>
              </w:rPr>
              <w:t>Absent in 100 g</w:t>
            </w:r>
          </w:p>
        </w:tc>
        <w:tc>
          <w:tcPr>
            <w:tcW w:w="1250" w:type="pct"/>
            <w:gridSpan w:val="2"/>
            <w:vAlign w:val="center"/>
          </w:tcPr>
          <w:p w14:paraId="428E1299" w14:textId="77777777" w:rsidR="000368F6" w:rsidRPr="007D2801" w:rsidRDefault="000368F6" w:rsidP="00567589">
            <w:pPr>
              <w:spacing w:before="0" w:after="0"/>
              <w:rPr>
                <w:rFonts w:cs="Arial"/>
                <w:sz w:val="20"/>
                <w:szCs w:val="20"/>
              </w:rPr>
            </w:pPr>
            <w:r w:rsidRPr="007D2801">
              <w:rPr>
                <w:rFonts w:cs="Arial"/>
                <w:sz w:val="20"/>
                <w:szCs w:val="20"/>
                <w:lang w:eastAsia="en-GB" w:bidi="ar-SA"/>
              </w:rPr>
              <w:t>absent in 200 ml</w:t>
            </w:r>
          </w:p>
        </w:tc>
        <w:tc>
          <w:tcPr>
            <w:tcW w:w="1250" w:type="pct"/>
            <w:vAlign w:val="center"/>
          </w:tcPr>
          <w:p w14:paraId="5F6C4AC0"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ISO/TS 22964</w:t>
            </w:r>
          </w:p>
        </w:tc>
      </w:tr>
      <w:tr w:rsidR="000368F6" w:rsidRPr="007D2801" w14:paraId="1273EE0D" w14:textId="77777777" w:rsidTr="007020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hideMark/>
          </w:tcPr>
          <w:p w14:paraId="3F166667" w14:textId="77777777" w:rsidR="000368F6" w:rsidRPr="007D2801" w:rsidRDefault="000368F6" w:rsidP="00567589">
            <w:pPr>
              <w:spacing w:before="0" w:after="0"/>
              <w:rPr>
                <w:rFonts w:cs="Arial"/>
                <w:sz w:val="20"/>
                <w:szCs w:val="20"/>
              </w:rPr>
            </w:pPr>
            <w:r w:rsidRPr="007D2801">
              <w:rPr>
                <w:rFonts w:cs="Arial"/>
                <w:sz w:val="20"/>
                <w:szCs w:val="20"/>
              </w:rPr>
              <w:t>Salmonella</w:t>
            </w:r>
          </w:p>
        </w:tc>
        <w:tc>
          <w:tcPr>
            <w:tcW w:w="1250" w:type="pct"/>
            <w:gridSpan w:val="2"/>
            <w:vAlign w:val="center"/>
          </w:tcPr>
          <w:p w14:paraId="596350A9" w14:textId="77777777" w:rsidR="000368F6" w:rsidRPr="007D2801" w:rsidRDefault="000368F6" w:rsidP="00567589">
            <w:pPr>
              <w:spacing w:before="0" w:after="0"/>
              <w:rPr>
                <w:rFonts w:cs="Arial"/>
                <w:sz w:val="20"/>
                <w:szCs w:val="20"/>
              </w:rPr>
            </w:pPr>
            <w:r w:rsidRPr="007D2801">
              <w:rPr>
                <w:rFonts w:cs="Arial"/>
                <w:sz w:val="20"/>
                <w:szCs w:val="20"/>
              </w:rPr>
              <w:t>Absent in 100 g</w:t>
            </w:r>
          </w:p>
        </w:tc>
        <w:tc>
          <w:tcPr>
            <w:tcW w:w="1250" w:type="pct"/>
            <w:gridSpan w:val="2"/>
            <w:vAlign w:val="center"/>
          </w:tcPr>
          <w:p w14:paraId="521A5C07" w14:textId="77777777" w:rsidR="000368F6" w:rsidRPr="007D2801" w:rsidRDefault="000368F6" w:rsidP="00567589">
            <w:pPr>
              <w:spacing w:before="0" w:after="0"/>
              <w:rPr>
                <w:rFonts w:cs="Arial"/>
                <w:sz w:val="20"/>
                <w:szCs w:val="20"/>
              </w:rPr>
            </w:pPr>
            <w:r w:rsidRPr="007D2801">
              <w:rPr>
                <w:rFonts w:cs="Arial"/>
                <w:sz w:val="20"/>
                <w:szCs w:val="20"/>
              </w:rPr>
              <w:t>absent in 200 ml</w:t>
            </w:r>
          </w:p>
        </w:tc>
        <w:tc>
          <w:tcPr>
            <w:tcW w:w="1250" w:type="pct"/>
            <w:vAlign w:val="center"/>
          </w:tcPr>
          <w:p w14:paraId="58496351" w14:textId="77777777" w:rsidR="000368F6" w:rsidRPr="007D2801" w:rsidRDefault="000368F6" w:rsidP="00567589">
            <w:pPr>
              <w:spacing w:before="0" w:after="0"/>
              <w:rPr>
                <w:rFonts w:cs="Arial"/>
                <w:sz w:val="20"/>
                <w:szCs w:val="20"/>
              </w:rPr>
            </w:pPr>
            <w:r w:rsidRPr="007D2801">
              <w:rPr>
                <w:rFonts w:cs="Arial"/>
                <w:sz w:val="20"/>
                <w:szCs w:val="20"/>
              </w:rPr>
              <w:t>ISO 6579</w:t>
            </w:r>
          </w:p>
        </w:tc>
      </w:tr>
      <w:tr w:rsidR="000368F6" w:rsidRPr="007D2801" w14:paraId="6B2756B9"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480111D" w14:textId="77777777" w:rsidR="000368F6" w:rsidRPr="007D2801" w:rsidRDefault="000368F6" w:rsidP="00567589">
            <w:pPr>
              <w:spacing w:before="0" w:after="0"/>
              <w:rPr>
                <w:rFonts w:cs="Arial"/>
                <w:sz w:val="20"/>
                <w:szCs w:val="20"/>
              </w:rPr>
            </w:pPr>
            <w:r w:rsidRPr="007D2801">
              <w:rPr>
                <w:rFonts w:cs="Arial"/>
                <w:sz w:val="20"/>
                <w:szCs w:val="20"/>
              </w:rPr>
              <w:t>Endotoxins</w:t>
            </w:r>
          </w:p>
        </w:tc>
        <w:tc>
          <w:tcPr>
            <w:tcW w:w="1250" w:type="pct"/>
            <w:gridSpan w:val="2"/>
            <w:vAlign w:val="center"/>
          </w:tcPr>
          <w:p w14:paraId="401D3557" w14:textId="5C851A7F" w:rsidR="000368F6" w:rsidRPr="007D2801" w:rsidRDefault="000368F6" w:rsidP="00567589">
            <w:pPr>
              <w:spacing w:before="0" w:after="0"/>
              <w:rPr>
                <w:rFonts w:cs="Arial"/>
                <w:sz w:val="20"/>
                <w:szCs w:val="20"/>
              </w:rPr>
            </w:pPr>
            <w:r w:rsidRPr="007D2801">
              <w:rPr>
                <w:rFonts w:cs="Arial"/>
                <w:sz w:val="20"/>
                <w:szCs w:val="20"/>
                <w:lang w:eastAsia="en-GB" w:bidi="ar-SA"/>
              </w:rPr>
              <w:t xml:space="preserve">≤ </w:t>
            </w:r>
            <w:r w:rsidR="00595AC2">
              <w:rPr>
                <w:rFonts w:cs="Arial"/>
                <w:sz w:val="20"/>
                <w:szCs w:val="20"/>
                <w:lang w:eastAsia="en-GB" w:bidi="ar-SA"/>
              </w:rPr>
              <w:t>10</w:t>
            </w:r>
            <w:r w:rsidR="00595AC2" w:rsidRPr="007D2801">
              <w:rPr>
                <w:rFonts w:cs="Arial"/>
                <w:sz w:val="20"/>
                <w:szCs w:val="20"/>
                <w:lang w:eastAsia="en-GB" w:bidi="ar-SA"/>
              </w:rPr>
              <w:t xml:space="preserve"> </w:t>
            </w:r>
            <w:r w:rsidRPr="007D2801">
              <w:rPr>
                <w:rFonts w:cs="Arial"/>
                <w:sz w:val="20"/>
                <w:szCs w:val="20"/>
                <w:lang w:eastAsia="en-GB" w:bidi="ar-SA"/>
              </w:rPr>
              <w:t>EU/</w:t>
            </w:r>
            <w:r w:rsidR="00595AC2">
              <w:rPr>
                <w:rFonts w:cs="Arial"/>
                <w:sz w:val="20"/>
                <w:szCs w:val="20"/>
                <w:lang w:eastAsia="en-GB" w:bidi="ar-SA"/>
              </w:rPr>
              <w:t>m</w:t>
            </w:r>
            <w:r w:rsidRPr="007D2801">
              <w:rPr>
                <w:rFonts w:cs="Arial"/>
                <w:sz w:val="20"/>
                <w:szCs w:val="20"/>
                <w:lang w:eastAsia="en-GB" w:bidi="ar-SA"/>
              </w:rPr>
              <w:t>g</w:t>
            </w:r>
          </w:p>
        </w:tc>
        <w:tc>
          <w:tcPr>
            <w:tcW w:w="1250" w:type="pct"/>
            <w:gridSpan w:val="2"/>
            <w:vAlign w:val="center"/>
          </w:tcPr>
          <w:p w14:paraId="3B942019" w14:textId="79415BD8" w:rsidR="000368F6" w:rsidRPr="007D2801" w:rsidRDefault="000368F6" w:rsidP="00567589">
            <w:pPr>
              <w:spacing w:before="0" w:after="0"/>
              <w:rPr>
                <w:rFonts w:cs="Arial"/>
                <w:sz w:val="20"/>
                <w:szCs w:val="20"/>
              </w:rPr>
            </w:pPr>
            <w:r w:rsidRPr="007D2801">
              <w:rPr>
                <w:rFonts w:cs="Arial"/>
                <w:sz w:val="20"/>
                <w:szCs w:val="20"/>
                <w:lang w:eastAsia="en-GB" w:bidi="ar-SA"/>
              </w:rPr>
              <w:t xml:space="preserve">≤ </w:t>
            </w:r>
            <w:r w:rsidR="00595AC2">
              <w:rPr>
                <w:rFonts w:cs="Arial"/>
                <w:sz w:val="20"/>
                <w:szCs w:val="20"/>
                <w:lang w:eastAsia="en-GB" w:bidi="ar-SA"/>
              </w:rPr>
              <w:t>10</w:t>
            </w:r>
            <w:r w:rsidR="00595AC2" w:rsidRPr="007D2801">
              <w:rPr>
                <w:rFonts w:cs="Arial"/>
                <w:sz w:val="20"/>
                <w:szCs w:val="20"/>
                <w:lang w:eastAsia="en-GB" w:bidi="ar-SA"/>
              </w:rPr>
              <w:t xml:space="preserve"> </w:t>
            </w:r>
            <w:r w:rsidRPr="007D2801">
              <w:rPr>
                <w:rFonts w:cs="Arial"/>
                <w:sz w:val="20"/>
                <w:szCs w:val="20"/>
                <w:lang w:eastAsia="en-GB" w:bidi="ar-SA"/>
              </w:rPr>
              <w:t>EU/</w:t>
            </w:r>
            <w:r w:rsidR="00595AC2">
              <w:rPr>
                <w:rFonts w:cs="Arial"/>
                <w:sz w:val="20"/>
                <w:szCs w:val="20"/>
                <w:lang w:eastAsia="en-GB" w:bidi="ar-SA"/>
              </w:rPr>
              <w:t>m</w:t>
            </w:r>
            <w:r w:rsidRPr="007D2801">
              <w:rPr>
                <w:rFonts w:cs="Arial"/>
                <w:sz w:val="20"/>
                <w:szCs w:val="20"/>
                <w:lang w:eastAsia="en-GB" w:bidi="ar-SA"/>
              </w:rPr>
              <w:t>g</w:t>
            </w:r>
          </w:p>
        </w:tc>
        <w:tc>
          <w:tcPr>
            <w:tcW w:w="1250" w:type="pct"/>
            <w:vAlign w:val="center"/>
          </w:tcPr>
          <w:p w14:paraId="3CA04296" w14:textId="77777777" w:rsidR="000368F6" w:rsidRPr="007D2801" w:rsidRDefault="000368F6" w:rsidP="00567589">
            <w:pPr>
              <w:spacing w:before="0" w:after="0"/>
              <w:rPr>
                <w:rFonts w:cs="Arial"/>
                <w:sz w:val="20"/>
                <w:szCs w:val="20"/>
              </w:rPr>
            </w:pPr>
            <w:r w:rsidRPr="007D2801">
              <w:rPr>
                <w:rFonts w:cs="Arial"/>
                <w:sz w:val="20"/>
                <w:szCs w:val="20"/>
                <w:lang w:eastAsia="en-GB" w:bidi="ar-SA"/>
              </w:rPr>
              <w:t>Ph. Eur. 2.6.14</w:t>
            </w:r>
          </w:p>
        </w:tc>
      </w:tr>
      <w:tr w:rsidR="000368F6" w:rsidRPr="007D2801" w14:paraId="7461CB9F"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5F36D611" w14:textId="77777777" w:rsidR="000368F6" w:rsidRPr="007D2801" w:rsidRDefault="000368F6" w:rsidP="00567589">
            <w:pPr>
              <w:spacing w:before="0" w:after="0"/>
              <w:rPr>
                <w:rFonts w:cs="Arial"/>
                <w:sz w:val="20"/>
                <w:szCs w:val="20"/>
              </w:rPr>
            </w:pPr>
            <w:r w:rsidRPr="007D2801">
              <w:rPr>
                <w:rFonts w:cs="Arial"/>
                <w:sz w:val="20"/>
                <w:szCs w:val="20"/>
                <w:lang w:eastAsia="en-GB" w:bidi="ar-SA"/>
              </w:rPr>
              <w:t>Aflatoxin M1</w:t>
            </w:r>
          </w:p>
        </w:tc>
        <w:tc>
          <w:tcPr>
            <w:tcW w:w="1250" w:type="pct"/>
            <w:gridSpan w:val="2"/>
            <w:vAlign w:val="center"/>
          </w:tcPr>
          <w:p w14:paraId="55BF2284" w14:textId="77777777" w:rsidR="000368F6" w:rsidRPr="007D2801" w:rsidRDefault="000368F6" w:rsidP="00567589">
            <w:pPr>
              <w:spacing w:before="0" w:after="0"/>
              <w:rPr>
                <w:rFonts w:cs="Arial"/>
                <w:sz w:val="20"/>
                <w:szCs w:val="20"/>
              </w:rPr>
            </w:pPr>
            <w:r w:rsidRPr="007D2801">
              <w:rPr>
                <w:rFonts w:cs="Arial"/>
                <w:sz w:val="20"/>
                <w:szCs w:val="20"/>
                <w:lang w:eastAsia="en-GB" w:bidi="ar-SA"/>
              </w:rPr>
              <w:t>≤ 0.025 μg/kg</w:t>
            </w:r>
          </w:p>
        </w:tc>
        <w:tc>
          <w:tcPr>
            <w:tcW w:w="1250" w:type="pct"/>
            <w:gridSpan w:val="2"/>
            <w:vAlign w:val="center"/>
          </w:tcPr>
          <w:p w14:paraId="209C01B7" w14:textId="77777777" w:rsidR="000368F6" w:rsidRPr="007D2801" w:rsidRDefault="000368F6" w:rsidP="00567589">
            <w:pPr>
              <w:spacing w:before="0" w:after="0"/>
              <w:rPr>
                <w:rFonts w:cs="Arial"/>
                <w:sz w:val="20"/>
                <w:szCs w:val="20"/>
              </w:rPr>
            </w:pPr>
            <w:r w:rsidRPr="007D2801">
              <w:rPr>
                <w:rFonts w:cs="Arial"/>
                <w:sz w:val="20"/>
                <w:szCs w:val="20"/>
                <w:lang w:eastAsia="en-GB" w:bidi="ar-SA"/>
              </w:rPr>
              <w:t>≤ 0.025 μg/kg</w:t>
            </w:r>
          </w:p>
        </w:tc>
        <w:tc>
          <w:tcPr>
            <w:tcW w:w="1250" w:type="pct"/>
            <w:vAlign w:val="center"/>
          </w:tcPr>
          <w:p w14:paraId="1BFA8234" w14:textId="77777777" w:rsidR="000368F6" w:rsidRPr="007D2801" w:rsidRDefault="000368F6" w:rsidP="00567589">
            <w:pPr>
              <w:spacing w:before="0" w:after="0"/>
              <w:rPr>
                <w:rFonts w:cs="Arial"/>
                <w:sz w:val="20"/>
                <w:szCs w:val="20"/>
              </w:rPr>
            </w:pPr>
            <w:r w:rsidRPr="007D2801">
              <w:rPr>
                <w:rFonts w:cs="Arial"/>
                <w:sz w:val="20"/>
                <w:szCs w:val="20"/>
                <w:lang w:eastAsia="en-GB" w:bidi="ar-SA"/>
              </w:rPr>
              <w:t>DIN EN ISO 14501</w:t>
            </w:r>
          </w:p>
        </w:tc>
      </w:tr>
      <w:tr w:rsidR="000368F6" w:rsidRPr="007D2801" w14:paraId="3F17E6EE"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66CD7E95" w14:textId="77777777" w:rsidR="000368F6" w:rsidRPr="007D2801" w:rsidRDefault="000368F6" w:rsidP="00567589">
            <w:pPr>
              <w:spacing w:before="0" w:after="0"/>
              <w:rPr>
                <w:rFonts w:cs="Arial"/>
                <w:sz w:val="20"/>
                <w:szCs w:val="20"/>
              </w:rPr>
            </w:pPr>
            <w:r w:rsidRPr="007D2801">
              <w:rPr>
                <w:rFonts w:cs="Arial"/>
                <w:sz w:val="20"/>
                <w:szCs w:val="20"/>
                <w:lang w:eastAsia="en-GB" w:bidi="ar-SA"/>
              </w:rPr>
              <w:t>GMO detection</w:t>
            </w:r>
          </w:p>
        </w:tc>
        <w:tc>
          <w:tcPr>
            <w:tcW w:w="1250" w:type="pct"/>
            <w:gridSpan w:val="2"/>
            <w:vAlign w:val="center"/>
          </w:tcPr>
          <w:p w14:paraId="747E02A7" w14:textId="3E930D77" w:rsidR="000368F6" w:rsidRPr="007D2801" w:rsidRDefault="000368F6" w:rsidP="00567589">
            <w:pPr>
              <w:spacing w:before="0" w:after="0"/>
              <w:rPr>
                <w:rFonts w:cs="Arial"/>
                <w:sz w:val="20"/>
                <w:szCs w:val="20"/>
              </w:rPr>
            </w:pPr>
            <w:r w:rsidRPr="007D2801">
              <w:rPr>
                <w:rFonts w:cs="Arial"/>
                <w:sz w:val="20"/>
                <w:szCs w:val="20"/>
              </w:rPr>
              <w:t>Negative</w:t>
            </w:r>
          </w:p>
        </w:tc>
        <w:tc>
          <w:tcPr>
            <w:tcW w:w="1250" w:type="pct"/>
            <w:gridSpan w:val="2"/>
            <w:vAlign w:val="center"/>
          </w:tcPr>
          <w:p w14:paraId="2138A96C" w14:textId="008FEBAE" w:rsidR="000368F6" w:rsidRPr="007D2801" w:rsidRDefault="000368F6" w:rsidP="00567589">
            <w:pPr>
              <w:spacing w:before="0" w:after="0"/>
              <w:rPr>
                <w:rFonts w:cs="Arial"/>
                <w:sz w:val="20"/>
                <w:szCs w:val="20"/>
              </w:rPr>
            </w:pPr>
            <w:r>
              <w:rPr>
                <w:rFonts w:cs="Arial"/>
                <w:sz w:val="20"/>
                <w:szCs w:val="20"/>
              </w:rPr>
              <w:t>Negative</w:t>
            </w:r>
          </w:p>
        </w:tc>
        <w:tc>
          <w:tcPr>
            <w:tcW w:w="1250" w:type="pct"/>
            <w:vAlign w:val="center"/>
          </w:tcPr>
          <w:p w14:paraId="15C84551" w14:textId="77777777" w:rsidR="000368F6" w:rsidRPr="007D2801" w:rsidRDefault="000368F6" w:rsidP="00567589">
            <w:pPr>
              <w:spacing w:before="0" w:after="0"/>
              <w:rPr>
                <w:rFonts w:cs="Arial"/>
                <w:sz w:val="20"/>
                <w:szCs w:val="20"/>
              </w:rPr>
            </w:pPr>
            <w:r w:rsidRPr="007D2801">
              <w:rPr>
                <w:rFonts w:cs="Arial"/>
                <w:sz w:val="20"/>
                <w:szCs w:val="20"/>
                <w:lang w:eastAsia="en-GB" w:bidi="ar-SA"/>
              </w:rPr>
              <w:t>qPCR</w:t>
            </w:r>
          </w:p>
        </w:tc>
      </w:tr>
    </w:tbl>
    <w:p w14:paraId="703E917B" w14:textId="2DC1991E" w:rsidR="000368F6" w:rsidRPr="005D469C" w:rsidRDefault="000368F6" w:rsidP="001700EB">
      <w:pPr>
        <w:spacing w:before="80" w:after="0"/>
        <w:rPr>
          <w:rFonts w:cs="Arial"/>
          <w:sz w:val="20"/>
        </w:rPr>
      </w:pPr>
      <w:r w:rsidRPr="005D469C">
        <w:rPr>
          <w:rFonts w:cs="Arial"/>
          <w:sz w:val="18"/>
          <w:szCs w:val="18"/>
        </w:rPr>
        <w:t>Abbreviations:</w:t>
      </w:r>
      <w:r w:rsidR="005D469C" w:rsidRPr="005D469C">
        <w:rPr>
          <w:rFonts w:cs="Arial"/>
          <w:sz w:val="18"/>
          <w:szCs w:val="18"/>
        </w:rPr>
        <w:t xml:space="preserve"> </w:t>
      </w:r>
      <w:r w:rsidRPr="005D469C">
        <w:rPr>
          <w:rFonts w:cs="Arial"/>
          <w:sz w:val="18"/>
          <w:szCs w:val="18"/>
        </w:rPr>
        <w:t>ASU = Official collection of determination methods according to § 64 LFGB; cfu = colony-forming units; DIN EN ISO 14501 =</w:t>
      </w:r>
      <w:r w:rsidR="005D469C" w:rsidRPr="005D469C">
        <w:rPr>
          <w:rFonts w:cs="Arial"/>
          <w:sz w:val="18"/>
          <w:szCs w:val="18"/>
        </w:rPr>
        <w:t xml:space="preserve"> </w:t>
      </w:r>
      <w:r w:rsidRPr="005D469C">
        <w:rPr>
          <w:rFonts w:cs="Arial"/>
          <w:sz w:val="18"/>
          <w:szCs w:val="18"/>
        </w:rPr>
        <w:t>German Institute for Standardization Milk and milk powder - Determination of aflatoxin M1 content - Clean-up by</w:t>
      </w:r>
      <w:r w:rsidR="005D469C" w:rsidRPr="005D469C">
        <w:rPr>
          <w:rFonts w:cs="Arial"/>
          <w:sz w:val="18"/>
          <w:szCs w:val="18"/>
        </w:rPr>
        <w:t xml:space="preserve"> </w:t>
      </w:r>
      <w:r w:rsidRPr="005D469C">
        <w:rPr>
          <w:rFonts w:cs="Arial"/>
          <w:sz w:val="18"/>
          <w:szCs w:val="18"/>
        </w:rPr>
        <w:t xml:space="preserve">immunoaffinity chromatography and determination by high-performance liquid chromatography; </w:t>
      </w:r>
      <w:r w:rsidR="00AB0497">
        <w:rPr>
          <w:rFonts w:cs="Arial"/>
          <w:sz w:val="18"/>
          <w:szCs w:val="18"/>
        </w:rPr>
        <w:t xml:space="preserve">FDM – Freeze-dried matter; </w:t>
      </w:r>
      <w:r w:rsidRPr="005D469C">
        <w:rPr>
          <w:rFonts w:cs="Arial"/>
          <w:sz w:val="18"/>
          <w:szCs w:val="18"/>
        </w:rPr>
        <w:t>HPAEC-PAD = Highperformance anion-exchange chromatography with pulsed amperometric detection; ISO = International Organization for</w:t>
      </w:r>
      <w:r w:rsidR="005D469C">
        <w:rPr>
          <w:rFonts w:cs="Arial"/>
          <w:sz w:val="18"/>
          <w:szCs w:val="18"/>
        </w:rPr>
        <w:t xml:space="preserve"> </w:t>
      </w:r>
      <w:r w:rsidRPr="005D469C">
        <w:rPr>
          <w:rFonts w:cs="Arial"/>
          <w:sz w:val="18"/>
          <w:szCs w:val="18"/>
        </w:rPr>
        <w:t>Standardization; ISO/TS = International Organization for Standardization Technical Specifications; LFGB = German Code on</w:t>
      </w:r>
      <w:r w:rsidR="005D469C" w:rsidRPr="005D469C">
        <w:rPr>
          <w:rFonts w:cs="Arial"/>
          <w:sz w:val="18"/>
          <w:szCs w:val="18"/>
        </w:rPr>
        <w:t xml:space="preserve"> </w:t>
      </w:r>
      <w:r w:rsidRPr="005D469C">
        <w:rPr>
          <w:rFonts w:cs="Arial"/>
          <w:sz w:val="18"/>
          <w:szCs w:val="18"/>
        </w:rPr>
        <w:t>food and feed; N/A = Not Available; Ph. Eur = European Pharmacopoeia; qPCR = quantitative polymerase chain reaction.</w:t>
      </w:r>
      <w:r w:rsidRPr="005D469C">
        <w:rPr>
          <w:rFonts w:cs="Arial"/>
          <w:sz w:val="20"/>
        </w:rPr>
        <w:t xml:space="preserve"> </w:t>
      </w:r>
    </w:p>
    <w:p w14:paraId="6DB01869" w14:textId="77777777" w:rsidR="001700EB" w:rsidRDefault="001700EB" w:rsidP="001700EB">
      <w:pPr>
        <w:spacing w:before="0" w:after="0"/>
      </w:pPr>
      <w:bookmarkStart w:id="137" w:name="_Toc515634595"/>
      <w:bookmarkStart w:id="138" w:name="_Toc517451209"/>
      <w:bookmarkStart w:id="139" w:name="_Toc518397314"/>
      <w:bookmarkStart w:id="140" w:name="_Toc518400840"/>
      <w:bookmarkStart w:id="141" w:name="_Toc518475272"/>
      <w:bookmarkStart w:id="142" w:name="_Toc518478869"/>
      <w:bookmarkStart w:id="143" w:name="_Toc518995920"/>
      <w:bookmarkStart w:id="144" w:name="_Toc519260323"/>
      <w:bookmarkStart w:id="145" w:name="_Toc519260649"/>
      <w:bookmarkStart w:id="146" w:name="_Toc519607930"/>
      <w:bookmarkStart w:id="147" w:name="_Toc521418045"/>
      <w:bookmarkStart w:id="148" w:name="_Toc13219508"/>
      <w:bookmarkStart w:id="149" w:name="_Toc70675682"/>
      <w:bookmarkStart w:id="150" w:name="_Toc70675775"/>
      <w:bookmarkStart w:id="151" w:name="_Toc72480614"/>
    </w:p>
    <w:p w14:paraId="0D7704A3" w14:textId="2606CB40" w:rsidR="000368F6" w:rsidRDefault="000368F6" w:rsidP="000368F6">
      <w:pPr>
        <w:pStyle w:val="Heading2"/>
      </w:pPr>
      <w:r>
        <w:t>2.</w:t>
      </w:r>
      <w:r w:rsidR="00360C17">
        <w:t>5</w:t>
      </w:r>
      <w:r w:rsidR="00EE1CC3">
        <w:t xml:space="preserve"> </w:t>
      </w:r>
      <w:r>
        <w:t>Key findings</w:t>
      </w:r>
      <w:bookmarkEnd w:id="137"/>
      <w:bookmarkEnd w:id="138"/>
      <w:bookmarkEnd w:id="139"/>
      <w:bookmarkEnd w:id="140"/>
      <w:bookmarkEnd w:id="141"/>
      <w:bookmarkEnd w:id="142"/>
      <w:bookmarkEnd w:id="143"/>
      <w:bookmarkEnd w:id="144"/>
      <w:bookmarkEnd w:id="145"/>
      <w:bookmarkEnd w:id="146"/>
      <w:r>
        <w:t xml:space="preserve"> of the food technology assessment</w:t>
      </w:r>
      <w:bookmarkEnd w:id="147"/>
      <w:bookmarkEnd w:id="148"/>
      <w:bookmarkEnd w:id="149"/>
      <w:bookmarkEnd w:id="150"/>
      <w:bookmarkEnd w:id="151"/>
    </w:p>
    <w:p w14:paraId="1FD587EC" w14:textId="06D09A80" w:rsidR="006A7547" w:rsidRDefault="000368F6" w:rsidP="000368F6">
      <w:r>
        <w:t>2′-F</w:t>
      </w:r>
      <w:r w:rsidRPr="00A31BD5">
        <w:rPr>
          <w:lang w:eastAsia="en-AU"/>
        </w:rPr>
        <w:t>L</w:t>
      </w:r>
      <w:r w:rsidR="00A01A36" w:rsidRPr="00C704BC">
        <w:rPr>
          <w:vertAlign w:val="subscript"/>
          <w:lang w:eastAsia="en-AU"/>
        </w:rPr>
        <w:t>micro</w:t>
      </w:r>
      <w:r>
        <w:rPr>
          <w:lang w:eastAsia="en-AU"/>
        </w:rPr>
        <w:t xml:space="preserve"> </w:t>
      </w:r>
      <w:r w:rsidR="00006267">
        <w:rPr>
          <w:lang w:eastAsia="en-AU"/>
        </w:rPr>
        <w:t>subject to this</w:t>
      </w:r>
      <w:r w:rsidR="003B1AE2">
        <w:rPr>
          <w:lang w:eastAsia="en-AU"/>
        </w:rPr>
        <w:t xml:space="preserve"> applicat</w:t>
      </w:r>
      <w:r w:rsidR="00006267">
        <w:rPr>
          <w:lang w:eastAsia="en-AU"/>
        </w:rPr>
        <w:t>ion</w:t>
      </w:r>
      <w:r w:rsidR="003B1AE2">
        <w:rPr>
          <w:lang w:eastAsia="en-AU"/>
        </w:rPr>
        <w:t xml:space="preserve"> </w:t>
      </w:r>
      <w:r>
        <w:rPr>
          <w:lang w:eastAsia="en-AU"/>
        </w:rPr>
        <w:t xml:space="preserve">is chemically and structurally identical to naturally occurring </w:t>
      </w:r>
      <w:r w:rsidR="00F25E51">
        <w:rPr>
          <w:lang w:eastAsia="en-AU"/>
        </w:rPr>
        <w:t>2′-</w:t>
      </w:r>
      <w:r w:rsidR="00A01A36">
        <w:rPr>
          <w:lang w:eastAsia="en-AU"/>
        </w:rPr>
        <w:t>FL</w:t>
      </w:r>
      <w:r w:rsidR="00A01A36" w:rsidRPr="00C704BC">
        <w:rPr>
          <w:vertAlign w:val="subscript"/>
          <w:lang w:eastAsia="en-AU"/>
        </w:rPr>
        <w:t>human</w:t>
      </w:r>
      <w:r>
        <w:rPr>
          <w:lang w:eastAsia="en-AU"/>
        </w:rPr>
        <w:t xml:space="preserve">. </w:t>
      </w:r>
      <w:r w:rsidR="00D01A35">
        <w:t xml:space="preserve">The final product was shown to be free of fermentation-derived contaminants. </w:t>
      </w:r>
      <w:r w:rsidRPr="00362E92">
        <w:rPr>
          <w:lang w:eastAsia="en-AU"/>
        </w:rPr>
        <w:t>2′-FL</w:t>
      </w:r>
      <w:r>
        <w:rPr>
          <w:vertAlign w:val="subscript"/>
          <w:lang w:eastAsia="en-AU"/>
        </w:rPr>
        <w:t>micro</w:t>
      </w:r>
      <w:r w:rsidRPr="00362E92">
        <w:rPr>
          <w:lang w:eastAsia="en-AU"/>
        </w:rPr>
        <w:t xml:space="preserve"> is stable for up to </w:t>
      </w:r>
      <w:r>
        <w:rPr>
          <w:lang w:eastAsia="en-AU"/>
        </w:rPr>
        <w:t>104 weeks</w:t>
      </w:r>
      <w:r w:rsidR="00C704BC">
        <w:rPr>
          <w:lang w:eastAsia="en-AU"/>
        </w:rPr>
        <w:t>, which</w:t>
      </w:r>
      <w:r w:rsidRPr="00362E92">
        <w:rPr>
          <w:lang w:eastAsia="en-AU"/>
        </w:rPr>
        <w:t xml:space="preserve"> is within the expected shelf life for </w:t>
      </w:r>
      <w:r w:rsidR="00A01A36">
        <w:rPr>
          <w:lang w:eastAsia="en-AU"/>
        </w:rPr>
        <w:t>IFP</w:t>
      </w:r>
      <w:r w:rsidR="00E828D3">
        <w:rPr>
          <w:lang w:eastAsia="en-AU"/>
        </w:rPr>
        <w:t xml:space="preserve"> and FSFYC</w:t>
      </w:r>
      <w:r w:rsidRPr="00362E92">
        <w:rPr>
          <w:lang w:eastAsia="en-AU"/>
        </w:rPr>
        <w:t xml:space="preserve">. </w:t>
      </w:r>
      <w:r w:rsidRPr="00007C1D">
        <w:t>The applicant has proposed specifications to be included i</w:t>
      </w:r>
      <w:r>
        <w:t xml:space="preserve">n Schedule 3 for the use of </w:t>
      </w:r>
      <w:r w:rsidR="00F25E51">
        <w:t>2′-</w:t>
      </w:r>
      <w:r>
        <w:t>FL</w:t>
      </w:r>
      <w:r w:rsidRPr="0082212B">
        <w:rPr>
          <w:vertAlign w:val="subscript"/>
        </w:rPr>
        <w:t>micro</w:t>
      </w:r>
      <w:r w:rsidRPr="00007C1D">
        <w:t xml:space="preserve"> in </w:t>
      </w:r>
      <w:r w:rsidR="006F2093">
        <w:t>IFP</w:t>
      </w:r>
      <w:r w:rsidRPr="00007C1D">
        <w:t xml:space="preserve"> and </w:t>
      </w:r>
      <w:r w:rsidR="006A7547">
        <w:t>n</w:t>
      </w:r>
      <w:r>
        <w:t>o safety concerns were identified in the production process and characterisa</w:t>
      </w:r>
      <w:r w:rsidR="00F35BD3">
        <w:t>t</w:t>
      </w:r>
      <w:r>
        <w:t>ion of 2-FL</w:t>
      </w:r>
      <w:r w:rsidR="00373BD9" w:rsidRPr="00750DF4">
        <w:rPr>
          <w:vertAlign w:val="subscript"/>
        </w:rPr>
        <w:t>micro</w:t>
      </w:r>
      <w:r>
        <w:t>.</w:t>
      </w:r>
      <w:r w:rsidR="00D01A35" w:rsidRPr="00990C8B">
        <w:t xml:space="preserve"> </w:t>
      </w:r>
      <w:r w:rsidR="00B337A1">
        <w:t xml:space="preserve"> </w:t>
      </w:r>
    </w:p>
    <w:p w14:paraId="1810E6B1" w14:textId="617A30D7" w:rsidR="0055283E" w:rsidRDefault="0055283E" w:rsidP="00040745">
      <w:pPr>
        <w:pStyle w:val="Heading1"/>
        <w:ind w:left="284" w:hanging="284"/>
      </w:pPr>
      <w:bookmarkStart w:id="152" w:name="_3_Safety_assessment"/>
      <w:bookmarkStart w:id="153" w:name="_Toc515634596"/>
      <w:bookmarkStart w:id="154" w:name="_Toc517451210"/>
      <w:bookmarkStart w:id="155" w:name="_Toc518397315"/>
      <w:bookmarkStart w:id="156" w:name="_Toc518400841"/>
      <w:bookmarkStart w:id="157" w:name="_Toc518475273"/>
      <w:bookmarkStart w:id="158" w:name="_Toc518478870"/>
      <w:bookmarkStart w:id="159" w:name="_Toc518995921"/>
      <w:bookmarkStart w:id="160" w:name="_Toc519260324"/>
      <w:bookmarkStart w:id="161" w:name="_Toc519260650"/>
      <w:bookmarkStart w:id="162" w:name="_Toc519607931"/>
      <w:bookmarkStart w:id="163" w:name="_Toc521418046"/>
      <w:bookmarkStart w:id="164" w:name="_Toc529357581"/>
      <w:bookmarkStart w:id="165" w:name="_Toc70675683"/>
      <w:bookmarkStart w:id="166" w:name="_Toc70675776"/>
      <w:bookmarkStart w:id="167" w:name="_Toc72480615"/>
      <w:bookmarkEnd w:id="152"/>
      <w:r>
        <w:t>3</w:t>
      </w:r>
      <w:r w:rsidR="00040745">
        <w:t xml:space="preserve"> </w:t>
      </w:r>
      <w:r>
        <w:t>Safety assessment</w:t>
      </w:r>
      <w:bookmarkEnd w:id="153"/>
      <w:bookmarkEnd w:id="154"/>
      <w:bookmarkEnd w:id="155"/>
      <w:bookmarkEnd w:id="156"/>
      <w:bookmarkEnd w:id="157"/>
      <w:bookmarkEnd w:id="158"/>
      <w:bookmarkEnd w:id="159"/>
      <w:bookmarkEnd w:id="160"/>
      <w:bookmarkEnd w:id="161"/>
      <w:bookmarkEnd w:id="162"/>
      <w:bookmarkEnd w:id="163"/>
      <w:bookmarkEnd w:id="164"/>
      <w:r w:rsidR="005E1519" w:rsidRPr="005E1519">
        <w:t xml:space="preserve"> </w:t>
      </w:r>
      <w:r w:rsidR="005E1519">
        <w:t>of the g</w:t>
      </w:r>
      <w:r w:rsidR="004F0D41">
        <w:t xml:space="preserve">enetically modified </w:t>
      </w:r>
      <w:r w:rsidR="005E1519" w:rsidRPr="005E1519">
        <w:t>production strain</w:t>
      </w:r>
      <w:bookmarkEnd w:id="165"/>
      <w:bookmarkEnd w:id="166"/>
      <w:bookmarkEnd w:id="167"/>
    </w:p>
    <w:p w14:paraId="2986E9AC" w14:textId="552934D7" w:rsidR="00567AD3" w:rsidRPr="00F87D40" w:rsidRDefault="00567AD3" w:rsidP="00567AD3">
      <w:bookmarkStart w:id="168" w:name="_Toc499282440"/>
      <w:bookmarkStart w:id="169" w:name="_Toc501098767"/>
      <w:r w:rsidRPr="00F87D40">
        <w:rPr>
          <w:lang w:eastAsia="en-AU"/>
        </w:rPr>
        <w:t xml:space="preserve">The objectives of this </w:t>
      </w:r>
      <w:r>
        <w:rPr>
          <w:lang w:eastAsia="en-AU"/>
        </w:rPr>
        <w:t>safety</w:t>
      </w:r>
      <w:r w:rsidRPr="00F87D40">
        <w:rPr>
          <w:lang w:eastAsia="en-AU"/>
        </w:rPr>
        <w:t xml:space="preserve"> assessment </w:t>
      </w:r>
      <w:r>
        <w:rPr>
          <w:lang w:eastAsia="en-AU"/>
        </w:rPr>
        <w:t>are</w:t>
      </w:r>
      <w:r w:rsidRPr="00F87D40">
        <w:rPr>
          <w:lang w:eastAsia="en-AU"/>
        </w:rPr>
        <w:t xml:space="preserve"> to</w:t>
      </w:r>
      <w:r>
        <w:rPr>
          <w:lang w:eastAsia="en-AU"/>
        </w:rPr>
        <w:t xml:space="preserve"> identify and </w:t>
      </w:r>
      <w:r w:rsidRPr="00807348">
        <w:t>evaluate any potential safety concerns that</w:t>
      </w:r>
      <w:r>
        <w:t xml:space="preserve"> may arise from the use of </w:t>
      </w:r>
      <w:r w:rsidR="00456C19">
        <w:t>a</w:t>
      </w:r>
      <w:r>
        <w:t xml:space="preserve"> GM production </w:t>
      </w:r>
      <w:r w:rsidR="00E452FA">
        <w:t>system,</w:t>
      </w:r>
      <w:r>
        <w:t xml:space="preserve"> generated for the large scale production of 2</w:t>
      </w:r>
      <w:r>
        <w:rPr>
          <w:rFonts w:cs="Arial"/>
        </w:rPr>
        <w:t>ʹ</w:t>
      </w:r>
      <w:r w:rsidR="00F40817">
        <w:t>-</w:t>
      </w:r>
      <w:r>
        <w:t>FL by fermentation</w:t>
      </w:r>
      <w:r w:rsidRPr="00F87D40">
        <w:t>.</w:t>
      </w:r>
      <w:r>
        <w:t xml:space="preserve"> Specifically </w:t>
      </w:r>
      <w:r w:rsidR="00456C19">
        <w:t>the safety assessment focuses on</w:t>
      </w:r>
      <w:r>
        <w:t xml:space="preserve"> the</w:t>
      </w:r>
      <w:r w:rsidR="00F40817">
        <w:t>:</w:t>
      </w:r>
    </w:p>
    <w:p w14:paraId="3E3B2530" w14:textId="7C68D316" w:rsidR="00567AD3" w:rsidRPr="000254AB" w:rsidRDefault="00567AD3" w:rsidP="000254AB">
      <w:pPr>
        <w:pStyle w:val="FSBullet1"/>
      </w:pPr>
      <w:r w:rsidRPr="000254AB">
        <w:t>history of use of the source organisms,</w:t>
      </w:r>
      <w:r w:rsidR="006C6E2A" w:rsidRPr="000254AB">
        <w:t xml:space="preserve"> and</w:t>
      </w:r>
    </w:p>
    <w:p w14:paraId="7E0E8590" w14:textId="18A308B4" w:rsidR="00567AD3" w:rsidRPr="000254AB" w:rsidRDefault="00567AD3" w:rsidP="000254AB">
      <w:pPr>
        <w:pStyle w:val="FSBullet1"/>
      </w:pPr>
      <w:r w:rsidRPr="000254AB">
        <w:t>characterisation of the genetic modification(s)</w:t>
      </w:r>
      <w:r w:rsidR="006C6E2A" w:rsidRPr="000254AB">
        <w:t>.</w:t>
      </w:r>
    </w:p>
    <w:p w14:paraId="035B7CCE" w14:textId="18E2A725" w:rsidR="005E1519" w:rsidRPr="006C2969" w:rsidRDefault="005E1519" w:rsidP="005E1519">
      <w:pPr>
        <w:pStyle w:val="Heading2"/>
      </w:pPr>
      <w:bookmarkStart w:id="170" w:name="_Toc70675684"/>
      <w:bookmarkStart w:id="171" w:name="_Toc70675777"/>
      <w:bookmarkStart w:id="172" w:name="_Toc72480616"/>
      <w:r>
        <w:lastRenderedPageBreak/>
        <w:t>3.1</w:t>
      </w:r>
      <w:r w:rsidR="00040745">
        <w:t xml:space="preserve"> </w:t>
      </w:r>
      <w:r w:rsidRPr="006C2969">
        <w:t>History of use</w:t>
      </w:r>
      <w:bookmarkEnd w:id="168"/>
      <w:bookmarkEnd w:id="169"/>
      <w:bookmarkEnd w:id="170"/>
      <w:bookmarkEnd w:id="171"/>
      <w:bookmarkEnd w:id="172"/>
    </w:p>
    <w:p w14:paraId="67CF8A27" w14:textId="613159F8" w:rsidR="005E1519" w:rsidRDefault="005E1519" w:rsidP="005E1519">
      <w:pPr>
        <w:pStyle w:val="Heading3"/>
      </w:pPr>
      <w:bookmarkStart w:id="173" w:name="_Toc498940968"/>
      <w:bookmarkStart w:id="174" w:name="_Toc499282441"/>
      <w:r>
        <w:t>3.1.1</w:t>
      </w:r>
      <w:r w:rsidR="00040745">
        <w:t xml:space="preserve"> </w:t>
      </w:r>
      <w:r>
        <w:t>Host organism</w:t>
      </w:r>
      <w:bookmarkEnd w:id="173"/>
      <w:bookmarkEnd w:id="174"/>
    </w:p>
    <w:p w14:paraId="5D6D7559" w14:textId="31041D47" w:rsidR="00434A72" w:rsidRDefault="00567AD3" w:rsidP="00567AD3">
      <w:r w:rsidRPr="00606F76">
        <w:rPr>
          <w:i/>
        </w:rPr>
        <w:t>Escherichia coli</w:t>
      </w:r>
      <w:r w:rsidRPr="00606F76">
        <w:t xml:space="preserve"> BL21</w:t>
      </w:r>
      <w:r w:rsidR="00B71CC8">
        <w:t>(DE3)</w:t>
      </w:r>
      <w:r w:rsidRPr="00606F76">
        <w:t xml:space="preserve"> is a common strain used for recombinant protein production</w:t>
      </w:r>
      <w:r w:rsidR="00C56746">
        <w:t>.</w:t>
      </w:r>
      <w:r w:rsidRPr="00606F76">
        <w:t xml:space="preserve"> BL21 is derived from the well characterised </w:t>
      </w:r>
      <w:r w:rsidRPr="00606F76">
        <w:rPr>
          <w:i/>
        </w:rPr>
        <w:t>E. coli</w:t>
      </w:r>
      <w:r w:rsidRPr="00606F76">
        <w:t xml:space="preserve"> B strain, first used in the bacteriophage studies by Luria and Delbrück in the 1940s (Delbrück and Luria 1942</w:t>
      </w:r>
      <w:r>
        <w:t>; Daegelen et al. 2009</w:t>
      </w:r>
      <w:r w:rsidR="00B71CC8">
        <w:t xml:space="preserve">). </w:t>
      </w:r>
      <w:r>
        <w:t xml:space="preserve">The DE3 substrain </w:t>
      </w:r>
      <w:r w:rsidR="00456C19">
        <w:t>has specifically been</w:t>
      </w:r>
      <w:r>
        <w:t xml:space="preserve"> engineered </w:t>
      </w:r>
      <w:r w:rsidR="00063EA4">
        <w:t>to allow</w:t>
      </w:r>
      <w:r>
        <w:t xml:space="preserve"> expression of recombinant proteins under the control of a T7 promo</w:t>
      </w:r>
      <w:r w:rsidR="00BE0E58">
        <w:t>ter (Studier and Moffatt 1986).</w:t>
      </w:r>
    </w:p>
    <w:p w14:paraId="47C2D71B" w14:textId="2CB479F5" w:rsidR="005E1519" w:rsidRPr="00606F76" w:rsidRDefault="00567AD3" w:rsidP="00567AD3">
      <w:r>
        <w:t>BL21(DE3) is a well characterised strain</w:t>
      </w:r>
      <w:r w:rsidR="00B71CC8">
        <w:t xml:space="preserve">, </w:t>
      </w:r>
      <w:r w:rsidR="005B31CE">
        <w:t>with a</w:t>
      </w:r>
      <w:r w:rsidR="00B71CC8">
        <w:t xml:space="preserve"> full</w:t>
      </w:r>
      <w:r w:rsidR="005B31CE">
        <w:t xml:space="preserve">y published </w:t>
      </w:r>
      <w:r w:rsidR="00B71CC8">
        <w:t xml:space="preserve">genomic </w:t>
      </w:r>
      <w:r w:rsidR="005B31CE">
        <w:t>sequence</w:t>
      </w:r>
      <w:r w:rsidR="00534D8F">
        <w:t xml:space="preserve"> </w:t>
      </w:r>
      <w:r w:rsidR="001D2BC8">
        <w:t xml:space="preserve">and is </w:t>
      </w:r>
      <w:r w:rsidR="00542528">
        <w:t>devoid of extrachromosomal DNA such as pla</w:t>
      </w:r>
      <w:r w:rsidR="001D2BC8">
        <w:t>s</w:t>
      </w:r>
      <w:r w:rsidR="00542528">
        <w:t xml:space="preserve">mids </w:t>
      </w:r>
      <w:r w:rsidR="00534D8F">
        <w:t>(</w:t>
      </w:r>
      <w:r w:rsidR="00534D8F" w:rsidRPr="00606F76">
        <w:t>Daegelen et al. 2009</w:t>
      </w:r>
      <w:r w:rsidR="00534D8F">
        <w:t xml:space="preserve">; Jeong et al. 2009; Jeong et al. 2015; Studier et al. 2009). </w:t>
      </w:r>
      <w:r w:rsidR="006C6E2A">
        <w:t xml:space="preserve">This strain does not </w:t>
      </w:r>
      <w:r w:rsidR="00B71CC8">
        <w:t xml:space="preserve">cause disease in immunocompromised individuals </w:t>
      </w:r>
      <w:r w:rsidR="005B31CE">
        <w:t>nor</w:t>
      </w:r>
      <w:r w:rsidR="00B71CC8">
        <w:t xml:space="preserve"> poses </w:t>
      </w:r>
      <w:r w:rsidR="005B31CE">
        <w:t>a</w:t>
      </w:r>
      <w:r w:rsidR="00B71CC8">
        <w:t xml:space="preserve"> hazard to humans </w:t>
      </w:r>
      <w:r w:rsidR="005B31CE">
        <w:t>or</w:t>
      </w:r>
      <w:r w:rsidR="00B71CC8">
        <w:t xml:space="preserve"> the environment</w:t>
      </w:r>
      <w:r w:rsidR="00B71CC8">
        <w:rPr>
          <w:rStyle w:val="FootnoteReference"/>
        </w:rPr>
        <w:footnoteReference w:id="5"/>
      </w:r>
      <w:r>
        <w:t>.</w:t>
      </w:r>
      <w:r w:rsidR="00542528">
        <w:t xml:space="preserve"> </w:t>
      </w:r>
      <w:r>
        <w:t>The host strain was purchased from a commercial supplier and whole genome sequence analyses confirmed taxonomy of the BL21(DE3) strain.</w:t>
      </w:r>
    </w:p>
    <w:p w14:paraId="18C2FE67" w14:textId="4B332EC6" w:rsidR="005E1519" w:rsidRDefault="005E1519" w:rsidP="005E1519">
      <w:pPr>
        <w:pStyle w:val="Heading3"/>
      </w:pPr>
      <w:bookmarkStart w:id="175" w:name="_Toc498940969"/>
      <w:bookmarkStart w:id="176" w:name="_Toc499282442"/>
      <w:r>
        <w:t>3.1.2</w:t>
      </w:r>
      <w:r w:rsidR="00040745">
        <w:t xml:space="preserve"> </w:t>
      </w:r>
      <w:r w:rsidRPr="00534D8F">
        <w:t>Gene donor organism(s)</w:t>
      </w:r>
      <w:bookmarkEnd w:id="175"/>
      <w:bookmarkEnd w:id="176"/>
    </w:p>
    <w:p w14:paraId="115C5633" w14:textId="40A0857B" w:rsidR="00456C19" w:rsidRDefault="00434A72" w:rsidP="00456C19">
      <w:pPr>
        <w:spacing w:line="20" w:lineRule="atLeast"/>
        <w:rPr>
          <w:rFonts w:cs="Arial"/>
          <w:color w:val="000000" w:themeColor="text1"/>
        </w:rPr>
      </w:pPr>
      <w:r>
        <w:rPr>
          <w:lang w:eastAsia="en-AU"/>
        </w:rPr>
        <w:t>The</w:t>
      </w:r>
      <w:r w:rsidR="00456C19">
        <w:rPr>
          <w:rFonts w:cs="Arial"/>
          <w:color w:val="000000" w:themeColor="text1"/>
        </w:rPr>
        <w:t xml:space="preserve"> </w:t>
      </w:r>
      <w:r w:rsidR="00D53D36">
        <w:rPr>
          <w:rFonts w:cs="Arial"/>
          <w:lang w:eastAsia="en-AU"/>
        </w:rPr>
        <w:t>α</w:t>
      </w:r>
      <w:r w:rsidR="00D53D36">
        <w:rPr>
          <w:lang w:eastAsia="en-AU"/>
        </w:rPr>
        <w:t>-1,2-</w:t>
      </w:r>
      <w:r w:rsidR="00456C19">
        <w:rPr>
          <w:rFonts w:cs="Arial"/>
          <w:color w:val="000000" w:themeColor="text1"/>
        </w:rPr>
        <w:t xml:space="preserve">fucosyltransferase gene </w:t>
      </w:r>
      <w:r>
        <w:rPr>
          <w:rFonts w:cs="Arial"/>
          <w:color w:val="000000" w:themeColor="text1"/>
        </w:rPr>
        <w:t xml:space="preserve">was sourced </w:t>
      </w:r>
      <w:r w:rsidR="00456C19">
        <w:rPr>
          <w:rFonts w:cs="Arial"/>
          <w:color w:val="000000" w:themeColor="text1"/>
        </w:rPr>
        <w:t xml:space="preserve">from </w:t>
      </w:r>
      <w:r w:rsidR="00456C19" w:rsidRPr="00B60E26">
        <w:rPr>
          <w:rFonts w:cs="Arial"/>
          <w:i/>
          <w:color w:val="000000" w:themeColor="text1"/>
        </w:rPr>
        <w:t>E. coli</w:t>
      </w:r>
      <w:r w:rsidR="00456C19">
        <w:rPr>
          <w:rFonts w:cs="Arial"/>
          <w:color w:val="000000" w:themeColor="text1"/>
        </w:rPr>
        <w:t xml:space="preserve"> O126 (Engels and Elling, 2014). This organism is a diarrhoeagenic agent belonging to the enteropathogenic </w:t>
      </w:r>
      <w:r w:rsidR="00456C19" w:rsidRPr="00043305">
        <w:rPr>
          <w:rFonts w:cs="Arial"/>
          <w:i/>
          <w:color w:val="000000" w:themeColor="text1"/>
        </w:rPr>
        <w:t>E. coli</w:t>
      </w:r>
      <w:r w:rsidR="00456C19">
        <w:rPr>
          <w:rFonts w:cs="Arial"/>
          <w:color w:val="000000" w:themeColor="text1"/>
        </w:rPr>
        <w:t xml:space="preserve"> O serogroup (Jensen et al. 2014)</w:t>
      </w:r>
      <w:r w:rsidR="006C6E2A">
        <w:rPr>
          <w:rFonts w:cs="Arial"/>
          <w:color w:val="000000" w:themeColor="text1"/>
        </w:rPr>
        <w:t>,</w:t>
      </w:r>
      <w:r w:rsidR="00456C19">
        <w:rPr>
          <w:rFonts w:cs="Arial"/>
          <w:color w:val="000000" w:themeColor="text1"/>
        </w:rPr>
        <w:t xml:space="preserve"> </w:t>
      </w:r>
      <w:r w:rsidR="00456C19">
        <w:t>associated with human disease, where the disease is rarely serious and there is availability of preventative or therapeutic interventions</w:t>
      </w:r>
      <w:r w:rsidR="00456C19" w:rsidRPr="00456C19">
        <w:rPr>
          <w:vertAlign w:val="superscript"/>
        </w:rPr>
        <w:t>3</w:t>
      </w:r>
      <w:r w:rsidR="00456C19">
        <w:t>.</w:t>
      </w:r>
      <w:r w:rsidR="00456C19">
        <w:rPr>
          <w:rFonts w:cs="Arial"/>
          <w:color w:val="000000" w:themeColor="text1"/>
        </w:rPr>
        <w:t xml:space="preserve"> </w:t>
      </w:r>
      <w:r>
        <w:rPr>
          <w:rFonts w:cs="Arial"/>
          <w:color w:val="000000" w:themeColor="text1"/>
        </w:rPr>
        <w:t>The gene sequence used in this process does not pose a hazard to humans or the environment.</w:t>
      </w:r>
    </w:p>
    <w:p w14:paraId="3064595C" w14:textId="16D32977" w:rsidR="00717600" w:rsidRDefault="00717600" w:rsidP="00717600">
      <w:pPr>
        <w:pStyle w:val="Heading3"/>
      </w:pPr>
      <w:r>
        <w:t>3.1.3 Other genetic material donors</w:t>
      </w:r>
    </w:p>
    <w:p w14:paraId="3DE2A426" w14:textId="2867E31A" w:rsidR="005E1519" w:rsidRPr="00534D8F" w:rsidRDefault="00434A72" w:rsidP="00534D8F">
      <w:pPr>
        <w:rPr>
          <w:lang w:eastAsia="en-AU" w:bidi="ar-SA"/>
        </w:rPr>
      </w:pPr>
      <w:r>
        <w:rPr>
          <w:lang w:eastAsia="en-AU"/>
        </w:rPr>
        <w:t xml:space="preserve">Genetic material was also sourced from a range of other organisms, to </w:t>
      </w:r>
      <w:r w:rsidR="00534D8F">
        <w:rPr>
          <w:lang w:eastAsia="en-AU"/>
        </w:rPr>
        <w:t xml:space="preserve">mediate genetic modifications to </w:t>
      </w:r>
      <w:r>
        <w:rPr>
          <w:lang w:eastAsia="en-AU"/>
        </w:rPr>
        <w:t xml:space="preserve">support the production of </w:t>
      </w:r>
      <w:r w:rsidR="00F25E51">
        <w:rPr>
          <w:lang w:eastAsia="en-AU"/>
        </w:rPr>
        <w:t>2′-</w:t>
      </w:r>
      <w:r>
        <w:rPr>
          <w:lang w:eastAsia="en-AU"/>
        </w:rPr>
        <w:t xml:space="preserve">FL. The applicant provided a full </w:t>
      </w:r>
      <w:r>
        <w:rPr>
          <w:rFonts w:cs="Arial"/>
          <w:color w:val="000000" w:themeColor="text1"/>
        </w:rPr>
        <w:t xml:space="preserve">description of these </w:t>
      </w:r>
      <w:r w:rsidR="00534D8F">
        <w:rPr>
          <w:rFonts w:cs="Arial"/>
          <w:color w:val="000000" w:themeColor="text1"/>
        </w:rPr>
        <w:t>organisms</w:t>
      </w:r>
      <w:r w:rsidR="00534D8F">
        <w:rPr>
          <w:rStyle w:val="FootnoteReference"/>
          <w:rFonts w:cs="Arial"/>
          <w:color w:val="000000" w:themeColor="text1"/>
        </w:rPr>
        <w:footnoteReference w:id="6"/>
      </w:r>
      <w:r w:rsidR="00534D8F">
        <w:rPr>
          <w:rFonts w:cs="Arial"/>
          <w:color w:val="000000" w:themeColor="text1"/>
        </w:rPr>
        <w:t>.</w:t>
      </w:r>
      <w:r>
        <w:rPr>
          <w:rFonts w:cs="Arial"/>
          <w:color w:val="000000" w:themeColor="text1"/>
        </w:rPr>
        <w:t xml:space="preserve"> No risks were identified</w:t>
      </w:r>
      <w:r w:rsidR="00534D8F">
        <w:rPr>
          <w:rFonts w:cs="Arial"/>
          <w:color w:val="000000" w:themeColor="text1"/>
        </w:rPr>
        <w:t xml:space="preserve"> in the assessment of the gene donors</w:t>
      </w:r>
      <w:r>
        <w:rPr>
          <w:rFonts w:cs="Arial"/>
          <w:color w:val="000000" w:themeColor="text1"/>
        </w:rPr>
        <w:t>.</w:t>
      </w:r>
    </w:p>
    <w:p w14:paraId="3AC01C6C" w14:textId="19653E00" w:rsidR="005E1519" w:rsidRDefault="005E1519" w:rsidP="005E1519">
      <w:pPr>
        <w:pStyle w:val="Heading2"/>
      </w:pPr>
      <w:bookmarkStart w:id="177" w:name="_Toc499282443"/>
      <w:bookmarkStart w:id="178" w:name="_Toc501098768"/>
      <w:bookmarkStart w:id="179" w:name="_Toc70675685"/>
      <w:bookmarkStart w:id="180" w:name="_Toc70675778"/>
      <w:bookmarkStart w:id="181" w:name="_Toc72480617"/>
      <w:r>
        <w:t>3.2</w:t>
      </w:r>
      <w:r w:rsidR="00040745">
        <w:t xml:space="preserve"> </w:t>
      </w:r>
      <w:r>
        <w:t>Characterisation of the genetic modification(s)</w:t>
      </w:r>
      <w:bookmarkEnd w:id="177"/>
      <w:bookmarkEnd w:id="178"/>
      <w:bookmarkEnd w:id="179"/>
      <w:bookmarkEnd w:id="180"/>
      <w:bookmarkEnd w:id="181"/>
    </w:p>
    <w:p w14:paraId="770F342C" w14:textId="318AAFEA" w:rsidR="005E1519" w:rsidRPr="00C96284" w:rsidRDefault="005E1519" w:rsidP="005E1519">
      <w:pPr>
        <w:pStyle w:val="Heading3"/>
        <w:ind w:left="0" w:firstLine="0"/>
      </w:pPr>
      <w:bookmarkStart w:id="182" w:name="_Toc498940971"/>
      <w:bookmarkStart w:id="183" w:name="_Toc499282444"/>
      <w:bookmarkEnd w:id="182"/>
      <w:bookmarkEnd w:id="183"/>
      <w:r w:rsidRPr="00362706">
        <w:t>3.2.1</w:t>
      </w:r>
      <w:r w:rsidRPr="00362706">
        <w:tab/>
        <w:t xml:space="preserve">Preparation of the </w:t>
      </w:r>
      <w:r w:rsidR="00F25E51">
        <w:t>2′-</w:t>
      </w:r>
      <w:r w:rsidRPr="00362706">
        <w:t>FL production system</w:t>
      </w:r>
    </w:p>
    <w:p w14:paraId="3F1F0656" w14:textId="7B42A6AA" w:rsidR="005E1519" w:rsidRDefault="005E5D7C" w:rsidP="00A060CC">
      <w:pPr>
        <w:autoSpaceDE w:val="0"/>
        <w:autoSpaceDN w:val="0"/>
        <w:adjustRightInd w:val="0"/>
        <w:rPr>
          <w:rFonts w:cs="Arial"/>
          <w:color w:val="000000" w:themeColor="text1"/>
        </w:rPr>
      </w:pPr>
      <w:r>
        <w:rPr>
          <w:rFonts w:cs="Arial"/>
          <w:color w:val="000000" w:themeColor="text1"/>
        </w:rPr>
        <w:t xml:space="preserve">The </w:t>
      </w:r>
      <w:r w:rsidR="00F25E51">
        <w:rPr>
          <w:rFonts w:cs="Arial"/>
          <w:color w:val="000000" w:themeColor="text1"/>
        </w:rPr>
        <w:t>2′-</w:t>
      </w:r>
      <w:r>
        <w:rPr>
          <w:rFonts w:cs="Arial"/>
          <w:color w:val="000000" w:themeColor="text1"/>
        </w:rPr>
        <w:t xml:space="preserve">FL being assessed in this application is produced via fermentation using a production system that includes </w:t>
      </w:r>
      <w:r w:rsidR="00D53D36">
        <w:rPr>
          <w:rFonts w:cs="Arial"/>
          <w:color w:val="000000" w:themeColor="text1"/>
        </w:rPr>
        <w:t>multiple</w:t>
      </w:r>
      <w:r>
        <w:rPr>
          <w:rFonts w:cs="Arial"/>
          <w:color w:val="000000" w:themeColor="text1"/>
        </w:rPr>
        <w:t xml:space="preserve"> production strains</w:t>
      </w:r>
      <w:r w:rsidR="005B6F9B">
        <w:rPr>
          <w:rFonts w:cs="Arial"/>
          <w:color w:val="000000" w:themeColor="text1"/>
          <w:vertAlign w:val="superscript"/>
        </w:rPr>
        <w:t>5</w:t>
      </w:r>
      <w:r w:rsidR="00D53D36">
        <w:rPr>
          <w:rFonts w:cs="Arial"/>
          <w:color w:val="000000" w:themeColor="text1"/>
        </w:rPr>
        <w:t>, that can be used separately or in combination.</w:t>
      </w:r>
    </w:p>
    <w:p w14:paraId="5E29C71E" w14:textId="61F708E4" w:rsidR="00E04CF8" w:rsidRDefault="00567AD3" w:rsidP="00A060CC">
      <w:pPr>
        <w:autoSpaceDE w:val="0"/>
        <w:autoSpaceDN w:val="0"/>
        <w:adjustRightInd w:val="0"/>
        <w:rPr>
          <w:rFonts w:cs="Arial"/>
          <w:color w:val="000000" w:themeColor="text1"/>
        </w:rPr>
      </w:pPr>
      <w:bookmarkStart w:id="184" w:name="_Toc498940973"/>
      <w:bookmarkStart w:id="185" w:name="_Toc499282446"/>
      <w:r>
        <w:rPr>
          <w:rFonts w:cs="Arial"/>
          <w:color w:val="000000" w:themeColor="text1"/>
        </w:rPr>
        <w:t xml:space="preserve">To achieve </w:t>
      </w:r>
      <w:r w:rsidR="00362706">
        <w:rPr>
          <w:rFonts w:cs="Arial"/>
          <w:color w:val="000000" w:themeColor="text1"/>
        </w:rPr>
        <w:t xml:space="preserve">the genetic </w:t>
      </w:r>
      <w:r>
        <w:rPr>
          <w:rFonts w:cs="Arial"/>
          <w:color w:val="000000" w:themeColor="text1"/>
        </w:rPr>
        <w:t>modifications</w:t>
      </w:r>
      <w:r w:rsidR="00362706">
        <w:rPr>
          <w:rFonts w:cs="Arial"/>
          <w:color w:val="000000" w:themeColor="text1"/>
        </w:rPr>
        <w:t xml:space="preserve"> used to make the production </w:t>
      </w:r>
      <w:r w:rsidR="006C6E2A">
        <w:rPr>
          <w:rFonts w:cs="Arial"/>
          <w:color w:val="000000" w:themeColor="text1"/>
        </w:rPr>
        <w:t>strains</w:t>
      </w:r>
      <w:r>
        <w:rPr>
          <w:rFonts w:cs="Arial"/>
          <w:color w:val="000000" w:themeColor="text1"/>
        </w:rPr>
        <w:t xml:space="preserve">, </w:t>
      </w:r>
      <w:r w:rsidR="006C6E2A">
        <w:rPr>
          <w:rFonts w:cs="Arial"/>
          <w:color w:val="000000" w:themeColor="text1"/>
        </w:rPr>
        <w:t>several</w:t>
      </w:r>
      <w:r w:rsidR="00362706">
        <w:rPr>
          <w:rFonts w:cs="Arial"/>
          <w:color w:val="000000" w:themeColor="text1"/>
        </w:rPr>
        <w:t xml:space="preserve"> </w:t>
      </w:r>
      <w:r>
        <w:rPr>
          <w:rFonts w:cs="Arial"/>
          <w:color w:val="000000" w:themeColor="text1"/>
        </w:rPr>
        <w:t xml:space="preserve">expression cassettes were generated containing the genes of interest flanked by </w:t>
      </w:r>
      <w:r>
        <w:rPr>
          <w:rFonts w:cs="Arial"/>
          <w:color w:val="000000" w:themeColor="text1"/>
        </w:rPr>
        <w:lastRenderedPageBreak/>
        <w:t xml:space="preserve">well characterised promoter and terminator </w:t>
      </w:r>
      <w:r w:rsidR="005B6F9B">
        <w:rPr>
          <w:rFonts w:cs="Arial"/>
          <w:color w:val="000000" w:themeColor="text1"/>
        </w:rPr>
        <w:t>sequences</w:t>
      </w:r>
      <w:r w:rsidR="005B6F9B">
        <w:rPr>
          <w:rFonts w:cs="Arial"/>
          <w:color w:val="000000" w:themeColor="text1"/>
          <w:vertAlign w:val="superscript"/>
        </w:rPr>
        <w:t>5</w:t>
      </w:r>
      <w:r>
        <w:rPr>
          <w:rFonts w:cs="Arial"/>
          <w:color w:val="000000" w:themeColor="text1"/>
        </w:rPr>
        <w:t>. Selection of positive transformants was achieved using genes encoding standard select</w:t>
      </w:r>
      <w:r w:rsidR="00515194">
        <w:rPr>
          <w:rFonts w:cs="Arial"/>
          <w:color w:val="000000" w:themeColor="text1"/>
        </w:rPr>
        <w:t>able</w:t>
      </w:r>
      <w:r>
        <w:rPr>
          <w:rFonts w:cs="Arial"/>
          <w:color w:val="000000" w:themeColor="text1"/>
        </w:rPr>
        <w:t xml:space="preserve"> markers, co-localised on the expression cassettes or co-transformed. Transformation of expression cassettes was</w:t>
      </w:r>
      <w:r w:rsidR="00A060CC">
        <w:rPr>
          <w:rFonts w:cs="Arial"/>
          <w:color w:val="000000" w:themeColor="text1"/>
        </w:rPr>
        <w:t xml:space="preserve"> performed by electroporation.</w:t>
      </w:r>
    </w:p>
    <w:p w14:paraId="22D38829" w14:textId="73B38E99" w:rsidR="005E1519" w:rsidRDefault="005E1519" w:rsidP="00A060CC">
      <w:pPr>
        <w:pStyle w:val="Heading3"/>
        <w:ind w:left="0" w:firstLine="0"/>
      </w:pPr>
      <w:r>
        <w:t>3.2.2</w:t>
      </w:r>
      <w:r w:rsidR="00040745">
        <w:t xml:space="preserve"> </w:t>
      </w:r>
      <w:r>
        <w:t xml:space="preserve">Characterisation of the </w:t>
      </w:r>
      <w:bookmarkEnd w:id="184"/>
      <w:bookmarkEnd w:id="185"/>
      <w:r>
        <w:t>genetically modified organisms</w:t>
      </w:r>
    </w:p>
    <w:p w14:paraId="281B51D5" w14:textId="3EDFF6A4" w:rsidR="005E1519" w:rsidRDefault="005E1519" w:rsidP="005E1519">
      <w:pPr>
        <w:pStyle w:val="Heading4"/>
      </w:pPr>
      <w:bookmarkStart w:id="186" w:name="_Characterisation_of_introduced"/>
      <w:bookmarkEnd w:id="186"/>
      <w:r>
        <w:t>Characterisation of introduced DNA</w:t>
      </w:r>
    </w:p>
    <w:p w14:paraId="0E5F7793" w14:textId="220DA9DC" w:rsidR="00567AD3" w:rsidRDefault="00362706" w:rsidP="00567AD3">
      <w:r>
        <w:t xml:space="preserve">Data was </w:t>
      </w:r>
      <w:r w:rsidR="00FF47DD">
        <w:t xml:space="preserve">provided </w:t>
      </w:r>
      <w:r>
        <w:t>from g</w:t>
      </w:r>
      <w:r w:rsidR="00B3098F">
        <w:t>enomic DNA</w:t>
      </w:r>
      <w:r>
        <w:t xml:space="preserve"> sequence analyses</w:t>
      </w:r>
      <w:r w:rsidR="00F31517">
        <w:t xml:space="preserve">. </w:t>
      </w:r>
      <w:r w:rsidR="00FF47DD">
        <w:t>This data enabled identification of b</w:t>
      </w:r>
      <w:r w:rsidR="00F31517">
        <w:t xml:space="preserve">oth the insertion sites and </w:t>
      </w:r>
      <w:r w:rsidR="00FF47DD">
        <w:t xml:space="preserve">the determination of </w:t>
      </w:r>
      <w:r w:rsidR="00F31517">
        <w:t>insert copy numbers</w:t>
      </w:r>
      <w:r w:rsidR="00D53D36">
        <w:t>.</w:t>
      </w:r>
      <w:r w:rsidR="00F31517">
        <w:t xml:space="preserve"> </w:t>
      </w:r>
      <w:r w:rsidR="001301A8">
        <w:t>No safety concerns</w:t>
      </w:r>
      <w:r w:rsidR="00FF47DD">
        <w:t xml:space="preserve"> were identified</w:t>
      </w:r>
      <w:r w:rsidR="00D53D36">
        <w:t>.</w:t>
      </w:r>
      <w:r w:rsidR="00D53D36" w:rsidDel="00D53D36">
        <w:t xml:space="preserve"> </w:t>
      </w:r>
    </w:p>
    <w:p w14:paraId="5BE892D3" w14:textId="6C0D59E6" w:rsidR="005E1519" w:rsidRPr="008D7CF1" w:rsidRDefault="005E1519" w:rsidP="005E1519">
      <w:pPr>
        <w:pStyle w:val="Heading4"/>
      </w:pPr>
      <w:r w:rsidRPr="008D7CF1">
        <w:t xml:space="preserve">Genetic stability </w:t>
      </w:r>
      <w:r>
        <w:t xml:space="preserve">and inheritance </w:t>
      </w:r>
      <w:r w:rsidRPr="008D7CF1">
        <w:t>of the introduced DNA</w:t>
      </w:r>
    </w:p>
    <w:p w14:paraId="5ECC06C0" w14:textId="200D33F9" w:rsidR="00E04CF8" w:rsidRPr="00B41E54" w:rsidRDefault="001C7428" w:rsidP="001C7428">
      <w:pPr>
        <w:rPr>
          <w:rFonts w:cs="Arial"/>
          <w:color w:val="000000" w:themeColor="text1"/>
        </w:rPr>
      </w:pPr>
      <w:bookmarkStart w:id="187" w:name="_Toc70675686"/>
      <w:bookmarkStart w:id="188" w:name="_Toc70675779"/>
      <w:r>
        <w:rPr>
          <w:rFonts w:cs="Arial"/>
        </w:rPr>
        <w:t xml:space="preserve">The applicant provided data from a genotypic analysis, showing no changes in the gene sequences for six introduced genes, over 100+ generations. At the phenotypic level, production of </w:t>
      </w:r>
      <w:r w:rsidR="00F25E51">
        <w:rPr>
          <w:rFonts w:cs="Arial"/>
        </w:rPr>
        <w:t>2′-</w:t>
      </w:r>
      <w:r>
        <w:rPr>
          <w:rFonts w:cs="Arial"/>
        </w:rPr>
        <w:t xml:space="preserve">FL was compared from clones cultured for 100+ generations to an original isolate. The expressed levels were consistent for all samples. The data confirms the </w:t>
      </w:r>
      <w:r>
        <w:rPr>
          <w:rFonts w:cs="Arial"/>
          <w:color w:val="000000" w:themeColor="text1"/>
        </w:rPr>
        <w:t>inheritance and genetic stability of the introduced DNA.</w:t>
      </w:r>
    </w:p>
    <w:p w14:paraId="7CD6E5BB" w14:textId="51CD79AA" w:rsidR="0084097F" w:rsidRDefault="0084097F" w:rsidP="0084097F">
      <w:pPr>
        <w:pStyle w:val="Heading2"/>
      </w:pPr>
      <w:bookmarkStart w:id="189" w:name="_Toc72480618"/>
      <w:r>
        <w:t>3.</w:t>
      </w:r>
      <w:r w:rsidR="00BC7C1C">
        <w:t>3</w:t>
      </w:r>
      <w:r w:rsidR="00040745">
        <w:t xml:space="preserve"> </w:t>
      </w:r>
      <w:r>
        <w:t>Key findings of the GM assessment</w:t>
      </w:r>
      <w:bookmarkEnd w:id="187"/>
      <w:bookmarkEnd w:id="188"/>
      <w:bookmarkEnd w:id="189"/>
    </w:p>
    <w:p w14:paraId="42F502DB" w14:textId="46D58B6F" w:rsidR="005C2A45" w:rsidRDefault="005C2A45" w:rsidP="005C2A45">
      <w:r>
        <w:t>T</w:t>
      </w:r>
      <w:r w:rsidRPr="0032228F">
        <w:t xml:space="preserve">he </w:t>
      </w:r>
      <w:r w:rsidRPr="00672E1E">
        <w:rPr>
          <w:i/>
        </w:rPr>
        <w:t>E. coli</w:t>
      </w:r>
      <w:r>
        <w:t xml:space="preserve"> </w:t>
      </w:r>
      <w:r w:rsidR="00542528">
        <w:t xml:space="preserve">BL21(DE3) </w:t>
      </w:r>
      <w:r w:rsidRPr="0032228F">
        <w:t>host organism</w:t>
      </w:r>
      <w:r>
        <w:t xml:space="preserve"> has a long history of use for the production of recombinant proteins</w:t>
      </w:r>
      <w:r w:rsidR="00542528">
        <w:t xml:space="preserve"> and poses no risks to humans</w:t>
      </w:r>
      <w:r>
        <w:t xml:space="preserve">. </w:t>
      </w:r>
      <w:r w:rsidR="00542528">
        <w:t xml:space="preserve">Analyses of the gene donors also confirmed there were no </w:t>
      </w:r>
      <w:r w:rsidR="00A060CC">
        <w:t>safety concerns</w:t>
      </w:r>
      <w:r w:rsidR="00542528">
        <w:t>.</w:t>
      </w:r>
    </w:p>
    <w:p w14:paraId="3674BA24" w14:textId="19FE5240" w:rsidR="005C2A45" w:rsidRDefault="005C2A45" w:rsidP="00F74267">
      <w:r>
        <w:t>C</w:t>
      </w:r>
      <w:r w:rsidRPr="00672E1E">
        <w:t xml:space="preserve">haracterisation of the </w:t>
      </w:r>
      <w:r w:rsidR="00542528">
        <w:t xml:space="preserve">production strains confirmed </w:t>
      </w:r>
      <w:r w:rsidR="00A060CC">
        <w:rPr>
          <w:rFonts w:cs="Arial"/>
          <w:color w:val="000000" w:themeColor="text1"/>
        </w:rPr>
        <w:t>integration of the introduced genes into the genome</w:t>
      </w:r>
      <w:r w:rsidR="00FF47DD">
        <w:rPr>
          <w:rFonts w:cs="Arial"/>
          <w:color w:val="000000" w:themeColor="text1"/>
        </w:rPr>
        <w:t xml:space="preserve"> and that the inserted DNA was both</w:t>
      </w:r>
      <w:r w:rsidR="00542528">
        <w:rPr>
          <w:rFonts w:cs="Arial"/>
          <w:color w:val="000000" w:themeColor="text1"/>
        </w:rPr>
        <w:t xml:space="preserve"> genetically stable and functional</w:t>
      </w:r>
      <w:r w:rsidR="00542528">
        <w:t>.</w:t>
      </w:r>
    </w:p>
    <w:p w14:paraId="3D1190DF" w14:textId="40C42090" w:rsidR="00D71C30" w:rsidRDefault="005C2A45" w:rsidP="005C2A45">
      <w:r w:rsidRPr="001045F5">
        <w:t xml:space="preserve">On the basis of the data provided in the present </w:t>
      </w:r>
      <w:r>
        <w:t>a</w:t>
      </w:r>
      <w:r w:rsidRPr="001045F5">
        <w:t xml:space="preserve">pplication, and other available information, no potential safety concerns were identified in the assessment of </w:t>
      </w:r>
      <w:r>
        <w:t xml:space="preserve">the </w:t>
      </w:r>
      <w:r w:rsidR="00F25E51">
        <w:t>2′-</w:t>
      </w:r>
      <w:r>
        <w:t xml:space="preserve">FL production </w:t>
      </w:r>
      <w:r w:rsidR="00542528">
        <w:t>strains</w:t>
      </w:r>
      <w:r w:rsidRPr="001045F5">
        <w:t>.</w:t>
      </w:r>
    </w:p>
    <w:p w14:paraId="56A1CC73" w14:textId="0F4D7C0A" w:rsidR="0055283E" w:rsidRDefault="0055283E" w:rsidP="00C14F72">
      <w:pPr>
        <w:pStyle w:val="Heading1"/>
        <w:ind w:left="567" w:hanging="567"/>
      </w:pPr>
      <w:bookmarkStart w:id="190" w:name="_Toc70675687"/>
      <w:bookmarkStart w:id="191" w:name="_Toc70675780"/>
      <w:bookmarkStart w:id="192" w:name="_Toc72480619"/>
      <w:r>
        <w:t>4</w:t>
      </w:r>
      <w:r w:rsidR="00346823">
        <w:t xml:space="preserve"> </w:t>
      </w:r>
      <w:r>
        <w:t>Toxicology assessment</w:t>
      </w:r>
      <w:bookmarkEnd w:id="190"/>
      <w:bookmarkEnd w:id="191"/>
      <w:bookmarkEnd w:id="192"/>
    </w:p>
    <w:p w14:paraId="53376B6E" w14:textId="142873ED" w:rsidR="00CD0AAD" w:rsidRDefault="00793DAD" w:rsidP="00793DAD">
      <w:pPr>
        <w:pStyle w:val="Heading2"/>
        <w:rPr>
          <w:lang w:val="en-AU"/>
        </w:rPr>
      </w:pPr>
      <w:bookmarkStart w:id="193" w:name="_Toc70675688"/>
      <w:bookmarkStart w:id="194" w:name="_Toc70675781"/>
      <w:bookmarkStart w:id="195" w:name="_Toc72480620"/>
      <w:r>
        <w:rPr>
          <w:lang w:val="en-AU"/>
        </w:rPr>
        <w:t xml:space="preserve">4.1 </w:t>
      </w:r>
      <w:r w:rsidR="00CD0AAD">
        <w:rPr>
          <w:lang w:val="en-AU"/>
        </w:rPr>
        <w:t xml:space="preserve">Previous FSANZ safety assessments of </w:t>
      </w:r>
      <w:r w:rsidR="00F25E51">
        <w:rPr>
          <w:lang w:val="en-AU"/>
        </w:rPr>
        <w:t>2′-</w:t>
      </w:r>
      <w:r w:rsidR="00CD0AAD">
        <w:rPr>
          <w:lang w:val="en-AU"/>
        </w:rPr>
        <w:t>FL</w:t>
      </w:r>
      <w:bookmarkEnd w:id="193"/>
      <w:bookmarkEnd w:id="194"/>
      <w:bookmarkEnd w:id="195"/>
    </w:p>
    <w:p w14:paraId="72CE6D7F" w14:textId="141E904F" w:rsidR="00610CC3" w:rsidRDefault="00CD0AAD" w:rsidP="00B80EA7">
      <w:pPr>
        <w:spacing w:after="120"/>
        <w:rPr>
          <w:lang w:val="en-AU"/>
        </w:rPr>
      </w:pPr>
      <w:r>
        <w:rPr>
          <w:lang w:val="en-AU"/>
        </w:rPr>
        <w:t xml:space="preserve">FSANZ has previously assessed </w:t>
      </w:r>
      <w:r w:rsidR="00610CC3">
        <w:rPr>
          <w:lang w:val="en-AU"/>
        </w:rPr>
        <w:t xml:space="preserve">an extensive toxicological database on </w:t>
      </w:r>
      <w:r w:rsidR="00F25E51">
        <w:rPr>
          <w:lang w:val="en-AU"/>
        </w:rPr>
        <w:t>2′-</w:t>
      </w:r>
      <w:r w:rsidR="00610CC3">
        <w:rPr>
          <w:lang w:val="en-AU"/>
        </w:rPr>
        <w:t xml:space="preserve">FL </w:t>
      </w:r>
      <w:r w:rsidR="00F35BD3">
        <w:rPr>
          <w:lang w:val="en-AU"/>
        </w:rPr>
        <w:t xml:space="preserve">as part of application A1155 </w:t>
      </w:r>
      <w:r>
        <w:rPr>
          <w:lang w:val="en-AU"/>
        </w:rPr>
        <w:t>(</w:t>
      </w:r>
      <w:r w:rsidR="00A140CB">
        <w:t>FSANZ 2019</w:t>
      </w:r>
      <w:r w:rsidR="00E04CF8">
        <w:rPr>
          <w:lang w:val="en-AU"/>
        </w:rPr>
        <w:t xml:space="preserve"> and </w:t>
      </w:r>
      <w:hyperlink r:id="rId21" w:history="1">
        <w:r w:rsidR="00E04CF8" w:rsidRPr="00E04CF8">
          <w:rPr>
            <w:rStyle w:val="Hyperlink"/>
            <w:lang w:val="en-AU"/>
          </w:rPr>
          <w:t>A1155 Review Supporting Document 1</w:t>
        </w:r>
      </w:hyperlink>
      <w:r w:rsidR="00E04CF8">
        <w:rPr>
          <w:rStyle w:val="FootnoteReference"/>
          <w:lang w:val="en-AU"/>
        </w:rPr>
        <w:footnoteReference w:id="7"/>
      </w:r>
      <w:r w:rsidR="008A2508">
        <w:rPr>
          <w:lang w:val="en-AU"/>
        </w:rPr>
        <w:t>).</w:t>
      </w:r>
    </w:p>
    <w:p w14:paraId="71602DA1" w14:textId="610B1C86" w:rsidR="00610CC3" w:rsidRDefault="00CD0AAD" w:rsidP="004D15D8">
      <w:pPr>
        <w:spacing w:after="120"/>
      </w:pPr>
      <w:r>
        <w:rPr>
          <w:lang w:val="en-AU"/>
        </w:rPr>
        <w:t xml:space="preserve">In addition to data derived using Glycom’s </w:t>
      </w:r>
      <w:r w:rsidR="00F25E51">
        <w:rPr>
          <w:lang w:val="en-AU"/>
        </w:rPr>
        <w:t>2′-</w:t>
      </w:r>
      <w:r>
        <w:rPr>
          <w:lang w:val="en-AU"/>
        </w:rPr>
        <w:t>FL</w:t>
      </w:r>
      <w:r w:rsidRPr="00EB096C">
        <w:rPr>
          <w:vertAlign w:val="subscript"/>
          <w:lang w:val="en-AU"/>
        </w:rPr>
        <w:t>micro</w:t>
      </w:r>
      <w:r>
        <w:rPr>
          <w:lang w:val="en-AU"/>
        </w:rPr>
        <w:t xml:space="preserve">, publicly available studies </w:t>
      </w:r>
      <w:r w:rsidR="00F35BD3">
        <w:rPr>
          <w:lang w:val="en-AU"/>
        </w:rPr>
        <w:t>using</w:t>
      </w:r>
      <w:r>
        <w:rPr>
          <w:lang w:val="en-AU"/>
        </w:rPr>
        <w:t xml:space="preserve"> Glycom’s </w:t>
      </w:r>
      <w:r w:rsidR="00F25E51">
        <w:rPr>
          <w:lang w:val="en-AU"/>
        </w:rPr>
        <w:t>2′-</w:t>
      </w:r>
      <w:r>
        <w:rPr>
          <w:lang w:val="en-AU"/>
        </w:rPr>
        <w:t>FL</w:t>
      </w:r>
      <w:r w:rsidRPr="00EB096C">
        <w:rPr>
          <w:vertAlign w:val="subscript"/>
          <w:lang w:val="en-AU"/>
        </w:rPr>
        <w:t>chem</w:t>
      </w:r>
      <w:r w:rsidRPr="0062088F">
        <w:rPr>
          <w:lang w:val="en-AU"/>
        </w:rPr>
        <w:t>,</w:t>
      </w:r>
      <w:r>
        <w:rPr>
          <w:lang w:val="en-AU"/>
        </w:rPr>
        <w:t xml:space="preserve"> </w:t>
      </w:r>
      <w:r w:rsidR="00B04105" w:rsidRPr="00B04105">
        <w:rPr>
          <w:lang w:val="en-AU"/>
        </w:rPr>
        <w:t>Chr. Hansen</w:t>
      </w:r>
      <w:r>
        <w:rPr>
          <w:lang w:val="en-AU"/>
        </w:rPr>
        <w:t xml:space="preserve">’s </w:t>
      </w:r>
      <w:r w:rsidR="00F25E51">
        <w:rPr>
          <w:lang w:val="en-AU"/>
        </w:rPr>
        <w:t>2′-</w:t>
      </w:r>
      <w:r>
        <w:rPr>
          <w:lang w:val="en-AU"/>
        </w:rPr>
        <w:t>FL</w:t>
      </w:r>
      <w:r w:rsidRPr="00EB096C">
        <w:rPr>
          <w:vertAlign w:val="subscript"/>
          <w:lang w:val="en-AU"/>
        </w:rPr>
        <w:t>micro</w:t>
      </w:r>
      <w:r>
        <w:rPr>
          <w:lang w:val="en-AU"/>
        </w:rPr>
        <w:t xml:space="preserve"> and Friesland </w:t>
      </w:r>
      <w:r w:rsidR="00610CC3">
        <w:rPr>
          <w:lang w:val="en-AU"/>
        </w:rPr>
        <w:t>Campina</w:t>
      </w:r>
      <w:r w:rsidR="00B701B0">
        <w:rPr>
          <w:lang w:val="en-AU"/>
        </w:rPr>
        <w:t>’s</w:t>
      </w:r>
      <w:r w:rsidR="00F35BD3">
        <w:rPr>
          <w:lang w:val="en-AU"/>
        </w:rPr>
        <w:t xml:space="preserve"> </w:t>
      </w:r>
      <w:r w:rsidR="00F25E51">
        <w:rPr>
          <w:lang w:val="en-AU"/>
        </w:rPr>
        <w:t>2′-</w:t>
      </w:r>
      <w:r w:rsidR="00F35BD3">
        <w:rPr>
          <w:lang w:val="en-AU"/>
        </w:rPr>
        <w:t>FL</w:t>
      </w:r>
      <w:r w:rsidR="00F35BD3" w:rsidRPr="00EB096C">
        <w:rPr>
          <w:vertAlign w:val="subscript"/>
          <w:lang w:val="en-AU"/>
        </w:rPr>
        <w:t>micro</w:t>
      </w:r>
      <w:r>
        <w:rPr>
          <w:lang w:val="en-AU"/>
        </w:rPr>
        <w:t xml:space="preserve"> were also evaluated. </w:t>
      </w:r>
      <w:r w:rsidR="00610CC3">
        <w:rPr>
          <w:lang w:val="en-AU"/>
        </w:rPr>
        <w:t xml:space="preserve">As noted in </w:t>
      </w:r>
      <w:hyperlink w:anchor="_2.1.2_Structural_identification" w:history="1">
        <w:r w:rsidR="00DF63BE" w:rsidRPr="00DF63BE">
          <w:rPr>
            <w:rStyle w:val="Hyperlink"/>
            <w:lang w:val="en-AU"/>
          </w:rPr>
          <w:t>S</w:t>
        </w:r>
        <w:r w:rsidR="00610CC3" w:rsidRPr="00DF63BE">
          <w:rPr>
            <w:rStyle w:val="Hyperlink"/>
            <w:lang w:val="en-AU"/>
          </w:rPr>
          <w:t>ection</w:t>
        </w:r>
        <w:r w:rsidR="00350C09" w:rsidRPr="00DF63BE">
          <w:rPr>
            <w:rStyle w:val="Hyperlink"/>
            <w:lang w:val="en-AU"/>
          </w:rPr>
          <w:t xml:space="preserve"> 2</w:t>
        </w:r>
      </w:hyperlink>
      <w:r w:rsidR="00350C09">
        <w:rPr>
          <w:lang w:val="en-AU"/>
        </w:rPr>
        <w:t xml:space="preserve">, evidence has been provided demonstrating that </w:t>
      </w:r>
      <w:r w:rsidR="00350C09">
        <w:t>2′-F</w:t>
      </w:r>
      <w:r w:rsidR="00350C09" w:rsidRPr="00A31BD5">
        <w:rPr>
          <w:lang w:eastAsia="en-AU"/>
        </w:rPr>
        <w:t>L</w:t>
      </w:r>
      <w:r w:rsidR="00350C09" w:rsidRPr="00C704BC">
        <w:rPr>
          <w:vertAlign w:val="subscript"/>
          <w:lang w:eastAsia="en-AU"/>
        </w:rPr>
        <w:t>micro</w:t>
      </w:r>
      <w:r w:rsidR="00350C09">
        <w:rPr>
          <w:lang w:eastAsia="en-AU"/>
        </w:rPr>
        <w:t xml:space="preserve"> subject to this application is chemically and structurally identical to naturally occurring </w:t>
      </w:r>
      <w:r w:rsidR="00F25E51">
        <w:rPr>
          <w:lang w:eastAsia="en-AU"/>
        </w:rPr>
        <w:t>2′-</w:t>
      </w:r>
      <w:r w:rsidR="00350C09">
        <w:rPr>
          <w:lang w:eastAsia="en-AU"/>
        </w:rPr>
        <w:t>FL</w:t>
      </w:r>
      <w:r w:rsidR="00350C09" w:rsidRPr="00C704BC">
        <w:rPr>
          <w:vertAlign w:val="subscript"/>
          <w:lang w:eastAsia="en-AU"/>
        </w:rPr>
        <w:t>human</w:t>
      </w:r>
      <w:r w:rsidR="00350C09">
        <w:rPr>
          <w:lang w:eastAsia="en-AU"/>
        </w:rPr>
        <w:t xml:space="preserve">. Similarly, the assessment </w:t>
      </w:r>
      <w:r w:rsidR="00DF63BE">
        <w:rPr>
          <w:lang w:eastAsia="en-AU"/>
        </w:rPr>
        <w:t>of</w:t>
      </w:r>
      <w:r w:rsidR="00610CC3">
        <w:t xml:space="preserve"> </w:t>
      </w:r>
      <w:r w:rsidR="00DF63BE">
        <w:rPr>
          <w:lang w:val="en-AU"/>
        </w:rPr>
        <w:t>2′-FL</w:t>
      </w:r>
      <w:r w:rsidR="00DF63BE" w:rsidRPr="00EB096C">
        <w:rPr>
          <w:vertAlign w:val="subscript"/>
          <w:lang w:val="en-AU"/>
        </w:rPr>
        <w:t>micro</w:t>
      </w:r>
      <w:r w:rsidR="00610CC3">
        <w:t xml:space="preserve"> produced </w:t>
      </w:r>
      <w:r w:rsidR="00610CC3">
        <w:lastRenderedPageBreak/>
        <w:t xml:space="preserve">by Glycom </w:t>
      </w:r>
      <w:r w:rsidR="00DF63BE">
        <w:t>confirmed</w:t>
      </w:r>
      <w:r w:rsidR="00610CC3">
        <w:t xml:space="preserve"> </w:t>
      </w:r>
      <w:r w:rsidR="00E63172">
        <w:t>its</w:t>
      </w:r>
      <w:r w:rsidR="00DF63BE">
        <w:t xml:space="preserve"> </w:t>
      </w:r>
      <w:r w:rsidR="00DF63BE">
        <w:rPr>
          <w:lang w:eastAsia="en-AU"/>
        </w:rPr>
        <w:t xml:space="preserve">chemical and structural </w:t>
      </w:r>
      <w:r w:rsidR="00610CC3">
        <w:t>identi</w:t>
      </w:r>
      <w:r w:rsidR="00DF63BE">
        <w:t>ty</w:t>
      </w:r>
      <w:r w:rsidR="00610CC3">
        <w:t xml:space="preserve"> to </w:t>
      </w:r>
      <w:r w:rsidR="00F25E51">
        <w:t>2′-</w:t>
      </w:r>
      <w:r w:rsidR="00610CC3">
        <w:t>FL</w:t>
      </w:r>
      <w:r w:rsidR="00B80EA7" w:rsidRPr="00B80EA7">
        <w:rPr>
          <w:vertAlign w:val="subscript"/>
        </w:rPr>
        <w:t>human</w:t>
      </w:r>
      <w:r w:rsidR="00DF63BE">
        <w:t xml:space="preserve"> (FSANZ 2019).</w:t>
      </w:r>
      <w:r w:rsidR="00610CC3">
        <w:t xml:space="preserve"> </w:t>
      </w:r>
      <w:r w:rsidR="00350C09">
        <w:t>T</w:t>
      </w:r>
      <w:r w:rsidR="00610CC3">
        <w:t xml:space="preserve">he substances produced by other manufacturers are also reported to </w:t>
      </w:r>
      <w:r w:rsidR="00B80EA7">
        <w:t xml:space="preserve">be </w:t>
      </w:r>
      <w:r w:rsidR="00610CC3">
        <w:t xml:space="preserve">identical to </w:t>
      </w:r>
      <w:r w:rsidR="00B80EA7">
        <w:t>that</w:t>
      </w:r>
      <w:r w:rsidR="00610CC3">
        <w:t xml:space="preserve"> in human milk. Studies with all these forms of </w:t>
      </w:r>
      <w:r w:rsidR="00F25E51">
        <w:t>2′-</w:t>
      </w:r>
      <w:r w:rsidR="00610CC3">
        <w:t xml:space="preserve">FL are therefore considered to be relevant </w:t>
      </w:r>
      <w:r w:rsidR="003D5C79">
        <w:t xml:space="preserve">to </w:t>
      </w:r>
      <w:r w:rsidR="00610CC3">
        <w:t>the evaluation.</w:t>
      </w:r>
    </w:p>
    <w:p w14:paraId="7036A950" w14:textId="3B23958C" w:rsidR="00B80EA7" w:rsidRDefault="008A2508" w:rsidP="00B80EA7">
      <w:pPr>
        <w:spacing w:after="120"/>
        <w:rPr>
          <w:lang w:val="en-AU"/>
        </w:rPr>
      </w:pPr>
      <w:r>
        <w:rPr>
          <w:lang w:val="en-AU"/>
        </w:rPr>
        <w:t>Studies evaluated included:</w:t>
      </w:r>
    </w:p>
    <w:p w14:paraId="7C0A50BA" w14:textId="08B5E872" w:rsidR="00B80EA7" w:rsidRPr="000254AB" w:rsidRDefault="00B80EA7" w:rsidP="000254AB">
      <w:pPr>
        <w:pStyle w:val="FSBullet1"/>
      </w:pPr>
      <w:r w:rsidRPr="000254AB">
        <w:t xml:space="preserve">Information on the absorption, distribution, metabolism and excretion of </w:t>
      </w:r>
      <w:r w:rsidR="00DF63BE" w:rsidRPr="000254AB">
        <w:t>oligosaccharides found in human milk,</w:t>
      </w:r>
      <w:r w:rsidRPr="000254AB">
        <w:t xml:space="preserve"> including </w:t>
      </w:r>
      <w:r w:rsidR="00F25E51" w:rsidRPr="000254AB">
        <w:t>2′-</w:t>
      </w:r>
      <w:r w:rsidRPr="000254AB">
        <w:t>FL</w:t>
      </w:r>
    </w:p>
    <w:p w14:paraId="32C7FAB7" w14:textId="036E1C24" w:rsidR="00B80EA7" w:rsidRPr="000254AB" w:rsidRDefault="00B80EA7" w:rsidP="000254AB">
      <w:pPr>
        <w:pStyle w:val="FSBullet1"/>
      </w:pPr>
      <w:r w:rsidRPr="000254AB">
        <w:t xml:space="preserve">In vitro genotoxicity studies of </w:t>
      </w:r>
      <w:r w:rsidR="00F25E51" w:rsidRPr="000254AB">
        <w:t>2′-</w:t>
      </w:r>
      <w:r w:rsidRPr="000254AB">
        <w:t>FL plus an in vivo micronucleus assay</w:t>
      </w:r>
    </w:p>
    <w:p w14:paraId="3CE9FDCC" w14:textId="43BAB541" w:rsidR="00B80EA7" w:rsidRPr="000254AB" w:rsidRDefault="00B80EA7" w:rsidP="000254AB">
      <w:pPr>
        <w:pStyle w:val="FSBullet1"/>
      </w:pPr>
      <w:r w:rsidRPr="000254AB">
        <w:t xml:space="preserve">In vitro genotoxicity studies of </w:t>
      </w:r>
      <w:r w:rsidR="00F25E51" w:rsidRPr="000254AB">
        <w:t>2′-</w:t>
      </w:r>
      <w:r w:rsidRPr="000254AB">
        <w:t xml:space="preserve">FL in combination with </w:t>
      </w:r>
      <w:bookmarkStart w:id="196" w:name="DFL"/>
      <w:r w:rsidRPr="000254AB">
        <w:t xml:space="preserve">difucosyllactose (DFL) </w:t>
      </w:r>
      <w:bookmarkEnd w:id="196"/>
      <w:r w:rsidRPr="000254AB">
        <w:t xml:space="preserve">or with four other </w:t>
      </w:r>
      <w:r w:rsidR="00DF63BE" w:rsidRPr="000254AB">
        <w:t>oligosaccharides found in human milk</w:t>
      </w:r>
    </w:p>
    <w:p w14:paraId="77BA413D" w14:textId="29B45E02" w:rsidR="00B80EA7" w:rsidRPr="000254AB" w:rsidRDefault="00B80EA7" w:rsidP="000254AB">
      <w:pPr>
        <w:pStyle w:val="FSBullet1"/>
      </w:pPr>
      <w:r w:rsidRPr="000254AB">
        <w:t xml:space="preserve">Short-term toxicity studies of </w:t>
      </w:r>
      <w:r w:rsidR="00F25E51" w:rsidRPr="000254AB">
        <w:t>2′-</w:t>
      </w:r>
      <w:r w:rsidRPr="000254AB">
        <w:t>FL in rats, including studies with neonatal rats</w:t>
      </w:r>
    </w:p>
    <w:p w14:paraId="3F65C1F6" w14:textId="6B40D77A" w:rsidR="00B80EA7" w:rsidRPr="000254AB" w:rsidRDefault="00B80EA7" w:rsidP="000254AB">
      <w:pPr>
        <w:pStyle w:val="FSBullet1"/>
      </w:pPr>
      <w:r w:rsidRPr="000254AB">
        <w:t xml:space="preserve">A short-term toxicity study of </w:t>
      </w:r>
      <w:r w:rsidR="00F25E51" w:rsidRPr="000254AB">
        <w:t>2′-</w:t>
      </w:r>
      <w:r w:rsidRPr="000254AB">
        <w:t>FL in neonatal piglets</w:t>
      </w:r>
    </w:p>
    <w:p w14:paraId="3DCEDD7F" w14:textId="15455AB6" w:rsidR="00B80EA7" w:rsidRPr="000254AB" w:rsidRDefault="00B80EA7" w:rsidP="000254AB">
      <w:pPr>
        <w:pStyle w:val="FSBullet1"/>
      </w:pPr>
      <w:r w:rsidRPr="000254AB">
        <w:t xml:space="preserve">A short-term toxicity study of </w:t>
      </w:r>
      <w:r w:rsidR="00F25E51" w:rsidRPr="000254AB">
        <w:t>2′-</w:t>
      </w:r>
      <w:r w:rsidRPr="000254AB">
        <w:t>FL in combination with DFL in neonatal rats</w:t>
      </w:r>
    </w:p>
    <w:p w14:paraId="441436E4" w14:textId="4FF21F52" w:rsidR="00B80EA7" w:rsidRPr="000254AB" w:rsidRDefault="00B80EA7" w:rsidP="000254AB">
      <w:pPr>
        <w:pStyle w:val="FSBullet1"/>
      </w:pPr>
      <w:r w:rsidRPr="000254AB">
        <w:t xml:space="preserve">A short-term toxicity </w:t>
      </w:r>
      <w:r w:rsidR="00DF63BE" w:rsidRPr="000254AB">
        <w:t xml:space="preserve">rodent </w:t>
      </w:r>
      <w:r w:rsidRPr="000254AB">
        <w:t xml:space="preserve">study of </w:t>
      </w:r>
      <w:r w:rsidR="00F25E51" w:rsidRPr="000254AB">
        <w:t>2′-</w:t>
      </w:r>
      <w:r w:rsidRPr="000254AB">
        <w:t xml:space="preserve">FL in combination with four other </w:t>
      </w:r>
      <w:r w:rsidR="00DF63BE" w:rsidRPr="000254AB">
        <w:t>oligosaccharides found in human milk</w:t>
      </w:r>
    </w:p>
    <w:p w14:paraId="568A95EE" w14:textId="6E12289E" w:rsidR="00B80EA7" w:rsidRPr="000254AB" w:rsidRDefault="00B80EA7" w:rsidP="000254AB">
      <w:pPr>
        <w:pStyle w:val="FSBullet1"/>
      </w:pPr>
      <w:r w:rsidRPr="000254AB">
        <w:t>Human clinical studies in infants, children and adults</w:t>
      </w:r>
      <w:r w:rsidR="008A2508" w:rsidRPr="000254AB">
        <w:t>.</w:t>
      </w:r>
    </w:p>
    <w:p w14:paraId="34964836" w14:textId="377E9927" w:rsidR="00CE2DFD" w:rsidRPr="00567589" w:rsidRDefault="000C6911" w:rsidP="00567589">
      <w:pPr>
        <w:pStyle w:val="Default"/>
        <w:spacing w:before="240" w:after="240"/>
        <w:rPr>
          <w:sz w:val="22"/>
          <w:szCs w:val="22"/>
        </w:rPr>
      </w:pPr>
      <w:r w:rsidRPr="000C6911">
        <w:rPr>
          <w:sz w:val="22"/>
          <w:szCs w:val="22"/>
          <w:lang w:val="en-AU"/>
        </w:rPr>
        <w:t xml:space="preserve">The </w:t>
      </w:r>
      <w:r w:rsidR="00AB0AF8">
        <w:rPr>
          <w:sz w:val="22"/>
          <w:szCs w:val="22"/>
          <w:lang w:val="en-AU"/>
        </w:rPr>
        <w:t xml:space="preserve">assessment </w:t>
      </w:r>
      <w:r w:rsidR="00AB0AF8" w:rsidRPr="00567589">
        <w:rPr>
          <w:sz w:val="22"/>
          <w:szCs w:val="22"/>
        </w:rPr>
        <w:t>concluded</w:t>
      </w:r>
      <w:r w:rsidR="00674CAC" w:rsidRPr="00567589">
        <w:rPr>
          <w:sz w:val="22"/>
          <w:szCs w:val="22"/>
        </w:rPr>
        <w:t xml:space="preserve"> that</w:t>
      </w:r>
      <w:r w:rsidR="00400948" w:rsidRPr="00567589">
        <w:rPr>
          <w:sz w:val="22"/>
          <w:szCs w:val="22"/>
        </w:rPr>
        <w:t xml:space="preserve"> there are no safety concerns associated with the addition of </w:t>
      </w:r>
      <w:r w:rsidR="006F5488" w:rsidRPr="00567589">
        <w:rPr>
          <w:sz w:val="22"/>
          <w:szCs w:val="22"/>
        </w:rPr>
        <w:t>2′-FL</w:t>
      </w:r>
      <w:r w:rsidR="00400948" w:rsidRPr="00567589">
        <w:rPr>
          <w:sz w:val="22"/>
          <w:szCs w:val="22"/>
        </w:rPr>
        <w:t xml:space="preserve"> to </w:t>
      </w:r>
      <w:r w:rsidR="00674CAC" w:rsidRPr="00567589">
        <w:rPr>
          <w:sz w:val="22"/>
          <w:szCs w:val="22"/>
        </w:rPr>
        <w:t>IFP or FSFYC</w:t>
      </w:r>
      <w:r w:rsidR="00400948" w:rsidRPr="00567589">
        <w:rPr>
          <w:sz w:val="22"/>
          <w:szCs w:val="22"/>
        </w:rPr>
        <w:t xml:space="preserve">. </w:t>
      </w:r>
    </w:p>
    <w:p w14:paraId="6E174BB5" w14:textId="24B7BE78" w:rsidR="00CD0AAD" w:rsidRDefault="00793DAD" w:rsidP="00793DAD">
      <w:pPr>
        <w:pStyle w:val="Heading2"/>
        <w:rPr>
          <w:lang w:val="en-AU"/>
        </w:rPr>
      </w:pPr>
      <w:bookmarkStart w:id="197" w:name="_Toc70675689"/>
      <w:bookmarkStart w:id="198" w:name="_Toc70675782"/>
      <w:bookmarkStart w:id="199" w:name="_Toc72480621"/>
      <w:r>
        <w:rPr>
          <w:lang w:val="en-AU"/>
        </w:rPr>
        <w:t xml:space="preserve">4.2 </w:t>
      </w:r>
      <w:r w:rsidR="00CD0AAD">
        <w:rPr>
          <w:lang w:val="en-AU"/>
        </w:rPr>
        <w:t>Newly available data</w:t>
      </w:r>
      <w:bookmarkEnd w:id="197"/>
      <w:bookmarkEnd w:id="198"/>
      <w:bookmarkEnd w:id="199"/>
    </w:p>
    <w:p w14:paraId="75B93D89" w14:textId="64B6D760" w:rsidR="003D5C79" w:rsidRDefault="004C2DEC" w:rsidP="00CD0AAD">
      <w:pPr>
        <w:rPr>
          <w:lang w:val="en-AU" w:eastAsia="en-AU" w:bidi="ar-SA"/>
        </w:rPr>
      </w:pPr>
      <w:r>
        <w:rPr>
          <w:lang w:val="en-AU" w:eastAsia="en-AU" w:bidi="ar-SA"/>
        </w:rPr>
        <w:t>T</w:t>
      </w:r>
      <w:r w:rsidR="00CD0AAD">
        <w:rPr>
          <w:lang w:val="en-AU" w:eastAsia="en-AU" w:bidi="ar-SA"/>
        </w:rPr>
        <w:t xml:space="preserve">he </w:t>
      </w:r>
      <w:r w:rsidR="006F5488">
        <w:rPr>
          <w:lang w:val="en-AU" w:eastAsia="en-AU" w:bidi="ar-SA"/>
        </w:rPr>
        <w:t xml:space="preserve">applicant </w:t>
      </w:r>
      <w:r>
        <w:rPr>
          <w:lang w:val="en-AU" w:eastAsia="en-AU" w:bidi="ar-SA"/>
        </w:rPr>
        <w:t xml:space="preserve">provided </w:t>
      </w:r>
      <w:r w:rsidR="00D94396">
        <w:rPr>
          <w:lang w:val="en-AU" w:eastAsia="en-AU" w:bidi="ar-SA"/>
        </w:rPr>
        <w:t>new studies as part of their submission</w:t>
      </w:r>
      <w:r w:rsidR="003D5C79">
        <w:rPr>
          <w:lang w:val="en-AU" w:eastAsia="en-AU" w:bidi="ar-SA"/>
        </w:rPr>
        <w:t xml:space="preserve">: </w:t>
      </w:r>
    </w:p>
    <w:p w14:paraId="56367B12" w14:textId="22816557" w:rsidR="003D5C79" w:rsidRDefault="00CD0AAD" w:rsidP="000254AB">
      <w:pPr>
        <w:pStyle w:val="FSBullet1"/>
        <w:rPr>
          <w:lang w:val="en-AU" w:eastAsia="en-AU"/>
        </w:rPr>
      </w:pPr>
      <w:r w:rsidRPr="003D5C79">
        <w:rPr>
          <w:lang w:val="en-AU" w:eastAsia="en-AU"/>
        </w:rPr>
        <w:t xml:space="preserve">an </w:t>
      </w:r>
      <w:r w:rsidRPr="003D5C79">
        <w:rPr>
          <w:i/>
          <w:lang w:val="en-AU" w:eastAsia="en-AU"/>
        </w:rPr>
        <w:t>in vitro</w:t>
      </w:r>
      <w:r w:rsidRPr="003D5C79">
        <w:rPr>
          <w:lang w:val="en-AU" w:eastAsia="en-AU"/>
        </w:rPr>
        <w:t xml:space="preserve"> micronucleus assay with </w:t>
      </w:r>
      <w:r w:rsidR="00F25E51" w:rsidRPr="003D5C79">
        <w:rPr>
          <w:lang w:val="en-AU" w:eastAsia="en-AU"/>
        </w:rPr>
        <w:t>2′-</w:t>
      </w:r>
      <w:r w:rsidRPr="003D5C79">
        <w:rPr>
          <w:lang w:val="en-AU" w:eastAsia="en-AU"/>
        </w:rPr>
        <w:t>FL</w:t>
      </w:r>
      <w:r w:rsidRPr="003D5C79">
        <w:rPr>
          <w:vertAlign w:val="subscript"/>
          <w:lang w:val="en-AU" w:eastAsia="en-AU"/>
        </w:rPr>
        <w:t>micro</w:t>
      </w:r>
      <w:r w:rsidR="00AB0AF8" w:rsidRPr="00AB0AF8">
        <w:rPr>
          <w:lang w:val="en-AU" w:eastAsia="en-AU"/>
        </w:rPr>
        <w:t>,</w:t>
      </w:r>
      <w:r w:rsidRPr="003D5C79">
        <w:rPr>
          <w:lang w:val="en-AU" w:eastAsia="en-AU"/>
        </w:rPr>
        <w:t xml:space="preserve"> </w:t>
      </w:r>
    </w:p>
    <w:p w14:paraId="6035DEA2" w14:textId="6859C4FE" w:rsidR="003D5C79" w:rsidRPr="00AB0AF8" w:rsidRDefault="00CD0AAD" w:rsidP="000254AB">
      <w:pPr>
        <w:pStyle w:val="FSBullet1"/>
        <w:rPr>
          <w:lang w:val="en-AU" w:eastAsia="en-AU"/>
        </w:rPr>
      </w:pPr>
      <w:r w:rsidRPr="003D5C79">
        <w:rPr>
          <w:lang w:val="en-AU" w:eastAsia="en-AU"/>
        </w:rPr>
        <w:t xml:space="preserve">the full report of </w:t>
      </w:r>
      <w:r w:rsidR="003D5C79">
        <w:rPr>
          <w:lang w:val="en-AU" w:eastAsia="en-AU"/>
        </w:rPr>
        <w:t>a</w:t>
      </w:r>
      <w:r w:rsidR="003D5C79" w:rsidRPr="003D5C79">
        <w:rPr>
          <w:lang w:val="en-AU" w:eastAsia="en-AU"/>
        </w:rPr>
        <w:t xml:space="preserve"> </w:t>
      </w:r>
      <w:r w:rsidRPr="003D5C79">
        <w:rPr>
          <w:lang w:val="en-AU" w:eastAsia="en-AU"/>
        </w:rPr>
        <w:t>toxicity study in neonatal piglets</w:t>
      </w:r>
      <w:r w:rsidR="003D5C79">
        <w:rPr>
          <w:lang w:val="en-AU" w:eastAsia="en-AU"/>
        </w:rPr>
        <w:t xml:space="preserve"> (only a published version was previously available)</w:t>
      </w:r>
      <w:r w:rsidRPr="003D5C79">
        <w:rPr>
          <w:lang w:val="en-AU" w:eastAsia="en-AU"/>
        </w:rPr>
        <w:t xml:space="preserve">, </w:t>
      </w:r>
      <w:r w:rsidR="003D5C79" w:rsidRPr="00AB0AF8">
        <w:rPr>
          <w:lang w:val="en-AU" w:eastAsia="en-AU"/>
        </w:rPr>
        <w:t>and</w:t>
      </w:r>
    </w:p>
    <w:p w14:paraId="02DA07D8" w14:textId="67DBA0F0" w:rsidR="00CD0AAD" w:rsidRPr="00AB0AF8" w:rsidRDefault="00CD0AAD" w:rsidP="000254AB">
      <w:pPr>
        <w:pStyle w:val="FSBullet1"/>
        <w:rPr>
          <w:lang w:val="en-AU" w:eastAsia="en-AU"/>
        </w:rPr>
      </w:pPr>
      <w:r w:rsidRPr="00AB0AF8">
        <w:rPr>
          <w:lang w:val="en-AU" w:eastAsia="en-AU"/>
        </w:rPr>
        <w:t xml:space="preserve">human clinical studies of tolerance and hypoallergenicity. </w:t>
      </w:r>
    </w:p>
    <w:p w14:paraId="016B9D53" w14:textId="5BE564AB" w:rsidR="00CD0AAD" w:rsidRDefault="00CD0AAD" w:rsidP="00CD0AAD">
      <w:pPr>
        <w:rPr>
          <w:lang w:val="en-AU" w:eastAsia="en-AU" w:bidi="ar-SA"/>
        </w:rPr>
      </w:pPr>
      <w:r>
        <w:rPr>
          <w:lang w:val="en-AU" w:eastAsia="en-AU" w:bidi="ar-SA"/>
        </w:rPr>
        <w:t xml:space="preserve">Additional </w:t>
      </w:r>
      <w:r w:rsidR="00AB0AF8">
        <w:rPr>
          <w:lang w:val="en-AU" w:eastAsia="en-AU" w:bidi="ar-SA"/>
        </w:rPr>
        <w:t>studies</w:t>
      </w:r>
      <w:r>
        <w:rPr>
          <w:lang w:val="en-AU" w:eastAsia="en-AU" w:bidi="ar-SA"/>
        </w:rPr>
        <w:t xml:space="preserve"> identified by FSANZ in a literature search </w:t>
      </w:r>
      <w:r w:rsidR="00400948">
        <w:rPr>
          <w:lang w:val="en-AU" w:eastAsia="en-AU" w:bidi="ar-SA"/>
        </w:rPr>
        <w:t xml:space="preserve">conducted </w:t>
      </w:r>
      <w:r>
        <w:rPr>
          <w:lang w:val="en-AU" w:eastAsia="en-AU" w:bidi="ar-SA"/>
        </w:rPr>
        <w:t xml:space="preserve">in PubMed </w:t>
      </w:r>
      <w:r w:rsidR="00400948">
        <w:rPr>
          <w:lang w:val="en-AU" w:eastAsia="en-AU" w:bidi="ar-SA"/>
        </w:rPr>
        <w:t>on 29</w:t>
      </w:r>
      <w:r w:rsidR="00400948" w:rsidRPr="00400948">
        <w:rPr>
          <w:vertAlign w:val="superscript"/>
          <w:lang w:val="en-AU" w:eastAsia="en-AU" w:bidi="ar-SA"/>
        </w:rPr>
        <w:t>th</w:t>
      </w:r>
      <w:r w:rsidR="00400948">
        <w:rPr>
          <w:lang w:val="en-AU" w:eastAsia="en-AU" w:bidi="ar-SA"/>
        </w:rPr>
        <w:t xml:space="preserve"> April 2021 </w:t>
      </w:r>
      <w:r>
        <w:rPr>
          <w:lang w:val="en-AU" w:eastAsia="en-AU" w:bidi="ar-SA"/>
        </w:rPr>
        <w:t>using the search term ‘2</w:t>
      </w:r>
      <w:r w:rsidR="00683C97">
        <w:rPr>
          <w:lang w:val="en-AU" w:eastAsia="en-AU" w:bidi="ar-SA"/>
        </w:rPr>
        <w:t>′</w:t>
      </w:r>
      <w:r>
        <w:rPr>
          <w:lang w:val="en-AU" w:eastAsia="en-AU" w:bidi="ar-SA"/>
        </w:rPr>
        <w:t xml:space="preserve">-fucosyllactose’ </w:t>
      </w:r>
      <w:r w:rsidR="00AB0AF8">
        <w:rPr>
          <w:lang w:val="en-AU" w:eastAsia="en-AU" w:bidi="ar-SA"/>
        </w:rPr>
        <w:t xml:space="preserve">have </w:t>
      </w:r>
      <w:r>
        <w:rPr>
          <w:lang w:val="en-AU" w:eastAsia="en-AU" w:bidi="ar-SA"/>
        </w:rPr>
        <w:t xml:space="preserve">also been reviewed. </w:t>
      </w:r>
    </w:p>
    <w:p w14:paraId="187F20F2" w14:textId="7C5C9624" w:rsidR="00CD0AAD" w:rsidRDefault="00793DAD" w:rsidP="00793DAD">
      <w:pPr>
        <w:pStyle w:val="Heading3"/>
      </w:pPr>
      <w:r>
        <w:t>4.2.</w:t>
      </w:r>
      <w:r w:rsidR="001F6525">
        <w:t>1</w:t>
      </w:r>
      <w:r>
        <w:t xml:space="preserve"> </w:t>
      </w:r>
      <w:r w:rsidR="00CD0AAD">
        <w:t xml:space="preserve">Toxicological studies with </w:t>
      </w:r>
      <w:r w:rsidR="00F25E51">
        <w:t>2′-</w:t>
      </w:r>
      <w:r w:rsidR="00CD0AAD">
        <w:t>FL</w:t>
      </w:r>
    </w:p>
    <w:p w14:paraId="026597B7" w14:textId="16A1228E" w:rsidR="00CD0AAD" w:rsidRPr="00A85B0D" w:rsidRDefault="00B348B8" w:rsidP="00793DAD">
      <w:pPr>
        <w:pStyle w:val="Heading4"/>
      </w:pPr>
      <w:r>
        <w:t>Short-term</w:t>
      </w:r>
      <w:r w:rsidR="00CD0AAD" w:rsidRPr="00A85B0D">
        <w:t xml:space="preserve"> toxicity studies</w:t>
      </w:r>
      <w:r w:rsidR="00793DAD">
        <w:t xml:space="preserve"> </w:t>
      </w:r>
      <w:r w:rsidR="00CD0AAD" w:rsidRPr="00A85B0D">
        <w:t xml:space="preserve">conducted with the applicant’s </w:t>
      </w:r>
      <w:r w:rsidR="00F25E51">
        <w:t>2′-</w:t>
      </w:r>
      <w:r w:rsidR="00CD0AAD" w:rsidRPr="00A85B0D">
        <w:t>FL</w:t>
      </w:r>
      <w:r w:rsidR="00CD0AAD" w:rsidRPr="00A85B0D">
        <w:rPr>
          <w:vertAlign w:val="subscript"/>
        </w:rPr>
        <w:t>micro</w:t>
      </w:r>
    </w:p>
    <w:p w14:paraId="0E79FEB5" w14:textId="65D4D487" w:rsidR="00CD0AAD" w:rsidRDefault="00156BFB" w:rsidP="002413D6">
      <w:pPr>
        <w:pStyle w:val="Heading5"/>
        <w:ind w:left="0" w:firstLine="0"/>
        <w:rPr>
          <w:lang w:val="en-AU"/>
        </w:rPr>
      </w:pPr>
      <w:r>
        <w:rPr>
          <w:lang w:val="en-AU"/>
        </w:rPr>
        <w:t>Three-</w:t>
      </w:r>
      <w:r w:rsidR="00CD0AAD" w:rsidRPr="00A85B0D">
        <w:rPr>
          <w:lang w:val="en-AU"/>
        </w:rPr>
        <w:t>week oral toxicity study with 2′-FL</w:t>
      </w:r>
      <w:r w:rsidR="00CD0AAD" w:rsidRPr="00A85B0D">
        <w:rPr>
          <w:vertAlign w:val="subscript"/>
          <w:lang w:val="en-AU"/>
        </w:rPr>
        <w:t>micro</w:t>
      </w:r>
      <w:r w:rsidR="00CD0AAD" w:rsidRPr="00A85B0D">
        <w:rPr>
          <w:lang w:val="en-AU"/>
        </w:rPr>
        <w:t xml:space="preserve"> in neonatal piglets (Hanlon and Thorsrud 2014) Regulatory status: GLP; conducted in compliance with ICH M3(R2) (2010) and the European</w:t>
      </w:r>
      <w:r w:rsidR="00CD0AAD">
        <w:rPr>
          <w:lang w:val="en-AU"/>
        </w:rPr>
        <w:t xml:space="preserve"> Medicines Agency (EMEA) guideline on the need for non-</w:t>
      </w:r>
      <w:r w:rsidR="00E63172">
        <w:rPr>
          <w:lang w:val="en-AU"/>
        </w:rPr>
        <w:t>clinical</w:t>
      </w:r>
      <w:r w:rsidR="00CD0AAD">
        <w:rPr>
          <w:lang w:val="en-AU"/>
        </w:rPr>
        <w:t xml:space="preserve"> testing in juvenile animals of pharmaceuticals for paediatric indications (2008)</w:t>
      </w:r>
    </w:p>
    <w:p w14:paraId="792D1435" w14:textId="5E76B25C" w:rsidR="00CD0AAD" w:rsidRDefault="00CD0AAD" w:rsidP="00CD0AAD">
      <w:r>
        <w:t xml:space="preserve">The test article </w:t>
      </w:r>
      <w:r w:rsidRPr="00D9087C">
        <w:t>used in this study had a purity of 97.9% 2′-FL.</w:t>
      </w:r>
      <w:r w:rsidR="00FB7211">
        <w:t xml:space="preserve"> </w:t>
      </w:r>
      <w:r>
        <w:t xml:space="preserve">A total of 27 male and 21 female two-day old Domestic Yorkshire Crossbred Swine were received by the test facility. </w:t>
      </w:r>
      <w:r w:rsidRPr="00A00F31">
        <w:t xml:space="preserve">Due to the imbalance in the numbers of male and female piglets available at the start of the study, animals were assigned to treatment groups so as </w:t>
      </w:r>
      <w:r w:rsidRPr="00A00F31">
        <w:lastRenderedPageBreak/>
        <w:t>to ensure that the control and high dose groups had an equal distribution of males and</w:t>
      </w:r>
      <w:r>
        <w:t xml:space="preserve"> females. Piglets received liquid diets containing 0 (6 males and 6 females), 200 (8 males and 4 females), 500 (7 males and 5 females) or 2000 (6 males and 6 females) mg/L </w:t>
      </w:r>
      <w:r w:rsidR="00F25E51">
        <w:t>2′-</w:t>
      </w:r>
      <w:r>
        <w:t>FL for three weeks.</w:t>
      </w:r>
      <w:r w:rsidRPr="00A00F31">
        <w:t xml:space="preserve"> </w:t>
      </w:r>
      <w:r>
        <w:t xml:space="preserve">Prior to receipt, piglets were given injections of an iron supplement and a broad spectrum antibiotic, with additional injections provided at intervals during the study. The test vehicle and control was a commercially available milk replacer formula. Feeds were administered orally via a feeding container. </w:t>
      </w:r>
    </w:p>
    <w:p w14:paraId="66E7ACF8" w14:textId="77777777" w:rsidR="00CD0AAD" w:rsidRDefault="00CD0AAD" w:rsidP="00CD0AAD">
      <w:r>
        <w:t xml:space="preserve">Animals were monitored twice daily for mortality, morbidity, injury and food availability, and a detailed clinical examination was performed twice weekly. Food consumption was measured daily. Body weights were measured daily during the first week and every other day for the remainder of the study. Blood samples were collected from all animals on study days 7 and 21 for haematology and clinical analyses. Urine samples were collected at terminal gross necropsy on study day 22, and a pH measurement was obtained from the caecum and colon contents. Organ weights were recorded and microscopic evaluations were performed on selected organs and tissues. </w:t>
      </w:r>
    </w:p>
    <w:p w14:paraId="1525492D" w14:textId="64DE8EF7" w:rsidR="00CD0AAD" w:rsidRDefault="00CD0AAD" w:rsidP="00CD0AAD">
      <w:r w:rsidRPr="00B8606E">
        <w:t xml:space="preserve">All animals survived to scheduled necropsy and no definitive test article-related changes in clinical observations were recorded during the course of the study. </w:t>
      </w:r>
      <w:r>
        <w:t xml:space="preserve">Doses of </w:t>
      </w:r>
      <w:r w:rsidR="00F25E51">
        <w:t>2′-</w:t>
      </w:r>
      <w:r>
        <w:t xml:space="preserve">FL at dietary concentrations of 0, 200, 500 and 2000 mg/L were calculated to be 0, 29.37, 72.22 and 291.74 mg/kg bw/day, respectively in males and 29.30, 74.31 and 298.99 mg/kg bw/day, respectively in females. </w:t>
      </w:r>
      <w:r w:rsidRPr="00B8606E">
        <w:t>Watery faeces were noted in</w:t>
      </w:r>
      <w:r w:rsidR="004B2B25">
        <w:t xml:space="preserve"> 0/6 males and 0/6 females in the control group,</w:t>
      </w:r>
      <w:r>
        <w:t xml:space="preserve"> </w:t>
      </w:r>
      <w:r w:rsidRPr="00B8606E">
        <w:t>2/8 males and 2/4 females in the 200 mg/L group</w:t>
      </w:r>
      <w:r>
        <w:t xml:space="preserve">, </w:t>
      </w:r>
      <w:r w:rsidRPr="00B8606E">
        <w:t>1/7 males and 2/5 females in the 500 mg/L group</w:t>
      </w:r>
      <w:r>
        <w:t xml:space="preserve"> and</w:t>
      </w:r>
      <w:r w:rsidRPr="00B8606E">
        <w:t xml:space="preserve"> 3/6 males and 2/6 females given 2000 mg/L 2′-FL. This was not considered to be test article-related based on the lack of dose-response and the absence of any associated pathological findings.</w:t>
      </w:r>
      <w:r>
        <w:t xml:space="preserve"> </w:t>
      </w:r>
    </w:p>
    <w:p w14:paraId="6ED70FAC" w14:textId="77777777" w:rsidR="00CD0AAD" w:rsidRDefault="00CD0AAD" w:rsidP="00CD0AAD">
      <w:r w:rsidRPr="00B8606E">
        <w:t>There were no differences in body weight gain</w:t>
      </w:r>
      <w:r>
        <w:t>,</w:t>
      </w:r>
      <w:r w:rsidRPr="00B8606E">
        <w:t xml:space="preserve"> </w:t>
      </w:r>
      <w:r>
        <w:t xml:space="preserve">food </w:t>
      </w:r>
      <w:r w:rsidRPr="00B8606E">
        <w:t>consumption</w:t>
      </w:r>
      <w:r>
        <w:t xml:space="preserve"> and food efficiency</w:t>
      </w:r>
      <w:r w:rsidRPr="00B8606E">
        <w:t xml:space="preserve"> between the control and treatment groups. </w:t>
      </w:r>
      <w:r w:rsidRPr="000E263F">
        <w:t>One male and two females in the 2000 mg/L group had a lack of appetite on one day of the study, and one female in the 200 mg/L dose showed a lack of appetite for two days during the study. As there was no dose response and no impact on growth or feed intake, this observation was not considered to be adverse.</w:t>
      </w:r>
      <w:r>
        <w:t xml:space="preserve"> </w:t>
      </w:r>
    </w:p>
    <w:p w14:paraId="34DA25EE" w14:textId="161693E0" w:rsidR="00CD0AAD" w:rsidRDefault="00CD0AAD" w:rsidP="00CD0AAD">
      <w:r>
        <w:t xml:space="preserve">No significant differences in pH of the caecum and colon contents were observed. There were no test article-related effects on haematology, coagulation, clinical chemistry or urinalysis parameters. </w:t>
      </w:r>
    </w:p>
    <w:p w14:paraId="528A2EF4" w14:textId="66A5D09D" w:rsidR="00CD0AAD" w:rsidRDefault="00CD0AAD" w:rsidP="00CD0AAD">
      <w:r>
        <w:t>No treatment related macroscopic changes or alterations in organ weights (absolute and relative to body and brain weights) were observed. Some a</w:t>
      </w:r>
      <w:r w:rsidRPr="00AE7AC8">
        <w:t>nimals in all groups had variable, minimal to mild, focal, acute inflammation within the keratinised portion of the nonglandular stomach and variable thickness of the keratinised portion.</w:t>
      </w:r>
      <w:r>
        <w:t xml:space="preserve"> In 1/6 males and 1/6 females at 2000 mg/L and 1/5 females at 500 mg/L an increased magnitude of inflammation within the keratinised portion of the stratified squamous epithelium was observed (</w:t>
      </w:r>
      <w:hyperlink w:anchor="Table4_2" w:history="1">
        <w:r w:rsidRPr="00F607A3">
          <w:rPr>
            <w:rStyle w:val="Hyperlink"/>
          </w:rPr>
          <w:t xml:space="preserve">Table </w:t>
        </w:r>
        <w:r w:rsidR="002413D6" w:rsidRPr="00F607A3">
          <w:rPr>
            <w:rStyle w:val="Hyperlink"/>
          </w:rPr>
          <w:t>4.</w:t>
        </w:r>
        <w:r w:rsidRPr="00F607A3">
          <w:rPr>
            <w:rStyle w:val="Hyperlink"/>
          </w:rPr>
          <w:t>2</w:t>
        </w:r>
      </w:hyperlink>
      <w:r>
        <w:t>). In addition, a focal loss/thinning (erosion) of the keratinized portion of the stratified squamous epithelium in the male at 2000 mg/L was associated with the regions of inflammation. The underlying squamous epithelium remained intact without ulceration, however, and there were no correlative stomach macroscopic findings.</w:t>
      </w:r>
    </w:p>
    <w:p w14:paraId="75044B05" w14:textId="578E9949" w:rsidR="00CD0AAD" w:rsidRPr="00A85B0D" w:rsidRDefault="00CD0AAD" w:rsidP="00C461E2">
      <w:pPr>
        <w:pStyle w:val="FSTableTitle"/>
        <w:spacing w:after="120"/>
        <w:rPr>
          <w:noProof/>
        </w:rPr>
      </w:pPr>
      <w:bookmarkStart w:id="200" w:name="Table4_2"/>
      <w:r w:rsidRPr="00F607A3">
        <w:lastRenderedPageBreak/>
        <w:t xml:space="preserve">Table </w:t>
      </w:r>
      <w:r w:rsidR="002413D6" w:rsidRPr="00F607A3">
        <w:t>4</w:t>
      </w:r>
      <w:r w:rsidR="00F607A3">
        <w:t>.2</w:t>
      </w:r>
      <w:bookmarkEnd w:id="200"/>
      <w:r w:rsidR="00F607A3">
        <w:rPr>
          <w:noProof/>
        </w:rPr>
        <w:t>:</w:t>
      </w:r>
      <w:r>
        <w:t xml:space="preserve"> </w:t>
      </w:r>
      <w:r w:rsidRPr="00F607A3">
        <w:rPr>
          <w:b w:val="0"/>
        </w:rPr>
        <w:t xml:space="preserve">Summary of </w:t>
      </w:r>
      <w:r w:rsidRPr="00F607A3">
        <w:rPr>
          <w:b w:val="0"/>
          <w:noProof/>
        </w:rPr>
        <w:t>non-glandular stomach m</w:t>
      </w:r>
      <w:r w:rsidR="00156BFB">
        <w:rPr>
          <w:b w:val="0"/>
          <w:noProof/>
        </w:rPr>
        <w:t>icroscopic observations in the three</w:t>
      </w:r>
      <w:r w:rsidRPr="00F607A3">
        <w:rPr>
          <w:b w:val="0"/>
          <w:noProof/>
        </w:rPr>
        <w:t>-week dietary study in piglets</w:t>
      </w:r>
    </w:p>
    <w:tbl>
      <w:tblPr>
        <w:tblStyle w:val="Table"/>
        <w:tblW w:w="0" w:type="auto"/>
        <w:tblLook w:val="04A0" w:firstRow="1" w:lastRow="0" w:firstColumn="1" w:lastColumn="0" w:noHBand="0" w:noVBand="1"/>
        <w:tblDescription w:val="Summary of non-glandular stomach microscopic observations in the 3-week dietary study in piglets"/>
      </w:tblPr>
      <w:tblGrid>
        <w:gridCol w:w="1916"/>
        <w:gridCol w:w="1784"/>
        <w:gridCol w:w="1786"/>
        <w:gridCol w:w="1786"/>
        <w:gridCol w:w="1788"/>
      </w:tblGrid>
      <w:tr w:rsidR="00CD0AAD" w14:paraId="0066004B" w14:textId="77777777" w:rsidTr="00E3143E">
        <w:trPr>
          <w:cnfStyle w:val="100000000000" w:firstRow="1" w:lastRow="0" w:firstColumn="0" w:lastColumn="0" w:oddVBand="0" w:evenVBand="0" w:oddHBand="0" w:evenHBand="0" w:firstRowFirstColumn="0" w:firstRowLastColumn="0" w:lastRowFirstColumn="0" w:lastRowLastColumn="0"/>
          <w:tblHeader/>
        </w:trPr>
        <w:tc>
          <w:tcPr>
            <w:tcW w:w="1916" w:type="dxa"/>
            <w:shd w:val="clear" w:color="auto" w:fill="7F7F7F"/>
          </w:tcPr>
          <w:p w14:paraId="40BEEED6" w14:textId="77777777" w:rsidR="00CD0AAD" w:rsidRPr="009B3BB4" w:rsidRDefault="00CD0AAD" w:rsidP="00567589">
            <w:pPr>
              <w:spacing w:before="120" w:after="120"/>
            </w:pPr>
          </w:p>
        </w:tc>
        <w:tc>
          <w:tcPr>
            <w:tcW w:w="7144" w:type="dxa"/>
            <w:gridSpan w:val="4"/>
            <w:shd w:val="clear" w:color="auto" w:fill="7F7F7F"/>
          </w:tcPr>
          <w:p w14:paraId="77DD507F" w14:textId="196E53DC" w:rsidR="00CD0AAD" w:rsidRPr="009B3BB4" w:rsidRDefault="00F25E51" w:rsidP="00567589">
            <w:pPr>
              <w:pStyle w:val="FSTableHeading"/>
              <w:spacing w:before="120" w:after="120"/>
            </w:pPr>
            <w:r>
              <w:t>2′-</w:t>
            </w:r>
            <w:r w:rsidR="00CD0AAD" w:rsidRPr="009B3BB4">
              <w:t>FL concentration (mg/L)</w:t>
            </w:r>
          </w:p>
        </w:tc>
      </w:tr>
      <w:tr w:rsidR="00CD0AAD" w14:paraId="57C8D3E7"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6425DCF0" w14:textId="77777777" w:rsidR="00CD0AAD" w:rsidRPr="009B3BB4" w:rsidRDefault="00CD0AAD" w:rsidP="00567589">
            <w:pPr>
              <w:spacing w:before="120" w:after="120"/>
              <w:rPr>
                <w:color w:val="FFFFFF" w:themeColor="background1"/>
              </w:rPr>
            </w:pPr>
          </w:p>
        </w:tc>
        <w:tc>
          <w:tcPr>
            <w:tcW w:w="1784" w:type="dxa"/>
          </w:tcPr>
          <w:p w14:paraId="1B99DD06" w14:textId="77777777" w:rsidR="00CD0AAD" w:rsidRPr="00E3143E" w:rsidRDefault="00CD0AAD" w:rsidP="00567589">
            <w:pPr>
              <w:pStyle w:val="FSTableHeading"/>
              <w:spacing w:before="120" w:after="120"/>
              <w:rPr>
                <w:color w:val="auto"/>
              </w:rPr>
            </w:pPr>
            <w:r w:rsidRPr="00E3143E">
              <w:rPr>
                <w:color w:val="auto"/>
              </w:rPr>
              <w:t>0</w:t>
            </w:r>
          </w:p>
        </w:tc>
        <w:tc>
          <w:tcPr>
            <w:tcW w:w="1786" w:type="dxa"/>
          </w:tcPr>
          <w:p w14:paraId="78C0FE60" w14:textId="77777777" w:rsidR="00CD0AAD" w:rsidRPr="00E3143E" w:rsidRDefault="00CD0AAD" w:rsidP="00567589">
            <w:pPr>
              <w:pStyle w:val="FSTableHeading"/>
              <w:spacing w:before="120" w:after="120"/>
              <w:rPr>
                <w:color w:val="auto"/>
              </w:rPr>
            </w:pPr>
            <w:r w:rsidRPr="00E3143E">
              <w:rPr>
                <w:color w:val="auto"/>
              </w:rPr>
              <w:t>200</w:t>
            </w:r>
          </w:p>
        </w:tc>
        <w:tc>
          <w:tcPr>
            <w:tcW w:w="1786" w:type="dxa"/>
          </w:tcPr>
          <w:p w14:paraId="1EEBA8DB" w14:textId="77777777" w:rsidR="00CD0AAD" w:rsidRPr="00E3143E" w:rsidRDefault="00CD0AAD" w:rsidP="00567589">
            <w:pPr>
              <w:pStyle w:val="FSTableHeading"/>
              <w:spacing w:before="120" w:after="120"/>
              <w:rPr>
                <w:color w:val="auto"/>
              </w:rPr>
            </w:pPr>
            <w:r w:rsidRPr="00E3143E">
              <w:rPr>
                <w:color w:val="auto"/>
              </w:rPr>
              <w:t>500</w:t>
            </w:r>
          </w:p>
        </w:tc>
        <w:tc>
          <w:tcPr>
            <w:tcW w:w="1788" w:type="dxa"/>
          </w:tcPr>
          <w:p w14:paraId="51B99653" w14:textId="77777777" w:rsidR="00CD0AAD" w:rsidRPr="00E3143E" w:rsidRDefault="00CD0AAD" w:rsidP="00567589">
            <w:pPr>
              <w:pStyle w:val="FSTableHeading"/>
              <w:spacing w:before="120" w:after="120"/>
              <w:rPr>
                <w:color w:val="auto"/>
              </w:rPr>
            </w:pPr>
            <w:r w:rsidRPr="00E3143E">
              <w:rPr>
                <w:color w:val="auto"/>
              </w:rPr>
              <w:t>2000</w:t>
            </w:r>
          </w:p>
        </w:tc>
      </w:tr>
      <w:tr w:rsidR="00CD0AAD" w14:paraId="285DDDEC" w14:textId="77777777" w:rsidTr="00E3143E">
        <w:trPr>
          <w:cnfStyle w:val="000000010000" w:firstRow="0" w:lastRow="0" w:firstColumn="0" w:lastColumn="0" w:oddVBand="0" w:evenVBand="0" w:oddHBand="0" w:evenHBand="1" w:firstRowFirstColumn="0" w:firstRowLastColumn="0" w:lastRowFirstColumn="0" w:lastRowLastColumn="0"/>
        </w:trPr>
        <w:tc>
          <w:tcPr>
            <w:tcW w:w="9060" w:type="dxa"/>
            <w:gridSpan w:val="5"/>
          </w:tcPr>
          <w:p w14:paraId="4E763862" w14:textId="77777777" w:rsidR="00CD0AAD" w:rsidRPr="009B3BB4" w:rsidRDefault="00CD0AAD" w:rsidP="00567589">
            <w:pPr>
              <w:pStyle w:val="FSTableHeading"/>
              <w:spacing w:before="120" w:after="120"/>
              <w:rPr>
                <w:color w:val="FFFFFF" w:themeColor="background1"/>
              </w:rPr>
            </w:pPr>
            <w:r w:rsidRPr="00E3143E">
              <w:rPr>
                <w:color w:val="auto"/>
              </w:rPr>
              <w:t>Males</w:t>
            </w:r>
          </w:p>
        </w:tc>
      </w:tr>
      <w:tr w:rsidR="00CD0AAD" w14:paraId="79377C30"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341763CD" w14:textId="77777777" w:rsidR="00CD0AAD" w:rsidRDefault="00CD0AAD" w:rsidP="00567589">
            <w:pPr>
              <w:pStyle w:val="FSTableText"/>
              <w:spacing w:before="120" w:after="120"/>
            </w:pPr>
            <w:r>
              <w:t>Within normal limits</w:t>
            </w:r>
          </w:p>
        </w:tc>
        <w:tc>
          <w:tcPr>
            <w:tcW w:w="1784" w:type="dxa"/>
            <w:vAlign w:val="center"/>
          </w:tcPr>
          <w:p w14:paraId="005C8ABD" w14:textId="77777777" w:rsidR="00CD0AAD" w:rsidRDefault="00CD0AAD" w:rsidP="00567589">
            <w:pPr>
              <w:pStyle w:val="FSTableText"/>
              <w:spacing w:before="120" w:after="120"/>
              <w:jc w:val="center"/>
            </w:pPr>
            <w:r>
              <w:t>1/6</w:t>
            </w:r>
          </w:p>
        </w:tc>
        <w:tc>
          <w:tcPr>
            <w:tcW w:w="1786" w:type="dxa"/>
            <w:vAlign w:val="center"/>
          </w:tcPr>
          <w:p w14:paraId="79433146" w14:textId="77777777" w:rsidR="00CD0AAD" w:rsidRDefault="00CD0AAD" w:rsidP="00567589">
            <w:pPr>
              <w:pStyle w:val="FSTableText"/>
              <w:spacing w:before="120" w:after="120"/>
              <w:jc w:val="center"/>
            </w:pPr>
            <w:r>
              <w:t>2/8</w:t>
            </w:r>
          </w:p>
        </w:tc>
        <w:tc>
          <w:tcPr>
            <w:tcW w:w="1786" w:type="dxa"/>
            <w:vAlign w:val="center"/>
          </w:tcPr>
          <w:p w14:paraId="21C6489D" w14:textId="77777777" w:rsidR="00CD0AAD" w:rsidRDefault="00CD0AAD" w:rsidP="00567589">
            <w:pPr>
              <w:pStyle w:val="FSTableText"/>
              <w:spacing w:before="120" w:after="120"/>
              <w:jc w:val="center"/>
            </w:pPr>
            <w:r>
              <w:t>5/7</w:t>
            </w:r>
          </w:p>
        </w:tc>
        <w:tc>
          <w:tcPr>
            <w:tcW w:w="1788" w:type="dxa"/>
            <w:vAlign w:val="center"/>
          </w:tcPr>
          <w:p w14:paraId="4EDC6C67" w14:textId="77777777" w:rsidR="00CD0AAD" w:rsidRDefault="00CD0AAD" w:rsidP="00567589">
            <w:pPr>
              <w:pStyle w:val="FSTableText"/>
              <w:spacing w:before="120" w:after="120"/>
              <w:jc w:val="center"/>
            </w:pPr>
            <w:r>
              <w:t>3/6</w:t>
            </w:r>
          </w:p>
        </w:tc>
      </w:tr>
      <w:tr w:rsidR="00CD0AAD" w14:paraId="4BA3903E"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60A4364C" w14:textId="77777777" w:rsidR="00CD0AAD" w:rsidRDefault="00CD0AAD" w:rsidP="00567589">
            <w:pPr>
              <w:pStyle w:val="FSTableText"/>
              <w:spacing w:before="120" w:after="120"/>
            </w:pPr>
            <w:r>
              <w:t>Acute inflammation, minimal</w:t>
            </w:r>
          </w:p>
        </w:tc>
        <w:tc>
          <w:tcPr>
            <w:tcW w:w="1784" w:type="dxa"/>
            <w:vAlign w:val="center"/>
          </w:tcPr>
          <w:p w14:paraId="16C3DB00" w14:textId="77777777" w:rsidR="00CD0AAD" w:rsidRDefault="00CD0AAD" w:rsidP="00567589">
            <w:pPr>
              <w:pStyle w:val="FSTableText"/>
              <w:spacing w:before="120" w:after="120"/>
              <w:jc w:val="center"/>
            </w:pPr>
            <w:r>
              <w:t>5/6</w:t>
            </w:r>
          </w:p>
        </w:tc>
        <w:tc>
          <w:tcPr>
            <w:tcW w:w="1786" w:type="dxa"/>
            <w:vAlign w:val="center"/>
          </w:tcPr>
          <w:p w14:paraId="72B55D39" w14:textId="77777777" w:rsidR="00CD0AAD" w:rsidRDefault="00CD0AAD" w:rsidP="00567589">
            <w:pPr>
              <w:pStyle w:val="FSTableText"/>
              <w:spacing w:before="120" w:after="120"/>
              <w:jc w:val="center"/>
            </w:pPr>
            <w:r>
              <w:t>6/8</w:t>
            </w:r>
          </w:p>
        </w:tc>
        <w:tc>
          <w:tcPr>
            <w:tcW w:w="1786" w:type="dxa"/>
            <w:vAlign w:val="center"/>
          </w:tcPr>
          <w:p w14:paraId="32C645D3" w14:textId="77777777" w:rsidR="00CD0AAD" w:rsidRDefault="00CD0AAD" w:rsidP="00567589">
            <w:pPr>
              <w:pStyle w:val="FSTableText"/>
              <w:spacing w:before="120" w:after="120"/>
              <w:jc w:val="center"/>
            </w:pPr>
            <w:r>
              <w:t>2/7</w:t>
            </w:r>
          </w:p>
        </w:tc>
        <w:tc>
          <w:tcPr>
            <w:tcW w:w="1788" w:type="dxa"/>
            <w:vAlign w:val="center"/>
          </w:tcPr>
          <w:p w14:paraId="7B717BB4" w14:textId="77777777" w:rsidR="00CD0AAD" w:rsidRDefault="00CD0AAD" w:rsidP="00567589">
            <w:pPr>
              <w:pStyle w:val="FSTableText"/>
              <w:spacing w:before="120" w:after="120"/>
              <w:jc w:val="center"/>
            </w:pPr>
            <w:r>
              <w:t>2/6</w:t>
            </w:r>
          </w:p>
        </w:tc>
      </w:tr>
      <w:tr w:rsidR="00CD0AAD" w14:paraId="0E3692C8"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5CE16B12" w14:textId="77777777" w:rsidR="00CD0AAD" w:rsidRDefault="00CD0AAD" w:rsidP="00567589">
            <w:pPr>
              <w:pStyle w:val="FSTableText"/>
              <w:spacing w:before="120" w:after="120"/>
            </w:pPr>
            <w:r>
              <w:t>Acute inflammation, mild</w:t>
            </w:r>
          </w:p>
        </w:tc>
        <w:tc>
          <w:tcPr>
            <w:tcW w:w="1784" w:type="dxa"/>
            <w:vAlign w:val="center"/>
          </w:tcPr>
          <w:p w14:paraId="4ED5757E" w14:textId="77777777" w:rsidR="00CD0AAD" w:rsidRDefault="00CD0AAD" w:rsidP="00567589">
            <w:pPr>
              <w:pStyle w:val="FSTableText"/>
              <w:spacing w:before="120" w:after="120"/>
              <w:jc w:val="center"/>
            </w:pPr>
            <w:r>
              <w:t>0/6</w:t>
            </w:r>
          </w:p>
        </w:tc>
        <w:tc>
          <w:tcPr>
            <w:tcW w:w="1786" w:type="dxa"/>
            <w:vAlign w:val="center"/>
          </w:tcPr>
          <w:p w14:paraId="6E094873" w14:textId="77777777" w:rsidR="00CD0AAD" w:rsidRDefault="00CD0AAD" w:rsidP="00567589">
            <w:pPr>
              <w:pStyle w:val="FSTableText"/>
              <w:spacing w:before="120" w:after="120"/>
              <w:jc w:val="center"/>
            </w:pPr>
            <w:r>
              <w:t>0/8</w:t>
            </w:r>
          </w:p>
        </w:tc>
        <w:tc>
          <w:tcPr>
            <w:tcW w:w="1786" w:type="dxa"/>
            <w:vAlign w:val="center"/>
          </w:tcPr>
          <w:p w14:paraId="752D5045" w14:textId="77777777" w:rsidR="00CD0AAD" w:rsidRDefault="00CD0AAD" w:rsidP="00567589">
            <w:pPr>
              <w:pStyle w:val="FSTableText"/>
              <w:spacing w:before="120" w:after="120"/>
              <w:jc w:val="center"/>
            </w:pPr>
            <w:r>
              <w:t>0/7</w:t>
            </w:r>
          </w:p>
        </w:tc>
        <w:tc>
          <w:tcPr>
            <w:tcW w:w="1788" w:type="dxa"/>
            <w:vAlign w:val="center"/>
          </w:tcPr>
          <w:p w14:paraId="666D67DE" w14:textId="77777777" w:rsidR="00CD0AAD" w:rsidRDefault="00CD0AAD" w:rsidP="00567589">
            <w:pPr>
              <w:pStyle w:val="FSTableText"/>
              <w:spacing w:before="120" w:after="120"/>
              <w:jc w:val="center"/>
            </w:pPr>
            <w:r>
              <w:t>0/6</w:t>
            </w:r>
          </w:p>
        </w:tc>
      </w:tr>
      <w:tr w:rsidR="00CD0AAD" w14:paraId="06DCF87B"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5EA9C20B" w14:textId="77777777" w:rsidR="00CD0AAD" w:rsidRDefault="00CD0AAD" w:rsidP="00567589">
            <w:pPr>
              <w:pStyle w:val="FSTableText"/>
              <w:spacing w:before="120" w:after="120"/>
            </w:pPr>
            <w:r>
              <w:t>Subacute/chronic inflammation, mild</w:t>
            </w:r>
          </w:p>
        </w:tc>
        <w:tc>
          <w:tcPr>
            <w:tcW w:w="1784" w:type="dxa"/>
            <w:vAlign w:val="center"/>
          </w:tcPr>
          <w:p w14:paraId="31861376" w14:textId="77777777" w:rsidR="00CD0AAD" w:rsidRDefault="00CD0AAD" w:rsidP="00567589">
            <w:pPr>
              <w:pStyle w:val="FSTableText"/>
              <w:spacing w:before="120" w:after="120"/>
              <w:jc w:val="center"/>
            </w:pPr>
            <w:r>
              <w:t>0/6</w:t>
            </w:r>
          </w:p>
        </w:tc>
        <w:tc>
          <w:tcPr>
            <w:tcW w:w="1786" w:type="dxa"/>
            <w:vAlign w:val="center"/>
          </w:tcPr>
          <w:p w14:paraId="7FA56C2E" w14:textId="77777777" w:rsidR="00CD0AAD" w:rsidRDefault="00CD0AAD" w:rsidP="00567589">
            <w:pPr>
              <w:pStyle w:val="FSTableText"/>
              <w:spacing w:before="120" w:after="120"/>
              <w:jc w:val="center"/>
            </w:pPr>
            <w:r>
              <w:t>0/8</w:t>
            </w:r>
          </w:p>
        </w:tc>
        <w:tc>
          <w:tcPr>
            <w:tcW w:w="1786" w:type="dxa"/>
            <w:vAlign w:val="center"/>
          </w:tcPr>
          <w:p w14:paraId="08342A82" w14:textId="77777777" w:rsidR="00CD0AAD" w:rsidRDefault="00CD0AAD" w:rsidP="00567589">
            <w:pPr>
              <w:pStyle w:val="FSTableText"/>
              <w:spacing w:before="120" w:after="120"/>
              <w:jc w:val="center"/>
            </w:pPr>
            <w:r>
              <w:t>0/7</w:t>
            </w:r>
          </w:p>
        </w:tc>
        <w:tc>
          <w:tcPr>
            <w:tcW w:w="1788" w:type="dxa"/>
            <w:vAlign w:val="center"/>
          </w:tcPr>
          <w:p w14:paraId="544F7233" w14:textId="77777777" w:rsidR="00CD0AAD" w:rsidRDefault="00CD0AAD" w:rsidP="00567589">
            <w:pPr>
              <w:pStyle w:val="FSTableText"/>
              <w:spacing w:before="120" w:after="120"/>
              <w:jc w:val="center"/>
            </w:pPr>
            <w:r>
              <w:t>0/6</w:t>
            </w:r>
          </w:p>
        </w:tc>
      </w:tr>
      <w:tr w:rsidR="00CD0AAD" w14:paraId="53757AA2"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66353403" w14:textId="77777777" w:rsidR="00CD0AAD" w:rsidRDefault="00CD0AAD" w:rsidP="00567589">
            <w:pPr>
              <w:pStyle w:val="FSTableText"/>
              <w:spacing w:before="120" w:after="120"/>
            </w:pPr>
            <w:r>
              <w:t>Subacute/chronic inflammation, moderate</w:t>
            </w:r>
          </w:p>
        </w:tc>
        <w:tc>
          <w:tcPr>
            <w:tcW w:w="1784" w:type="dxa"/>
            <w:vAlign w:val="center"/>
          </w:tcPr>
          <w:p w14:paraId="2219532C" w14:textId="77777777" w:rsidR="00CD0AAD" w:rsidRDefault="00CD0AAD" w:rsidP="00567589">
            <w:pPr>
              <w:pStyle w:val="FSTableText"/>
              <w:spacing w:before="120" w:after="120"/>
              <w:jc w:val="center"/>
            </w:pPr>
            <w:r>
              <w:t>0/6</w:t>
            </w:r>
          </w:p>
        </w:tc>
        <w:tc>
          <w:tcPr>
            <w:tcW w:w="1786" w:type="dxa"/>
            <w:vAlign w:val="center"/>
          </w:tcPr>
          <w:p w14:paraId="40989108" w14:textId="77777777" w:rsidR="00CD0AAD" w:rsidRDefault="00CD0AAD" w:rsidP="00567589">
            <w:pPr>
              <w:pStyle w:val="FSTableText"/>
              <w:spacing w:before="120" w:after="120"/>
              <w:jc w:val="center"/>
            </w:pPr>
            <w:r>
              <w:t>0/8</w:t>
            </w:r>
          </w:p>
        </w:tc>
        <w:tc>
          <w:tcPr>
            <w:tcW w:w="1786" w:type="dxa"/>
            <w:vAlign w:val="center"/>
          </w:tcPr>
          <w:p w14:paraId="3800B5C6" w14:textId="77777777" w:rsidR="00CD0AAD" w:rsidRDefault="00CD0AAD" w:rsidP="00567589">
            <w:pPr>
              <w:pStyle w:val="FSTableText"/>
              <w:spacing w:before="120" w:after="120"/>
              <w:jc w:val="center"/>
            </w:pPr>
            <w:r>
              <w:t>0/7</w:t>
            </w:r>
          </w:p>
        </w:tc>
        <w:tc>
          <w:tcPr>
            <w:tcW w:w="1788" w:type="dxa"/>
            <w:vAlign w:val="center"/>
          </w:tcPr>
          <w:p w14:paraId="0E4A4CEB" w14:textId="77777777" w:rsidR="00CD0AAD" w:rsidRDefault="00CD0AAD" w:rsidP="00567589">
            <w:pPr>
              <w:pStyle w:val="FSTableText"/>
              <w:spacing w:before="120" w:after="120"/>
              <w:jc w:val="center"/>
            </w:pPr>
            <w:r>
              <w:t>1/6</w:t>
            </w:r>
          </w:p>
        </w:tc>
      </w:tr>
      <w:tr w:rsidR="00CD0AAD" w14:paraId="43BB3613" w14:textId="77777777" w:rsidTr="00E3143E">
        <w:trPr>
          <w:cnfStyle w:val="000000010000" w:firstRow="0" w:lastRow="0" w:firstColumn="0" w:lastColumn="0" w:oddVBand="0" w:evenVBand="0" w:oddHBand="0" w:evenHBand="1" w:firstRowFirstColumn="0" w:firstRowLastColumn="0" w:lastRowFirstColumn="0" w:lastRowLastColumn="0"/>
        </w:trPr>
        <w:tc>
          <w:tcPr>
            <w:tcW w:w="9060" w:type="dxa"/>
            <w:gridSpan w:val="5"/>
          </w:tcPr>
          <w:p w14:paraId="5CEE7995" w14:textId="3D45B83D" w:rsidR="00CD0AAD" w:rsidRDefault="00CD0AAD" w:rsidP="00567589">
            <w:pPr>
              <w:pStyle w:val="FSTableHeading"/>
              <w:spacing w:before="120" w:after="120"/>
            </w:pPr>
          </w:p>
        </w:tc>
      </w:tr>
      <w:tr w:rsidR="00CD0AAD" w14:paraId="0E5C0BD8"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001654CB" w14:textId="791BF825" w:rsidR="00CD0AAD" w:rsidRDefault="00CD0AAD" w:rsidP="00567589">
            <w:pPr>
              <w:pStyle w:val="FSTableText"/>
              <w:spacing w:before="120" w:after="120"/>
            </w:pPr>
          </w:p>
        </w:tc>
        <w:tc>
          <w:tcPr>
            <w:tcW w:w="1784" w:type="dxa"/>
            <w:vAlign w:val="center"/>
          </w:tcPr>
          <w:p w14:paraId="73BF93B5" w14:textId="70E4158F" w:rsidR="00CD0AAD" w:rsidRDefault="00CD0AAD" w:rsidP="00567589">
            <w:pPr>
              <w:pStyle w:val="FSTableText"/>
              <w:spacing w:before="120" w:after="120"/>
              <w:jc w:val="center"/>
            </w:pPr>
          </w:p>
        </w:tc>
        <w:tc>
          <w:tcPr>
            <w:tcW w:w="1786" w:type="dxa"/>
            <w:vAlign w:val="center"/>
          </w:tcPr>
          <w:p w14:paraId="17928E27" w14:textId="1778DFF6" w:rsidR="00CD0AAD" w:rsidRPr="00D943B5" w:rsidRDefault="00C461E2" w:rsidP="00567589">
            <w:pPr>
              <w:pStyle w:val="FSTableText"/>
              <w:spacing w:before="120" w:after="120"/>
              <w:jc w:val="center"/>
              <w:rPr>
                <w:b/>
              </w:rPr>
            </w:pPr>
            <w:r w:rsidRPr="00D943B5">
              <w:rPr>
                <w:b/>
              </w:rPr>
              <w:t>Females</w:t>
            </w:r>
          </w:p>
        </w:tc>
        <w:tc>
          <w:tcPr>
            <w:tcW w:w="1786" w:type="dxa"/>
            <w:vAlign w:val="center"/>
          </w:tcPr>
          <w:p w14:paraId="6C6437F8" w14:textId="531DDCFC" w:rsidR="00CD0AAD" w:rsidRDefault="00CD0AAD" w:rsidP="00567589">
            <w:pPr>
              <w:pStyle w:val="FSTableText"/>
              <w:spacing w:before="120" w:after="120"/>
              <w:jc w:val="center"/>
            </w:pPr>
          </w:p>
        </w:tc>
        <w:tc>
          <w:tcPr>
            <w:tcW w:w="1788" w:type="dxa"/>
            <w:vAlign w:val="center"/>
          </w:tcPr>
          <w:p w14:paraId="5BC42213" w14:textId="191198C1" w:rsidR="00CD0AAD" w:rsidRDefault="00CD0AAD" w:rsidP="00567589">
            <w:pPr>
              <w:pStyle w:val="FSTableText"/>
              <w:spacing w:before="120" w:after="120"/>
              <w:jc w:val="center"/>
            </w:pPr>
          </w:p>
        </w:tc>
      </w:tr>
      <w:tr w:rsidR="00C461E2" w14:paraId="45AC781D"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5B98DB1E" w14:textId="6CCAC4EB" w:rsidR="00C461E2" w:rsidRDefault="00C461E2" w:rsidP="00567589">
            <w:pPr>
              <w:pStyle w:val="FSTableText"/>
              <w:spacing w:before="120" w:after="120"/>
            </w:pPr>
            <w:r>
              <w:t>Within normal limits</w:t>
            </w:r>
          </w:p>
        </w:tc>
        <w:tc>
          <w:tcPr>
            <w:tcW w:w="1784" w:type="dxa"/>
            <w:vAlign w:val="center"/>
          </w:tcPr>
          <w:p w14:paraId="121B01BE" w14:textId="4C7181A1" w:rsidR="00C461E2" w:rsidRDefault="00C461E2" w:rsidP="00567589">
            <w:pPr>
              <w:pStyle w:val="FSTableText"/>
              <w:spacing w:before="120" w:after="120"/>
              <w:jc w:val="center"/>
            </w:pPr>
            <w:r>
              <w:t>4/6</w:t>
            </w:r>
          </w:p>
        </w:tc>
        <w:tc>
          <w:tcPr>
            <w:tcW w:w="1786" w:type="dxa"/>
            <w:vAlign w:val="center"/>
          </w:tcPr>
          <w:p w14:paraId="311E8275" w14:textId="3986D169" w:rsidR="00C461E2" w:rsidRDefault="00C461E2" w:rsidP="00567589">
            <w:pPr>
              <w:pStyle w:val="FSTableText"/>
              <w:spacing w:before="120" w:after="120"/>
              <w:jc w:val="center"/>
            </w:pPr>
            <w:r>
              <w:t>2/4</w:t>
            </w:r>
          </w:p>
        </w:tc>
        <w:tc>
          <w:tcPr>
            <w:tcW w:w="1786" w:type="dxa"/>
            <w:vAlign w:val="center"/>
          </w:tcPr>
          <w:p w14:paraId="7A7F9153" w14:textId="041C6D68" w:rsidR="00C461E2" w:rsidRDefault="00C461E2" w:rsidP="00567589">
            <w:pPr>
              <w:pStyle w:val="FSTableText"/>
              <w:spacing w:before="120" w:after="120"/>
              <w:jc w:val="center"/>
            </w:pPr>
            <w:r>
              <w:t>2/5</w:t>
            </w:r>
          </w:p>
        </w:tc>
        <w:tc>
          <w:tcPr>
            <w:tcW w:w="1788" w:type="dxa"/>
            <w:vAlign w:val="center"/>
          </w:tcPr>
          <w:p w14:paraId="0AF720A8" w14:textId="2F0BA522" w:rsidR="00C461E2" w:rsidRDefault="00C461E2" w:rsidP="00567589">
            <w:pPr>
              <w:pStyle w:val="FSTableText"/>
              <w:spacing w:before="120" w:after="120"/>
              <w:jc w:val="center"/>
            </w:pPr>
            <w:r>
              <w:t>3/6</w:t>
            </w:r>
          </w:p>
        </w:tc>
      </w:tr>
      <w:tr w:rsidR="00C461E2" w14:paraId="2233F527"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7C3F283E" w14:textId="77777777" w:rsidR="00C461E2" w:rsidRDefault="00C461E2" w:rsidP="00567589">
            <w:pPr>
              <w:pStyle w:val="FSTableText"/>
              <w:spacing w:before="120" w:after="120"/>
            </w:pPr>
            <w:r>
              <w:t>Acute inflammation, minimal</w:t>
            </w:r>
          </w:p>
        </w:tc>
        <w:tc>
          <w:tcPr>
            <w:tcW w:w="1784" w:type="dxa"/>
            <w:vAlign w:val="center"/>
          </w:tcPr>
          <w:p w14:paraId="1DF7DD5E" w14:textId="77777777" w:rsidR="00C461E2" w:rsidRDefault="00C461E2" w:rsidP="00567589">
            <w:pPr>
              <w:pStyle w:val="FSTableText"/>
              <w:spacing w:before="120" w:after="120"/>
              <w:jc w:val="center"/>
            </w:pPr>
            <w:r>
              <w:t>1/6</w:t>
            </w:r>
          </w:p>
        </w:tc>
        <w:tc>
          <w:tcPr>
            <w:tcW w:w="1786" w:type="dxa"/>
            <w:vAlign w:val="center"/>
          </w:tcPr>
          <w:p w14:paraId="48F428F4" w14:textId="42AA1B30" w:rsidR="00C461E2" w:rsidRDefault="009A4A05" w:rsidP="00567589">
            <w:pPr>
              <w:pStyle w:val="FSTableText"/>
              <w:spacing w:before="120" w:after="120"/>
              <w:jc w:val="center"/>
            </w:pPr>
            <w:r>
              <w:t>1/4</w:t>
            </w:r>
          </w:p>
        </w:tc>
        <w:tc>
          <w:tcPr>
            <w:tcW w:w="1786" w:type="dxa"/>
            <w:vAlign w:val="center"/>
          </w:tcPr>
          <w:p w14:paraId="59D3EF42" w14:textId="77777777" w:rsidR="00C461E2" w:rsidRDefault="00C461E2" w:rsidP="00567589">
            <w:pPr>
              <w:pStyle w:val="FSTableText"/>
              <w:spacing w:before="120" w:after="120"/>
              <w:jc w:val="center"/>
            </w:pPr>
            <w:r>
              <w:t>2/5</w:t>
            </w:r>
          </w:p>
        </w:tc>
        <w:tc>
          <w:tcPr>
            <w:tcW w:w="1788" w:type="dxa"/>
            <w:vAlign w:val="center"/>
          </w:tcPr>
          <w:p w14:paraId="328E8FEB" w14:textId="77777777" w:rsidR="00C461E2" w:rsidRDefault="00C461E2" w:rsidP="00567589">
            <w:pPr>
              <w:pStyle w:val="FSTableText"/>
              <w:spacing w:before="120" w:after="120"/>
              <w:jc w:val="center"/>
            </w:pPr>
            <w:r>
              <w:t>2/6</w:t>
            </w:r>
          </w:p>
        </w:tc>
      </w:tr>
      <w:tr w:rsidR="00C461E2" w14:paraId="5B16728C"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3E509749" w14:textId="77777777" w:rsidR="00C461E2" w:rsidRDefault="00C461E2" w:rsidP="00567589">
            <w:pPr>
              <w:pStyle w:val="FSTableText"/>
              <w:spacing w:before="120" w:after="120"/>
            </w:pPr>
            <w:r>
              <w:t>Acute inflammation, mild</w:t>
            </w:r>
          </w:p>
        </w:tc>
        <w:tc>
          <w:tcPr>
            <w:tcW w:w="1784" w:type="dxa"/>
            <w:vAlign w:val="center"/>
          </w:tcPr>
          <w:p w14:paraId="34C89540" w14:textId="77777777" w:rsidR="00C461E2" w:rsidRDefault="00C461E2" w:rsidP="00567589">
            <w:pPr>
              <w:pStyle w:val="FSTableText"/>
              <w:spacing w:before="120" w:after="120"/>
              <w:jc w:val="center"/>
            </w:pPr>
            <w:r>
              <w:t>1/6</w:t>
            </w:r>
          </w:p>
        </w:tc>
        <w:tc>
          <w:tcPr>
            <w:tcW w:w="1786" w:type="dxa"/>
            <w:vAlign w:val="center"/>
          </w:tcPr>
          <w:p w14:paraId="0E1287E7" w14:textId="57203F19" w:rsidR="00C461E2" w:rsidRDefault="009A4A05" w:rsidP="00567589">
            <w:pPr>
              <w:pStyle w:val="FSTableText"/>
              <w:spacing w:before="120" w:after="120"/>
              <w:jc w:val="center"/>
            </w:pPr>
            <w:r>
              <w:t>1/4</w:t>
            </w:r>
          </w:p>
        </w:tc>
        <w:tc>
          <w:tcPr>
            <w:tcW w:w="1786" w:type="dxa"/>
            <w:vAlign w:val="center"/>
          </w:tcPr>
          <w:p w14:paraId="77F45F9D" w14:textId="77777777" w:rsidR="00C461E2" w:rsidRDefault="00C461E2" w:rsidP="00567589">
            <w:pPr>
              <w:pStyle w:val="FSTableText"/>
              <w:spacing w:before="120" w:after="120"/>
              <w:jc w:val="center"/>
            </w:pPr>
            <w:r>
              <w:t>0/5</w:t>
            </w:r>
          </w:p>
        </w:tc>
        <w:tc>
          <w:tcPr>
            <w:tcW w:w="1788" w:type="dxa"/>
            <w:vAlign w:val="center"/>
          </w:tcPr>
          <w:p w14:paraId="7504FACD" w14:textId="77777777" w:rsidR="00C461E2" w:rsidRDefault="00C461E2" w:rsidP="00567589">
            <w:pPr>
              <w:pStyle w:val="FSTableText"/>
              <w:spacing w:before="120" w:after="120"/>
              <w:jc w:val="center"/>
            </w:pPr>
            <w:r>
              <w:t>0/6</w:t>
            </w:r>
          </w:p>
        </w:tc>
      </w:tr>
      <w:tr w:rsidR="00C461E2" w14:paraId="41E6740E"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07354A3E" w14:textId="77777777" w:rsidR="00C461E2" w:rsidRDefault="00C461E2" w:rsidP="00567589">
            <w:pPr>
              <w:pStyle w:val="FSTableText"/>
              <w:spacing w:before="120" w:after="120"/>
            </w:pPr>
            <w:r>
              <w:t>Subacute/chronic inflammation, mild</w:t>
            </w:r>
          </w:p>
        </w:tc>
        <w:tc>
          <w:tcPr>
            <w:tcW w:w="1784" w:type="dxa"/>
            <w:vAlign w:val="center"/>
          </w:tcPr>
          <w:p w14:paraId="226DD6C9" w14:textId="77777777" w:rsidR="00C461E2" w:rsidRDefault="00C461E2" w:rsidP="00567589">
            <w:pPr>
              <w:pStyle w:val="FSTableText"/>
              <w:spacing w:before="120" w:after="120"/>
              <w:jc w:val="center"/>
            </w:pPr>
            <w:r>
              <w:t>0/6</w:t>
            </w:r>
          </w:p>
        </w:tc>
        <w:tc>
          <w:tcPr>
            <w:tcW w:w="1786" w:type="dxa"/>
            <w:vAlign w:val="center"/>
          </w:tcPr>
          <w:p w14:paraId="6AD5A194" w14:textId="77777777" w:rsidR="00C461E2" w:rsidRDefault="00C461E2" w:rsidP="00567589">
            <w:pPr>
              <w:pStyle w:val="FSTableText"/>
              <w:spacing w:before="120" w:after="120"/>
              <w:jc w:val="center"/>
            </w:pPr>
            <w:r>
              <w:t>0/4</w:t>
            </w:r>
          </w:p>
        </w:tc>
        <w:tc>
          <w:tcPr>
            <w:tcW w:w="1786" w:type="dxa"/>
            <w:vAlign w:val="center"/>
          </w:tcPr>
          <w:p w14:paraId="20A48C53" w14:textId="77777777" w:rsidR="00C461E2" w:rsidRDefault="00C461E2" w:rsidP="00567589">
            <w:pPr>
              <w:pStyle w:val="FSTableText"/>
              <w:spacing w:before="120" w:after="120"/>
              <w:jc w:val="center"/>
            </w:pPr>
            <w:r>
              <w:t>1/5</w:t>
            </w:r>
          </w:p>
        </w:tc>
        <w:tc>
          <w:tcPr>
            <w:tcW w:w="1788" w:type="dxa"/>
            <w:vAlign w:val="center"/>
          </w:tcPr>
          <w:p w14:paraId="63A812CF" w14:textId="77777777" w:rsidR="00C461E2" w:rsidRDefault="00C461E2" w:rsidP="00567589">
            <w:pPr>
              <w:pStyle w:val="FSTableText"/>
              <w:spacing w:before="120" w:after="120"/>
              <w:jc w:val="center"/>
            </w:pPr>
            <w:r>
              <w:t>0/6</w:t>
            </w:r>
          </w:p>
        </w:tc>
      </w:tr>
      <w:tr w:rsidR="00C461E2" w14:paraId="07C7C0EE"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40FF034B" w14:textId="77777777" w:rsidR="00C461E2" w:rsidRDefault="00C461E2" w:rsidP="00567589">
            <w:pPr>
              <w:pStyle w:val="FSTableText"/>
              <w:spacing w:before="120" w:after="120"/>
            </w:pPr>
            <w:r>
              <w:t>Subacute/chronic inflammation, moderate</w:t>
            </w:r>
          </w:p>
        </w:tc>
        <w:tc>
          <w:tcPr>
            <w:tcW w:w="1784" w:type="dxa"/>
            <w:vAlign w:val="center"/>
          </w:tcPr>
          <w:p w14:paraId="122E35A8" w14:textId="77777777" w:rsidR="00C461E2" w:rsidRDefault="00C461E2" w:rsidP="00567589">
            <w:pPr>
              <w:pStyle w:val="FSTableText"/>
              <w:spacing w:before="120" w:after="120"/>
              <w:jc w:val="center"/>
            </w:pPr>
            <w:r>
              <w:t>0/6</w:t>
            </w:r>
          </w:p>
        </w:tc>
        <w:tc>
          <w:tcPr>
            <w:tcW w:w="1786" w:type="dxa"/>
            <w:vAlign w:val="center"/>
          </w:tcPr>
          <w:p w14:paraId="11CD269B" w14:textId="77777777" w:rsidR="00C461E2" w:rsidRDefault="00C461E2" w:rsidP="00567589">
            <w:pPr>
              <w:pStyle w:val="FSTableText"/>
              <w:spacing w:before="120" w:after="120"/>
              <w:jc w:val="center"/>
            </w:pPr>
            <w:r>
              <w:t>0/4</w:t>
            </w:r>
          </w:p>
        </w:tc>
        <w:tc>
          <w:tcPr>
            <w:tcW w:w="1786" w:type="dxa"/>
            <w:vAlign w:val="center"/>
          </w:tcPr>
          <w:p w14:paraId="064EC11C" w14:textId="77777777" w:rsidR="00C461E2" w:rsidRDefault="00C461E2" w:rsidP="00567589">
            <w:pPr>
              <w:pStyle w:val="FSTableText"/>
              <w:spacing w:before="120" w:after="120"/>
              <w:jc w:val="center"/>
            </w:pPr>
            <w:r>
              <w:t>0/5</w:t>
            </w:r>
          </w:p>
        </w:tc>
        <w:tc>
          <w:tcPr>
            <w:tcW w:w="1788" w:type="dxa"/>
            <w:vAlign w:val="center"/>
          </w:tcPr>
          <w:p w14:paraId="1652F683" w14:textId="77777777" w:rsidR="00C461E2" w:rsidRDefault="00C461E2" w:rsidP="00567589">
            <w:pPr>
              <w:pStyle w:val="FSTableText"/>
              <w:spacing w:before="120" w:after="120"/>
              <w:jc w:val="center"/>
            </w:pPr>
            <w:r>
              <w:t>1/6</w:t>
            </w:r>
          </w:p>
        </w:tc>
      </w:tr>
    </w:tbl>
    <w:p w14:paraId="4621F872" w14:textId="77777777" w:rsidR="00CD0AAD" w:rsidRPr="00A85B0D" w:rsidRDefault="00CD0AAD" w:rsidP="00CD0AAD">
      <w:r>
        <w:t xml:space="preserve">Because the majority of control animals and animals at all doses had variable, minimal to mild, focal acute inflammation within the keratinized portion of the nonglandular stomach and variable thickness of the keratinized portion, the increased magnitude of inflammation and/or erosion in a small number of animals at the high dose was not considered to be clearly treatment related. The study authors noted that erosion/ulceration and hyperkeratosis of the nonglandular portion of the stomach are commonly observed in swine and are thought to be related to diet, gastric acidity and/or presence of commensal bacteria. In addition, erosions and/or inflammation of the nonglandular stomach have been documented in historical control data for piglets </w:t>
      </w:r>
      <w:r w:rsidRPr="00A85B0D">
        <w:t xml:space="preserve">of the same age at the test facility (Mahadevan et al. 2014). No other microscopic changes were observed. </w:t>
      </w:r>
    </w:p>
    <w:p w14:paraId="11319FD3" w14:textId="77777777" w:rsidR="00CD0AAD" w:rsidRPr="00A85B0D" w:rsidRDefault="00CD0AAD" w:rsidP="00CD0AAD">
      <w:r w:rsidRPr="00A85B0D">
        <w:t>It was concluded that dietary exposure to 2′-FL at concentrations up to 2000 mg/L was well tolerated by neonatal farm piglets and did not result in adverse health effects or impact piglet growth and development. The NOAEL for 2′-FL in this study was 2000 mg/L, equivalent to 292 mg/kg bw/day in males and 299 mg/kg bw/day in females.</w:t>
      </w:r>
    </w:p>
    <w:p w14:paraId="37CD18A7" w14:textId="19744ACF" w:rsidR="00CD0AAD" w:rsidRPr="00A85B0D" w:rsidRDefault="00B650A9" w:rsidP="00793DAD">
      <w:pPr>
        <w:pStyle w:val="Heading4"/>
      </w:pPr>
      <w:r>
        <w:lastRenderedPageBreak/>
        <w:t>Short-term</w:t>
      </w:r>
      <w:r w:rsidR="00793DAD" w:rsidRPr="00A85B0D">
        <w:t xml:space="preserve"> toxicity studies</w:t>
      </w:r>
      <w:r w:rsidR="00793DAD">
        <w:t xml:space="preserve"> </w:t>
      </w:r>
      <w:r w:rsidR="00793DAD" w:rsidRPr="00A85B0D">
        <w:t xml:space="preserve">conducted with </w:t>
      </w:r>
      <w:r w:rsidR="00CD0AAD" w:rsidRPr="00A85B0D">
        <w:t xml:space="preserve">other </w:t>
      </w:r>
      <w:r w:rsidR="00F25E51">
        <w:t>2′-</w:t>
      </w:r>
      <w:r w:rsidR="00CD0AAD" w:rsidRPr="00A85B0D">
        <w:t>FL preparations</w:t>
      </w:r>
    </w:p>
    <w:p w14:paraId="78A67DCF" w14:textId="697C3259" w:rsidR="00B650A9" w:rsidRDefault="00B650A9" w:rsidP="00500BA9">
      <w:pPr>
        <w:pStyle w:val="Heading5"/>
        <w:ind w:left="0" w:firstLine="0"/>
      </w:pPr>
      <w:r>
        <w:t xml:space="preserve">90-day oral toxicity study with a mixture of Glycom’s </w:t>
      </w:r>
      <w:r w:rsidR="00F25E51">
        <w:t>2′-</w:t>
      </w:r>
      <w:r>
        <w:t>FL and lacto-N-fucopentaose I in neonatal rats (Phipps et al. 2020) Regulatory status: GLP; conducted in complianc</w:t>
      </w:r>
      <w:r w:rsidR="00156BFB">
        <w:t xml:space="preserve">e with OECD Test Guideline (TG) </w:t>
      </w:r>
      <w:r>
        <w:t>408 (2018)</w:t>
      </w:r>
    </w:p>
    <w:p w14:paraId="138CF8A3" w14:textId="17AA8197" w:rsidR="00B650A9" w:rsidRDefault="00D563F1" w:rsidP="006F187C">
      <w:pPr>
        <w:rPr>
          <w:lang w:bidi="ar-SA"/>
        </w:rPr>
      </w:pPr>
      <w:r w:rsidRPr="00D563F1">
        <w:rPr>
          <w:lang w:bidi="ar-SA"/>
        </w:rPr>
        <w:t xml:space="preserve">The test item in this study was a mixture of lacto-N-fucopentaose I (LNFP-I; 59.4% w/w), </w:t>
      </w:r>
      <w:r w:rsidR="00FD1A13">
        <w:rPr>
          <w:lang w:bidi="ar-SA"/>
        </w:rPr>
        <w:t>2′-FL</w:t>
      </w:r>
      <w:r w:rsidRPr="00D563F1">
        <w:rPr>
          <w:lang w:bidi="ar-SA"/>
        </w:rPr>
        <w:t xml:space="preserve"> (31.5% w/w) and other </w:t>
      </w:r>
      <w:r w:rsidR="00156BFB">
        <w:rPr>
          <w:lang w:bidi="ar-SA"/>
        </w:rPr>
        <w:t>oligosaccharides</w:t>
      </w:r>
      <w:r w:rsidRPr="00D563F1">
        <w:rPr>
          <w:lang w:bidi="ar-SA"/>
        </w:rPr>
        <w:t xml:space="preserve"> (4.6% w/w), produced through microbial fermentation.</w:t>
      </w:r>
      <w:r w:rsidR="00FB484E">
        <w:rPr>
          <w:lang w:bidi="ar-SA"/>
        </w:rPr>
        <w:t xml:space="preserve"> The total LNFP-I/2′-FL content (excluding the other oligosaccharides) was 91.0% w/w.</w:t>
      </w:r>
      <w:r w:rsidRPr="00D563F1">
        <w:rPr>
          <w:lang w:bidi="ar-SA"/>
        </w:rPr>
        <w:t xml:space="preserve"> </w:t>
      </w:r>
      <w:r w:rsidR="001A3064">
        <w:rPr>
          <w:lang w:bidi="ar-SA"/>
        </w:rPr>
        <w:t>Water was used as the vehicle control. Neonatal Sprague-Dawley rats (10/se</w:t>
      </w:r>
      <w:r w:rsidR="00F4648A">
        <w:rPr>
          <w:lang w:bidi="ar-SA"/>
        </w:rPr>
        <w:t>x/group) were administered 0, 1100, 3330</w:t>
      </w:r>
      <w:r w:rsidR="001A3064">
        <w:rPr>
          <w:lang w:bidi="ar-SA"/>
        </w:rPr>
        <w:t xml:space="preserve"> or 5</w:t>
      </w:r>
      <w:r w:rsidR="00F4648A">
        <w:rPr>
          <w:lang w:bidi="ar-SA"/>
        </w:rPr>
        <w:t>55</w:t>
      </w:r>
      <w:r w:rsidR="001A3064">
        <w:rPr>
          <w:lang w:bidi="ar-SA"/>
        </w:rPr>
        <w:t>0 mg/kg bw/day LNFP-I/</w:t>
      </w:r>
      <w:r w:rsidR="00F25E51">
        <w:rPr>
          <w:lang w:bidi="ar-SA"/>
        </w:rPr>
        <w:t>2′-</w:t>
      </w:r>
      <w:r w:rsidR="001A3064">
        <w:rPr>
          <w:lang w:bidi="ar-SA"/>
        </w:rPr>
        <w:t>FL</w:t>
      </w:r>
      <w:r w:rsidR="00F4648A">
        <w:rPr>
          <w:lang w:bidi="ar-SA"/>
        </w:rPr>
        <w:t xml:space="preserve"> mixture</w:t>
      </w:r>
      <w:r w:rsidR="001A3064">
        <w:rPr>
          <w:lang w:bidi="ar-SA"/>
        </w:rPr>
        <w:t xml:space="preserve"> by oral gavage from postnatal day (PND) 7 for 90 days</w:t>
      </w:r>
      <w:r w:rsidR="00F4648A">
        <w:rPr>
          <w:lang w:bidi="ar-SA"/>
        </w:rPr>
        <w:t>, equal to 0, 1000, 3000 or 5000 mg/kg bw/day LNFP-I/</w:t>
      </w:r>
      <w:r w:rsidR="00F25E51">
        <w:rPr>
          <w:lang w:bidi="ar-SA"/>
        </w:rPr>
        <w:t>2′-</w:t>
      </w:r>
      <w:r w:rsidR="00F4648A">
        <w:rPr>
          <w:lang w:bidi="ar-SA"/>
        </w:rPr>
        <w:t>FL, respectively</w:t>
      </w:r>
      <w:r w:rsidR="001A3064">
        <w:rPr>
          <w:lang w:bidi="ar-SA"/>
        </w:rPr>
        <w:t>. An additional refe</w:t>
      </w:r>
      <w:r w:rsidR="00690E85">
        <w:rPr>
          <w:lang w:bidi="ar-SA"/>
        </w:rPr>
        <w:t xml:space="preserve">rence control group was administered 5000 mg/kg bw/day oligofructose (FOS) for 90 days. An additional 5 rats/sex/group in the vehicle control, high dose and FOS groups were also dosed for 90 days then retained undosed for a 4-week recovery period. </w:t>
      </w:r>
      <w:r w:rsidR="00E87F62">
        <w:rPr>
          <w:lang w:bidi="ar-SA"/>
        </w:rPr>
        <w:t>Clinical signs were monitored twice daily and detailed physical examinations were performed daily from PND 7 – 20 and weekly from PND 21 onwards. Ophthalmoscopy was performed on all animals in the vehicle control, FOS and high dose LNFP-I/</w:t>
      </w:r>
      <w:r w:rsidR="00F25E51">
        <w:rPr>
          <w:lang w:bidi="ar-SA"/>
        </w:rPr>
        <w:t>2′-</w:t>
      </w:r>
      <w:r w:rsidR="00E87F62">
        <w:rPr>
          <w:lang w:bidi="ar-SA"/>
        </w:rPr>
        <w:t xml:space="preserve">FL groups during the last week of dosing. Body weights were recorded daily for the first two weeks of dosing and twice weekly thereafter. Food consumption was recorded twice weekly from weaning on PND 21. Animals were monitored for timing of sexual maturation (balano-preputial separation for males and vaginal opening for females), eye opening and air righting reflex. Ulna length was measured fortnightly from PND 14 (Day 8 of dosing). Wet vaginal smears were collected from all females at necropsy to determine the stage of estrus. </w:t>
      </w:r>
      <w:r w:rsidR="006F187C">
        <w:rPr>
          <w:lang w:bidi="ar-SA"/>
        </w:rPr>
        <w:t>A</w:t>
      </w:r>
      <w:r w:rsidR="00E87F62">
        <w:rPr>
          <w:lang w:bidi="ar-SA"/>
        </w:rPr>
        <w:t xml:space="preserve"> functional observational battery test </w:t>
      </w:r>
      <w:r w:rsidR="006F187C">
        <w:rPr>
          <w:lang w:bidi="ar-SA"/>
        </w:rPr>
        <w:t xml:space="preserve">was conducted </w:t>
      </w:r>
      <w:r w:rsidR="00E87F62">
        <w:rPr>
          <w:lang w:bidi="ar-SA"/>
        </w:rPr>
        <w:t>on all animals during Week 11 of dosing and</w:t>
      </w:r>
      <w:r w:rsidR="006F187C">
        <w:rPr>
          <w:lang w:bidi="ar-SA"/>
        </w:rPr>
        <w:t xml:space="preserve"> </w:t>
      </w:r>
      <w:r w:rsidR="00E87F62">
        <w:rPr>
          <w:lang w:bidi="ar-SA"/>
        </w:rPr>
        <w:t xml:space="preserve">spatial learning and memory </w:t>
      </w:r>
      <w:r w:rsidR="006F187C">
        <w:rPr>
          <w:lang w:bidi="ar-SA"/>
        </w:rPr>
        <w:t xml:space="preserve">was assessed </w:t>
      </w:r>
      <w:r w:rsidR="00E87F62">
        <w:rPr>
          <w:lang w:bidi="ar-SA"/>
        </w:rPr>
        <w:t>using the Morris water maze during Week 12</w:t>
      </w:r>
      <w:r w:rsidR="006F187C">
        <w:rPr>
          <w:lang w:bidi="ar-SA"/>
        </w:rPr>
        <w:t>. Auditory and visual function (startle response and pupil</w:t>
      </w:r>
      <w:r w:rsidR="00303327">
        <w:rPr>
          <w:lang w:bidi="ar-SA"/>
        </w:rPr>
        <w:t xml:space="preserve"> </w:t>
      </w:r>
      <w:r w:rsidR="006F187C">
        <w:rPr>
          <w:lang w:bidi="ar-SA"/>
        </w:rPr>
        <w:t xml:space="preserve">closure response, respectively) were examined on PND 20 (Day 16 of dosing). Blood and urine samples were collected from fasted main study animals for haematology, coagulation, clinical chemistry, thyroid hormone and urinalysis parameters just prior to scheduled necropsy. Additional blood and urine samples were collected from recovery animals prior to necropsy for clinical chemistry and urinalysis. Animals were killed on the day after receiving the final dose (PND 98) or at the end of the recovery period (PND 126) and subjected to a full macroscopic necropsy including measurement of organ weights. </w:t>
      </w:r>
      <w:r w:rsidR="005C1AA5">
        <w:rPr>
          <w:lang w:bidi="ar-SA"/>
        </w:rPr>
        <w:t xml:space="preserve">Organs and tissues </w:t>
      </w:r>
      <w:r w:rsidR="006F187C">
        <w:rPr>
          <w:lang w:bidi="ar-SA"/>
        </w:rPr>
        <w:t>were collected from all animals and a histopathological examination was performed on those from the vehicle control and 5000 mg/kg bw/day LNFP-I/</w:t>
      </w:r>
      <w:r w:rsidR="00F25E51">
        <w:rPr>
          <w:lang w:bidi="ar-SA"/>
        </w:rPr>
        <w:t>2′-</w:t>
      </w:r>
      <w:r w:rsidR="006F187C">
        <w:rPr>
          <w:lang w:bidi="ar-SA"/>
        </w:rPr>
        <w:t>FL groups</w:t>
      </w:r>
      <w:r w:rsidR="00120ED4">
        <w:rPr>
          <w:lang w:bidi="ar-SA"/>
        </w:rPr>
        <w:t xml:space="preserve"> as well as any early decedents</w:t>
      </w:r>
      <w:r w:rsidR="006F187C">
        <w:rPr>
          <w:lang w:bidi="ar-SA"/>
        </w:rPr>
        <w:t>.</w:t>
      </w:r>
    </w:p>
    <w:p w14:paraId="41C406CF" w14:textId="7F14C940" w:rsidR="006F187C" w:rsidRDefault="005B004F" w:rsidP="00C14BBC">
      <w:r>
        <w:rPr>
          <w:lang w:bidi="ar-SA"/>
        </w:rPr>
        <w:t xml:space="preserve">Nine animals died or were killed due to body weight loss or poor clinical condition between days 7 – 15 of dosing. One of these deaths (high-dose male) was attributed to a dosing error. The cause of death could not be determined for the remaining eight animals, as there were no macroscopic or microscopic changes at necropsy. As five of these </w:t>
      </w:r>
      <w:r w:rsidR="0092581C">
        <w:rPr>
          <w:lang w:bidi="ar-SA"/>
        </w:rPr>
        <w:t>deaths</w:t>
      </w:r>
      <w:r>
        <w:rPr>
          <w:lang w:bidi="ar-SA"/>
        </w:rPr>
        <w:t xml:space="preserve"> were in the FOS group, two were in the mid-dose group and one was in the high-dose group</w:t>
      </w:r>
      <w:r w:rsidR="0092581C">
        <w:rPr>
          <w:lang w:bidi="ar-SA"/>
        </w:rPr>
        <w:t xml:space="preserve"> they were considered unrelated to administration of LNFP-I/</w:t>
      </w:r>
      <w:r w:rsidR="00F25E51">
        <w:rPr>
          <w:lang w:bidi="ar-SA"/>
        </w:rPr>
        <w:t>2′-</w:t>
      </w:r>
      <w:r w:rsidR="0092581C">
        <w:rPr>
          <w:lang w:bidi="ar-SA"/>
        </w:rPr>
        <w:t xml:space="preserve">FL. </w:t>
      </w:r>
      <w:r w:rsidR="000C40CE">
        <w:rPr>
          <w:lang w:bidi="ar-SA"/>
        </w:rPr>
        <w:t>No test item</w:t>
      </w:r>
      <w:r w:rsidR="000C40CE">
        <w:t xml:space="preserve">-related clinical signs or opthalmoscopic findings were observed during the study. Mean body weights and food consumption were similar in all groups. No treatment-related differences in the age or body weight at which animals attained sexual maturation, surface and air-righting reflexes were reported. No treatment related differences in the pupil reflex and startle </w:t>
      </w:r>
      <w:r w:rsidR="00E63172">
        <w:t>response</w:t>
      </w:r>
      <w:r w:rsidR="000C40CE">
        <w:t xml:space="preserve"> tests or mean ulna growth were observed between LNFP-I/</w:t>
      </w:r>
      <w:r w:rsidR="00F25E51">
        <w:t>2′-</w:t>
      </w:r>
      <w:r w:rsidR="000C40CE">
        <w:t xml:space="preserve">FL groups </w:t>
      </w:r>
      <w:r w:rsidR="000C40CE">
        <w:lastRenderedPageBreak/>
        <w:t>and vehicle controls. No treatment-related effects on neurobehavioural observations were observed</w:t>
      </w:r>
      <w:r w:rsidR="00F4648A">
        <w:t xml:space="preserve"> in the functional observational battery and Morris maze tests</w:t>
      </w:r>
      <w:r w:rsidR="000C40CE">
        <w:t xml:space="preserve">. Estrus cycles were unaffected by treatment with the test item. No treatment-related changes in haematology, coagulation, clinical chemistry and urinalysis parameters and organ weights (relative to body weight) were observed. </w:t>
      </w:r>
      <w:r w:rsidR="00F4560E">
        <w:t>While a</w:t>
      </w:r>
      <w:r w:rsidR="000C40CE">
        <w:t xml:space="preserve"> number of statistically significant changes were observed in these parameters </w:t>
      </w:r>
      <w:r w:rsidR="00F4560E">
        <w:t>they</w:t>
      </w:r>
      <w:r w:rsidR="000C40CE">
        <w:t xml:space="preserve"> were not associated with a dose-response and were generally within historical control ranges for the test facility.</w:t>
      </w:r>
      <w:r w:rsidR="00C14BBC">
        <w:t xml:space="preserve"> Increases in T3 relative to vehicle controls were observed for high-dose males and females, but there was no clear dose-response in either sex, values were similar to those of the respective FOS-treated animals and there were no associated changes in T4 or TSH levels, cholesterol measures, or pathological changes in thyroid tissues. The study authors noted that a high carbohydrate intake has been associated with higher T3 levels</w:t>
      </w:r>
      <w:r w:rsidR="004E0899">
        <w:t xml:space="preserve"> in humans (</w:t>
      </w:r>
      <w:r w:rsidR="004E0899" w:rsidRPr="005A7CCD">
        <w:t>Danforth et al. 1979; Kopp 2004</w:t>
      </w:r>
      <w:r w:rsidR="004E0899">
        <w:t>)</w:t>
      </w:r>
      <w:r w:rsidR="00C14BBC">
        <w:t xml:space="preserve"> and suggested that the high </w:t>
      </w:r>
      <w:r w:rsidR="008968D3">
        <w:t>oligosaccharide</w:t>
      </w:r>
      <w:r w:rsidR="00C14BBC">
        <w:t xml:space="preserve"> intake could have caused the changes in T3 levels, or alternatively they could have been incidental changes. Regardless, the increase in T3 was not considered to be an adverse effect. No adverse macroscopic or microscopic changes in organs and tissues were observed. </w:t>
      </w:r>
    </w:p>
    <w:p w14:paraId="594A1169" w14:textId="53A868C3" w:rsidR="00F4648A" w:rsidRPr="00B650A9" w:rsidRDefault="00F4648A" w:rsidP="00C14BBC">
      <w:pPr>
        <w:rPr>
          <w:lang w:bidi="ar-SA"/>
        </w:rPr>
      </w:pPr>
      <w:r>
        <w:t>The NOAEL of LNFP-I/</w:t>
      </w:r>
      <w:r w:rsidR="00F25E51">
        <w:t>2′-</w:t>
      </w:r>
      <w:r>
        <w:t>FL in this study was 5000 mg/kg bw/day,</w:t>
      </w:r>
      <w:r w:rsidR="00810618">
        <w:t xml:space="preserve"> equal to </w:t>
      </w:r>
      <w:r w:rsidR="004E0899">
        <w:t xml:space="preserve">1730 mg/kg bw/day </w:t>
      </w:r>
      <w:r w:rsidR="00F25E51">
        <w:t>2′-</w:t>
      </w:r>
      <w:r w:rsidR="004E0899">
        <w:t>FL,</w:t>
      </w:r>
      <w:r>
        <w:t xml:space="preserve"> the highest dose tested. </w:t>
      </w:r>
    </w:p>
    <w:p w14:paraId="40FBD1F0" w14:textId="6AF5EB6E" w:rsidR="005547C6" w:rsidRDefault="00156BFB" w:rsidP="00252417">
      <w:pPr>
        <w:pStyle w:val="Heading5"/>
        <w:ind w:left="0" w:firstLine="0"/>
      </w:pPr>
      <w:r>
        <w:t>Three</w:t>
      </w:r>
      <w:r w:rsidR="005547C6">
        <w:t xml:space="preserve">-week study with the applicant’s </w:t>
      </w:r>
      <w:r w:rsidR="00BA79B6">
        <w:t>2′-FL</w:t>
      </w:r>
      <w:r w:rsidR="005547C6" w:rsidRPr="00BA79B6">
        <w:rPr>
          <w:vertAlign w:val="subscript"/>
        </w:rPr>
        <w:t>micro</w:t>
      </w:r>
      <w:r w:rsidR="005547C6">
        <w:t xml:space="preserve"> </w:t>
      </w:r>
      <w:r w:rsidR="00BA79B6">
        <w:t xml:space="preserve">in combination with four </w:t>
      </w:r>
      <w:r w:rsidR="005547C6">
        <w:t xml:space="preserve">other </w:t>
      </w:r>
      <w:r w:rsidR="008968D3">
        <w:t>oligosaccharides</w:t>
      </w:r>
      <w:r w:rsidR="005547C6">
        <w:t xml:space="preserve"> in neonatal piglets (Hanlon 2020) Regulatory status: GLP</w:t>
      </w:r>
    </w:p>
    <w:p w14:paraId="7252D5E2" w14:textId="2099E1F5" w:rsidR="00E813AD" w:rsidRDefault="00BA79B6" w:rsidP="00BA79B6">
      <w:pPr>
        <w:rPr>
          <w:lang w:bidi="ar-SA"/>
        </w:rPr>
      </w:pPr>
      <w:r w:rsidRPr="00D563F1">
        <w:rPr>
          <w:lang w:bidi="ar-SA"/>
        </w:rPr>
        <w:t>The test item in this study was a mixture of</w:t>
      </w:r>
      <w:r>
        <w:rPr>
          <w:lang w:bidi="ar-SA"/>
        </w:rPr>
        <w:t xml:space="preserve"> five </w:t>
      </w:r>
      <w:r w:rsidR="008968D3">
        <w:rPr>
          <w:lang w:bidi="ar-SA"/>
        </w:rPr>
        <w:t>oligosaccharides</w:t>
      </w:r>
      <w:r>
        <w:rPr>
          <w:lang w:bidi="ar-SA"/>
        </w:rPr>
        <w:t xml:space="preserve"> produced by fermentation by the applicant. The test substance was</w:t>
      </w:r>
      <w:r w:rsidR="00C84C3B">
        <w:rPr>
          <w:lang w:bidi="ar-SA"/>
        </w:rPr>
        <w:t xml:space="preserve"> </w:t>
      </w:r>
      <w:r>
        <w:rPr>
          <w:lang w:bidi="ar-SA"/>
        </w:rPr>
        <w:t>a dry powder blend of 2′-FL (49.1% dry weight), 3-fucosyllactose (3-FL; 10.4%), lacto-N-tetraose (LNT; 19.9%), 3</w:t>
      </w:r>
      <w:r w:rsidR="00C84C3B">
        <w:t>′</w:t>
      </w:r>
      <w:r>
        <w:rPr>
          <w:lang w:bidi="ar-SA"/>
        </w:rPr>
        <w:t>-sialyllactose (3′-SL; 3.5%), 6</w:t>
      </w:r>
      <w:r>
        <w:t>′</w:t>
      </w:r>
      <w:r>
        <w:rPr>
          <w:lang w:bidi="ar-SA"/>
        </w:rPr>
        <w:t>-sialyllactose (6′-SL; 87.2%) and other carbohydrates.</w:t>
      </w:r>
      <w:r w:rsidR="00D5132B">
        <w:rPr>
          <w:lang w:bidi="ar-SA"/>
        </w:rPr>
        <w:t xml:space="preserve"> </w:t>
      </w:r>
      <w:r w:rsidR="008753A7">
        <w:rPr>
          <w:lang w:bidi="ar-SA"/>
        </w:rPr>
        <w:t>Groups of piglets (6/sex/group) were fed milk replacer containing 0, 5.75 or 8.0 g/L test item</w:t>
      </w:r>
      <w:r w:rsidR="002D6E8D">
        <w:rPr>
          <w:lang w:bidi="ar-SA"/>
        </w:rPr>
        <w:t>, equal to 0, 2556 or 3574 mg/kg bw/day in males and 0, 2604 or 3660 mg/kg bw in females,</w:t>
      </w:r>
      <w:r w:rsidR="008753A7">
        <w:rPr>
          <w:lang w:bidi="ar-SA"/>
        </w:rPr>
        <w:t xml:space="preserve"> six times per day for 21 days. Cage side observations were conducted twice daily and detailed clinical observations were performed twice weekly. Body weights and food consumption were monitored daily. Blood samples were collected on study days 7 and 21 for haematology, coagulation and clinical chemistry analysis, and urinalysis was conducted on study day 22. At necropsy tissues were examined macroscopically, organ weights recorded and a range of tissues were collected for histopathological examination. </w:t>
      </w:r>
    </w:p>
    <w:p w14:paraId="7077E359" w14:textId="281AC51A" w:rsidR="008753A7" w:rsidRPr="00B650A9" w:rsidRDefault="004130CB" w:rsidP="00BA79B6">
      <w:pPr>
        <w:rPr>
          <w:lang w:bidi="ar-SA"/>
        </w:rPr>
      </w:pPr>
      <w:r>
        <w:rPr>
          <w:lang w:bidi="ar-SA"/>
        </w:rPr>
        <w:t>One male piglet in the 8.0 g/L group was killed for human</w:t>
      </w:r>
      <w:r w:rsidR="00730BF1">
        <w:rPr>
          <w:lang w:bidi="ar-SA"/>
        </w:rPr>
        <w:t>e</w:t>
      </w:r>
      <w:r>
        <w:rPr>
          <w:lang w:bidi="ar-SA"/>
        </w:rPr>
        <w:t xml:space="preserve"> reasons on study day 7. All other animals survived until the end of the study period and there were no significant differences in body weight or food consumption between the control and treatment groups. Clinical observations of the animal that was killed included yellow discoloured faeces, thin body condition, unkempt appearance, generalised muscle wasting and lateral recumbency.</w:t>
      </w:r>
      <w:r w:rsidR="00730BF1">
        <w:rPr>
          <w:lang w:bidi="ar-SA"/>
        </w:rPr>
        <w:t xml:space="preserve"> Other animals in all three groups also exhibited yellow discoloured faeces which resolved following treatment with an antibiotic. </w:t>
      </w:r>
      <w:r>
        <w:rPr>
          <w:lang w:bidi="ar-SA"/>
        </w:rPr>
        <w:t xml:space="preserve">Clinical chemistry and microscopic analysis of </w:t>
      </w:r>
      <w:r w:rsidR="00730BF1">
        <w:rPr>
          <w:lang w:bidi="ar-SA"/>
        </w:rPr>
        <w:t>the</w:t>
      </w:r>
      <w:r>
        <w:rPr>
          <w:lang w:bidi="ar-SA"/>
        </w:rPr>
        <w:t xml:space="preserve"> animal </w:t>
      </w:r>
      <w:r w:rsidR="00730BF1">
        <w:rPr>
          <w:lang w:bidi="ar-SA"/>
        </w:rPr>
        <w:t xml:space="preserve">that was killed </w:t>
      </w:r>
      <w:r>
        <w:rPr>
          <w:lang w:bidi="ar-SA"/>
        </w:rPr>
        <w:t xml:space="preserve">showed a number of findings that were not seen in any other piglets in any of the control or treatment groups. A faecal culture from </w:t>
      </w:r>
      <w:r w:rsidR="00730BF1">
        <w:rPr>
          <w:lang w:bidi="ar-SA"/>
        </w:rPr>
        <w:t>this</w:t>
      </w:r>
      <w:r>
        <w:rPr>
          <w:lang w:bidi="ar-SA"/>
        </w:rPr>
        <w:t xml:space="preserve"> animal found the presence of </w:t>
      </w:r>
      <w:r w:rsidRPr="004130CB">
        <w:rPr>
          <w:i/>
          <w:lang w:bidi="ar-SA"/>
        </w:rPr>
        <w:t>E. coli</w:t>
      </w:r>
      <w:r>
        <w:rPr>
          <w:lang w:bidi="ar-SA"/>
        </w:rPr>
        <w:t xml:space="preserve">, and it was concluded that the decreased physical condition that led to </w:t>
      </w:r>
      <w:r w:rsidR="00F4560E">
        <w:rPr>
          <w:lang w:bidi="ar-SA"/>
        </w:rPr>
        <w:t xml:space="preserve">killing of the animal </w:t>
      </w:r>
      <w:r>
        <w:rPr>
          <w:lang w:bidi="ar-SA"/>
        </w:rPr>
        <w:t xml:space="preserve">was due to a bacterial infection that was likely obtained at the farm prior to study enrolment. </w:t>
      </w:r>
    </w:p>
    <w:p w14:paraId="595F4561" w14:textId="74E22308" w:rsidR="00730BF1" w:rsidRDefault="00730BF1" w:rsidP="00BA79B6">
      <w:pPr>
        <w:rPr>
          <w:lang w:bidi="ar-SA"/>
        </w:rPr>
      </w:pPr>
      <w:r>
        <w:rPr>
          <w:lang w:bidi="ar-SA"/>
        </w:rPr>
        <w:t xml:space="preserve">No treatment related changes in haematology, coagulation, clinical chemistry, or urinalysis parambers were observed. There were no treatment-related changes in </w:t>
      </w:r>
      <w:r>
        <w:rPr>
          <w:lang w:bidi="ar-SA"/>
        </w:rPr>
        <w:lastRenderedPageBreak/>
        <w:t xml:space="preserve">organ weights, except for increased large intestine (caecum and colon) weights in males given 8.0 g/L test item which </w:t>
      </w:r>
      <w:r w:rsidR="001C3ECA">
        <w:rPr>
          <w:lang w:bidi="ar-SA"/>
        </w:rPr>
        <w:t>were</w:t>
      </w:r>
      <w:r>
        <w:rPr>
          <w:lang w:bidi="ar-SA"/>
        </w:rPr>
        <w:t xml:space="preserve"> considered an adaptive response to the oligosaccharides present in the diet. </w:t>
      </w:r>
      <w:r w:rsidR="00C84C3B">
        <w:rPr>
          <w:lang w:bidi="ar-SA"/>
        </w:rPr>
        <w:t xml:space="preserve">No treatment related macroscopic or microscopic changes in organs or tissues were observed. </w:t>
      </w:r>
    </w:p>
    <w:p w14:paraId="019FDDE4" w14:textId="0FD89E5D" w:rsidR="00C84C3B" w:rsidRPr="00B650A9" w:rsidRDefault="00C84C3B" w:rsidP="00C84C3B">
      <w:pPr>
        <w:rPr>
          <w:lang w:bidi="ar-SA"/>
        </w:rPr>
      </w:pPr>
      <w:r>
        <w:rPr>
          <w:lang w:bidi="ar-SA"/>
        </w:rPr>
        <w:t>The NOAEL for the test item in this study was 8.0 g/L in the diet</w:t>
      </w:r>
      <w:r w:rsidR="001C3ECA">
        <w:rPr>
          <w:lang w:bidi="ar-SA"/>
        </w:rPr>
        <w:t xml:space="preserve"> (</w:t>
      </w:r>
      <w:r w:rsidR="001C3ECA">
        <w:rPr>
          <w:rFonts w:cs="Arial"/>
          <w:lang w:bidi="ar-SA"/>
        </w:rPr>
        <w:t>~</w:t>
      </w:r>
      <w:r w:rsidR="001C3ECA">
        <w:rPr>
          <w:lang w:bidi="ar-SA"/>
        </w:rPr>
        <w:t>4 g/L 2</w:t>
      </w:r>
      <w:r w:rsidR="001C3ECA">
        <w:t>′-FL)</w:t>
      </w:r>
      <w:r>
        <w:rPr>
          <w:lang w:bidi="ar-SA"/>
        </w:rPr>
        <w:t>, equal to 3574 mg/kg bw/day</w:t>
      </w:r>
      <w:r w:rsidR="006421E7">
        <w:rPr>
          <w:lang w:bidi="ar-SA"/>
        </w:rPr>
        <w:t xml:space="preserve"> </w:t>
      </w:r>
      <w:r>
        <w:rPr>
          <w:lang w:bidi="ar-SA"/>
        </w:rPr>
        <w:t xml:space="preserve">for males (1755 mg/kg 2′-FL) and 3660 mg/kg bw/day for females (1797 mg/kg bw/day 2′-FL), the highest concentration tested. </w:t>
      </w:r>
    </w:p>
    <w:p w14:paraId="6152C822" w14:textId="288708FB" w:rsidR="00CD0AAD" w:rsidRDefault="00CD0AAD" w:rsidP="00793DAD">
      <w:pPr>
        <w:pStyle w:val="Heading4"/>
        <w:ind w:left="0" w:firstLine="0"/>
      </w:pPr>
      <w:r>
        <w:t xml:space="preserve">Genotoxicity studies conducted with the applicant’s </w:t>
      </w:r>
      <w:r w:rsidR="00F25E51">
        <w:t>2′-</w:t>
      </w:r>
      <w:r>
        <w:t>FL</w:t>
      </w:r>
      <w:r w:rsidRPr="00276E54">
        <w:rPr>
          <w:vertAlign w:val="subscript"/>
        </w:rPr>
        <w:t>micro</w:t>
      </w:r>
    </w:p>
    <w:p w14:paraId="14B1E53F" w14:textId="648282E4" w:rsidR="00C461E2" w:rsidRDefault="00CD0AAD" w:rsidP="00801BF1">
      <w:pPr>
        <w:pStyle w:val="Heading5"/>
        <w:ind w:left="0" w:firstLine="0"/>
      </w:pPr>
      <w:r>
        <w:t xml:space="preserve">In vitro micronucleus assay with human lymphocytes </w:t>
      </w:r>
      <w:r w:rsidR="00120ED4">
        <w:t>(</w:t>
      </w:r>
      <w:r w:rsidR="002D0910">
        <w:t>FDA</w:t>
      </w:r>
      <w:r w:rsidR="00C2766D">
        <w:t xml:space="preserve"> 2020)</w:t>
      </w:r>
      <w:r w:rsidR="00120ED4">
        <w:t xml:space="preserve"> </w:t>
      </w:r>
      <w:r>
        <w:t>Regulatory status: GLP; conducted in compliance with OECD TG 487 (2014)</w:t>
      </w:r>
    </w:p>
    <w:p w14:paraId="5AFDF208" w14:textId="1F41BDBF" w:rsidR="00CD0AAD" w:rsidRDefault="00CD0AAD" w:rsidP="00CD0AAD">
      <w:pPr>
        <w:rPr>
          <w:lang w:bidi="ar-SA"/>
        </w:rPr>
      </w:pPr>
      <w:r w:rsidRPr="00155CE7">
        <w:rPr>
          <w:lang w:bidi="ar-SA"/>
        </w:rPr>
        <w:t>The test item in this study had a purity of 94.1% (Batch no. 2</w:t>
      </w:r>
      <w:r>
        <w:rPr>
          <w:lang w:bidi="ar-SA"/>
        </w:rPr>
        <w:t xml:space="preserve">FL-2013-43-2632) and the vehicle control was dimethylsulfoxide (DMSO). </w:t>
      </w:r>
      <w:r w:rsidRPr="00155CE7">
        <w:rPr>
          <w:lang w:bidi="ar-SA"/>
        </w:rPr>
        <w:t xml:space="preserve">The assay was conducted using cultured </w:t>
      </w:r>
      <w:r>
        <w:rPr>
          <w:lang w:bidi="ar-SA"/>
        </w:rPr>
        <w:t xml:space="preserve">human </w:t>
      </w:r>
      <w:r w:rsidRPr="00155CE7">
        <w:rPr>
          <w:lang w:bidi="ar-SA"/>
        </w:rPr>
        <w:t>peripheral lymphocytes obtained from healthy, non-smoking volunteers</w:t>
      </w:r>
      <w:r>
        <w:rPr>
          <w:lang w:bidi="ar-SA"/>
        </w:rPr>
        <w:t xml:space="preserve"> aged approximately 18 – 35 years of age with no known recent exposures to genotoxic chemicals or radiation. P</w:t>
      </w:r>
      <w:r>
        <w:rPr>
          <w:szCs w:val="22"/>
        </w:rPr>
        <w:t>roliferation of lymphocytes was initiated by the addition of phytohaemagglutinin to the culture medium 48 hours prior to exposure to the test item.</w:t>
      </w:r>
      <w:r>
        <w:rPr>
          <w:lang w:bidi="ar-SA"/>
        </w:rPr>
        <w:t xml:space="preserve"> Concentrations of 0, 500</w:t>
      </w:r>
      <w:r w:rsidRPr="00202695">
        <w:rPr>
          <w:lang w:bidi="ar-SA"/>
        </w:rPr>
        <w:t xml:space="preserve">, </w:t>
      </w:r>
      <w:r>
        <w:rPr>
          <w:lang w:bidi="ar-SA"/>
        </w:rPr>
        <w:t>1000, 2000 or 5000 μg</w:t>
      </w:r>
      <w:r w:rsidRPr="00202695">
        <w:rPr>
          <w:lang w:bidi="ar-SA"/>
        </w:rPr>
        <w:t>/mL</w:t>
      </w:r>
      <w:r>
        <w:rPr>
          <w:lang w:bidi="ar-SA"/>
        </w:rPr>
        <w:t xml:space="preserve"> </w:t>
      </w:r>
      <w:r w:rsidR="00FD1A13">
        <w:rPr>
          <w:lang w:bidi="ar-SA"/>
        </w:rPr>
        <w:t>2′-FL</w:t>
      </w:r>
      <w:r w:rsidRPr="00202695">
        <w:rPr>
          <w:lang w:bidi="ar-SA"/>
        </w:rPr>
        <w:t xml:space="preserve"> were used</w:t>
      </w:r>
      <w:r w:rsidR="00C2766D">
        <w:rPr>
          <w:lang w:bidi="ar-SA"/>
        </w:rPr>
        <w:t xml:space="preserve"> in the main study</w:t>
      </w:r>
      <w:r w:rsidRPr="00202695">
        <w:rPr>
          <w:lang w:bidi="ar-SA"/>
        </w:rPr>
        <w:t xml:space="preserve">, based on the results of a </w:t>
      </w:r>
      <w:r>
        <w:rPr>
          <w:lang w:bidi="ar-SA"/>
        </w:rPr>
        <w:t>dose range finding</w:t>
      </w:r>
      <w:r w:rsidRPr="00202695">
        <w:rPr>
          <w:lang w:bidi="ar-SA"/>
        </w:rPr>
        <w:t xml:space="preserve"> test</w:t>
      </w:r>
      <w:r>
        <w:rPr>
          <w:lang w:bidi="ar-SA"/>
        </w:rPr>
        <w:t xml:space="preserve"> in which no cytotoxicity or precipitation was observed</w:t>
      </w:r>
      <w:r w:rsidRPr="00202695">
        <w:rPr>
          <w:lang w:bidi="ar-SA"/>
        </w:rPr>
        <w:t>.</w:t>
      </w:r>
      <w:r>
        <w:rPr>
          <w:lang w:bidi="ar-SA"/>
        </w:rPr>
        <w:t xml:space="preserve"> </w:t>
      </w:r>
      <w:r w:rsidRPr="00040E2D">
        <w:rPr>
          <w:lang w:bidi="ar-SA"/>
        </w:rPr>
        <w:t>Positive control clastogens were mitomycin C or cyclophosphamide in the absence or presence of metabolic activation, respectively. Colchicine was used as a positive control for aneugenicity in the absence of metabolic activation.</w:t>
      </w:r>
      <w:r>
        <w:rPr>
          <w:lang w:bidi="ar-SA"/>
        </w:rPr>
        <w:t xml:space="preserve"> Two micronucleus tests were performed. In experiment I, </w:t>
      </w:r>
      <w:r>
        <w:rPr>
          <w:szCs w:val="22"/>
        </w:rPr>
        <w:t>cells were exposed to the test item for 4 hours in the presence or absence of metabolic activation (S9), washed and then cultured in the presence of cytochalasin B for a further 20 hours. In experiment II, cells were exposed to the test item for 20 hours without metabolic activation, then washed and cultured in the presence of cytochalsin B for an additional 20 hours. At the end of the studies, cells were harvested and slides were prepared. Assays were conducted in duplicate with 1000 binucleated cells in each replicate scored for micronuclei. E</w:t>
      </w:r>
      <w:r w:rsidRPr="00B1504F">
        <w:rPr>
          <w:szCs w:val="22"/>
        </w:rPr>
        <w:t xml:space="preserve">valuation of cytotoxicity </w:t>
      </w:r>
      <w:r>
        <w:rPr>
          <w:szCs w:val="22"/>
        </w:rPr>
        <w:t xml:space="preserve">was </w:t>
      </w:r>
      <w:r w:rsidRPr="00B1504F">
        <w:rPr>
          <w:szCs w:val="22"/>
        </w:rPr>
        <w:t>based on the Cytokinesis-Block</w:t>
      </w:r>
      <w:r>
        <w:rPr>
          <w:szCs w:val="22"/>
        </w:rPr>
        <w:t xml:space="preserve"> </w:t>
      </w:r>
      <w:r w:rsidRPr="00B1504F">
        <w:rPr>
          <w:szCs w:val="22"/>
        </w:rPr>
        <w:t>Proliferation Index (CBPI) or Replication Index (RI)</w:t>
      </w:r>
      <w:r>
        <w:rPr>
          <w:szCs w:val="22"/>
        </w:rPr>
        <w:t xml:space="preserve">. </w:t>
      </w:r>
    </w:p>
    <w:p w14:paraId="00F0655D" w14:textId="2D87A983" w:rsidR="00CD0AAD" w:rsidRDefault="00CD0AAD" w:rsidP="00CD0AAD">
      <w:pPr>
        <w:rPr>
          <w:lang w:bidi="ar-SA"/>
        </w:rPr>
      </w:pPr>
      <w:r>
        <w:rPr>
          <w:lang w:bidi="ar-SA"/>
        </w:rPr>
        <w:t xml:space="preserve">No significant increase in the frequency of binucleated cells with micronuclei was observed following treatment with </w:t>
      </w:r>
      <w:r w:rsidR="00F25E51">
        <w:rPr>
          <w:lang w:bidi="ar-SA"/>
        </w:rPr>
        <w:t>2′-</w:t>
      </w:r>
      <w:r>
        <w:rPr>
          <w:lang w:bidi="ar-SA"/>
        </w:rPr>
        <w:t xml:space="preserve">FL in the presence or absence of metabolic activation, and no dose-related increases were observed. In all experiments the incidence of micronuclei in </w:t>
      </w:r>
      <w:r w:rsidR="00F25E51">
        <w:rPr>
          <w:lang w:bidi="ar-SA"/>
        </w:rPr>
        <w:t>2′-</w:t>
      </w:r>
      <w:r>
        <w:rPr>
          <w:lang w:bidi="ar-SA"/>
        </w:rPr>
        <w:t xml:space="preserve">FL treated cells was within the range of the laboratory’s historical vehicle control data. The positive controls induced significant increases in the number of binucleated cells with micronuclei, confirming the validity of the test system. </w:t>
      </w:r>
    </w:p>
    <w:p w14:paraId="79E1C489" w14:textId="431C142C" w:rsidR="00CD0AAD" w:rsidRDefault="00CD0AAD" w:rsidP="00CD0AAD">
      <w:pPr>
        <w:rPr>
          <w:lang w:bidi="ar-SA"/>
        </w:rPr>
      </w:pPr>
      <w:r>
        <w:rPr>
          <w:lang w:bidi="ar-SA"/>
        </w:rPr>
        <w:t xml:space="preserve">It was concluded that </w:t>
      </w:r>
      <w:r w:rsidR="00F25E51">
        <w:rPr>
          <w:lang w:bidi="ar-SA"/>
        </w:rPr>
        <w:t>2′-</w:t>
      </w:r>
      <w:r>
        <w:rPr>
          <w:lang w:bidi="ar-SA"/>
        </w:rPr>
        <w:t xml:space="preserve">FL did not cause chromosomal damage in human lymphocytes under the conditions of this study. </w:t>
      </w:r>
    </w:p>
    <w:p w14:paraId="653DBDCE" w14:textId="183C7B89" w:rsidR="00CD0AAD" w:rsidRDefault="00793DAD" w:rsidP="00793DAD">
      <w:pPr>
        <w:pStyle w:val="Heading4"/>
      </w:pPr>
      <w:r>
        <w:lastRenderedPageBreak/>
        <w:t xml:space="preserve">Genotoxicity studies conducted </w:t>
      </w:r>
      <w:r w:rsidR="00CD0AAD">
        <w:t xml:space="preserve">with other </w:t>
      </w:r>
      <w:r w:rsidR="00F25E51">
        <w:t>2′-</w:t>
      </w:r>
      <w:r w:rsidR="00CD0AAD">
        <w:t>FL preparations</w:t>
      </w:r>
    </w:p>
    <w:p w14:paraId="35D3956D" w14:textId="77777777" w:rsidR="00E3143E" w:rsidRDefault="0031071B" w:rsidP="00500BA9">
      <w:pPr>
        <w:pStyle w:val="Heading5"/>
        <w:ind w:left="0" w:firstLine="0"/>
        <w:rPr>
          <w:lang w:val="en-AU" w:eastAsia="en-AU"/>
        </w:rPr>
      </w:pPr>
      <w:r w:rsidRPr="00D8066A">
        <w:rPr>
          <w:lang w:val="en-AU" w:eastAsia="en-AU"/>
        </w:rPr>
        <w:t>Bacterial reverse mutation assay</w:t>
      </w:r>
      <w:r>
        <w:rPr>
          <w:lang w:val="en-AU" w:eastAsia="en-AU"/>
        </w:rPr>
        <w:t xml:space="preserve"> with </w:t>
      </w:r>
      <w:r>
        <w:t xml:space="preserve">a mixture of Glycom’s </w:t>
      </w:r>
      <w:r w:rsidR="0004306B">
        <w:t>2′-FL</w:t>
      </w:r>
      <w:r>
        <w:t xml:space="preserve"> and LNFP-I</w:t>
      </w:r>
      <w:r w:rsidRPr="00D8066A">
        <w:rPr>
          <w:lang w:val="en-AU" w:eastAsia="en-AU"/>
        </w:rPr>
        <w:t xml:space="preserve"> </w:t>
      </w:r>
      <w:r w:rsidRPr="0031071B">
        <w:rPr>
          <w:lang w:val="en-AU" w:eastAsia="en-AU"/>
        </w:rPr>
        <w:t>(Phipps et al. 2020</w:t>
      </w:r>
      <w:r w:rsidRPr="00D8066A">
        <w:rPr>
          <w:lang w:val="en-AU" w:eastAsia="en-AU"/>
        </w:rPr>
        <w:t>). Regulatory status: GLP; in compliance with</w:t>
      </w:r>
      <w:r w:rsidRPr="0031071B">
        <w:rPr>
          <w:lang w:val="en-AU" w:eastAsia="en-AU"/>
        </w:rPr>
        <w:t xml:space="preserve"> OECD Guideline 471 (1997)</w:t>
      </w:r>
    </w:p>
    <w:p w14:paraId="48AA06A1" w14:textId="509017DF" w:rsidR="00E3143E" w:rsidRDefault="0031071B" w:rsidP="00CD0AAD">
      <w:pPr>
        <w:rPr>
          <w:rFonts w:cs="Arial"/>
          <w:lang w:eastAsia="en-AU"/>
        </w:rPr>
      </w:pPr>
      <w:r>
        <w:rPr>
          <w:lang w:val="en-AU" w:eastAsia="en-AU"/>
        </w:rPr>
        <w:t xml:space="preserve">The test article for this study was </w:t>
      </w:r>
      <w:r>
        <w:rPr>
          <w:lang w:bidi="ar-SA"/>
        </w:rPr>
        <w:t xml:space="preserve">a mixture of LNFP-I (59.4% w/w), </w:t>
      </w:r>
      <w:r w:rsidR="0004306B">
        <w:rPr>
          <w:lang w:bidi="ar-SA"/>
        </w:rPr>
        <w:t>2′-FL</w:t>
      </w:r>
      <w:r>
        <w:rPr>
          <w:lang w:bidi="ar-SA"/>
        </w:rPr>
        <w:t xml:space="preserve"> (31.5% w/w) and other carbohydrates (4.6% w/w), produced through microbial fermentation.</w:t>
      </w:r>
      <w:r w:rsidR="00FB484E">
        <w:rPr>
          <w:lang w:bidi="ar-SA"/>
        </w:rPr>
        <w:t xml:space="preserve"> The total LNFP-I/2′-FL content (excluding the other oligosaccharides) was 91.0% w/w.</w:t>
      </w:r>
      <w:r>
        <w:rPr>
          <w:lang w:bidi="ar-SA"/>
        </w:rPr>
        <w:t xml:space="preserve"> </w:t>
      </w:r>
      <w:r>
        <w:rPr>
          <w:lang w:val="en-AU" w:eastAsia="en-AU"/>
        </w:rPr>
        <w:t>The solvent and negative control article was</w:t>
      </w:r>
      <w:r w:rsidRPr="0031071B">
        <w:rPr>
          <w:lang w:val="en-AU" w:eastAsia="en-AU"/>
        </w:rPr>
        <w:t xml:space="preserve"> water. </w:t>
      </w:r>
      <w:r>
        <w:rPr>
          <w:lang w:val="en-AU" w:eastAsia="en-AU"/>
        </w:rPr>
        <w:t xml:space="preserve">Test systems for this assay were </w:t>
      </w:r>
      <w:r w:rsidRPr="00811FCC">
        <w:rPr>
          <w:i/>
          <w:lang w:val="en-AU" w:eastAsia="en-AU"/>
        </w:rPr>
        <w:t>Salmonella typhimurium</w:t>
      </w:r>
      <w:r w:rsidRPr="00811FCC">
        <w:rPr>
          <w:lang w:val="en-AU" w:eastAsia="en-AU"/>
        </w:rPr>
        <w:t xml:space="preserve"> strains </w:t>
      </w:r>
      <w:r w:rsidRPr="0031071B">
        <w:rPr>
          <w:lang w:val="en-AU" w:eastAsia="en-AU"/>
        </w:rPr>
        <w:t xml:space="preserve">TA1535, TA100, TA1537 and TA98 and </w:t>
      </w:r>
      <w:r w:rsidRPr="0031071B">
        <w:rPr>
          <w:i/>
          <w:lang w:val="en-AU" w:eastAsia="en-AU"/>
        </w:rPr>
        <w:t>Escherichia coli</w:t>
      </w:r>
      <w:r w:rsidRPr="0031071B">
        <w:rPr>
          <w:lang w:val="en-AU" w:eastAsia="en-AU"/>
        </w:rPr>
        <w:t xml:space="preserve"> strain WP2 </w:t>
      </w:r>
      <w:r w:rsidRPr="0031071B">
        <w:rPr>
          <w:i/>
          <w:lang w:val="en-AU" w:eastAsia="en-AU"/>
        </w:rPr>
        <w:t>uvr</w:t>
      </w:r>
      <w:r w:rsidRPr="0031071B">
        <w:rPr>
          <w:lang w:val="en-AU" w:eastAsia="en-AU"/>
        </w:rPr>
        <w:t>A (pKM101)</w:t>
      </w:r>
      <w:r w:rsidRPr="00811FCC">
        <w:rPr>
          <w:lang w:val="en-AU" w:eastAsia="en-AU"/>
        </w:rPr>
        <w:t>.</w:t>
      </w:r>
      <w:r>
        <w:rPr>
          <w:lang w:val="en-AU" w:eastAsia="en-AU"/>
        </w:rPr>
        <w:t xml:space="preserve"> For assays conducted without S9 mix for metabolic activation, positive control articles were </w:t>
      </w:r>
      <w:r w:rsidRPr="0031071B">
        <w:rPr>
          <w:lang w:val="en-AU" w:eastAsia="en-AU"/>
        </w:rPr>
        <w:t>2-nitrofluorene for TA98, sodium azide for TA 1535 and TA 100,</w:t>
      </w:r>
      <w:r w:rsidR="006421E7">
        <w:rPr>
          <w:lang w:val="en-AU" w:eastAsia="en-AU"/>
        </w:rPr>
        <w:t xml:space="preserve"> </w:t>
      </w:r>
      <w:r w:rsidRPr="0031071B">
        <w:rPr>
          <w:lang w:val="en-AU" w:eastAsia="en-AU"/>
        </w:rPr>
        <w:t>9-aminoacridine for TA1537,</w:t>
      </w:r>
      <w:r>
        <w:rPr>
          <w:lang w:val="en-AU" w:eastAsia="en-AU"/>
        </w:rPr>
        <w:t xml:space="preserve"> and 4-nitroquinoline-1-oxide for WP2</w:t>
      </w:r>
      <w:r w:rsidRPr="0031071B">
        <w:rPr>
          <w:i/>
          <w:lang w:val="en-AU" w:eastAsia="en-AU"/>
        </w:rPr>
        <w:t>uvr</w:t>
      </w:r>
      <w:r>
        <w:rPr>
          <w:lang w:val="en-AU" w:eastAsia="en-AU"/>
        </w:rPr>
        <w:t xml:space="preserve">A. </w:t>
      </w:r>
      <w:r w:rsidRPr="0031071B">
        <w:rPr>
          <w:lang w:val="en-AU" w:eastAsia="en-AU"/>
        </w:rPr>
        <w:t xml:space="preserve"> </w:t>
      </w:r>
      <w:r w:rsidRPr="000D6426">
        <w:rPr>
          <w:lang w:val="en-AU" w:eastAsia="en-AU"/>
        </w:rPr>
        <w:t>For assay</w:t>
      </w:r>
      <w:r w:rsidRPr="0004306B">
        <w:rPr>
          <w:lang w:val="en-AU" w:eastAsia="en-AU"/>
        </w:rPr>
        <w:t xml:space="preserve">s conducted </w:t>
      </w:r>
      <w:r w:rsidR="0004306B">
        <w:rPr>
          <w:lang w:val="en-AU" w:eastAsia="en-AU"/>
        </w:rPr>
        <w:t xml:space="preserve">in the presence of </w:t>
      </w:r>
      <w:r w:rsidRPr="0004306B">
        <w:rPr>
          <w:lang w:val="en-AU" w:eastAsia="en-AU"/>
        </w:rPr>
        <w:t>S9,</w:t>
      </w:r>
      <w:r w:rsidR="0004306B">
        <w:rPr>
          <w:lang w:val="en-AU" w:eastAsia="en-AU"/>
        </w:rPr>
        <w:t xml:space="preserve"> </w:t>
      </w:r>
      <w:r w:rsidRPr="0004306B">
        <w:rPr>
          <w:lang w:val="en-AU" w:eastAsia="en-AU"/>
        </w:rPr>
        <w:t xml:space="preserve">positive control articles were benzo(a)pyrene for TA98 and TA1537 and 2-aminoanthracene for TA100, TA1535 and </w:t>
      </w:r>
      <w:r w:rsidR="0004306B" w:rsidRPr="0004306B">
        <w:rPr>
          <w:lang w:val="en-AU" w:eastAsia="en-AU"/>
        </w:rPr>
        <w:t>WP2</w:t>
      </w:r>
      <w:r w:rsidR="0004306B" w:rsidRPr="0004306B">
        <w:rPr>
          <w:i/>
          <w:lang w:val="en-AU" w:eastAsia="en-AU"/>
        </w:rPr>
        <w:t>uvr</w:t>
      </w:r>
      <w:r w:rsidR="0004306B" w:rsidRPr="0004306B">
        <w:rPr>
          <w:lang w:val="en-AU" w:eastAsia="en-AU"/>
        </w:rPr>
        <w:t>A</w:t>
      </w:r>
      <w:r w:rsidRPr="00D8066A">
        <w:rPr>
          <w:color w:val="00B050"/>
          <w:lang w:val="en-AU" w:eastAsia="en-AU"/>
        </w:rPr>
        <w:t>.</w:t>
      </w:r>
      <w:r w:rsidR="0004306B" w:rsidRPr="0004306B">
        <w:rPr>
          <w:lang w:val="en-AU" w:eastAsia="en-AU"/>
        </w:rPr>
        <w:t xml:space="preserve"> Assays were conducted in </w:t>
      </w:r>
      <w:r w:rsidRPr="0004306B">
        <w:t xml:space="preserve">triplicate using the </w:t>
      </w:r>
      <w:r w:rsidR="0004306B" w:rsidRPr="0004306B">
        <w:t>plate incorporation and preincubation methods</w:t>
      </w:r>
      <w:r w:rsidRPr="0004306B">
        <w:t>.</w:t>
      </w:r>
      <w:r w:rsidR="0004306B" w:rsidRPr="0004306B">
        <w:t xml:space="preserve"> </w:t>
      </w:r>
      <w:r w:rsidR="0004306B" w:rsidRPr="0004306B">
        <w:rPr>
          <w:lang w:eastAsia="en-AU"/>
        </w:rPr>
        <w:t xml:space="preserve">Test article concentrations were 5.55 - 5550 </w:t>
      </w:r>
      <w:r w:rsidR="0004306B" w:rsidRPr="00BF55BF">
        <w:rPr>
          <w:rFonts w:cs="Arial"/>
          <w:lang w:eastAsia="en-AU"/>
        </w:rPr>
        <w:t>µ</w:t>
      </w:r>
      <w:r w:rsidR="0004306B" w:rsidRPr="00BF55BF">
        <w:rPr>
          <w:lang w:eastAsia="en-AU"/>
        </w:rPr>
        <w:t>g/plate</w:t>
      </w:r>
      <w:r w:rsidR="0004306B">
        <w:rPr>
          <w:lang w:eastAsia="en-AU"/>
        </w:rPr>
        <w:t xml:space="preserve"> in the plate incorporation assay and 55.5 – 5550 </w:t>
      </w:r>
      <w:r w:rsidR="0004306B" w:rsidRPr="00BF55BF">
        <w:rPr>
          <w:rFonts w:cs="Arial"/>
          <w:lang w:eastAsia="en-AU"/>
        </w:rPr>
        <w:t>µ</w:t>
      </w:r>
      <w:r w:rsidR="0004306B" w:rsidRPr="00BF55BF">
        <w:rPr>
          <w:lang w:eastAsia="en-AU"/>
        </w:rPr>
        <w:t>g/plate</w:t>
      </w:r>
      <w:r w:rsidR="0004306B">
        <w:rPr>
          <w:lang w:eastAsia="en-AU"/>
        </w:rPr>
        <w:t xml:space="preserve"> in the preincubation assay, equal to LNFP-I/</w:t>
      </w:r>
      <w:r w:rsidR="0004306B">
        <w:rPr>
          <w:lang w:bidi="ar-SA"/>
        </w:rPr>
        <w:t>2′-FL</w:t>
      </w:r>
      <w:r w:rsidR="0004306B">
        <w:rPr>
          <w:lang w:eastAsia="en-AU"/>
        </w:rPr>
        <w:t xml:space="preserve"> concentrations of 5 – 5000 and 50 – 5000 </w:t>
      </w:r>
      <w:r w:rsidR="0004306B" w:rsidRPr="00BF55BF">
        <w:rPr>
          <w:rFonts w:cs="Arial"/>
          <w:lang w:eastAsia="en-AU"/>
        </w:rPr>
        <w:t>µ</w:t>
      </w:r>
      <w:r w:rsidR="0004306B" w:rsidRPr="00BF55BF">
        <w:rPr>
          <w:lang w:eastAsia="en-AU"/>
        </w:rPr>
        <w:t>g/plate</w:t>
      </w:r>
      <w:r w:rsidR="0004306B">
        <w:rPr>
          <w:lang w:eastAsia="en-AU"/>
        </w:rPr>
        <w:t xml:space="preserve">, respectively. </w:t>
      </w:r>
      <w:r w:rsidR="00420341" w:rsidRPr="00BF55BF">
        <w:rPr>
          <w:rFonts w:cs="Arial"/>
          <w:lang w:eastAsia="en-AU"/>
        </w:rPr>
        <w:t xml:space="preserve">The test </w:t>
      </w:r>
      <w:r w:rsidR="00420341" w:rsidRPr="00420341">
        <w:rPr>
          <w:rFonts w:cs="Arial"/>
          <w:lang w:eastAsia="en-AU"/>
        </w:rPr>
        <w:t>article showed no evidence of precipitation or toxicity, and there was no significant increase in revertant colonies</w:t>
      </w:r>
      <w:r w:rsidR="00420341">
        <w:rPr>
          <w:rFonts w:cs="Arial"/>
          <w:lang w:eastAsia="en-AU"/>
        </w:rPr>
        <w:t xml:space="preserve"> compared with vehicle controls</w:t>
      </w:r>
      <w:r w:rsidR="00420341" w:rsidRPr="00420341">
        <w:rPr>
          <w:rFonts w:cs="Arial"/>
          <w:lang w:eastAsia="en-AU"/>
        </w:rPr>
        <w:t>, with or without S9 mix</w:t>
      </w:r>
      <w:r w:rsidR="0013307E">
        <w:rPr>
          <w:rFonts w:cs="Arial"/>
          <w:lang w:eastAsia="en-AU"/>
        </w:rPr>
        <w:t>, and values were within the laboratory’s historical control range</w:t>
      </w:r>
      <w:r w:rsidR="00420341" w:rsidRPr="00420341">
        <w:rPr>
          <w:rFonts w:cs="Arial"/>
          <w:lang w:eastAsia="en-AU"/>
        </w:rPr>
        <w:t xml:space="preserve">. A </w:t>
      </w:r>
      <w:r w:rsidR="00420341" w:rsidRPr="00BF55BF">
        <w:rPr>
          <w:rFonts w:cs="Arial"/>
          <w:lang w:eastAsia="en-AU"/>
        </w:rPr>
        <w:t xml:space="preserve">significant increase in revertant colonies was observed in the presence of positive control articles, confirming the validity of the assays. It was concluded that </w:t>
      </w:r>
      <w:r w:rsidR="00857A87">
        <w:rPr>
          <w:lang w:eastAsia="en-AU"/>
        </w:rPr>
        <w:t>LNFP-I/</w:t>
      </w:r>
      <w:r w:rsidR="00857A87">
        <w:rPr>
          <w:lang w:bidi="ar-SA"/>
        </w:rPr>
        <w:t>2′-FL</w:t>
      </w:r>
      <w:r w:rsidR="00420341" w:rsidRPr="00BF55BF">
        <w:rPr>
          <w:rFonts w:cs="Arial"/>
          <w:lang w:eastAsia="en-AU"/>
        </w:rPr>
        <w:t xml:space="preserve"> </w:t>
      </w:r>
      <w:r w:rsidR="00420341">
        <w:rPr>
          <w:rFonts w:cs="Arial"/>
          <w:lang w:eastAsia="en-AU"/>
        </w:rPr>
        <w:t>was not mutagenic under the conditions of this study</w:t>
      </w:r>
      <w:r w:rsidR="00420341" w:rsidRPr="00BF55BF">
        <w:rPr>
          <w:rFonts w:cs="Arial"/>
          <w:lang w:eastAsia="en-AU"/>
        </w:rPr>
        <w:t>.</w:t>
      </w:r>
    </w:p>
    <w:p w14:paraId="0A1F1F39" w14:textId="6D15CAAD" w:rsidR="00FC17BE" w:rsidRDefault="00FC17BE" w:rsidP="006075A8">
      <w:pPr>
        <w:pStyle w:val="Heading5"/>
        <w:ind w:left="0" w:firstLine="0"/>
        <w:rPr>
          <w:lang w:val="en-AU" w:eastAsia="en-AU"/>
        </w:rPr>
      </w:pPr>
      <w:r>
        <w:rPr>
          <w:lang w:val="en-AU" w:eastAsia="en-AU"/>
        </w:rPr>
        <w:t>In vitro mammalian cell micronucleus</w:t>
      </w:r>
      <w:r w:rsidRPr="00D8066A">
        <w:rPr>
          <w:lang w:val="en-AU" w:eastAsia="en-AU"/>
        </w:rPr>
        <w:t xml:space="preserve"> assay</w:t>
      </w:r>
      <w:r>
        <w:rPr>
          <w:lang w:val="en-AU" w:eastAsia="en-AU"/>
        </w:rPr>
        <w:t xml:space="preserve"> with </w:t>
      </w:r>
      <w:r>
        <w:t>a mixture of Glycom’s 2′-FL and LNFP-I</w:t>
      </w:r>
      <w:r w:rsidRPr="00D8066A">
        <w:rPr>
          <w:lang w:val="en-AU" w:eastAsia="en-AU"/>
        </w:rPr>
        <w:t xml:space="preserve"> </w:t>
      </w:r>
      <w:r w:rsidRPr="0031071B">
        <w:rPr>
          <w:lang w:val="en-AU" w:eastAsia="en-AU"/>
        </w:rPr>
        <w:t>(Phipps et al. 2020</w:t>
      </w:r>
      <w:r w:rsidRPr="00D8066A">
        <w:rPr>
          <w:lang w:val="en-AU" w:eastAsia="en-AU"/>
        </w:rPr>
        <w:t>). Regulatory status: GLP; in compliance with</w:t>
      </w:r>
      <w:r w:rsidRPr="0031071B">
        <w:rPr>
          <w:lang w:val="en-AU" w:eastAsia="en-AU"/>
        </w:rPr>
        <w:t xml:space="preserve"> OECD Guideline 471 (1997)</w:t>
      </w:r>
    </w:p>
    <w:p w14:paraId="062E1FAC" w14:textId="7210432F" w:rsidR="00FC17BE" w:rsidRDefault="00FC17BE" w:rsidP="00287E38">
      <w:pPr>
        <w:rPr>
          <w:lang w:val="en-AU" w:eastAsia="en-AU"/>
        </w:rPr>
      </w:pPr>
      <w:r>
        <w:rPr>
          <w:lang w:val="en-AU" w:eastAsia="en-AU"/>
        </w:rPr>
        <w:t xml:space="preserve">The test article was </w:t>
      </w:r>
      <w:r>
        <w:rPr>
          <w:lang w:bidi="ar-SA"/>
        </w:rPr>
        <w:t xml:space="preserve">a mixture of LNFP-I (59.4% w/w), 2′-FL (31.5% w/w/) and other carbohydrates (4.6% w/w), produced through microbial fermentation. </w:t>
      </w:r>
      <w:r>
        <w:rPr>
          <w:lang w:val="en-AU" w:eastAsia="en-AU"/>
        </w:rPr>
        <w:t>The solvent and negative control was</w:t>
      </w:r>
      <w:r w:rsidRPr="0031071B">
        <w:rPr>
          <w:lang w:val="en-AU" w:eastAsia="en-AU"/>
        </w:rPr>
        <w:t xml:space="preserve"> water.</w:t>
      </w:r>
      <w:r w:rsidR="00287E38">
        <w:rPr>
          <w:lang w:val="en-AU" w:eastAsia="en-AU"/>
        </w:rPr>
        <w:t xml:space="preserve"> </w:t>
      </w:r>
      <w:r w:rsidRPr="00FC17BE">
        <w:rPr>
          <w:lang w:val="en-AU" w:eastAsia="en-AU"/>
        </w:rPr>
        <w:t>The test system comprised human peripheral blo</w:t>
      </w:r>
      <w:r>
        <w:rPr>
          <w:lang w:val="en-AU" w:eastAsia="en-AU"/>
        </w:rPr>
        <w:t xml:space="preserve">od lymphocytes collected from </w:t>
      </w:r>
      <w:r w:rsidRPr="00FC17BE">
        <w:rPr>
          <w:lang w:val="en-AU" w:eastAsia="en-AU"/>
        </w:rPr>
        <w:t>non-smoking donor</w:t>
      </w:r>
      <w:r>
        <w:rPr>
          <w:lang w:val="en-AU" w:eastAsia="en-AU"/>
        </w:rPr>
        <w:t xml:space="preserve">s. Cells were exposed to 0.56 – 2220 </w:t>
      </w:r>
      <w:r w:rsidRPr="00BF55BF">
        <w:rPr>
          <w:rFonts w:cs="Arial"/>
          <w:lang w:eastAsia="en-AU"/>
        </w:rPr>
        <w:t>µ</w:t>
      </w:r>
      <w:r>
        <w:rPr>
          <w:lang w:eastAsia="en-AU"/>
        </w:rPr>
        <w:t>g/mL of the test item</w:t>
      </w:r>
      <w:r>
        <w:rPr>
          <w:lang w:val="en-AU" w:eastAsia="en-AU"/>
        </w:rPr>
        <w:t xml:space="preserve">, equal to 0.5 – 2000 </w:t>
      </w:r>
      <w:r w:rsidRPr="00BF55BF">
        <w:rPr>
          <w:rFonts w:cs="Arial"/>
          <w:lang w:eastAsia="en-AU"/>
        </w:rPr>
        <w:t>µ</w:t>
      </w:r>
      <w:r>
        <w:rPr>
          <w:lang w:eastAsia="en-AU"/>
        </w:rPr>
        <w:t>g/mL LNFP-I/</w:t>
      </w:r>
      <w:r>
        <w:rPr>
          <w:lang w:bidi="ar-SA"/>
        </w:rPr>
        <w:t xml:space="preserve">2′-FL for 3 hours in the absence and presence of metabolic activation (S9) and for </w:t>
      </w:r>
      <w:r w:rsidR="00287E38">
        <w:rPr>
          <w:lang w:bidi="ar-SA"/>
        </w:rPr>
        <w:t xml:space="preserve">20 hours in the absence of S9 only. Positive controls were mitomycin C and colchicine in the absence of S9 and cyclophosphamide in the presence of S9. At the end of the 3 hour exposures, the culture medium was replaced and cells were treated with the cytokinesis inhibitor cytochalasin B before being incubated for an additional 17 hours. For cell cultures undergoing long-term exposure, cytochalasin B was added at the beginning of treatment. At the end of the 20 hour incubation period cells were fixed on slides and stained. </w:t>
      </w:r>
      <w:r w:rsidR="00287E38">
        <w:rPr>
          <w:szCs w:val="22"/>
        </w:rPr>
        <w:t>Assays were conducted in duplicate with 1000 binucleated cells in each replicate scored for micronuclei. C</w:t>
      </w:r>
      <w:r w:rsidR="00287E38" w:rsidRPr="00B1504F">
        <w:rPr>
          <w:szCs w:val="22"/>
        </w:rPr>
        <w:t xml:space="preserve">ytotoxicity </w:t>
      </w:r>
      <w:r w:rsidR="00287E38">
        <w:rPr>
          <w:szCs w:val="22"/>
        </w:rPr>
        <w:t xml:space="preserve">was evaluated </w:t>
      </w:r>
      <w:r w:rsidR="00287E38" w:rsidRPr="00B1504F">
        <w:rPr>
          <w:szCs w:val="22"/>
        </w:rPr>
        <w:t>based on the CBPI</w:t>
      </w:r>
      <w:r w:rsidR="00287E38">
        <w:rPr>
          <w:szCs w:val="22"/>
        </w:rPr>
        <w:t xml:space="preserve">. </w:t>
      </w:r>
    </w:p>
    <w:p w14:paraId="5C20A77B" w14:textId="74CC2726" w:rsidR="00FC17BE" w:rsidRDefault="00881B89" w:rsidP="00FC17BE">
      <w:pPr>
        <w:rPr>
          <w:lang w:val="en-AU" w:eastAsia="en-AU"/>
        </w:rPr>
      </w:pPr>
      <w:r>
        <w:rPr>
          <w:lang w:val="en-AU" w:eastAsia="en-AU"/>
        </w:rPr>
        <w:t xml:space="preserve">No evidence of cytotoxicity was observed at any concentration of </w:t>
      </w:r>
      <w:r>
        <w:rPr>
          <w:lang w:eastAsia="en-AU"/>
        </w:rPr>
        <w:t>LNFP-I/</w:t>
      </w:r>
      <w:r>
        <w:rPr>
          <w:lang w:bidi="ar-SA"/>
        </w:rPr>
        <w:t xml:space="preserve">2′-FL. No significant increases in the frequency of micronucleated cells were observed following treatment with </w:t>
      </w:r>
      <w:r>
        <w:rPr>
          <w:lang w:eastAsia="en-AU"/>
        </w:rPr>
        <w:t>LNFP-I/</w:t>
      </w:r>
      <w:r>
        <w:rPr>
          <w:lang w:bidi="ar-SA"/>
        </w:rPr>
        <w:t xml:space="preserve">2′-FL in the presence or absence of metabolic activation. The incidence of micronuclei in </w:t>
      </w:r>
      <w:r>
        <w:rPr>
          <w:lang w:eastAsia="en-AU"/>
        </w:rPr>
        <w:t>LNFP-I/</w:t>
      </w:r>
      <w:r>
        <w:rPr>
          <w:lang w:bidi="ar-SA"/>
        </w:rPr>
        <w:t xml:space="preserve">2′-FL treated cells was within the range of the laboratory’s historical vehicle control data, with the exception of cultures exposed to 500 </w:t>
      </w:r>
      <w:r>
        <w:rPr>
          <w:rFonts w:cs="Arial"/>
          <w:lang w:bidi="ar-SA"/>
        </w:rPr>
        <w:t>µ</w:t>
      </w:r>
      <w:r>
        <w:rPr>
          <w:lang w:bidi="ar-SA"/>
        </w:rPr>
        <w:t xml:space="preserve">g/mL </w:t>
      </w:r>
      <w:r>
        <w:rPr>
          <w:lang w:eastAsia="en-AU"/>
        </w:rPr>
        <w:t>LNFP-I/</w:t>
      </w:r>
      <w:r>
        <w:rPr>
          <w:lang w:bidi="ar-SA"/>
        </w:rPr>
        <w:t>2′-FL for 3 hours in the presence of S9</w:t>
      </w:r>
      <w:r w:rsidR="00857A87">
        <w:rPr>
          <w:lang w:bidi="ar-SA"/>
        </w:rPr>
        <w:t xml:space="preserve">. In this group </w:t>
      </w:r>
      <w:r w:rsidR="00857A87">
        <w:rPr>
          <w:lang w:bidi="ar-SA"/>
        </w:rPr>
        <w:lastRenderedPageBreak/>
        <w:t xml:space="preserve">the mean value slightly exceeded the upper 95% confidence limit (10.5 versus 9.2, respectively). This assay was repeated and all micronucleus frequencies for </w:t>
      </w:r>
      <w:r w:rsidR="00857A87">
        <w:rPr>
          <w:lang w:eastAsia="en-AU"/>
        </w:rPr>
        <w:t>LNFP-I/</w:t>
      </w:r>
      <w:r w:rsidR="00857A87">
        <w:rPr>
          <w:lang w:bidi="ar-SA"/>
        </w:rPr>
        <w:t>2′-FL and vehicle control groups were within the historical negative control range. All positive controls produced the expected increase in the frequency of micronucleated cells, with the exception of mitomycin C in the short-term test in the absence of S9. This assay was also repeated and in the repeat test a significant increase in micronucleated cells was observed</w:t>
      </w:r>
      <w:r w:rsidR="006D29F1">
        <w:rPr>
          <w:lang w:bidi="ar-SA"/>
        </w:rPr>
        <w:t xml:space="preserve"> with mitomycin C</w:t>
      </w:r>
      <w:r w:rsidR="00857A87">
        <w:rPr>
          <w:lang w:bidi="ar-SA"/>
        </w:rPr>
        <w:t xml:space="preserve">, confirming the validity of the test system. It was concluded that </w:t>
      </w:r>
      <w:r w:rsidR="00857A87">
        <w:rPr>
          <w:lang w:eastAsia="en-AU"/>
        </w:rPr>
        <w:t>LNFP-I/</w:t>
      </w:r>
      <w:r w:rsidR="00857A87">
        <w:rPr>
          <w:lang w:bidi="ar-SA"/>
        </w:rPr>
        <w:t>2′-FL was not clastogenic or aneugenic under the conditions</w:t>
      </w:r>
      <w:r w:rsidR="006D29F1">
        <w:rPr>
          <w:lang w:bidi="ar-SA"/>
        </w:rPr>
        <w:t xml:space="preserve"> of this study</w:t>
      </w:r>
      <w:r w:rsidR="00857A87">
        <w:rPr>
          <w:lang w:bidi="ar-SA"/>
        </w:rPr>
        <w:t xml:space="preserve">. </w:t>
      </w:r>
    </w:p>
    <w:p w14:paraId="6EE1CE18" w14:textId="685B3D58" w:rsidR="00CD0AAD" w:rsidRDefault="001F6525" w:rsidP="00CD0AAD">
      <w:pPr>
        <w:pStyle w:val="Heading3"/>
      </w:pPr>
      <w:r>
        <w:t xml:space="preserve">4.2.2 </w:t>
      </w:r>
      <w:r w:rsidR="00CD0AAD">
        <w:t xml:space="preserve">Human studies with </w:t>
      </w:r>
      <w:r w:rsidR="00F25E51">
        <w:t>2′-</w:t>
      </w:r>
      <w:r w:rsidR="00CD0AAD">
        <w:t>FL</w:t>
      </w:r>
    </w:p>
    <w:p w14:paraId="77805D29" w14:textId="23126A7C" w:rsidR="00CD0AAD" w:rsidRDefault="00975071" w:rsidP="00CD0AAD">
      <w:pPr>
        <w:pStyle w:val="Heading4"/>
      </w:pPr>
      <w:r>
        <w:t>Clinical studies in infants and young children</w:t>
      </w:r>
    </w:p>
    <w:p w14:paraId="3D266605" w14:textId="1D94BB49" w:rsidR="009C576D" w:rsidRDefault="006E241C" w:rsidP="00500BA9">
      <w:pPr>
        <w:pStyle w:val="Heading5"/>
        <w:ind w:left="0" w:firstLine="0"/>
      </w:pPr>
      <w:bookmarkStart w:id="201" w:name="_Infant_study_with"/>
      <w:bookmarkEnd w:id="201"/>
      <w:r>
        <w:t>Clinical study of infants fed extensively hydrolysed infant formula containing 2′-FL (Ramirez-Farias et al. 2021)</w:t>
      </w:r>
    </w:p>
    <w:p w14:paraId="6DE1A2F4" w14:textId="2E6719CD" w:rsidR="006E241C" w:rsidRDefault="006E241C" w:rsidP="009C576D">
      <w:pPr>
        <w:rPr>
          <w:lang w:bidi="ar-SA"/>
        </w:rPr>
      </w:pPr>
      <w:r>
        <w:rPr>
          <w:lang w:bidi="ar-SA"/>
        </w:rPr>
        <w:t xml:space="preserve">In a non-randomised, single-group, multicentre study, infants (aged 0 – 60 days) with suspected food protein allergy, persistent feeding intolerance or presenting conditions where an extensively hydrolysed formula (eHF) was deemed appropriate were fed a hypoallergenic eHF containing 0.2 g/L 2′-FL for 60 </w:t>
      </w:r>
      <w:r>
        <w:rPr>
          <w:rFonts w:cs="Arial"/>
          <w:lang w:bidi="ar-SA"/>
        </w:rPr>
        <w:t>±</w:t>
      </w:r>
      <w:r>
        <w:rPr>
          <w:lang w:bidi="ar-SA"/>
        </w:rPr>
        <w:t xml:space="preserve"> 5 days. </w:t>
      </w:r>
      <w:r w:rsidR="00273E18">
        <w:rPr>
          <w:lang w:bidi="ar-SA"/>
        </w:rPr>
        <w:t xml:space="preserve">The primary outcome was maintenance of weight for age z-score during the study. Information on weight, length, head circumference, formula intake, tolerance measures, clinical symptoms was collected at intervals during the study. Safety monitoring consisted of the assessment of adverse events and serious adverse events. </w:t>
      </w:r>
    </w:p>
    <w:p w14:paraId="44117B12" w14:textId="1A0C2D51" w:rsidR="00E269F4" w:rsidRDefault="00273E18" w:rsidP="009C576D">
      <w:pPr>
        <w:rPr>
          <w:lang w:bidi="ar-SA"/>
        </w:rPr>
      </w:pPr>
      <w:r>
        <w:rPr>
          <w:lang w:bidi="ar-SA"/>
        </w:rPr>
        <w:t>Forty-eight infants were enrolled in the study, 47 were included in the</w:t>
      </w:r>
      <w:r w:rsidR="00682B56">
        <w:rPr>
          <w:lang w:bidi="ar-SA"/>
        </w:rPr>
        <w:t xml:space="preserve"> intention-to-treat</w:t>
      </w:r>
      <w:r>
        <w:rPr>
          <w:lang w:bidi="ar-SA"/>
        </w:rPr>
        <w:t xml:space="preserve"> </w:t>
      </w:r>
      <w:r w:rsidR="00682B56">
        <w:rPr>
          <w:lang w:bidi="ar-SA"/>
        </w:rPr>
        <w:t>(</w:t>
      </w:r>
      <w:r>
        <w:rPr>
          <w:lang w:bidi="ar-SA"/>
        </w:rPr>
        <w:t>ITT</w:t>
      </w:r>
      <w:r w:rsidR="00682B56">
        <w:rPr>
          <w:lang w:bidi="ar-SA"/>
        </w:rPr>
        <w:t>)</w:t>
      </w:r>
      <w:r>
        <w:rPr>
          <w:lang w:bidi="ar-SA"/>
        </w:rPr>
        <w:t xml:space="preserve"> group and 36 </w:t>
      </w:r>
      <w:r w:rsidR="0008218F">
        <w:rPr>
          <w:lang w:bidi="ar-SA"/>
        </w:rPr>
        <w:t xml:space="preserve">fully </w:t>
      </w:r>
      <w:r>
        <w:rPr>
          <w:lang w:bidi="ar-SA"/>
        </w:rPr>
        <w:t xml:space="preserve">completed the study and were included in the protocol evaluable cohort. Weight for age z-scores showed a significant improvement from study day 1 to study day 60. </w:t>
      </w:r>
      <w:r w:rsidR="002A156C">
        <w:rPr>
          <w:lang w:bidi="ar-SA"/>
        </w:rPr>
        <w:t>There was no indication of adverse effects of the study formula on tolerance measures such as mean rank stool consistency, stool colour, average volume of formula intake and percent feedings with spit-up/vomit 1 hour after feeding.</w:t>
      </w:r>
      <w:r w:rsidR="0008218F">
        <w:rPr>
          <w:lang w:bidi="ar-SA"/>
        </w:rPr>
        <w:t xml:space="preserve"> Several infants were experiencing persisting symptoms at enrolment such as diarrhoea, constipation, blood in stool, vomiting, spit-up/gagging/reflux and rash or eczema. After 60 days of consuming the eHF containing 2′-FL, all persisting symptoms either remained the same, improved or resolved. </w:t>
      </w:r>
      <w:r w:rsidR="00E269F4">
        <w:rPr>
          <w:lang w:bidi="ar-SA"/>
        </w:rPr>
        <w:t xml:space="preserve">Adverse events occurred in 15 (32%) of the infants in the ITT cohort. The most commonly reported adverse events were seborrheic dermatitis (five infants), gastrointestinal reflux disease (three infants) and infantile spit-up (two infants. Most adverse events were mild in severity and considered unrelated to the test formula. The study authors concluded that eHF containing 0.2 g/L 2′-FL was safe and well tolerated. </w:t>
      </w:r>
    </w:p>
    <w:p w14:paraId="426BCED1" w14:textId="0CDF3044" w:rsidR="00CD0A2C" w:rsidRDefault="00CD0A2C" w:rsidP="00CD0A2C">
      <w:pPr>
        <w:pStyle w:val="Heading5"/>
      </w:pPr>
      <w:r>
        <w:t>Clinical study of toddlers consuming young child formula containing 2′-FL (Leung et al. 2020)</w:t>
      </w:r>
    </w:p>
    <w:p w14:paraId="18AC49F0" w14:textId="357F8E24" w:rsidR="002A0439" w:rsidRDefault="002A0439" w:rsidP="009C576D">
      <w:pPr>
        <w:rPr>
          <w:lang w:bidi="ar-SA"/>
        </w:rPr>
      </w:pPr>
      <w:r>
        <w:rPr>
          <w:lang w:bidi="ar-SA"/>
        </w:rPr>
        <w:t>In a randomised, controlle</w:t>
      </w:r>
      <w:r w:rsidR="001F4557">
        <w:rPr>
          <w:lang w:bidi="ar-SA"/>
        </w:rPr>
        <w:t>d, double blind, parallel-group</w:t>
      </w:r>
      <w:r>
        <w:rPr>
          <w:lang w:bidi="ar-SA"/>
        </w:rPr>
        <w:t xml:space="preserve"> trial</w:t>
      </w:r>
      <w:r w:rsidR="001F4557">
        <w:rPr>
          <w:lang w:bidi="ar-SA"/>
        </w:rPr>
        <w:t>,</w:t>
      </w:r>
      <w:r>
        <w:rPr>
          <w:lang w:bidi="ar-SA"/>
        </w:rPr>
        <w:t xml:space="preserve"> healthy Chinese children aged 1 – 2.5 years were assigned to consume two 200 mL/day servings of one of four diff</w:t>
      </w:r>
      <w:r w:rsidR="001F4557">
        <w:rPr>
          <w:lang w:bidi="ar-SA"/>
        </w:rPr>
        <w:t>erent young child formulas for six</w:t>
      </w:r>
      <w:r>
        <w:rPr>
          <w:lang w:bidi="ar-SA"/>
        </w:rPr>
        <w:t xml:space="preserve"> months. Children received either a </w:t>
      </w:r>
      <w:r w:rsidR="00682B56">
        <w:rPr>
          <w:lang w:bidi="ar-SA"/>
        </w:rPr>
        <w:t xml:space="preserve">standard milk formula or one of three trial formulas containing varying quantities of </w:t>
      </w:r>
      <w:r w:rsidR="00B27EF6">
        <w:rPr>
          <w:lang w:bidi="ar-SA"/>
        </w:rPr>
        <w:t xml:space="preserve">milk fat, </w:t>
      </w:r>
      <w:r w:rsidR="00682B56">
        <w:rPr>
          <w:lang w:bidi="ar-SA"/>
        </w:rPr>
        <w:t>immunoglobulins, lactoferrin and transforming growth factor-</w:t>
      </w:r>
      <w:r w:rsidR="00682B56">
        <w:rPr>
          <w:rFonts w:cs="Arial"/>
          <w:lang w:bidi="ar-SA"/>
        </w:rPr>
        <w:t>β</w:t>
      </w:r>
      <w:r w:rsidR="00682B56">
        <w:rPr>
          <w:lang w:bidi="ar-SA"/>
        </w:rPr>
        <w:t xml:space="preserve"> (TGF-</w:t>
      </w:r>
      <w:r w:rsidR="00682B56">
        <w:rPr>
          <w:rFonts w:cs="Arial"/>
          <w:lang w:bidi="ar-SA"/>
        </w:rPr>
        <w:t>β</w:t>
      </w:r>
      <w:r w:rsidR="00682B56">
        <w:rPr>
          <w:lang w:bidi="ar-SA"/>
        </w:rPr>
        <w:t xml:space="preserve">). Two of the formulas also contained 3 g/L 2′-FL. Primary outcomes were incidence of upper respiratory tract infection and duration of gastrointestinal infections. Secondary outcomes included anthropometric data (z-scores for weight for age, height for age and weight for height) recorded every two months and details of adverse </w:t>
      </w:r>
      <w:r w:rsidR="00682B56">
        <w:rPr>
          <w:lang w:bidi="ar-SA"/>
        </w:rPr>
        <w:lastRenderedPageBreak/>
        <w:t xml:space="preserve">events. Severity and likelihood of the relationship between adverse events and the intervention were scored by a paediatrician and reviewed by an independent data safety monitoring board (DSMB). </w:t>
      </w:r>
    </w:p>
    <w:p w14:paraId="0054A88D" w14:textId="61B648F0" w:rsidR="00682B56" w:rsidRDefault="00682B56" w:rsidP="009C576D">
      <w:pPr>
        <w:rPr>
          <w:lang w:bidi="ar-SA"/>
        </w:rPr>
      </w:pPr>
      <w:r>
        <w:rPr>
          <w:lang w:bidi="ar-SA"/>
        </w:rPr>
        <w:t>The final ITT group comp</w:t>
      </w:r>
      <w:r w:rsidR="007E26BE">
        <w:rPr>
          <w:lang w:bidi="ar-SA"/>
        </w:rPr>
        <w:t xml:space="preserve">rised 456 children (114/group), and per-protocol analysis was possible in 85 – 89% of subjects. </w:t>
      </w:r>
      <w:r w:rsidR="00CD0A2C">
        <w:rPr>
          <w:lang w:bidi="ar-SA"/>
        </w:rPr>
        <w:t xml:space="preserve">No significant differences in anthropometric measures were observed in children given the test formulas compared with those given control formula. All four groups had similar frequencies of adverse events and serious adverse events. None of the adverse events reported were considered to be related to the interventions. </w:t>
      </w:r>
      <w:r w:rsidR="00B27EF6">
        <w:rPr>
          <w:lang w:bidi="ar-SA"/>
        </w:rPr>
        <w:t xml:space="preserve">It was concluded that young child formula containing 3 g/L 2′-FL was safe and well tolerated by toddlers. </w:t>
      </w:r>
    </w:p>
    <w:p w14:paraId="10B4905B" w14:textId="2C10A9D7" w:rsidR="009C576D" w:rsidRDefault="009C576D" w:rsidP="009C576D">
      <w:pPr>
        <w:pStyle w:val="Heading4"/>
      </w:pPr>
      <w:r>
        <w:t xml:space="preserve">Clinical studies </w:t>
      </w:r>
      <w:r w:rsidR="00975071">
        <w:t>in</w:t>
      </w:r>
      <w:r>
        <w:t xml:space="preserve"> adults</w:t>
      </w:r>
    </w:p>
    <w:p w14:paraId="3D3DC2D4" w14:textId="14366BA4" w:rsidR="009C576D" w:rsidRDefault="009C576D" w:rsidP="009C576D">
      <w:pPr>
        <w:pStyle w:val="Heading5"/>
      </w:pPr>
      <w:r>
        <w:t>Trial of 2′-FL and LNnT in adults with irritable bowel syndrome (Palsson et al. 2020)</w:t>
      </w:r>
    </w:p>
    <w:p w14:paraId="06CC374B" w14:textId="3C498E9F" w:rsidR="009C576D" w:rsidRDefault="009C576D" w:rsidP="009C576D">
      <w:pPr>
        <w:rPr>
          <w:lang w:bidi="ar-SA"/>
        </w:rPr>
      </w:pPr>
      <w:r>
        <w:rPr>
          <w:lang w:bidi="ar-SA"/>
        </w:rPr>
        <w:t xml:space="preserve">A publication provides details of a </w:t>
      </w:r>
      <w:r w:rsidR="002F631C">
        <w:rPr>
          <w:lang w:bidi="ar-SA"/>
        </w:rPr>
        <w:t>prospective</w:t>
      </w:r>
      <w:r>
        <w:rPr>
          <w:lang w:bidi="ar-SA"/>
        </w:rPr>
        <w:t xml:space="preserve"> multi-centre, open label, single arm clinical trial of the efficacy and safety of a 4:1 mixture of 2′-FL and LNnT in adults with irritable bowel syndrome (IBS). Limited details of this study reported in an abstract were previously considered by FSANZ as part of </w:t>
      </w:r>
      <w:hyperlink r:id="rId22" w:history="1">
        <w:r w:rsidRPr="001F4557">
          <w:rPr>
            <w:rStyle w:val="Hyperlink"/>
            <w:lang w:bidi="ar-SA"/>
          </w:rPr>
          <w:t>A1155</w:t>
        </w:r>
        <w:r w:rsidR="000D6889" w:rsidRPr="001F4557">
          <w:rPr>
            <w:rStyle w:val="Hyperlink"/>
            <w:lang w:bidi="ar-SA"/>
          </w:rPr>
          <w:t xml:space="preserve"> Review</w:t>
        </w:r>
      </w:hyperlink>
      <w:r w:rsidR="000D6889" w:rsidRPr="000D6889">
        <w:rPr>
          <w:vertAlign w:val="superscript"/>
          <w:lang w:bidi="ar-SA"/>
        </w:rPr>
        <w:t>6</w:t>
      </w:r>
      <w:r>
        <w:rPr>
          <w:lang w:bidi="ar-SA"/>
        </w:rPr>
        <w:t xml:space="preserve">. A total of 317 subjects (70.7% females; mean age 44.0 years, range 18-93 years) recruited from 17 sites around the US were </w:t>
      </w:r>
      <w:r w:rsidR="00065642">
        <w:rPr>
          <w:lang w:bidi="ar-SA"/>
        </w:rPr>
        <w:t>asked to orally consume</w:t>
      </w:r>
      <w:r>
        <w:rPr>
          <w:lang w:bidi="ar-SA"/>
        </w:rPr>
        <w:t xml:space="preserve"> 5 g of a 4:1 mixture of </w:t>
      </w:r>
      <w:r w:rsidR="00FD1A13">
        <w:rPr>
          <w:lang w:bidi="ar-SA"/>
        </w:rPr>
        <w:t>2′-FL</w:t>
      </w:r>
      <w:r>
        <w:rPr>
          <w:lang w:bidi="ar-SA"/>
        </w:rPr>
        <w:t xml:space="preserve"> and LNnT daily for 12 weeks. Bowel habits, IBS symptoms and quality of life were assessed at b</w:t>
      </w:r>
      <w:r w:rsidR="001F4557">
        <w:rPr>
          <w:lang w:bidi="ar-SA"/>
        </w:rPr>
        <w:t>aseline and every four</w:t>
      </w:r>
      <w:r>
        <w:rPr>
          <w:lang w:bidi="ar-SA"/>
        </w:rPr>
        <w:t xml:space="preserve"> weeks during the intervention.</w:t>
      </w:r>
      <w:r w:rsidR="00065642">
        <w:rPr>
          <w:lang w:bidi="ar-SA"/>
        </w:rPr>
        <w:t xml:space="preserve"> Safety was assessed by collecting and monitoring adverse events throughout the course of the trial. </w:t>
      </w:r>
    </w:p>
    <w:p w14:paraId="13982936" w14:textId="63B132BE" w:rsidR="00065642" w:rsidRDefault="00065642" w:rsidP="009C576D">
      <w:pPr>
        <w:rPr>
          <w:lang w:bidi="ar-SA"/>
        </w:rPr>
      </w:pPr>
      <w:r>
        <w:rPr>
          <w:lang w:bidi="ar-SA"/>
        </w:rPr>
        <w:t>The full 12 week intervention was completed by 245 patients. Intention-toTreat (ITT) analysis found a significant improvement in the percentage of bowel movements with abnormal stool consistency, IBS symptom severity and health-related quality of life. Patients generally reported that the intervention was well tolerated. In total 46 patients (14.5% of the ITT sample) reported 87 adverse events</w:t>
      </w:r>
      <w:r w:rsidR="0043717C">
        <w:rPr>
          <w:lang w:bidi="ar-SA"/>
        </w:rPr>
        <w:t>, and 8 patients (2.5%) discontinued participating due to adverse events</w:t>
      </w:r>
      <w:r>
        <w:rPr>
          <w:lang w:bidi="ar-SA"/>
        </w:rPr>
        <w:t xml:space="preserve">. </w:t>
      </w:r>
      <w:r w:rsidR="0043717C">
        <w:rPr>
          <w:lang w:bidi="ar-SA"/>
        </w:rPr>
        <w:t>In total</w:t>
      </w:r>
      <w:r>
        <w:rPr>
          <w:lang w:bidi="ar-SA"/>
        </w:rPr>
        <w:t xml:space="preserve"> 65 adverse events reported by 33 patients were considere</w:t>
      </w:r>
      <w:r w:rsidR="0043717C">
        <w:rPr>
          <w:lang w:bidi="ar-SA"/>
        </w:rPr>
        <w:t>d</w:t>
      </w:r>
      <w:r>
        <w:rPr>
          <w:lang w:bidi="ar-SA"/>
        </w:rPr>
        <w:t xml:space="preserve"> </w:t>
      </w:r>
      <w:r w:rsidR="0043717C">
        <w:rPr>
          <w:lang w:bidi="ar-SA"/>
        </w:rPr>
        <w:t>to be possibl</w:t>
      </w:r>
      <w:r>
        <w:rPr>
          <w:lang w:bidi="ar-SA"/>
        </w:rPr>
        <w:t xml:space="preserve">y or probably related to the intervention on review. The majority of adverse events were </w:t>
      </w:r>
      <w:r w:rsidR="0059720C">
        <w:rPr>
          <w:lang w:bidi="ar-SA"/>
        </w:rPr>
        <w:t xml:space="preserve">mild and </w:t>
      </w:r>
      <w:r>
        <w:rPr>
          <w:lang w:bidi="ar-SA"/>
        </w:rPr>
        <w:t xml:space="preserve">related to the gastrointestinal </w:t>
      </w:r>
      <w:r w:rsidR="0059720C">
        <w:rPr>
          <w:lang w:bidi="ar-SA"/>
        </w:rPr>
        <w:t>tract</w:t>
      </w:r>
      <w:r>
        <w:rPr>
          <w:lang w:bidi="ar-SA"/>
        </w:rPr>
        <w:t>; the most commonly reported</w:t>
      </w:r>
      <w:r w:rsidR="0059720C">
        <w:rPr>
          <w:lang w:bidi="ar-SA"/>
        </w:rPr>
        <w:t xml:space="preserve"> symptom</w:t>
      </w:r>
      <w:r>
        <w:rPr>
          <w:lang w:bidi="ar-SA"/>
        </w:rPr>
        <w:t xml:space="preserve"> was passing gas, followed by abdominal distention and abdominal pain. </w:t>
      </w:r>
      <w:r w:rsidR="0043717C">
        <w:rPr>
          <w:lang w:bidi="ar-SA"/>
        </w:rPr>
        <w:t xml:space="preserve">One serious adverse event (brief hospitalisation due to colitis) occurred during the trial, however on review the study’s medical safety officer concluded that this was unrelated to the intervention. </w:t>
      </w:r>
    </w:p>
    <w:p w14:paraId="189F2947" w14:textId="2361BA55" w:rsidR="0043717C" w:rsidRPr="009C576D" w:rsidRDefault="0043717C" w:rsidP="009C576D">
      <w:pPr>
        <w:rPr>
          <w:lang w:bidi="ar-SA"/>
        </w:rPr>
      </w:pPr>
      <w:r>
        <w:rPr>
          <w:lang w:bidi="ar-SA"/>
        </w:rPr>
        <w:t xml:space="preserve">The study authors concluded that supplementation with 2′-FL and LNnT improved IBS symptoms and quality of life without substantial side effects, and that the </w:t>
      </w:r>
      <w:r w:rsidR="008968D3">
        <w:rPr>
          <w:lang w:bidi="ar-SA"/>
        </w:rPr>
        <w:t>oligosaccharides</w:t>
      </w:r>
      <w:r>
        <w:rPr>
          <w:lang w:bidi="ar-SA"/>
        </w:rPr>
        <w:t xml:space="preserve"> mix tested is safe for adults with IBS. </w:t>
      </w:r>
    </w:p>
    <w:p w14:paraId="015BD446" w14:textId="77777777" w:rsidR="00CD0AAD" w:rsidRDefault="00CD0AAD" w:rsidP="00CD0AAD">
      <w:pPr>
        <w:pStyle w:val="Heading4"/>
      </w:pPr>
      <w:r>
        <w:t>Post-marketing surveillance</w:t>
      </w:r>
    </w:p>
    <w:p w14:paraId="3AEB2E9D" w14:textId="79397BB9" w:rsidR="00CD0AAD" w:rsidRDefault="001C3ECA" w:rsidP="00CD0AAD">
      <w:r>
        <w:t>At the time of the original application, the applicant</w:t>
      </w:r>
      <w:r w:rsidR="00CD0AAD">
        <w:t xml:space="preserve"> indicated that based on an infant formula supplier’s post-market surveillance</w:t>
      </w:r>
      <w:r w:rsidR="00101DA4">
        <w:t xml:space="preserve"> of products containing the applicant’s </w:t>
      </w:r>
      <w:r w:rsidR="00101DA4">
        <w:rPr>
          <w:lang w:val="en-AU"/>
        </w:rPr>
        <w:t>2′-FL</w:t>
      </w:r>
      <w:r w:rsidR="00CD0AAD">
        <w:t xml:space="preserve">, no indications of issues </w:t>
      </w:r>
      <w:r w:rsidR="00101DA4">
        <w:t>had</w:t>
      </w:r>
      <w:r w:rsidR="00CD0AAD">
        <w:t xml:space="preserve"> been observed or reported. </w:t>
      </w:r>
      <w:r w:rsidR="00101DA4">
        <w:t xml:space="preserve">The applicant has confirmed that they remain unaware of any reports of issues related to products containing their </w:t>
      </w:r>
      <w:r w:rsidR="00101DA4">
        <w:rPr>
          <w:lang w:val="en-AU"/>
        </w:rPr>
        <w:t>2′-FL</w:t>
      </w:r>
      <w:r w:rsidR="00101DA4">
        <w:t xml:space="preserve">. </w:t>
      </w:r>
    </w:p>
    <w:p w14:paraId="6B6804D1" w14:textId="6A40466B" w:rsidR="00CD0AAD" w:rsidRDefault="001F6525" w:rsidP="00CD0AAD">
      <w:pPr>
        <w:pStyle w:val="Heading3"/>
      </w:pPr>
      <w:r>
        <w:lastRenderedPageBreak/>
        <w:t xml:space="preserve">4.2.3 </w:t>
      </w:r>
      <w:r w:rsidR="00CD0AAD">
        <w:t>Allergenicity and intolerance</w:t>
      </w:r>
    </w:p>
    <w:p w14:paraId="108DABAE" w14:textId="61553707" w:rsidR="00CD0AAD" w:rsidRDefault="00CD0AAD" w:rsidP="00CD0AAD">
      <w:r>
        <w:t xml:space="preserve">Batch analysis of the </w:t>
      </w:r>
      <w:r w:rsidR="00F25E51">
        <w:t>2′-</w:t>
      </w:r>
      <w:r>
        <w:t>FL</w:t>
      </w:r>
      <w:r w:rsidRPr="007574AE">
        <w:rPr>
          <w:vertAlign w:val="subscript"/>
        </w:rPr>
        <w:t>micro</w:t>
      </w:r>
      <w:r>
        <w:t xml:space="preserve"> ingredient indicates a lack of detectable proteins</w:t>
      </w:r>
      <w:r w:rsidR="00303327">
        <w:t xml:space="preserve"> (</w:t>
      </w:r>
      <w:hyperlink w:anchor="_Fermentation-derived_contaminants" w:history="1">
        <w:r w:rsidR="00303327" w:rsidRPr="00303327">
          <w:rPr>
            <w:rStyle w:val="Hyperlink"/>
          </w:rPr>
          <w:t>Section 2.3</w:t>
        </w:r>
      </w:hyperlink>
      <w:r w:rsidR="00303327">
        <w:t>)</w:t>
      </w:r>
      <w:r>
        <w:t xml:space="preserve">. The protein content listed in the specification is &lt; 100 </w:t>
      </w:r>
      <w:r>
        <w:rPr>
          <w:rFonts w:cs="Arial"/>
        </w:rPr>
        <w:t>µ</w:t>
      </w:r>
      <w:r>
        <w:t xml:space="preserve">g/g (0.01%), while batch analyses have found protein levels to be &lt; 10 </w:t>
      </w:r>
      <w:r>
        <w:rPr>
          <w:rFonts w:cs="Arial"/>
        </w:rPr>
        <w:t>µ</w:t>
      </w:r>
      <w:r>
        <w:t xml:space="preserve">g/g (0.001%). Therefore </w:t>
      </w:r>
      <w:r w:rsidR="00F25E51">
        <w:t>2′-</w:t>
      </w:r>
      <w:r>
        <w:t xml:space="preserve">FL is </w:t>
      </w:r>
      <w:r w:rsidRPr="00A85B0D">
        <w:t xml:space="preserve">unlikely to pose an allergenicity concern. Consistent with this conclusion, a study </w:t>
      </w:r>
      <w:r w:rsidR="00BD5B2A">
        <w:t xml:space="preserve">by </w:t>
      </w:r>
      <w:r w:rsidRPr="00A85B0D">
        <w:t>Nowak-Wegrzyn et al.</w:t>
      </w:r>
      <w:r w:rsidR="00BD5B2A">
        <w:t xml:space="preserve"> (</w:t>
      </w:r>
      <w:r w:rsidRPr="00A85B0D">
        <w:t>2019</w:t>
      </w:r>
      <w:r w:rsidR="00BD5B2A">
        <w:t>)</w:t>
      </w:r>
      <w:r w:rsidR="006E17F7">
        <w:t>,</w:t>
      </w:r>
      <w:r>
        <w:t xml:space="preserve"> reviewed </w:t>
      </w:r>
      <w:r w:rsidR="00BD5B2A">
        <w:t xml:space="preserve">as part of the </w:t>
      </w:r>
      <w:hyperlink r:id="rId23" w:history="1">
        <w:r w:rsidR="00BD5B2A" w:rsidRPr="001F4557">
          <w:rPr>
            <w:rStyle w:val="Hyperlink"/>
          </w:rPr>
          <w:t xml:space="preserve">A1155 </w:t>
        </w:r>
        <w:r w:rsidR="001F4557" w:rsidRPr="001F4557">
          <w:rPr>
            <w:rStyle w:val="Hyperlink"/>
          </w:rPr>
          <w:t>Review</w:t>
        </w:r>
      </w:hyperlink>
      <w:r w:rsidR="001F4557" w:rsidRPr="001F4557">
        <w:rPr>
          <w:vertAlign w:val="superscript"/>
        </w:rPr>
        <w:t>6</w:t>
      </w:r>
      <w:r w:rsidR="00BD5B2A">
        <w:t>,</w:t>
      </w:r>
      <w:r>
        <w:t xml:space="preserve"> found infant formula containing 1.0 g/L </w:t>
      </w:r>
      <w:r w:rsidR="00F25E51">
        <w:t>2′-</w:t>
      </w:r>
      <w:r>
        <w:t xml:space="preserve">FL (source unspecified) was hypoallergenic in infants with cow’s milk protein allergy. </w:t>
      </w:r>
    </w:p>
    <w:p w14:paraId="7E39FDC9" w14:textId="46EB6576" w:rsidR="00CD0AAD" w:rsidRDefault="00CD0AAD" w:rsidP="00FB484E">
      <w:r>
        <w:t xml:space="preserve">The specification for </w:t>
      </w:r>
      <w:r w:rsidR="00B04105">
        <w:t xml:space="preserve">the applicants </w:t>
      </w:r>
      <w:r w:rsidR="00F25E51">
        <w:t>2′-</w:t>
      </w:r>
      <w:r>
        <w:t>FL indicates it may contain residual lactose, at a concentration of up to 5%</w:t>
      </w:r>
      <w:r w:rsidR="00502C80">
        <w:t xml:space="preserve"> (</w:t>
      </w:r>
      <w:hyperlink w:anchor="Table2_3" w:history="1">
        <w:r w:rsidR="00844B12" w:rsidRPr="00844B12">
          <w:rPr>
            <w:rStyle w:val="Hyperlink"/>
          </w:rPr>
          <w:t>Table 2.3</w:t>
        </w:r>
      </w:hyperlink>
      <w:r w:rsidR="00502C80">
        <w:t>)</w:t>
      </w:r>
      <w:r>
        <w:t xml:space="preserve">. Batch analysis found lactose was present at lower levels than this, up to 0.5% total sugars or 1.5% AUC. Lactose may also be produced from </w:t>
      </w:r>
      <w:r w:rsidR="00F25E51">
        <w:t>2′-</w:t>
      </w:r>
      <w:r>
        <w:t>FL in the gastrointestinal tract, and is the main carbohydrate present in human and mammalian milk.</w:t>
      </w:r>
      <w:r w:rsidR="00FB484E" w:rsidDel="00FB484E">
        <w:t xml:space="preserve"> </w:t>
      </w:r>
    </w:p>
    <w:p w14:paraId="11CA0A53" w14:textId="5119C8C2" w:rsidR="00CD0AAD" w:rsidRPr="00A81782" w:rsidRDefault="001F6525" w:rsidP="00CD0AAD">
      <w:pPr>
        <w:pStyle w:val="Heading3"/>
      </w:pPr>
      <w:r>
        <w:t xml:space="preserve">4.2.4 </w:t>
      </w:r>
      <w:r w:rsidR="00CD0AAD">
        <w:t>Assessments by other regulatory agencies</w:t>
      </w:r>
    </w:p>
    <w:p w14:paraId="0EFAC0D6" w14:textId="3D7F60D2" w:rsidR="00CD0AAD" w:rsidRPr="00A85B0D" w:rsidRDefault="00CD0AAD" w:rsidP="00CD0AAD">
      <w:r>
        <w:t xml:space="preserve">The Netherlands Committee on </w:t>
      </w:r>
      <w:r w:rsidRPr="00A85B0D">
        <w:t xml:space="preserve">Safety Assessment of Novel Foods completed an </w:t>
      </w:r>
      <w:r w:rsidR="00E63172" w:rsidRPr="00A85B0D">
        <w:t>evaluation</w:t>
      </w:r>
      <w:r w:rsidRPr="00A85B0D">
        <w:t xml:space="preserve"> of </w:t>
      </w:r>
      <w:r w:rsidR="00F25E51">
        <w:t>2′-</w:t>
      </w:r>
      <w:r w:rsidRPr="00A85B0D">
        <w:t>FL</w:t>
      </w:r>
      <w:r w:rsidRPr="00A85B0D">
        <w:rPr>
          <w:vertAlign w:val="subscript"/>
        </w:rPr>
        <w:t>micro</w:t>
      </w:r>
      <w:r w:rsidRPr="00A85B0D">
        <w:t xml:space="preserve"> produced by </w:t>
      </w:r>
      <w:r w:rsidR="00B04105">
        <w:t>the applicant</w:t>
      </w:r>
      <w:r w:rsidR="00B04105" w:rsidRPr="00A85B0D">
        <w:t xml:space="preserve"> </w:t>
      </w:r>
      <w:r w:rsidRPr="00A85B0D">
        <w:t xml:space="preserve">in 2016 (NFU 2016). This assessment concluded that the evidence presented adequately demonstrated that </w:t>
      </w:r>
      <w:r w:rsidR="00F25E51">
        <w:t>2′-</w:t>
      </w:r>
      <w:r w:rsidRPr="00A85B0D">
        <w:t xml:space="preserve">FL can be safely used as an ingredient in infant formula and follow-on formula at the proposed use level of up to 2 g/L. </w:t>
      </w:r>
    </w:p>
    <w:p w14:paraId="43261C48" w14:textId="761C77E6" w:rsidR="00CD0AAD" w:rsidRPr="00A85B0D" w:rsidRDefault="00CD0AAD" w:rsidP="00CD0AAD">
      <w:r w:rsidRPr="00A85B0D">
        <w:t xml:space="preserve">The US Food and Drug Administration (FDA) has responded </w:t>
      </w:r>
      <w:r w:rsidR="006075A8">
        <w:t>with</w:t>
      </w:r>
      <w:r w:rsidRPr="00A85B0D">
        <w:t xml:space="preserve"> ‘no questions’ to </w:t>
      </w:r>
      <w:r w:rsidR="00B04105">
        <w:t>the applicants</w:t>
      </w:r>
      <w:r w:rsidR="00B04105" w:rsidRPr="00A85B0D">
        <w:t xml:space="preserve"> </w:t>
      </w:r>
      <w:r w:rsidRPr="00A85B0D">
        <w:t xml:space="preserve">self assessment that its </w:t>
      </w:r>
      <w:r w:rsidR="00F25E51">
        <w:t>2′-</w:t>
      </w:r>
      <w:r w:rsidRPr="00A85B0D">
        <w:t>FL</w:t>
      </w:r>
      <w:r w:rsidRPr="00A85B0D">
        <w:rPr>
          <w:vertAlign w:val="subscript"/>
        </w:rPr>
        <w:t>micro</w:t>
      </w:r>
      <w:r w:rsidRPr="00A85B0D">
        <w:t xml:space="preserve"> is Generally Recognized as Safe (GRAS)</w:t>
      </w:r>
      <w:r w:rsidR="00BB5034">
        <w:t xml:space="preserve"> when used as an ingredient in infant and toddler formula at concentrations up to 2.0 g/L</w:t>
      </w:r>
      <w:r w:rsidRPr="00A85B0D">
        <w:rPr>
          <w:rStyle w:val="FootnoteReference"/>
        </w:rPr>
        <w:footnoteReference w:id="8"/>
      </w:r>
      <w:r w:rsidRPr="00A85B0D">
        <w:t>. The USFDA has also issued ‘no questions’ responses to other manufacturers’ self-assessed GRAS notifications</w:t>
      </w:r>
      <w:r w:rsidR="006075A8">
        <w:t xml:space="preserve"> (GRN)</w:t>
      </w:r>
      <w:r w:rsidRPr="00A85B0D">
        <w:t xml:space="preserve"> for 2′-FL produced by Glycom (</w:t>
      </w:r>
      <w:r w:rsidR="00F25E51">
        <w:t>2′-</w:t>
      </w:r>
      <w:r w:rsidRPr="00A85B0D">
        <w:t>FL</w:t>
      </w:r>
      <w:r w:rsidRPr="00EC3A85">
        <w:rPr>
          <w:vertAlign w:val="subscript"/>
        </w:rPr>
        <w:t>chem</w:t>
      </w:r>
      <w:r w:rsidR="00741673" w:rsidRPr="00741673">
        <w:rPr>
          <w:vertAlign w:val="superscript"/>
        </w:rPr>
        <w:t>9</w:t>
      </w:r>
      <w:r w:rsidRPr="00A85B0D">
        <w:t xml:space="preserve"> and </w:t>
      </w:r>
      <w:r w:rsidR="00F25E51">
        <w:t>2′-</w:t>
      </w:r>
      <w:r>
        <w:t>FL</w:t>
      </w:r>
      <w:r w:rsidRPr="00EC3A85">
        <w:rPr>
          <w:vertAlign w:val="subscript"/>
        </w:rPr>
        <w:t>micro</w:t>
      </w:r>
      <w:r w:rsidR="00741673" w:rsidRPr="00741673">
        <w:rPr>
          <w:vertAlign w:val="superscript"/>
        </w:rPr>
        <w:t>10</w:t>
      </w:r>
      <w:r w:rsidR="006075A8">
        <w:t xml:space="preserve">), </w:t>
      </w:r>
      <w:r w:rsidRPr="00A85B0D">
        <w:t>Friesland Campina</w:t>
      </w:r>
      <w:r w:rsidR="00741673" w:rsidRPr="00741673">
        <w:rPr>
          <w:vertAlign w:val="superscript"/>
        </w:rPr>
        <w:t>11</w:t>
      </w:r>
      <w:r w:rsidR="00BB5034">
        <w:t>,</w:t>
      </w:r>
      <w:r w:rsidRPr="00A85B0D">
        <w:t xml:space="preserve"> DuPont</w:t>
      </w:r>
      <w:r w:rsidR="00741673" w:rsidRPr="00741673">
        <w:rPr>
          <w:vertAlign w:val="superscript"/>
        </w:rPr>
        <w:t>12</w:t>
      </w:r>
      <w:r w:rsidR="006075A8">
        <w:t xml:space="preserve"> and</w:t>
      </w:r>
      <w:r w:rsidR="00BB5034">
        <w:t xml:space="preserve"> BASF</w:t>
      </w:r>
      <w:r w:rsidR="00741673" w:rsidRPr="00741673">
        <w:rPr>
          <w:vertAlign w:val="superscript"/>
        </w:rPr>
        <w:t>13</w:t>
      </w:r>
      <w:r w:rsidRPr="00A85B0D">
        <w:t xml:space="preserve">. </w:t>
      </w:r>
    </w:p>
    <w:p w14:paraId="598E66E0" w14:textId="13615392" w:rsidR="0084097F" w:rsidRDefault="00CD0AAD" w:rsidP="0055283E">
      <w:pPr>
        <w:rPr>
          <w:lang w:val="en-AU"/>
        </w:rPr>
      </w:pPr>
      <w:r w:rsidRPr="00A85B0D">
        <w:t xml:space="preserve">The European Food Safety Authority (EFSA) assessed </w:t>
      </w:r>
      <w:r w:rsidR="00F25E51">
        <w:t>2′-</w:t>
      </w:r>
      <w:r w:rsidRPr="00A85B0D">
        <w:t>FL</w:t>
      </w:r>
      <w:r w:rsidRPr="00A85B0D">
        <w:rPr>
          <w:vertAlign w:val="subscript"/>
        </w:rPr>
        <w:t>chem</w:t>
      </w:r>
      <w:r w:rsidRPr="00A85B0D">
        <w:t xml:space="preserve"> produced by Glycom as a novel food ingredient in 2015, and concluded it was safe for use alone or in combination with LNnT when added to infant formula, follow-on formula and young-child formula at concentrations up to 1.2 g/L </w:t>
      </w:r>
      <w:r w:rsidR="00F25E51">
        <w:t>2′-</w:t>
      </w:r>
      <w:r w:rsidRPr="00A85B0D">
        <w:t xml:space="preserve">FL ad 0.6 g/L LNnT at a ratio of 2:1 (EFSA 2015). </w:t>
      </w:r>
      <w:r w:rsidRPr="00A85B0D">
        <w:rPr>
          <w:lang w:val="en-AU"/>
        </w:rPr>
        <w:t>The Food Safety Authority of Ireland (FSAI) has issued an opinion concluding that Glycom’s 2′-FL</w:t>
      </w:r>
      <w:r w:rsidRPr="00A85B0D">
        <w:rPr>
          <w:vertAlign w:val="subscript"/>
          <w:lang w:val="en-AU"/>
        </w:rPr>
        <w:t>micro</w:t>
      </w:r>
      <w:r w:rsidRPr="00A85B0D">
        <w:rPr>
          <w:lang w:val="en-AU"/>
        </w:rPr>
        <w:t xml:space="preserve"> is substantially equivalent to the previously approved chemically synthesised form, and therefore raises no safety concerns (FSAI 2016).</w:t>
      </w:r>
      <w:r w:rsidR="001F6525">
        <w:rPr>
          <w:lang w:val="en-AU"/>
        </w:rPr>
        <w:t xml:space="preserve"> </w:t>
      </w:r>
    </w:p>
    <w:p w14:paraId="22F359DA" w14:textId="6AC415C4" w:rsidR="00E36B24" w:rsidRPr="001F6525" w:rsidRDefault="00850EFD" w:rsidP="0055283E">
      <w:pPr>
        <w:rPr>
          <w:lang w:val="en-AU"/>
        </w:rPr>
      </w:pPr>
      <w:r>
        <w:rPr>
          <w:lang w:val="en-AU"/>
        </w:rPr>
        <w:t xml:space="preserve">EFSA has also concluded that a mixture of </w:t>
      </w:r>
      <w:r w:rsidR="00F25E51">
        <w:rPr>
          <w:lang w:val="en-AU"/>
        </w:rPr>
        <w:t>2′-</w:t>
      </w:r>
      <w:r>
        <w:rPr>
          <w:lang w:val="en-AU"/>
        </w:rPr>
        <w:t>FL/</w:t>
      </w:r>
      <w:r w:rsidR="00E04CF8" w:rsidRPr="00E04CF8">
        <w:rPr>
          <w:lang w:val="en-AU"/>
        </w:rPr>
        <w:t>DFL</w:t>
      </w:r>
      <w:r w:rsidRPr="00850EFD">
        <w:rPr>
          <w:vertAlign w:val="subscript"/>
          <w:lang w:val="en-AU"/>
        </w:rPr>
        <w:t>micro</w:t>
      </w:r>
      <w:r>
        <w:rPr>
          <w:lang w:val="en-AU"/>
        </w:rPr>
        <w:t xml:space="preserve"> produced by Glycom is safe for addition to </w:t>
      </w:r>
      <w:r w:rsidRPr="00850EFD">
        <w:rPr>
          <w:lang w:val="en-AU"/>
        </w:rPr>
        <w:t>a variety of foods, including infant and follow</w:t>
      </w:r>
      <w:r w:rsidRPr="00850EFD">
        <w:rPr>
          <w:rFonts w:ascii="Cambria Math" w:hAnsi="Cambria Math" w:cs="Cambria Math"/>
          <w:lang w:val="en-AU"/>
        </w:rPr>
        <w:t>‐</w:t>
      </w:r>
      <w:r w:rsidRPr="00850EFD">
        <w:rPr>
          <w:lang w:val="en-AU"/>
        </w:rPr>
        <w:t>on formula, foods for infants and young children, foods for special medical purposes and food supplements</w:t>
      </w:r>
      <w:r w:rsidR="00B348B8">
        <w:rPr>
          <w:lang w:val="en-AU"/>
        </w:rPr>
        <w:t xml:space="preserve"> under the proposed use conditions</w:t>
      </w:r>
      <w:r>
        <w:rPr>
          <w:lang w:val="en-AU"/>
        </w:rPr>
        <w:t xml:space="preserve">. </w:t>
      </w:r>
    </w:p>
    <w:p w14:paraId="7A9EBE7C" w14:textId="4B4C52D5" w:rsidR="0084097F" w:rsidRDefault="0084097F" w:rsidP="0084097F">
      <w:pPr>
        <w:pStyle w:val="Heading2"/>
      </w:pPr>
      <w:bookmarkStart w:id="202" w:name="_Toc70675690"/>
      <w:bookmarkStart w:id="203" w:name="_Toc70675783"/>
      <w:bookmarkStart w:id="204" w:name="_Toc72480622"/>
      <w:r>
        <w:lastRenderedPageBreak/>
        <w:t>4.</w:t>
      </w:r>
      <w:r w:rsidR="001F6525">
        <w:t>3</w:t>
      </w:r>
      <w:r>
        <w:tab/>
        <w:t>Key findings of the toxicology assessment</w:t>
      </w:r>
      <w:bookmarkEnd w:id="202"/>
      <w:bookmarkEnd w:id="203"/>
      <w:bookmarkEnd w:id="204"/>
    </w:p>
    <w:p w14:paraId="768496B9" w14:textId="01AE50D4" w:rsidR="002413D6" w:rsidRDefault="00F25E51" w:rsidP="002413D6">
      <w:pPr>
        <w:rPr>
          <w:lang w:val="en-AU"/>
        </w:rPr>
      </w:pPr>
      <w:r>
        <w:rPr>
          <w:lang w:val="en-AU"/>
        </w:rPr>
        <w:t>2′-</w:t>
      </w:r>
      <w:r w:rsidR="002413D6">
        <w:rPr>
          <w:lang w:val="en-AU"/>
        </w:rPr>
        <w:t xml:space="preserve">FL has previously been assessed by </w:t>
      </w:r>
      <w:r w:rsidR="002413D6" w:rsidRPr="00765830">
        <w:rPr>
          <w:lang w:val="en-AU"/>
        </w:rPr>
        <w:t>FSANZ (FSANZ 2019</w:t>
      </w:r>
      <w:r w:rsidR="007A10E8">
        <w:rPr>
          <w:lang w:val="en-AU"/>
        </w:rPr>
        <w:t xml:space="preserve">; </w:t>
      </w:r>
      <w:hyperlink r:id="rId24" w:history="1">
        <w:r w:rsidR="008902DF" w:rsidRPr="008902DF">
          <w:rPr>
            <w:rStyle w:val="Hyperlink"/>
          </w:rPr>
          <w:t>A1155 Review</w:t>
        </w:r>
      </w:hyperlink>
      <w:r w:rsidR="006576CA">
        <w:rPr>
          <w:vertAlign w:val="superscript"/>
          <w:lang w:val="en-AU"/>
        </w:rPr>
        <w:t>6</w:t>
      </w:r>
      <w:r w:rsidR="002413D6" w:rsidRPr="00765830">
        <w:rPr>
          <w:lang w:val="en-AU"/>
        </w:rPr>
        <w:t>).</w:t>
      </w:r>
      <w:r w:rsidR="002413D6">
        <w:rPr>
          <w:lang w:val="en-AU"/>
        </w:rPr>
        <w:t xml:space="preserve"> Data on </w:t>
      </w:r>
      <w:r>
        <w:rPr>
          <w:lang w:val="en-AU"/>
        </w:rPr>
        <w:t>2′-</w:t>
      </w:r>
      <w:r w:rsidR="002413D6">
        <w:rPr>
          <w:lang w:val="en-AU"/>
        </w:rPr>
        <w:t xml:space="preserve">FL produced from a variety of sources, including </w:t>
      </w:r>
      <w:r w:rsidR="001C3ECA">
        <w:rPr>
          <w:lang w:val="en-AU"/>
        </w:rPr>
        <w:t>the applicant’s</w:t>
      </w:r>
      <w:r w:rsidR="002413D6">
        <w:rPr>
          <w:lang w:val="en-AU"/>
        </w:rPr>
        <w:t xml:space="preserve"> </w:t>
      </w:r>
      <w:r>
        <w:rPr>
          <w:lang w:val="en-AU"/>
        </w:rPr>
        <w:t>2′-</w:t>
      </w:r>
      <w:r w:rsidR="002413D6">
        <w:rPr>
          <w:lang w:val="en-AU"/>
        </w:rPr>
        <w:t>FL</w:t>
      </w:r>
      <w:r w:rsidR="002413D6" w:rsidRPr="004B580E">
        <w:rPr>
          <w:vertAlign w:val="subscript"/>
          <w:lang w:val="en-AU"/>
        </w:rPr>
        <w:t>micro</w:t>
      </w:r>
      <w:r w:rsidR="002413D6">
        <w:rPr>
          <w:lang w:val="en-AU"/>
        </w:rPr>
        <w:t xml:space="preserve">, were considered as part of the evaluation. The assessment concluded that </w:t>
      </w:r>
      <w:r w:rsidR="002413D6" w:rsidRPr="00AB33BB">
        <w:rPr>
          <w:lang w:val="en-AU"/>
        </w:rPr>
        <w:t xml:space="preserve">there were no safety concerns associated with the addition of 2′-FL to </w:t>
      </w:r>
      <w:r w:rsidR="00D11675">
        <w:rPr>
          <w:lang w:val="en-AU"/>
        </w:rPr>
        <w:t>IFP</w:t>
      </w:r>
      <w:r w:rsidR="002413D6" w:rsidRPr="00AB33BB">
        <w:rPr>
          <w:lang w:val="en-AU"/>
        </w:rPr>
        <w:t xml:space="preserve"> and </w:t>
      </w:r>
      <w:r w:rsidR="00D11675">
        <w:rPr>
          <w:lang w:val="en-AU"/>
        </w:rPr>
        <w:t>FSFYC</w:t>
      </w:r>
      <w:r w:rsidR="002413D6" w:rsidRPr="00AB33BB">
        <w:rPr>
          <w:lang w:val="en-AU"/>
        </w:rPr>
        <w:t xml:space="preserve"> at </w:t>
      </w:r>
      <w:r w:rsidR="002413D6">
        <w:rPr>
          <w:lang w:val="en-AU"/>
        </w:rPr>
        <w:t xml:space="preserve">concentrations up to </w:t>
      </w:r>
      <w:r w:rsidR="002413D6" w:rsidRPr="00AB33BB">
        <w:rPr>
          <w:lang w:val="en-AU"/>
        </w:rPr>
        <w:t xml:space="preserve">2.4 </w:t>
      </w:r>
      <w:r w:rsidR="002413D6">
        <w:rPr>
          <w:lang w:val="en-AU"/>
        </w:rPr>
        <w:t>g/L</w:t>
      </w:r>
      <w:r w:rsidR="002413D6" w:rsidRPr="00AB33BB">
        <w:rPr>
          <w:lang w:val="en-AU"/>
        </w:rPr>
        <w:t>.</w:t>
      </w:r>
      <w:r w:rsidR="002413D6">
        <w:rPr>
          <w:lang w:val="en-AU"/>
        </w:rPr>
        <w:t xml:space="preserve"> </w:t>
      </w:r>
    </w:p>
    <w:p w14:paraId="5FFEBFD6" w14:textId="11E015B6" w:rsidR="002413D6" w:rsidRDefault="007A10E8" w:rsidP="002413D6">
      <w:pPr>
        <w:rPr>
          <w:lang w:val="en-AU"/>
        </w:rPr>
      </w:pPr>
      <w:r>
        <w:rPr>
          <w:lang w:val="en-AU"/>
        </w:rPr>
        <w:t>T</w:t>
      </w:r>
      <w:r w:rsidR="002413D6">
        <w:rPr>
          <w:lang w:val="en-AU"/>
        </w:rPr>
        <w:t xml:space="preserve">oxicological and clinical studies on </w:t>
      </w:r>
      <w:r w:rsidR="008968D3">
        <w:rPr>
          <w:lang w:val="en-AU"/>
        </w:rPr>
        <w:t>oligosaccharides found in human milk</w:t>
      </w:r>
      <w:r w:rsidR="002413D6">
        <w:rPr>
          <w:lang w:val="en-AU"/>
        </w:rPr>
        <w:t xml:space="preserve"> submitted by the a</w:t>
      </w:r>
      <w:r w:rsidR="00DF6034">
        <w:rPr>
          <w:lang w:val="en-AU"/>
        </w:rPr>
        <w:t>pplicant or published since FSANZ’s earlier assessment</w:t>
      </w:r>
      <w:r>
        <w:rPr>
          <w:lang w:val="en-AU"/>
        </w:rPr>
        <w:t>s</w:t>
      </w:r>
      <w:r w:rsidR="002413D6">
        <w:rPr>
          <w:lang w:val="en-AU"/>
        </w:rPr>
        <w:t xml:space="preserve"> did not indicate a need to amend the </w:t>
      </w:r>
      <w:r w:rsidR="00E63172">
        <w:rPr>
          <w:lang w:val="en-AU"/>
        </w:rPr>
        <w:t>conclusions</w:t>
      </w:r>
      <w:r w:rsidR="002413D6">
        <w:rPr>
          <w:lang w:val="en-AU"/>
        </w:rPr>
        <w:t xml:space="preserve"> of the previous evaluation. </w:t>
      </w:r>
    </w:p>
    <w:p w14:paraId="3A4F28CB" w14:textId="31BAB4C8" w:rsidR="002413D6" w:rsidRDefault="002413D6" w:rsidP="002413D6">
      <w:pPr>
        <w:rPr>
          <w:lang w:val="en-AU"/>
        </w:rPr>
      </w:pPr>
      <w:r>
        <w:rPr>
          <w:lang w:val="en-AU"/>
        </w:rPr>
        <w:t xml:space="preserve">The full study </w:t>
      </w:r>
      <w:r w:rsidR="008968D3">
        <w:rPr>
          <w:lang w:val="en-AU"/>
        </w:rPr>
        <w:t>report of the three</w:t>
      </w:r>
      <w:r>
        <w:rPr>
          <w:lang w:val="en-AU"/>
        </w:rPr>
        <w:t xml:space="preserve">-week dietary toxicity study in neonatal piglets with </w:t>
      </w:r>
      <w:r w:rsidR="001C3ECA">
        <w:rPr>
          <w:lang w:val="en-AU"/>
        </w:rPr>
        <w:t>the applicant’s</w:t>
      </w:r>
      <w:r>
        <w:rPr>
          <w:lang w:val="en-AU"/>
        </w:rPr>
        <w:t xml:space="preserve"> </w:t>
      </w:r>
      <w:r w:rsidR="00F25E51">
        <w:rPr>
          <w:lang w:val="en-AU"/>
        </w:rPr>
        <w:t>2′-</w:t>
      </w:r>
      <w:r>
        <w:rPr>
          <w:lang w:val="en-AU"/>
        </w:rPr>
        <w:t>FL</w:t>
      </w:r>
      <w:r w:rsidRPr="00F16E2F">
        <w:rPr>
          <w:vertAlign w:val="subscript"/>
          <w:lang w:val="en-AU"/>
        </w:rPr>
        <w:t>micro</w:t>
      </w:r>
      <w:r>
        <w:rPr>
          <w:lang w:val="en-AU"/>
        </w:rPr>
        <w:t xml:space="preserve"> did not indicate a need to amend the previous conclusion that there were no adverse effects at formula concentrations up to 2.0 g/L </w:t>
      </w:r>
      <w:r w:rsidR="00F25E51">
        <w:rPr>
          <w:lang w:val="en-AU"/>
        </w:rPr>
        <w:t>2′-</w:t>
      </w:r>
      <w:r>
        <w:rPr>
          <w:lang w:val="en-AU"/>
        </w:rPr>
        <w:t xml:space="preserve">FL, the highest concentration tested. </w:t>
      </w:r>
      <w:r w:rsidR="001C3ECA">
        <w:rPr>
          <w:lang w:val="en-AU"/>
        </w:rPr>
        <w:t xml:space="preserve">In another </w:t>
      </w:r>
      <w:r w:rsidR="008968D3">
        <w:rPr>
          <w:lang w:val="en-AU"/>
        </w:rPr>
        <w:t>three</w:t>
      </w:r>
      <w:r w:rsidR="001C3ECA">
        <w:rPr>
          <w:lang w:val="en-AU"/>
        </w:rPr>
        <w:t xml:space="preserve">-week study in neonatal piglets fed formula containing a mixture of </w:t>
      </w:r>
      <w:r w:rsidR="008968D3">
        <w:rPr>
          <w:lang w:val="en-AU"/>
        </w:rPr>
        <w:t>five</w:t>
      </w:r>
      <w:r w:rsidR="001C3ECA">
        <w:rPr>
          <w:lang w:val="en-AU"/>
        </w:rPr>
        <w:t xml:space="preserve"> </w:t>
      </w:r>
      <w:r w:rsidR="008968D3">
        <w:rPr>
          <w:lang w:val="en-AU"/>
        </w:rPr>
        <w:t>oligosaccharides</w:t>
      </w:r>
      <w:r w:rsidR="001C3ECA">
        <w:rPr>
          <w:lang w:val="en-AU"/>
        </w:rPr>
        <w:t xml:space="preserve"> including 2′-FL, no adverse effects were observed at concentrations up to 8.0 g/L (equal to </w:t>
      </w:r>
      <w:r w:rsidR="001C3ECA">
        <w:rPr>
          <w:rFonts w:cs="Arial"/>
          <w:lang w:val="en-AU"/>
        </w:rPr>
        <w:t>~</w:t>
      </w:r>
      <w:r w:rsidR="001C3ECA">
        <w:rPr>
          <w:lang w:val="en-AU"/>
        </w:rPr>
        <w:t xml:space="preserve"> 4.0 g/L 2′-FL).</w:t>
      </w:r>
      <w:r>
        <w:rPr>
          <w:lang w:val="en-AU"/>
        </w:rPr>
        <w:t xml:space="preserve"> A 90</w:t>
      </w:r>
      <w:r w:rsidR="004A5960">
        <w:rPr>
          <w:lang w:val="en-AU"/>
        </w:rPr>
        <w:t>-day oral toxicity study with a</w:t>
      </w:r>
      <w:r>
        <w:rPr>
          <w:lang w:val="en-AU"/>
        </w:rPr>
        <w:t xml:space="preserve"> mixture of </w:t>
      </w:r>
      <w:r w:rsidR="00F25E51">
        <w:rPr>
          <w:lang w:val="en-AU"/>
        </w:rPr>
        <w:t>2′-</w:t>
      </w:r>
      <w:r>
        <w:rPr>
          <w:lang w:val="en-AU"/>
        </w:rPr>
        <w:t>FL</w:t>
      </w:r>
      <w:r w:rsidR="004A5960">
        <w:rPr>
          <w:lang w:val="en-AU"/>
        </w:rPr>
        <w:t xml:space="preserve"> </w:t>
      </w:r>
      <w:r w:rsidR="001C3ECA">
        <w:rPr>
          <w:lang w:val="en-AU"/>
        </w:rPr>
        <w:t>and</w:t>
      </w:r>
      <w:r w:rsidR="004A5960">
        <w:rPr>
          <w:lang w:val="en-AU"/>
        </w:rPr>
        <w:t xml:space="preserve"> LNFP-I</w:t>
      </w:r>
      <w:r>
        <w:rPr>
          <w:lang w:val="en-AU"/>
        </w:rPr>
        <w:t xml:space="preserve"> in neonatal rats also found no adverse effects at the highest dose tested, </w:t>
      </w:r>
      <w:r w:rsidR="007A10E8">
        <w:rPr>
          <w:lang w:val="en-AU"/>
        </w:rPr>
        <w:t>5000</w:t>
      </w:r>
      <w:r>
        <w:rPr>
          <w:lang w:val="en-AU"/>
        </w:rPr>
        <w:t xml:space="preserve"> mg/kg bw/day </w:t>
      </w:r>
      <w:r w:rsidR="007A10E8">
        <w:rPr>
          <w:lang w:val="en-AU"/>
        </w:rPr>
        <w:t>LNFP-I/</w:t>
      </w:r>
      <w:r w:rsidR="00F25E51">
        <w:rPr>
          <w:lang w:val="en-AU"/>
        </w:rPr>
        <w:t>2′-</w:t>
      </w:r>
      <w:r>
        <w:rPr>
          <w:lang w:val="en-AU"/>
        </w:rPr>
        <w:t>FL</w:t>
      </w:r>
      <w:r w:rsidR="007A10E8">
        <w:rPr>
          <w:lang w:val="en-AU"/>
        </w:rPr>
        <w:t xml:space="preserve">, equal to </w:t>
      </w:r>
      <w:r w:rsidR="004A5960">
        <w:t>1730 mg/kg bw/day 2′-FL</w:t>
      </w:r>
      <w:r>
        <w:rPr>
          <w:lang w:val="en-AU"/>
        </w:rPr>
        <w:t xml:space="preserve">. </w:t>
      </w:r>
    </w:p>
    <w:p w14:paraId="739769E4" w14:textId="68A2B5FA" w:rsidR="002413D6" w:rsidRDefault="002413D6" w:rsidP="002413D6">
      <w:pPr>
        <w:rPr>
          <w:lang w:val="en-AU"/>
        </w:rPr>
      </w:pPr>
      <w:r>
        <w:rPr>
          <w:lang w:val="en-AU"/>
        </w:rPr>
        <w:t xml:space="preserve">An </w:t>
      </w:r>
      <w:r w:rsidRPr="00AD5ED6">
        <w:rPr>
          <w:i/>
          <w:lang w:val="en-AU"/>
        </w:rPr>
        <w:t>in vitro</w:t>
      </w:r>
      <w:r>
        <w:rPr>
          <w:lang w:val="en-AU"/>
        </w:rPr>
        <w:t xml:space="preserve"> micronucleus assay with </w:t>
      </w:r>
      <w:r w:rsidR="009001D7">
        <w:rPr>
          <w:lang w:val="en-AU"/>
        </w:rPr>
        <w:t xml:space="preserve">the applicant’s </w:t>
      </w:r>
      <w:r w:rsidR="00F25E51">
        <w:rPr>
          <w:lang w:val="en-AU"/>
        </w:rPr>
        <w:t>2′-</w:t>
      </w:r>
      <w:r>
        <w:rPr>
          <w:lang w:val="en-AU"/>
        </w:rPr>
        <w:t>FL</w:t>
      </w:r>
      <w:r w:rsidRPr="00AD5ED6">
        <w:rPr>
          <w:vertAlign w:val="subscript"/>
          <w:lang w:val="en-AU"/>
        </w:rPr>
        <w:t>micro</w:t>
      </w:r>
      <w:r>
        <w:rPr>
          <w:lang w:val="en-AU"/>
        </w:rPr>
        <w:t xml:space="preserve">, plus </w:t>
      </w:r>
      <w:r w:rsidRPr="00AD5ED6">
        <w:rPr>
          <w:i/>
          <w:lang w:val="en-AU"/>
        </w:rPr>
        <w:t>in vitro</w:t>
      </w:r>
      <w:r>
        <w:rPr>
          <w:lang w:val="en-AU"/>
        </w:rPr>
        <w:t xml:space="preserve"> mutagenicity and micronucleus tests with </w:t>
      </w:r>
      <w:r w:rsidR="004A5960">
        <w:rPr>
          <w:lang w:val="en-AU"/>
        </w:rPr>
        <w:t>a</w:t>
      </w:r>
      <w:r>
        <w:rPr>
          <w:lang w:val="en-AU"/>
        </w:rPr>
        <w:t xml:space="preserve"> mixture of </w:t>
      </w:r>
      <w:r w:rsidR="00F25E51">
        <w:rPr>
          <w:lang w:val="en-AU"/>
        </w:rPr>
        <w:t>2′-</w:t>
      </w:r>
      <w:r>
        <w:rPr>
          <w:lang w:val="en-AU"/>
        </w:rPr>
        <w:t xml:space="preserve">FL and </w:t>
      </w:r>
      <w:r w:rsidR="004A5960">
        <w:rPr>
          <w:lang w:val="en-AU"/>
        </w:rPr>
        <w:t>LNFP-I</w:t>
      </w:r>
      <w:r>
        <w:rPr>
          <w:lang w:val="en-AU"/>
        </w:rPr>
        <w:t xml:space="preserve">, confirmed that </w:t>
      </w:r>
      <w:r w:rsidR="00F25E51">
        <w:rPr>
          <w:lang w:val="en-AU"/>
        </w:rPr>
        <w:t>2′-</w:t>
      </w:r>
      <w:r>
        <w:rPr>
          <w:lang w:val="en-AU"/>
        </w:rPr>
        <w:t>FL is not genotoxic.</w:t>
      </w:r>
      <w:r w:rsidR="004A5960">
        <w:rPr>
          <w:lang w:val="en-AU"/>
        </w:rPr>
        <w:t xml:space="preserve"> </w:t>
      </w:r>
    </w:p>
    <w:p w14:paraId="4F1C6960" w14:textId="4B79630A" w:rsidR="004A5960" w:rsidRDefault="002413D6" w:rsidP="002413D6">
      <w:pPr>
        <w:rPr>
          <w:lang w:val="en-AU"/>
        </w:rPr>
      </w:pPr>
      <w:r>
        <w:rPr>
          <w:lang w:val="en-AU"/>
        </w:rPr>
        <w:t xml:space="preserve">Newly available information from human clinical studies found that </w:t>
      </w:r>
      <w:r w:rsidR="00D50DE9">
        <w:rPr>
          <w:lang w:val="en-AU"/>
        </w:rPr>
        <w:t xml:space="preserve">eHF </w:t>
      </w:r>
      <w:r w:rsidR="004A5960">
        <w:rPr>
          <w:lang w:val="en-AU"/>
        </w:rPr>
        <w:t xml:space="preserve">infant </w:t>
      </w:r>
      <w:r>
        <w:rPr>
          <w:lang w:val="en-AU"/>
        </w:rPr>
        <w:t xml:space="preserve">formula containing </w:t>
      </w:r>
      <w:r w:rsidR="00F25E51">
        <w:rPr>
          <w:lang w:val="en-AU"/>
        </w:rPr>
        <w:t>2′-</w:t>
      </w:r>
      <w:r>
        <w:rPr>
          <w:lang w:val="en-AU"/>
        </w:rPr>
        <w:t xml:space="preserve">FL </w:t>
      </w:r>
      <w:r w:rsidR="00C54E98">
        <w:rPr>
          <w:lang w:val="en-AU"/>
        </w:rPr>
        <w:t xml:space="preserve">at </w:t>
      </w:r>
      <w:r w:rsidR="00D50DE9">
        <w:rPr>
          <w:lang w:val="en-AU"/>
        </w:rPr>
        <w:t>0.2 g/L was well tolerated by infants with suspected food protein allergy, feeding intolerance or other underlying health conditions. No intervention-related adverse events were observed in study of healthy toddlers consuming young child formula containing 3 g/L 2′-FL for six months. Consumption of a 4:1 mixture of 2′-FL and LNnT by adults with IBS was also well tolerated, with the most common side effects being mild gastrointestinal symptoms</w:t>
      </w:r>
      <w:r w:rsidR="00C402F5">
        <w:rPr>
          <w:lang w:val="en-AU"/>
        </w:rPr>
        <w:t xml:space="preserve"> experienced by a small proportion of study participants</w:t>
      </w:r>
      <w:r w:rsidR="00D50DE9">
        <w:rPr>
          <w:lang w:val="en-AU"/>
        </w:rPr>
        <w:t xml:space="preserve">. </w:t>
      </w:r>
    </w:p>
    <w:p w14:paraId="5A137605" w14:textId="1F88C162" w:rsidR="002413D6" w:rsidRDefault="004A5960" w:rsidP="002413D6">
      <w:pPr>
        <w:rPr>
          <w:lang w:val="en-AU"/>
        </w:rPr>
      </w:pPr>
      <w:r>
        <w:rPr>
          <w:lang w:val="en-AU"/>
        </w:rPr>
        <w:t>T</w:t>
      </w:r>
      <w:r w:rsidR="002413D6">
        <w:rPr>
          <w:lang w:val="en-AU"/>
        </w:rPr>
        <w:t xml:space="preserve">he applicant has also indicated that post-marketing surveillance by an infant formula supplier has not identified any reports of issues with products containing </w:t>
      </w:r>
      <w:r w:rsidR="00B04105">
        <w:rPr>
          <w:lang w:val="en-AU"/>
        </w:rPr>
        <w:t>the applicant</w:t>
      </w:r>
      <w:r w:rsidR="00FB484E">
        <w:rPr>
          <w:lang w:val="en-AU"/>
        </w:rPr>
        <w:t>’</w:t>
      </w:r>
      <w:r w:rsidR="00B04105">
        <w:rPr>
          <w:lang w:val="en-AU"/>
        </w:rPr>
        <w:t xml:space="preserve">s </w:t>
      </w:r>
      <w:r w:rsidR="00F25E51">
        <w:rPr>
          <w:lang w:val="en-AU"/>
        </w:rPr>
        <w:t>2′-</w:t>
      </w:r>
      <w:r w:rsidR="002413D6">
        <w:rPr>
          <w:lang w:val="en-AU"/>
        </w:rPr>
        <w:t xml:space="preserve">FL. </w:t>
      </w:r>
    </w:p>
    <w:p w14:paraId="1488A156" w14:textId="61B41591" w:rsidR="002413D6" w:rsidRDefault="00F25E51" w:rsidP="002413D6">
      <w:pPr>
        <w:rPr>
          <w:lang w:val="en-AU"/>
        </w:rPr>
      </w:pPr>
      <w:r>
        <w:rPr>
          <w:lang w:val="en-AU"/>
        </w:rPr>
        <w:t>2′-</w:t>
      </w:r>
      <w:r w:rsidR="002413D6">
        <w:rPr>
          <w:lang w:val="en-AU"/>
        </w:rPr>
        <w:t>FL</w:t>
      </w:r>
      <w:r w:rsidR="002413D6" w:rsidRPr="000835B1">
        <w:rPr>
          <w:vertAlign w:val="subscript"/>
          <w:lang w:val="en-AU"/>
        </w:rPr>
        <w:t>micro</w:t>
      </w:r>
      <w:r w:rsidR="002413D6">
        <w:rPr>
          <w:lang w:val="en-AU"/>
        </w:rPr>
        <w:t xml:space="preserve"> does not contain detectable proteins and is therefore unlikely to pose an allergenicity concern. A double blind, placebo controlled food challenge study </w:t>
      </w:r>
      <w:r w:rsidR="004A5960">
        <w:rPr>
          <w:lang w:val="en-AU"/>
        </w:rPr>
        <w:t xml:space="preserve">previously reviewed by FSANZ </w:t>
      </w:r>
      <w:r w:rsidR="002413D6">
        <w:rPr>
          <w:lang w:val="en-AU"/>
        </w:rPr>
        <w:t xml:space="preserve">demonstrated that infant formula containing </w:t>
      </w:r>
      <w:r>
        <w:rPr>
          <w:lang w:val="en-AU"/>
        </w:rPr>
        <w:t>2′-</w:t>
      </w:r>
      <w:r w:rsidR="002413D6">
        <w:rPr>
          <w:lang w:val="en-AU"/>
        </w:rPr>
        <w:t xml:space="preserve">FL was hypoallergenic in children with cow’s milk protein allergy, consistent with this conclusion. </w:t>
      </w:r>
    </w:p>
    <w:p w14:paraId="52B29671" w14:textId="0E0D9779" w:rsidR="002413D6" w:rsidRPr="00C402F5" w:rsidRDefault="00C402F5" w:rsidP="002413D6">
      <w:pPr>
        <w:rPr>
          <w:lang w:val="en-AU"/>
        </w:rPr>
      </w:pPr>
      <w:r>
        <w:rPr>
          <w:lang w:val="en-AU"/>
        </w:rPr>
        <w:t>Based on the available toxicological and clinical evidence, and taking into account that the proposed maximum concentration of 2′-FL</w:t>
      </w:r>
      <w:r w:rsidRPr="000835B1">
        <w:rPr>
          <w:vertAlign w:val="subscript"/>
          <w:lang w:val="en-AU"/>
        </w:rPr>
        <w:t>micro</w:t>
      </w:r>
      <w:r>
        <w:rPr>
          <w:lang w:val="en-AU"/>
        </w:rPr>
        <w:t xml:space="preserve"> (2.4 g/L) is within the range of naturally occurring levels in human milk </w:t>
      </w:r>
      <w:r w:rsidR="008902DF">
        <w:rPr>
          <w:lang w:val="en-AU"/>
        </w:rPr>
        <w:t xml:space="preserve">from the majority of women </w:t>
      </w:r>
      <w:r>
        <w:rPr>
          <w:lang w:val="en-AU"/>
        </w:rPr>
        <w:t>(</w:t>
      </w:r>
      <w:r w:rsidR="006576CA">
        <w:rPr>
          <w:lang w:val="en-AU"/>
        </w:rPr>
        <w:t>0.</w:t>
      </w:r>
      <w:r w:rsidR="00181F01">
        <w:rPr>
          <w:lang w:val="en-AU"/>
        </w:rPr>
        <w:t xml:space="preserve">6 </w:t>
      </w:r>
      <w:r>
        <w:rPr>
          <w:lang w:val="en-AU"/>
        </w:rPr>
        <w:t xml:space="preserve">– 7.8 g/L), there are no safety </w:t>
      </w:r>
      <w:r w:rsidR="002413D6">
        <w:rPr>
          <w:lang w:val="en-AU"/>
        </w:rPr>
        <w:t xml:space="preserve">concerns associated with the addition of </w:t>
      </w:r>
      <w:r w:rsidR="00F25E51">
        <w:rPr>
          <w:lang w:val="en-AU"/>
        </w:rPr>
        <w:t>2′-</w:t>
      </w:r>
      <w:r w:rsidR="002413D6">
        <w:rPr>
          <w:lang w:val="en-AU"/>
        </w:rPr>
        <w:t xml:space="preserve">FL to </w:t>
      </w:r>
      <w:r w:rsidR="00D11675">
        <w:rPr>
          <w:lang w:val="en-AU"/>
        </w:rPr>
        <w:t>IFP</w:t>
      </w:r>
      <w:r w:rsidR="002413D6">
        <w:rPr>
          <w:lang w:val="en-AU"/>
        </w:rPr>
        <w:t xml:space="preserve"> and </w:t>
      </w:r>
      <w:r w:rsidR="00D11675">
        <w:rPr>
          <w:lang w:val="en-AU"/>
        </w:rPr>
        <w:t>FSFYC</w:t>
      </w:r>
      <w:r w:rsidR="002413D6">
        <w:rPr>
          <w:lang w:val="en-AU"/>
        </w:rPr>
        <w:t xml:space="preserve"> at concentrations up to 2.4 g/L </w:t>
      </w:r>
      <w:r w:rsidR="00F25E51">
        <w:rPr>
          <w:lang w:val="en-AU"/>
        </w:rPr>
        <w:t>2′-</w:t>
      </w:r>
      <w:r w:rsidR="002413D6">
        <w:rPr>
          <w:lang w:val="en-AU"/>
        </w:rPr>
        <w:t>FL.</w:t>
      </w:r>
    </w:p>
    <w:p w14:paraId="71CB9FA3" w14:textId="77DB8C91" w:rsidR="0055283E" w:rsidRDefault="0055283E" w:rsidP="00C14F72">
      <w:pPr>
        <w:pStyle w:val="Heading1"/>
        <w:ind w:left="567" w:hanging="567"/>
      </w:pPr>
      <w:bookmarkStart w:id="205" w:name="_Toc70675691"/>
      <w:bookmarkStart w:id="206" w:name="_Toc70675784"/>
      <w:bookmarkStart w:id="207" w:name="_Toc72480623"/>
      <w:r>
        <w:lastRenderedPageBreak/>
        <w:t>5</w:t>
      </w:r>
      <w:r w:rsidR="00346823">
        <w:t xml:space="preserve"> </w:t>
      </w:r>
      <w:r w:rsidR="00824B25">
        <w:t>Nutrition</w:t>
      </w:r>
      <w:r>
        <w:t xml:space="preserve"> assessment</w:t>
      </w:r>
      <w:bookmarkEnd w:id="205"/>
      <w:bookmarkEnd w:id="206"/>
      <w:bookmarkEnd w:id="207"/>
      <w:r w:rsidR="00912A41">
        <w:t xml:space="preserve"> </w:t>
      </w:r>
    </w:p>
    <w:p w14:paraId="490C6C16" w14:textId="2A62AD69" w:rsidR="00FB1BA4" w:rsidRDefault="00FB1BA4" w:rsidP="0084097F">
      <w:pPr>
        <w:pStyle w:val="Heading2"/>
        <w:rPr>
          <w:lang w:val="en-AU"/>
        </w:rPr>
      </w:pPr>
      <w:bookmarkStart w:id="208" w:name="_Toc70675692"/>
      <w:bookmarkStart w:id="209" w:name="_Toc70675785"/>
      <w:bookmarkStart w:id="210" w:name="_Toc72480624"/>
      <w:r>
        <w:rPr>
          <w:lang w:val="en-AU"/>
        </w:rPr>
        <w:t>5.1</w:t>
      </w:r>
      <w:r w:rsidR="00346823">
        <w:rPr>
          <w:lang w:val="en-AU"/>
        </w:rPr>
        <w:t xml:space="preserve"> </w:t>
      </w:r>
      <w:r>
        <w:rPr>
          <w:lang w:val="en-AU"/>
        </w:rPr>
        <w:t>Previous FSANZ assessment</w:t>
      </w:r>
      <w:bookmarkEnd w:id="208"/>
      <w:bookmarkEnd w:id="209"/>
      <w:bookmarkEnd w:id="210"/>
    </w:p>
    <w:p w14:paraId="7C9B595C" w14:textId="4FC7383B" w:rsidR="00FB1BA4" w:rsidRDefault="00F65354" w:rsidP="002120B9">
      <w:pPr>
        <w:rPr>
          <w:lang w:val="en-AU" w:eastAsia="en-AU"/>
        </w:rPr>
      </w:pPr>
      <w:r>
        <w:rPr>
          <w:lang w:val="en-AU" w:eastAsia="en-AU"/>
        </w:rPr>
        <w:t xml:space="preserve">For application A1155, </w:t>
      </w:r>
      <w:r w:rsidR="002120B9">
        <w:rPr>
          <w:lang w:val="en-AU" w:eastAsia="en-AU"/>
        </w:rPr>
        <w:t>FSANZ assessed three infant cohort studies (</w:t>
      </w:r>
      <w:r w:rsidR="000B513B">
        <w:rPr>
          <w:lang w:val="en-AU" w:eastAsia="en-AU"/>
        </w:rPr>
        <w:t xml:space="preserve">Sprenger et al. 2017a; </w:t>
      </w:r>
      <w:r w:rsidR="002120B9" w:rsidRPr="002120B9">
        <w:rPr>
          <w:lang w:val="en-AU" w:eastAsia="en-AU"/>
        </w:rPr>
        <w:t>Larsson et al. 2019</w:t>
      </w:r>
      <w:r w:rsidR="002120B9">
        <w:rPr>
          <w:lang w:val="en-AU" w:eastAsia="en-AU"/>
        </w:rPr>
        <w:t xml:space="preserve">; Lagström </w:t>
      </w:r>
      <w:r w:rsidR="002120B9" w:rsidRPr="002120B9">
        <w:rPr>
          <w:lang w:val="en-AU" w:eastAsia="en-AU"/>
        </w:rPr>
        <w:t>et al. 2020</w:t>
      </w:r>
      <w:r w:rsidR="002120B9">
        <w:rPr>
          <w:lang w:val="en-AU" w:eastAsia="en-AU"/>
        </w:rPr>
        <w:t xml:space="preserve">) </w:t>
      </w:r>
      <w:r w:rsidR="00AB0C6D">
        <w:rPr>
          <w:lang w:val="en-AU" w:eastAsia="en-AU"/>
        </w:rPr>
        <w:t xml:space="preserve">and </w:t>
      </w:r>
      <w:r w:rsidR="00517710">
        <w:rPr>
          <w:lang w:val="en-AU" w:eastAsia="en-AU"/>
        </w:rPr>
        <w:t>five</w:t>
      </w:r>
      <w:r w:rsidR="00FB1BA4">
        <w:rPr>
          <w:lang w:val="en-AU" w:eastAsia="en-AU"/>
        </w:rPr>
        <w:t xml:space="preserve"> clinical trials in infants</w:t>
      </w:r>
      <w:r w:rsidR="002120B9">
        <w:rPr>
          <w:lang w:val="en-AU" w:eastAsia="en-AU"/>
        </w:rPr>
        <w:t xml:space="preserve"> (Marriage et al. 2015; Kajzer et al. 2016; Puccio et al. 2017; </w:t>
      </w:r>
      <w:r w:rsidR="00AB0C6D" w:rsidRPr="00AB0C6D">
        <w:rPr>
          <w:lang w:val="en-AU" w:eastAsia="en-AU"/>
        </w:rPr>
        <w:t>Storm et al. 2019</w:t>
      </w:r>
      <w:r w:rsidR="00AB0C6D">
        <w:rPr>
          <w:lang w:val="en-AU" w:eastAsia="en-AU"/>
        </w:rPr>
        <w:t>;</w:t>
      </w:r>
      <w:r w:rsidR="00AB0C6D" w:rsidRPr="00AB0C6D">
        <w:t xml:space="preserve"> </w:t>
      </w:r>
      <w:r w:rsidR="00AB0C6D" w:rsidRPr="00AB0C6D">
        <w:rPr>
          <w:lang w:val="en-AU" w:eastAsia="en-AU"/>
        </w:rPr>
        <w:t>Román et al. 2020</w:t>
      </w:r>
      <w:r w:rsidR="00AB0C6D">
        <w:rPr>
          <w:lang w:val="en-AU" w:eastAsia="en-AU"/>
        </w:rPr>
        <w:t>)</w:t>
      </w:r>
      <w:r w:rsidR="00765BCB">
        <w:rPr>
          <w:lang w:val="en-AU" w:eastAsia="en-AU"/>
        </w:rPr>
        <w:t>,</w:t>
      </w:r>
      <w:r w:rsidR="00FB1BA4">
        <w:rPr>
          <w:lang w:val="en-AU" w:eastAsia="en-AU"/>
        </w:rPr>
        <w:t xml:space="preserve"> investigat</w:t>
      </w:r>
      <w:r w:rsidR="00765BCB">
        <w:rPr>
          <w:lang w:val="en-AU" w:eastAsia="en-AU"/>
        </w:rPr>
        <w:t>ing</w:t>
      </w:r>
      <w:r w:rsidR="00FB1BA4">
        <w:rPr>
          <w:lang w:val="en-AU" w:eastAsia="en-AU"/>
        </w:rPr>
        <w:t xml:space="preserve"> the potential effects of </w:t>
      </w:r>
      <w:r w:rsidR="00F25E51">
        <w:rPr>
          <w:lang w:val="en-AU" w:eastAsia="en-AU"/>
        </w:rPr>
        <w:t>2′-</w:t>
      </w:r>
      <w:r w:rsidR="00FB1BA4">
        <w:rPr>
          <w:lang w:val="en-AU" w:eastAsia="en-AU"/>
        </w:rPr>
        <w:t>FL on growth (FSANZ 2019</w:t>
      </w:r>
      <w:r w:rsidR="009A406D">
        <w:rPr>
          <w:lang w:val="en-AU" w:eastAsia="en-AU"/>
        </w:rPr>
        <w:t xml:space="preserve">; </w:t>
      </w:r>
      <w:hyperlink r:id="rId25" w:history="1">
        <w:r w:rsidR="009A406D" w:rsidRPr="009A406D">
          <w:rPr>
            <w:rStyle w:val="Hyperlink"/>
            <w:lang w:val="en-AU" w:eastAsia="en-AU"/>
          </w:rPr>
          <w:t>A1155 Review</w:t>
        </w:r>
      </w:hyperlink>
      <w:r w:rsidR="009A406D" w:rsidRPr="009A406D">
        <w:rPr>
          <w:vertAlign w:val="superscript"/>
          <w:lang w:val="en-AU" w:eastAsia="en-AU"/>
        </w:rPr>
        <w:t>6</w:t>
      </w:r>
      <w:r w:rsidR="00FB1BA4">
        <w:rPr>
          <w:lang w:val="en-AU" w:eastAsia="en-AU"/>
        </w:rPr>
        <w:t>).</w:t>
      </w:r>
      <w:r w:rsidR="008F7371">
        <w:rPr>
          <w:lang w:val="en-AU" w:eastAsia="en-AU"/>
        </w:rPr>
        <w:t xml:space="preserve"> </w:t>
      </w:r>
      <w:r w:rsidR="00765BCB">
        <w:rPr>
          <w:lang w:val="en-AU" w:eastAsia="en-AU"/>
        </w:rPr>
        <w:t xml:space="preserve">The conclusion from </w:t>
      </w:r>
      <w:r w:rsidR="000E3D8F">
        <w:rPr>
          <w:lang w:val="en-AU" w:eastAsia="en-AU"/>
        </w:rPr>
        <w:t xml:space="preserve">assessment of </w:t>
      </w:r>
      <w:r w:rsidR="00765BCB">
        <w:rPr>
          <w:lang w:val="en-AU" w:eastAsia="en-AU"/>
        </w:rPr>
        <w:t>these studies</w:t>
      </w:r>
      <w:r w:rsidR="005F5DD1">
        <w:rPr>
          <w:lang w:val="en-AU" w:eastAsia="en-AU"/>
        </w:rPr>
        <w:t xml:space="preserve"> was</w:t>
      </w:r>
      <w:r w:rsidR="00765BCB">
        <w:rPr>
          <w:lang w:val="en-AU" w:eastAsia="en-AU"/>
        </w:rPr>
        <w:t xml:space="preserve"> </w:t>
      </w:r>
      <w:r w:rsidR="002120B9">
        <w:rPr>
          <w:lang w:val="en-AU" w:eastAsia="en-AU"/>
        </w:rPr>
        <w:t xml:space="preserve">that </w:t>
      </w:r>
      <w:r w:rsidR="005F5DD1">
        <w:rPr>
          <w:rFonts w:cs="Arial"/>
          <w:iCs/>
          <w:lang w:val="en-AU" w:eastAsia="en-GB"/>
        </w:rPr>
        <w:t xml:space="preserve">the addition of </w:t>
      </w:r>
      <w:r w:rsidR="005F5DD1" w:rsidRPr="009843EC">
        <w:rPr>
          <w:lang w:val="en-AU"/>
        </w:rPr>
        <w:t>2</w:t>
      </w:r>
      <w:r w:rsidR="005F5DD1">
        <w:rPr>
          <w:lang w:val="en-AU"/>
        </w:rPr>
        <w:t>′</w:t>
      </w:r>
      <w:r w:rsidR="005F5DD1" w:rsidRPr="009843EC">
        <w:rPr>
          <w:lang w:val="en-AU"/>
        </w:rPr>
        <w:t>-FL</w:t>
      </w:r>
      <w:r w:rsidR="005F5DD1">
        <w:rPr>
          <w:lang w:val="en-AU"/>
        </w:rPr>
        <w:t xml:space="preserve"> to IFP is not expected to change the </w:t>
      </w:r>
      <w:r w:rsidR="005F5DD1" w:rsidRPr="001E641B">
        <w:rPr>
          <w:lang w:val="en-AU" w:eastAsia="en-AU" w:bidi="ar-SA"/>
        </w:rPr>
        <w:t xml:space="preserve">growth </w:t>
      </w:r>
      <w:r w:rsidR="005F5DD1">
        <w:rPr>
          <w:lang w:val="en-AU" w:eastAsia="en-AU" w:bidi="ar-SA"/>
        </w:rPr>
        <w:t>profiles of infants and young children</w:t>
      </w:r>
      <w:r w:rsidR="00912A41">
        <w:rPr>
          <w:lang w:val="en-AU" w:eastAsia="en-AU" w:bidi="ar-SA"/>
        </w:rPr>
        <w:t>,</w:t>
      </w:r>
      <w:r w:rsidR="005F5DD1">
        <w:rPr>
          <w:lang w:val="en-AU" w:eastAsia="en-AU"/>
        </w:rPr>
        <w:t xml:space="preserve"> </w:t>
      </w:r>
      <w:r w:rsidR="00765BCB">
        <w:rPr>
          <w:lang w:val="en-AU" w:eastAsia="en-AU" w:bidi="ar-SA"/>
        </w:rPr>
        <w:t>at the</w:t>
      </w:r>
      <w:r w:rsidR="00765BCB" w:rsidRPr="001E641B">
        <w:rPr>
          <w:lang w:val="en-AU" w:eastAsia="en-AU" w:bidi="ar-SA"/>
        </w:rPr>
        <w:t xml:space="preserve"> concentrations t</w:t>
      </w:r>
      <w:r w:rsidR="00765BCB">
        <w:rPr>
          <w:lang w:val="en-AU" w:eastAsia="en-AU" w:bidi="ar-SA"/>
        </w:rPr>
        <w:t>ypically observed in human milk.</w:t>
      </w:r>
    </w:p>
    <w:p w14:paraId="3E660D3D" w14:textId="1A91AA10" w:rsidR="00FB1BA4" w:rsidRDefault="00DC2B78" w:rsidP="0084097F">
      <w:pPr>
        <w:pStyle w:val="Heading2"/>
        <w:rPr>
          <w:lang w:val="en-AU"/>
        </w:rPr>
      </w:pPr>
      <w:bookmarkStart w:id="211" w:name="_Toc70675693"/>
      <w:bookmarkStart w:id="212" w:name="_Toc70675786"/>
      <w:bookmarkStart w:id="213" w:name="_Toc72480625"/>
      <w:r w:rsidRPr="00DC2B78">
        <w:rPr>
          <w:lang w:val="en-AU"/>
        </w:rPr>
        <w:t>5</w:t>
      </w:r>
      <w:r w:rsidR="00FB1BA4" w:rsidRPr="00DC2B78">
        <w:rPr>
          <w:lang w:val="en-AU"/>
        </w:rPr>
        <w:t>.2</w:t>
      </w:r>
      <w:r w:rsidR="00346823">
        <w:rPr>
          <w:lang w:val="en-AU"/>
        </w:rPr>
        <w:t xml:space="preserve"> </w:t>
      </w:r>
      <w:r w:rsidR="00FB1BA4">
        <w:rPr>
          <w:lang w:val="en-AU"/>
        </w:rPr>
        <w:t>Current assessment</w:t>
      </w:r>
      <w:bookmarkEnd w:id="211"/>
      <w:bookmarkEnd w:id="212"/>
      <w:bookmarkEnd w:id="213"/>
    </w:p>
    <w:p w14:paraId="55725D03" w14:textId="6433E2C2" w:rsidR="006B0318" w:rsidRDefault="00912A41" w:rsidP="006B0318">
      <w:pPr>
        <w:rPr>
          <w:lang w:val="en-AU" w:eastAsia="en-AU" w:bidi="ar-SA"/>
        </w:rPr>
      </w:pPr>
      <w:r>
        <w:rPr>
          <w:lang w:val="en-AU" w:eastAsia="en-AU" w:bidi="ar-SA"/>
        </w:rPr>
        <w:t xml:space="preserve">The applicant provided </w:t>
      </w:r>
      <w:r w:rsidR="00027204">
        <w:rPr>
          <w:lang w:val="en-AU" w:eastAsia="en-AU" w:bidi="ar-SA"/>
        </w:rPr>
        <w:t>a review of studies on infant formula containing added 2’-FL</w:t>
      </w:r>
      <w:r>
        <w:rPr>
          <w:lang w:val="en-AU" w:eastAsia="en-AU" w:bidi="ar-SA"/>
        </w:rPr>
        <w:t xml:space="preserve"> (Reverri et al. 2018</w:t>
      </w:r>
      <w:r w:rsidR="000E7FBA">
        <w:rPr>
          <w:lang w:val="en-AU" w:eastAsia="en-AU" w:bidi="ar-SA"/>
        </w:rPr>
        <w:t>) and a further three</w:t>
      </w:r>
      <w:r>
        <w:rPr>
          <w:lang w:val="en-AU" w:eastAsia="en-AU" w:bidi="ar-SA"/>
        </w:rPr>
        <w:t xml:space="preserve"> studies were </w:t>
      </w:r>
      <w:r w:rsidR="0064361D">
        <w:rPr>
          <w:lang w:val="en-AU" w:eastAsia="en-AU" w:bidi="ar-SA"/>
        </w:rPr>
        <w:t>identified</w:t>
      </w:r>
      <w:r>
        <w:rPr>
          <w:lang w:val="en-AU" w:eastAsia="en-AU" w:bidi="ar-SA"/>
        </w:rPr>
        <w:t xml:space="preserve"> following a literature search (Berger et al. 2020; Leung et al. 2020; </w:t>
      </w:r>
      <w:r w:rsidRPr="00717D5C">
        <w:rPr>
          <w:lang w:val="en-AU" w:eastAsia="en-AU" w:bidi="ar-SA"/>
        </w:rPr>
        <w:t xml:space="preserve">Ramirez-Farias et al. </w:t>
      </w:r>
      <w:r>
        <w:rPr>
          <w:lang w:val="en-AU" w:eastAsia="en-AU" w:bidi="ar-SA"/>
        </w:rPr>
        <w:t>2021).</w:t>
      </w:r>
      <w:r w:rsidR="006B0318">
        <w:rPr>
          <w:lang w:val="en-AU" w:eastAsia="en-AU" w:bidi="ar-SA"/>
        </w:rPr>
        <w:t xml:space="preserve"> </w:t>
      </w:r>
    </w:p>
    <w:p w14:paraId="5A0B78C9" w14:textId="31C6A6CA" w:rsidR="00FF56BA" w:rsidRDefault="00FF56BA" w:rsidP="00FF56BA">
      <w:pPr>
        <w:rPr>
          <w:lang w:val="en-AU" w:eastAsia="en-AU" w:bidi="ar-SA"/>
        </w:rPr>
      </w:pPr>
      <w:r>
        <w:rPr>
          <w:lang w:val="en-AU" w:eastAsia="en-AU" w:bidi="ar-SA"/>
        </w:rPr>
        <w:t xml:space="preserve">Reverri et </w:t>
      </w:r>
      <w:r w:rsidR="00027204">
        <w:rPr>
          <w:lang w:val="en-AU" w:eastAsia="en-AU" w:bidi="ar-SA"/>
        </w:rPr>
        <w:t>al. (2018) summarised</w:t>
      </w:r>
      <w:r>
        <w:rPr>
          <w:lang w:val="en-AU" w:eastAsia="en-AU" w:bidi="ar-SA"/>
        </w:rPr>
        <w:t xml:space="preserve"> infant feeding studies based on three cohorts, of which two were addressed in application A1155 (FSANZ 2019; </w:t>
      </w:r>
      <w:hyperlink r:id="rId26" w:history="1">
        <w:r w:rsidR="009A406D" w:rsidRPr="009A406D">
          <w:rPr>
            <w:rStyle w:val="Hyperlink"/>
          </w:rPr>
          <w:t>A1155 Review</w:t>
        </w:r>
      </w:hyperlink>
      <w:r w:rsidR="009A406D">
        <w:rPr>
          <w:vertAlign w:val="superscript"/>
          <w:lang w:val="en-AU" w:eastAsia="en-AU" w:bidi="ar-SA"/>
        </w:rPr>
        <w:t>6</w:t>
      </w:r>
      <w:r>
        <w:rPr>
          <w:lang w:val="en-AU" w:eastAsia="en-AU" w:bidi="ar-SA"/>
        </w:rPr>
        <w:t xml:space="preserve">). </w:t>
      </w:r>
      <w:r w:rsidR="00356597" w:rsidRPr="00356597">
        <w:rPr>
          <w:lang w:val="en-AU" w:eastAsia="en-AU" w:bidi="ar-SA"/>
        </w:rPr>
        <w:t xml:space="preserve">Reverri et al. (2018) </w:t>
      </w:r>
      <w:r w:rsidR="00356597">
        <w:rPr>
          <w:lang w:val="en-AU" w:eastAsia="en-AU" w:bidi="ar-SA"/>
        </w:rPr>
        <w:t>also described</w:t>
      </w:r>
      <w:r w:rsidR="00356597" w:rsidRPr="00356597">
        <w:rPr>
          <w:lang w:val="en-AU" w:eastAsia="en-AU" w:bidi="ar-SA"/>
        </w:rPr>
        <w:t xml:space="preserve"> an </w:t>
      </w:r>
      <w:r w:rsidR="00356597">
        <w:rPr>
          <w:lang w:val="en-AU" w:eastAsia="en-AU" w:bidi="ar-SA"/>
        </w:rPr>
        <w:t xml:space="preserve">unpublished </w:t>
      </w:r>
      <w:r w:rsidR="00356597" w:rsidRPr="00356597">
        <w:rPr>
          <w:lang w:val="en-AU" w:eastAsia="en-AU" w:bidi="ar-SA"/>
        </w:rPr>
        <w:t>infant study with partially hydrolysed whey-based formula containing 2’-FL, however there was no control group. Infant growth was reported to be normal, however no data were provided.</w:t>
      </w:r>
      <w:r w:rsidR="00356597">
        <w:rPr>
          <w:lang w:val="en-AU" w:eastAsia="en-AU" w:bidi="ar-SA"/>
        </w:rPr>
        <w:t xml:space="preserve"> </w:t>
      </w:r>
      <w:r w:rsidR="00356597" w:rsidRPr="00356597">
        <w:rPr>
          <w:lang w:val="en-AU" w:eastAsia="en-AU" w:bidi="ar-SA"/>
        </w:rPr>
        <w:t xml:space="preserve">Reverri et al. (2018) </w:t>
      </w:r>
      <w:r>
        <w:rPr>
          <w:lang w:val="en-AU" w:eastAsia="en-AU" w:bidi="ar-SA"/>
        </w:rPr>
        <w:t>provide</w:t>
      </w:r>
      <w:r w:rsidR="00356597">
        <w:rPr>
          <w:lang w:val="en-AU" w:eastAsia="en-AU" w:bidi="ar-SA"/>
        </w:rPr>
        <w:t>d</w:t>
      </w:r>
      <w:r>
        <w:rPr>
          <w:lang w:val="en-AU" w:eastAsia="en-AU" w:bidi="ar-SA"/>
        </w:rPr>
        <w:t xml:space="preserve"> additional information for a study </w:t>
      </w:r>
      <w:r w:rsidR="00356597">
        <w:rPr>
          <w:lang w:val="en-AU" w:eastAsia="en-AU" w:bidi="ar-SA"/>
        </w:rPr>
        <w:t>described</w:t>
      </w:r>
      <w:r>
        <w:rPr>
          <w:lang w:val="en-AU" w:eastAsia="en-AU" w:bidi="ar-SA"/>
        </w:rPr>
        <w:t xml:space="preserve"> in </w:t>
      </w:r>
      <w:r w:rsidRPr="00A55337">
        <w:rPr>
          <w:lang w:val="en-AU" w:eastAsia="en-AU" w:bidi="ar-SA"/>
        </w:rPr>
        <w:t>an</w:t>
      </w:r>
      <w:r>
        <w:rPr>
          <w:lang w:val="en-AU" w:eastAsia="en-AU" w:bidi="ar-SA"/>
        </w:rPr>
        <w:t xml:space="preserve"> abstract (Kajzer et al. 2016), </w:t>
      </w:r>
      <w:r w:rsidR="00356597">
        <w:rPr>
          <w:lang w:val="en-AU" w:eastAsia="en-AU" w:bidi="ar-SA"/>
        </w:rPr>
        <w:t xml:space="preserve">however </w:t>
      </w:r>
      <w:r>
        <w:rPr>
          <w:lang w:val="en-AU" w:eastAsia="en-AU" w:bidi="ar-SA"/>
        </w:rPr>
        <w:t xml:space="preserve">FSANZ considered this study to be of inadequate duration </w:t>
      </w:r>
      <w:r w:rsidR="00AB2823">
        <w:rPr>
          <w:lang w:val="en-AU" w:eastAsia="en-AU" w:bidi="ar-SA"/>
        </w:rPr>
        <w:t>(</w:t>
      </w:r>
      <w:r w:rsidR="008902DF">
        <w:rPr>
          <w:lang w:val="en-AU" w:eastAsia="en-AU" w:bidi="ar-SA"/>
        </w:rPr>
        <w:t>6 weeks</w:t>
      </w:r>
      <w:r w:rsidR="00AB2823">
        <w:rPr>
          <w:lang w:val="en-AU" w:eastAsia="en-AU" w:bidi="ar-SA"/>
        </w:rPr>
        <w:t xml:space="preserve">) </w:t>
      </w:r>
      <w:r w:rsidR="00356597">
        <w:rPr>
          <w:lang w:val="en-AU" w:eastAsia="en-AU" w:bidi="ar-SA"/>
        </w:rPr>
        <w:t xml:space="preserve">for the assessment of any effects on </w:t>
      </w:r>
      <w:r>
        <w:rPr>
          <w:lang w:val="en-AU" w:eastAsia="en-AU" w:bidi="ar-SA"/>
        </w:rPr>
        <w:t>body weight and other anthropometric parameters.</w:t>
      </w:r>
    </w:p>
    <w:p w14:paraId="4664152B" w14:textId="1516FDCC" w:rsidR="00717D5C" w:rsidRDefault="002F4C4E" w:rsidP="00717D5C">
      <w:r>
        <w:t xml:space="preserve">Berger et al. (2020) </w:t>
      </w:r>
      <w:r w:rsidR="004759EB">
        <w:t>reported a study investigat</w:t>
      </w:r>
      <w:r w:rsidR="00FF56BA">
        <w:t>ing</w:t>
      </w:r>
      <w:r w:rsidR="00717D5C">
        <w:t xml:space="preserve"> </w:t>
      </w:r>
      <w:r w:rsidR="004759EB">
        <w:t xml:space="preserve">potential effects </w:t>
      </w:r>
      <w:r w:rsidR="00E90EA3">
        <w:t xml:space="preserve">of </w:t>
      </w:r>
      <w:r w:rsidR="00FD1A13">
        <w:rPr>
          <w:lang w:val="en-AU" w:eastAsia="en-AU"/>
        </w:rPr>
        <w:t>2</w:t>
      </w:r>
      <w:r w:rsidR="00FD1A13">
        <w:rPr>
          <w:lang w:val="en-AU" w:eastAsia="en-AU" w:bidi="ar-SA"/>
        </w:rPr>
        <w:t>′-</w:t>
      </w:r>
      <w:r w:rsidR="00FD1A13" w:rsidRPr="001E641B">
        <w:rPr>
          <w:lang w:val="en-AU" w:eastAsia="en-AU" w:bidi="ar-SA"/>
        </w:rPr>
        <w:t>FL</w:t>
      </w:r>
      <w:r w:rsidR="00717D5C">
        <w:t xml:space="preserve"> </w:t>
      </w:r>
      <w:r w:rsidR="000D7599">
        <w:t xml:space="preserve">on </w:t>
      </w:r>
      <w:r w:rsidR="00717D5C">
        <w:t>cognitive development</w:t>
      </w:r>
      <w:r w:rsidR="004759EB">
        <w:t xml:space="preserve"> </w:t>
      </w:r>
      <w:r w:rsidR="00717D5C">
        <w:t>relative to maternal obesity and feeding frequency</w:t>
      </w:r>
      <w:r w:rsidR="007D6C82">
        <w:t>, to 24 months of age</w:t>
      </w:r>
      <w:r w:rsidR="00717D5C">
        <w:t>.</w:t>
      </w:r>
      <w:r w:rsidR="004759EB">
        <w:t xml:space="preserve"> </w:t>
      </w:r>
      <w:r w:rsidR="00717D5C">
        <w:t xml:space="preserve">Maternal pre-pregnancy </w:t>
      </w:r>
      <w:r w:rsidR="004759EB">
        <w:t xml:space="preserve">BMI was </w:t>
      </w:r>
      <w:r w:rsidR="007D6C82">
        <w:t xml:space="preserve">found </w:t>
      </w:r>
      <w:r w:rsidR="004759EB">
        <w:t xml:space="preserve">not </w:t>
      </w:r>
      <w:r w:rsidR="007D6C82">
        <w:t>to be</w:t>
      </w:r>
      <w:r w:rsidR="00F83A20">
        <w:t xml:space="preserve"> </w:t>
      </w:r>
      <w:r w:rsidR="004759EB">
        <w:t xml:space="preserve">related to feedings per day or </w:t>
      </w:r>
      <w:r w:rsidR="000D7599">
        <w:t>oligosaccharide</w:t>
      </w:r>
      <w:r w:rsidR="004759EB">
        <w:t xml:space="preserve"> composition of </w:t>
      </w:r>
      <w:r w:rsidR="000D7599">
        <w:t>human</w:t>
      </w:r>
      <w:r w:rsidR="004759EB">
        <w:t xml:space="preserve"> milk</w:t>
      </w:r>
      <w:r w:rsidR="00717D5C">
        <w:t xml:space="preserve"> but predicted</w:t>
      </w:r>
      <w:r w:rsidR="004759EB">
        <w:t xml:space="preserve"> </w:t>
      </w:r>
      <w:r w:rsidR="00717D5C">
        <w:t>poorer infant cognitive development (β = -0.31, P = 0.03). Fe</w:t>
      </w:r>
      <w:r w:rsidR="004759EB">
        <w:t xml:space="preserve">edings per </w:t>
      </w:r>
      <w:r w:rsidR="00717D5C">
        <w:t xml:space="preserve">day (β = 0.34) and </w:t>
      </w:r>
      <w:r w:rsidR="00FD1A13">
        <w:t>2′-FL</w:t>
      </w:r>
      <w:r w:rsidR="00717D5C">
        <w:t xml:space="preserve"> </w:t>
      </w:r>
      <w:r w:rsidR="004759EB">
        <w:t xml:space="preserve">concentration </w:t>
      </w:r>
      <w:r w:rsidR="00027204">
        <w:t>(</w:t>
      </w:r>
      <w:r w:rsidR="00027204" w:rsidRPr="00027204">
        <w:t>β = 0.59)</w:t>
      </w:r>
      <w:r w:rsidR="00027204">
        <w:t xml:space="preserve"> </w:t>
      </w:r>
      <w:r w:rsidR="00717D5C">
        <w:t xml:space="preserve">at </w:t>
      </w:r>
      <w:r w:rsidR="000D7599">
        <w:t>one</w:t>
      </w:r>
      <w:r w:rsidR="00717D5C">
        <w:t xml:space="preserve"> month predicted better infant cognitive development (both P</w:t>
      </w:r>
      <w:r w:rsidR="00027204">
        <w:t xml:space="preserve"> </w:t>
      </w:r>
      <w:r w:rsidR="00027204">
        <w:rPr>
          <w:rFonts w:cs="Arial"/>
        </w:rPr>
        <w:t>≤</w:t>
      </w:r>
      <w:r w:rsidR="00717D5C">
        <w:t xml:space="preserve"> 0.01). The</w:t>
      </w:r>
      <w:r w:rsidR="000D7599">
        <w:t xml:space="preserve"> </w:t>
      </w:r>
      <w:r w:rsidR="004759EB">
        <w:t xml:space="preserve">association of feedings per </w:t>
      </w:r>
      <w:r w:rsidR="00717D5C">
        <w:t>day with infant cognitive development was no longer significant after</w:t>
      </w:r>
      <w:r w:rsidR="00F430A2">
        <w:t xml:space="preserve"> </w:t>
      </w:r>
      <w:r w:rsidR="00717D5C">
        <w:t xml:space="preserve">further adjustment for </w:t>
      </w:r>
      <w:r w:rsidR="00FD1A13">
        <w:t>2′-FL</w:t>
      </w:r>
      <w:r w:rsidR="00717D5C">
        <w:t>. There were no</w:t>
      </w:r>
      <w:r w:rsidR="00F430A2">
        <w:t xml:space="preserve"> </w:t>
      </w:r>
      <w:r w:rsidR="00717D5C">
        <w:t xml:space="preserve">associations of feedings/day and </w:t>
      </w:r>
      <w:r w:rsidR="00FD1A13">
        <w:t>2′-FL</w:t>
      </w:r>
      <w:r w:rsidR="00717D5C">
        <w:t xml:space="preserve"> at </w:t>
      </w:r>
      <w:r w:rsidR="000D7599">
        <w:t>six</w:t>
      </w:r>
      <w:r w:rsidR="00717D5C">
        <w:t xml:space="preserve"> months with infant cognitive development.</w:t>
      </w:r>
    </w:p>
    <w:p w14:paraId="79E7212F" w14:textId="231FFE9E" w:rsidR="00E90EA3" w:rsidRDefault="00E90EA3" w:rsidP="00717D5C">
      <w:r w:rsidRPr="00E90EA3">
        <w:t>The study authors acknowledged several limitations of the study</w:t>
      </w:r>
      <w:r w:rsidR="00F430A2">
        <w:t>, namely</w:t>
      </w:r>
      <w:r>
        <w:t xml:space="preserve"> </w:t>
      </w:r>
      <w:r w:rsidR="00F83A20">
        <w:t xml:space="preserve">that </w:t>
      </w:r>
      <w:r>
        <w:t xml:space="preserve">the </w:t>
      </w:r>
      <w:r w:rsidR="00F430A2">
        <w:t>study was not</w:t>
      </w:r>
      <w:r>
        <w:t xml:space="preserve"> a </w:t>
      </w:r>
      <w:r w:rsidR="00F430A2">
        <w:t>randomis</w:t>
      </w:r>
      <w:r>
        <w:t>ed design</w:t>
      </w:r>
      <w:r w:rsidR="00F430A2">
        <w:t>,</w:t>
      </w:r>
      <w:r>
        <w:t xml:space="preserve"> the results are specific to</w:t>
      </w:r>
      <w:r w:rsidR="00F430A2">
        <w:t xml:space="preserve"> </w:t>
      </w:r>
      <w:r>
        <w:t>a small sample of Hispanic mother-infant pairs located in the South</w:t>
      </w:r>
      <w:r w:rsidR="0064361D">
        <w:t>-</w:t>
      </w:r>
      <w:r>
        <w:t>western United States</w:t>
      </w:r>
      <w:r w:rsidR="00F430A2">
        <w:t>, and the</w:t>
      </w:r>
      <w:r>
        <w:t xml:space="preserve"> cohort </w:t>
      </w:r>
      <w:r w:rsidR="00F430A2">
        <w:t>was</w:t>
      </w:r>
      <w:r>
        <w:t xml:space="preserve"> somewhat homogenous in socioeconomic status,</w:t>
      </w:r>
      <w:r w:rsidR="00F430A2">
        <w:t xml:space="preserve"> </w:t>
      </w:r>
      <w:r>
        <w:t xml:space="preserve">education level, and cultural practices </w:t>
      </w:r>
      <w:r w:rsidR="00F430A2">
        <w:t>regarding</w:t>
      </w:r>
      <w:r>
        <w:t xml:space="preserve"> food choice and eating behavio</w:t>
      </w:r>
      <w:r w:rsidR="0064361D">
        <w:t>u</w:t>
      </w:r>
      <w:r>
        <w:t>rs</w:t>
      </w:r>
      <w:r w:rsidR="00F430A2">
        <w:t>.</w:t>
      </w:r>
    </w:p>
    <w:p w14:paraId="28278431" w14:textId="4E8ADEAE" w:rsidR="00FF56BA" w:rsidRDefault="00FF56BA" w:rsidP="00FF56BA">
      <w:pPr>
        <w:rPr>
          <w:lang w:val="en-AU" w:eastAsia="en-AU" w:bidi="ar-SA"/>
        </w:rPr>
      </w:pPr>
      <w:r>
        <w:rPr>
          <w:lang w:val="en-AU" w:eastAsia="en-AU" w:bidi="ar-SA"/>
        </w:rPr>
        <w:t xml:space="preserve">Leung et al. </w:t>
      </w:r>
      <w:r w:rsidR="00F83A20">
        <w:rPr>
          <w:lang w:val="en-AU" w:eastAsia="en-AU" w:bidi="ar-SA"/>
        </w:rPr>
        <w:t>(</w:t>
      </w:r>
      <w:r>
        <w:rPr>
          <w:lang w:val="en-AU" w:eastAsia="en-AU" w:bidi="ar-SA"/>
        </w:rPr>
        <w:t>2020</w:t>
      </w:r>
      <w:r w:rsidR="00F83A20">
        <w:rPr>
          <w:lang w:val="en-AU" w:eastAsia="en-AU" w:bidi="ar-SA"/>
        </w:rPr>
        <w:t xml:space="preserve">) described </w:t>
      </w:r>
      <w:r w:rsidR="00F83A20">
        <w:rPr>
          <w:lang w:bidi="ar-SA"/>
        </w:rPr>
        <w:t>a randomised, controlled, double blind, parallel-group trial, in which healthy Chinese children aged 1 – 2.5 years w</w:t>
      </w:r>
      <w:r w:rsidR="005C6184">
        <w:rPr>
          <w:lang w:bidi="ar-SA"/>
        </w:rPr>
        <w:t>ere assigned to consume two 200 </w:t>
      </w:r>
      <w:r w:rsidR="00F83A20">
        <w:rPr>
          <w:lang w:bidi="ar-SA"/>
        </w:rPr>
        <w:t>mL/day servings of one of four different young child formulas for six months. Children received either a standard milk formula or one of three trial formulas containing varying quantities of milk fat, immunoglobulins, lactoferrin and transforming growth factor-</w:t>
      </w:r>
      <w:r w:rsidR="00F83A20">
        <w:rPr>
          <w:rFonts w:cs="Arial"/>
          <w:lang w:bidi="ar-SA"/>
        </w:rPr>
        <w:t>β</w:t>
      </w:r>
      <w:r w:rsidR="00F83A20">
        <w:rPr>
          <w:lang w:bidi="ar-SA"/>
        </w:rPr>
        <w:t xml:space="preserve"> (TGF-</w:t>
      </w:r>
      <w:r w:rsidR="00F83A20">
        <w:rPr>
          <w:rFonts w:cs="Arial"/>
          <w:lang w:bidi="ar-SA"/>
        </w:rPr>
        <w:t>β</w:t>
      </w:r>
      <w:r w:rsidR="00F83A20">
        <w:rPr>
          <w:lang w:bidi="ar-SA"/>
        </w:rPr>
        <w:t xml:space="preserve">). Two of the formulas also contained 3 g/L 2′-FL. No significant differences in anthropometric measures were observed in children </w:t>
      </w:r>
      <w:r w:rsidR="00F83A20">
        <w:rPr>
          <w:lang w:bidi="ar-SA"/>
        </w:rPr>
        <w:lastRenderedPageBreak/>
        <w:t xml:space="preserve">given the test formulas compared with those given control formula. </w:t>
      </w:r>
      <w:r w:rsidR="000D1A31">
        <w:rPr>
          <w:lang w:val="en-AU" w:eastAsia="en-AU" w:bidi="ar-SA"/>
        </w:rPr>
        <w:t xml:space="preserve">Additional details of this study, including tolerance outcomes are provided in </w:t>
      </w:r>
      <w:r w:rsidR="000D1A31" w:rsidRPr="00F83A20">
        <w:rPr>
          <w:lang w:val="en-AU" w:eastAsia="en-AU" w:bidi="ar-SA"/>
        </w:rPr>
        <w:t>Section 4.2.2</w:t>
      </w:r>
      <w:r w:rsidR="000D1A31" w:rsidRPr="00F46964">
        <w:rPr>
          <w:lang w:val="en-AU" w:eastAsia="en-AU" w:bidi="ar-SA"/>
        </w:rPr>
        <w:t>.</w:t>
      </w:r>
    </w:p>
    <w:p w14:paraId="63A21FE3" w14:textId="2ACD5F35" w:rsidR="00953254" w:rsidRDefault="00953254" w:rsidP="00953254">
      <w:pPr>
        <w:rPr>
          <w:lang w:val="en-AU" w:eastAsia="en-AU" w:bidi="ar-SA"/>
        </w:rPr>
      </w:pPr>
      <w:r w:rsidRPr="00953254">
        <w:rPr>
          <w:lang w:val="en-AU" w:eastAsia="en-AU" w:bidi="ar-SA"/>
        </w:rPr>
        <w:t>Ramirez-Farias</w:t>
      </w:r>
      <w:r>
        <w:rPr>
          <w:lang w:val="en-AU" w:eastAsia="en-AU" w:bidi="ar-SA"/>
        </w:rPr>
        <w:t xml:space="preserve"> et al. (2021)</w:t>
      </w:r>
      <w:r w:rsidR="00483E09">
        <w:rPr>
          <w:lang w:val="en-AU" w:eastAsia="en-AU" w:bidi="ar-SA"/>
        </w:rPr>
        <w:t xml:space="preserve"> was a</w:t>
      </w:r>
      <w:r w:rsidR="00483E09" w:rsidRPr="00953254">
        <w:rPr>
          <w:lang w:val="en-AU" w:eastAsia="en-AU" w:bidi="ar-SA"/>
        </w:rPr>
        <w:t xml:space="preserve"> non-</w:t>
      </w:r>
      <w:r w:rsidR="00483E09">
        <w:rPr>
          <w:lang w:val="en-AU" w:eastAsia="en-AU" w:bidi="ar-SA"/>
        </w:rPr>
        <w:t>randomis</w:t>
      </w:r>
      <w:r w:rsidR="00483E09" w:rsidRPr="00953254">
        <w:rPr>
          <w:lang w:val="en-AU" w:eastAsia="en-AU" w:bidi="ar-SA"/>
        </w:rPr>
        <w:t>ed, sing</w:t>
      </w:r>
      <w:r w:rsidR="00483E09">
        <w:rPr>
          <w:lang w:val="en-AU" w:eastAsia="en-AU" w:bidi="ar-SA"/>
        </w:rPr>
        <w:t xml:space="preserve">le-group, multicenter study, </w:t>
      </w:r>
      <w:r w:rsidR="00B00D3D">
        <w:rPr>
          <w:lang w:val="en-AU" w:eastAsia="en-AU" w:bidi="ar-SA"/>
        </w:rPr>
        <w:t>evaluat</w:t>
      </w:r>
      <w:r w:rsidR="00483E09">
        <w:rPr>
          <w:lang w:val="en-AU" w:eastAsia="en-AU" w:bidi="ar-SA"/>
        </w:rPr>
        <w:t>ing</w:t>
      </w:r>
      <w:r w:rsidRPr="00953254">
        <w:rPr>
          <w:lang w:val="en-AU" w:eastAsia="en-AU" w:bidi="ar-SA"/>
        </w:rPr>
        <w:t xml:space="preserve"> growth</w:t>
      </w:r>
      <w:r w:rsidR="00EF7F7F">
        <w:rPr>
          <w:lang w:val="en-AU" w:eastAsia="en-AU" w:bidi="ar-SA"/>
        </w:rPr>
        <w:t xml:space="preserve"> and </w:t>
      </w:r>
      <w:r w:rsidRPr="00953254">
        <w:rPr>
          <w:lang w:val="en-AU" w:eastAsia="en-AU" w:bidi="ar-SA"/>
        </w:rPr>
        <w:t xml:space="preserve">tolerance </w:t>
      </w:r>
      <w:r w:rsidR="00EF7F7F">
        <w:rPr>
          <w:lang w:val="en-AU" w:eastAsia="en-AU" w:bidi="ar-SA"/>
        </w:rPr>
        <w:t xml:space="preserve">in </w:t>
      </w:r>
      <w:r w:rsidR="00483E09">
        <w:rPr>
          <w:lang w:val="en-AU" w:eastAsia="en-AU" w:bidi="ar-SA"/>
        </w:rPr>
        <w:t xml:space="preserve">infants </w:t>
      </w:r>
      <w:r w:rsidR="00483E09" w:rsidRPr="00953254">
        <w:rPr>
          <w:lang w:val="en-AU" w:eastAsia="en-AU" w:bidi="ar-SA"/>
        </w:rPr>
        <w:t xml:space="preserve">with </w:t>
      </w:r>
      <w:r w:rsidR="00EC4D9B">
        <w:rPr>
          <w:lang w:val="en-AU" w:eastAsia="en-AU" w:bidi="ar-SA"/>
        </w:rPr>
        <w:t xml:space="preserve">persistent feeding intolerance, suspected protein allergy sensitivity or other conditions </w:t>
      </w:r>
      <w:r w:rsidR="00483E09" w:rsidRPr="00953254">
        <w:rPr>
          <w:lang w:val="en-AU" w:eastAsia="en-AU" w:bidi="ar-SA"/>
        </w:rPr>
        <w:t>where an extensively hydrolyzed formula (eHF) was d</w:t>
      </w:r>
      <w:r w:rsidR="00483E09">
        <w:rPr>
          <w:lang w:val="en-AU" w:eastAsia="en-AU" w:bidi="ar-SA"/>
        </w:rPr>
        <w:t xml:space="preserve">eemed appropriate. </w:t>
      </w:r>
      <w:r w:rsidR="00EC4D9B" w:rsidRPr="00953254">
        <w:rPr>
          <w:lang w:val="en-AU" w:eastAsia="en-AU" w:bidi="ar-SA"/>
        </w:rPr>
        <w:t>Infants</w:t>
      </w:r>
      <w:r w:rsidR="00EC4D9B">
        <w:rPr>
          <w:lang w:val="en-AU" w:eastAsia="en-AU" w:bidi="ar-SA"/>
        </w:rPr>
        <w:t xml:space="preserve"> </w:t>
      </w:r>
      <w:r w:rsidR="00EC4D9B" w:rsidRPr="00953254">
        <w:rPr>
          <w:lang w:val="en-AU" w:eastAsia="en-AU" w:bidi="ar-SA"/>
        </w:rPr>
        <w:t>(</w:t>
      </w:r>
      <w:r w:rsidR="00EC4D9B">
        <w:rPr>
          <w:lang w:val="en-AU" w:eastAsia="en-AU" w:bidi="ar-SA"/>
        </w:rPr>
        <w:t>n = 36; &lt;</w:t>
      </w:r>
      <w:r w:rsidR="00EC4D9B" w:rsidRPr="00953254">
        <w:rPr>
          <w:lang w:val="en-AU" w:eastAsia="en-AU" w:bidi="ar-SA"/>
        </w:rPr>
        <w:t>60 days of age</w:t>
      </w:r>
      <w:r w:rsidR="002120B9">
        <w:rPr>
          <w:lang w:val="en-AU" w:eastAsia="en-AU" w:bidi="ar-SA"/>
        </w:rPr>
        <w:t>; mean = 33</w:t>
      </w:r>
      <w:r w:rsidR="00EC4D9B">
        <w:rPr>
          <w:lang w:val="en-AU" w:eastAsia="en-AU" w:bidi="ar-SA"/>
        </w:rPr>
        <w:t xml:space="preserve"> days old</w:t>
      </w:r>
      <w:r w:rsidR="00EC4D9B" w:rsidRPr="00953254">
        <w:rPr>
          <w:lang w:val="en-AU" w:eastAsia="en-AU" w:bidi="ar-SA"/>
        </w:rPr>
        <w:t>)</w:t>
      </w:r>
      <w:r w:rsidR="00EC4D9B">
        <w:rPr>
          <w:lang w:val="en-AU" w:eastAsia="en-AU" w:bidi="ar-SA"/>
        </w:rPr>
        <w:t xml:space="preserve"> were examined over a two</w:t>
      </w:r>
      <w:r w:rsidR="00EC4D9B" w:rsidRPr="00953254">
        <w:rPr>
          <w:lang w:val="en-AU" w:eastAsia="en-AU" w:bidi="ar-SA"/>
        </w:rPr>
        <w:t>-month feeding trial</w:t>
      </w:r>
      <w:r w:rsidR="00EC4D9B">
        <w:rPr>
          <w:lang w:val="en-AU" w:eastAsia="en-AU" w:bidi="ar-SA"/>
        </w:rPr>
        <w:t>, using</w:t>
      </w:r>
      <w:r w:rsidR="00483E09">
        <w:rPr>
          <w:lang w:val="en-AU" w:eastAsia="en-AU" w:bidi="ar-SA"/>
        </w:rPr>
        <w:t xml:space="preserve"> eHF</w:t>
      </w:r>
      <w:r w:rsidR="00717D5C">
        <w:rPr>
          <w:lang w:val="en-AU" w:eastAsia="en-AU" w:bidi="ar-SA"/>
        </w:rPr>
        <w:t xml:space="preserve"> </w:t>
      </w:r>
      <w:r w:rsidR="00483E09">
        <w:rPr>
          <w:lang w:val="en-AU" w:eastAsia="en-AU" w:bidi="ar-SA"/>
        </w:rPr>
        <w:t>supplemented with</w:t>
      </w:r>
      <w:r w:rsidR="00717D5C">
        <w:rPr>
          <w:lang w:val="en-AU" w:eastAsia="en-AU" w:bidi="ar-SA"/>
        </w:rPr>
        <w:t xml:space="preserve"> </w:t>
      </w:r>
      <w:r w:rsidR="00FD1A13">
        <w:rPr>
          <w:lang w:val="en-AU" w:eastAsia="en-AU" w:bidi="ar-SA"/>
        </w:rPr>
        <w:t>2′-FL</w:t>
      </w:r>
      <w:r w:rsidR="007B1DA5">
        <w:rPr>
          <w:lang w:val="en-AU" w:eastAsia="en-AU" w:bidi="ar-SA"/>
        </w:rPr>
        <w:t xml:space="preserve"> at 0.2 g/L</w:t>
      </w:r>
      <w:r w:rsidRPr="00953254">
        <w:rPr>
          <w:lang w:val="en-AU" w:eastAsia="en-AU" w:bidi="ar-SA"/>
        </w:rPr>
        <w:t>. The p</w:t>
      </w:r>
      <w:r w:rsidR="007B1DA5">
        <w:rPr>
          <w:lang w:val="en-AU" w:eastAsia="en-AU" w:bidi="ar-SA"/>
        </w:rPr>
        <w:t xml:space="preserve">rimary outcome was </w:t>
      </w:r>
      <w:r>
        <w:rPr>
          <w:lang w:val="en-AU" w:eastAsia="en-AU" w:bidi="ar-SA"/>
        </w:rPr>
        <w:t xml:space="preserve">weight for age z-score </w:t>
      </w:r>
      <w:r w:rsidR="00717D5C">
        <w:rPr>
          <w:lang w:val="en-AU" w:eastAsia="en-AU" w:bidi="ar-SA"/>
        </w:rPr>
        <w:t xml:space="preserve">(WAZ) </w:t>
      </w:r>
      <w:r w:rsidR="00EC4D9B">
        <w:rPr>
          <w:lang w:val="en-AU" w:eastAsia="en-AU" w:bidi="ar-SA"/>
        </w:rPr>
        <w:t xml:space="preserve">and </w:t>
      </w:r>
      <w:r w:rsidR="007B1DA5">
        <w:rPr>
          <w:lang w:val="en-AU" w:eastAsia="en-AU" w:bidi="ar-SA"/>
        </w:rPr>
        <w:t>secondary outcomes</w:t>
      </w:r>
      <w:r w:rsidR="007B1DA5" w:rsidRPr="007B1DA5">
        <w:rPr>
          <w:lang w:val="en-AU" w:eastAsia="en-AU" w:bidi="ar-SA"/>
        </w:rPr>
        <w:t xml:space="preserve"> </w:t>
      </w:r>
      <w:r w:rsidR="00EC4D9B">
        <w:rPr>
          <w:lang w:val="en-AU" w:eastAsia="en-AU" w:bidi="ar-SA"/>
        </w:rPr>
        <w:t xml:space="preserve">included stool analyses, feeding volume, </w:t>
      </w:r>
      <w:r w:rsidR="00912A41">
        <w:rPr>
          <w:lang w:val="en-AU" w:eastAsia="en-AU" w:bidi="ar-SA"/>
        </w:rPr>
        <w:t xml:space="preserve">and anthropemetric factors including </w:t>
      </w:r>
      <w:r w:rsidR="007B1DA5" w:rsidRPr="007B1DA5">
        <w:rPr>
          <w:lang w:val="en-AU" w:eastAsia="en-AU" w:bidi="ar-SA"/>
        </w:rPr>
        <w:t>weight, l</w:t>
      </w:r>
      <w:r w:rsidR="00912A41">
        <w:rPr>
          <w:lang w:val="en-AU" w:eastAsia="en-AU" w:bidi="ar-SA"/>
        </w:rPr>
        <w:t>ength</w:t>
      </w:r>
      <w:r w:rsidR="007B1DA5" w:rsidRPr="007B1DA5">
        <w:rPr>
          <w:lang w:val="en-AU" w:eastAsia="en-AU" w:bidi="ar-SA"/>
        </w:rPr>
        <w:t xml:space="preserve"> </w:t>
      </w:r>
      <w:r w:rsidR="00912A41">
        <w:rPr>
          <w:lang w:val="en-AU" w:eastAsia="en-AU" w:bidi="ar-SA"/>
        </w:rPr>
        <w:t xml:space="preserve">and head circumference. Analyses of </w:t>
      </w:r>
      <w:r w:rsidR="00717D5C">
        <w:rPr>
          <w:lang w:val="en-AU" w:eastAsia="en-AU" w:bidi="ar-SA"/>
        </w:rPr>
        <w:t>WAZ</w:t>
      </w:r>
      <w:r w:rsidRPr="00953254">
        <w:rPr>
          <w:lang w:val="en-AU" w:eastAsia="en-AU" w:bidi="ar-SA"/>
        </w:rPr>
        <w:t xml:space="preserve"> showed a statistically significant improveme</w:t>
      </w:r>
      <w:r>
        <w:rPr>
          <w:lang w:val="en-AU" w:eastAsia="en-AU" w:bidi="ar-SA"/>
        </w:rPr>
        <w:t xml:space="preserve">nt </w:t>
      </w:r>
      <w:r w:rsidRPr="00953254">
        <w:rPr>
          <w:lang w:val="en-AU" w:eastAsia="en-AU" w:bidi="ar-SA"/>
        </w:rPr>
        <w:t>from study day 1 to study day 60 (</w:t>
      </w:r>
      <w:r w:rsidR="005C6184">
        <w:rPr>
          <w:lang w:val="en-AU" w:eastAsia="en-AU" w:bidi="ar-SA"/>
        </w:rPr>
        <w:t xml:space="preserve">mean change </w:t>
      </w:r>
      <w:r w:rsidR="005C6184">
        <w:rPr>
          <w:rFonts w:cs="Arial"/>
          <w:lang w:val="en-AU" w:eastAsia="en-AU" w:bidi="ar-SA"/>
        </w:rPr>
        <w:t>±</w:t>
      </w:r>
      <w:r w:rsidR="005C6184">
        <w:rPr>
          <w:lang w:val="en-AU" w:eastAsia="en-AU" w:bidi="ar-SA"/>
        </w:rPr>
        <w:t xml:space="preserve"> standard error: </w:t>
      </w:r>
      <w:r w:rsidRPr="00953254">
        <w:rPr>
          <w:lang w:val="en-AU" w:eastAsia="en-AU" w:bidi="ar-SA"/>
        </w:rPr>
        <w:t xml:space="preserve">0.32 </w:t>
      </w:r>
      <w:r w:rsidR="005C6184">
        <w:rPr>
          <w:rFonts w:cs="Arial"/>
          <w:lang w:val="en-AU" w:eastAsia="en-AU" w:bidi="ar-SA"/>
        </w:rPr>
        <w:t xml:space="preserve">± </w:t>
      </w:r>
      <w:r w:rsidR="00F83A20">
        <w:rPr>
          <w:lang w:val="en-AU" w:eastAsia="en-AU" w:bidi="ar-SA"/>
        </w:rPr>
        <w:t>0.11, p = 0.008</w:t>
      </w:r>
      <w:r w:rsidR="00D64FFF">
        <w:rPr>
          <w:lang w:val="en-AU" w:eastAsia="en-AU" w:bidi="ar-SA"/>
        </w:rPr>
        <w:t xml:space="preserve">). </w:t>
      </w:r>
      <w:r w:rsidR="00912A41">
        <w:rPr>
          <w:lang w:val="en-AU" w:eastAsia="en-AU" w:bidi="ar-SA"/>
        </w:rPr>
        <w:t xml:space="preserve">Additional details of this study, including tolerance outcomes are provided in </w:t>
      </w:r>
      <w:r w:rsidR="00912A41" w:rsidRPr="00F83A20">
        <w:rPr>
          <w:lang w:val="en-AU" w:eastAsia="en-AU" w:bidi="ar-SA"/>
        </w:rPr>
        <w:t>Section 4.2.2</w:t>
      </w:r>
      <w:r w:rsidR="00912A41" w:rsidRPr="00F46964">
        <w:rPr>
          <w:lang w:val="en-AU" w:eastAsia="en-AU" w:bidi="ar-SA"/>
        </w:rPr>
        <w:t>.</w:t>
      </w:r>
    </w:p>
    <w:p w14:paraId="3A153F30" w14:textId="4BB2EC77" w:rsidR="0084097F" w:rsidRDefault="0084097F" w:rsidP="0084097F">
      <w:pPr>
        <w:pStyle w:val="Heading2"/>
      </w:pPr>
      <w:bookmarkStart w:id="214" w:name="_Toc70675694"/>
      <w:bookmarkStart w:id="215" w:name="_Toc70675787"/>
      <w:bookmarkStart w:id="216" w:name="_Toc72480626"/>
      <w:r>
        <w:t>5.3</w:t>
      </w:r>
      <w:r w:rsidR="00346823">
        <w:t xml:space="preserve"> </w:t>
      </w:r>
      <w:r>
        <w:t>Key findings of the nutrition assessment</w:t>
      </w:r>
      <w:bookmarkEnd w:id="214"/>
      <w:bookmarkEnd w:id="215"/>
      <w:bookmarkEnd w:id="216"/>
    </w:p>
    <w:p w14:paraId="57EC774A" w14:textId="26C9BEC6" w:rsidR="005C6184" w:rsidRDefault="007D6C82" w:rsidP="00AE4B7D">
      <w:pPr>
        <w:rPr>
          <w:lang w:val="en-AU" w:eastAsia="en-AU" w:bidi="ar-SA"/>
        </w:rPr>
      </w:pPr>
      <w:r>
        <w:rPr>
          <w:lang w:val="en-AU" w:eastAsia="en-AU" w:bidi="ar-SA"/>
        </w:rPr>
        <w:t xml:space="preserve">The </w:t>
      </w:r>
      <w:r w:rsidR="005C6184">
        <w:rPr>
          <w:lang w:val="en-AU" w:eastAsia="en-AU" w:bidi="ar-SA"/>
        </w:rPr>
        <w:t xml:space="preserve">previous </w:t>
      </w:r>
      <w:r>
        <w:rPr>
          <w:lang w:val="en-AU" w:eastAsia="en-AU" w:bidi="ar-SA"/>
        </w:rPr>
        <w:t xml:space="preserve">assessment </w:t>
      </w:r>
      <w:r w:rsidR="005C6184">
        <w:rPr>
          <w:lang w:val="en-AU" w:eastAsia="en-AU" w:bidi="ar-SA"/>
        </w:rPr>
        <w:t xml:space="preserve">of application A1155 by FSANZ </w:t>
      </w:r>
      <w:r>
        <w:rPr>
          <w:lang w:val="en-AU" w:eastAsia="en-AU" w:bidi="ar-SA"/>
        </w:rPr>
        <w:t xml:space="preserve">concluded </w:t>
      </w:r>
      <w:r w:rsidR="005C6184">
        <w:rPr>
          <w:lang w:val="en-AU" w:eastAsia="en-AU" w:bidi="ar-SA"/>
        </w:rPr>
        <w:t xml:space="preserve">that </w:t>
      </w:r>
      <w:r w:rsidR="00AE4B7D">
        <w:rPr>
          <w:lang w:val="en-AU" w:eastAsia="en-AU" w:bidi="ar-SA"/>
        </w:rPr>
        <w:t>the addition of 2</w:t>
      </w:r>
      <w:r w:rsidR="00DB7252">
        <w:t>′</w:t>
      </w:r>
      <w:r w:rsidR="00AE4B7D">
        <w:rPr>
          <w:lang w:val="en-AU" w:eastAsia="en-AU" w:bidi="ar-SA"/>
        </w:rPr>
        <w:t>-FL</w:t>
      </w:r>
      <w:r w:rsidR="00AE4B7D" w:rsidRPr="00AE4B7D">
        <w:rPr>
          <w:lang w:val="en-AU" w:eastAsia="en-AU" w:bidi="ar-SA"/>
        </w:rPr>
        <w:t xml:space="preserve"> to </w:t>
      </w:r>
      <w:r w:rsidR="00AE4B7D">
        <w:rPr>
          <w:lang w:val="en-AU" w:eastAsia="en-AU" w:bidi="ar-SA"/>
        </w:rPr>
        <w:t xml:space="preserve">infant formula at levels normally </w:t>
      </w:r>
      <w:r w:rsidR="00AE4B7D" w:rsidRPr="00AE4B7D">
        <w:rPr>
          <w:lang w:val="en-AU" w:eastAsia="en-AU" w:bidi="ar-SA"/>
        </w:rPr>
        <w:t>found in human milk is unlikely to affect growth.</w:t>
      </w:r>
      <w:r w:rsidR="00AE4B7D">
        <w:rPr>
          <w:lang w:val="en-AU" w:eastAsia="en-AU" w:bidi="ar-SA"/>
        </w:rPr>
        <w:t xml:space="preserve"> Assessment of additional studies for the present application does not alter that conclusion.</w:t>
      </w:r>
    </w:p>
    <w:p w14:paraId="592AB658" w14:textId="363CD79B" w:rsidR="0055283E" w:rsidRDefault="0055283E" w:rsidP="00C14F72">
      <w:pPr>
        <w:pStyle w:val="Heading1"/>
        <w:ind w:left="567" w:hanging="567"/>
      </w:pPr>
      <w:bookmarkStart w:id="217" w:name="_Toc70675695"/>
      <w:bookmarkStart w:id="218" w:name="_Toc70675788"/>
      <w:bookmarkStart w:id="219" w:name="_Toc72480627"/>
      <w:r>
        <w:t>6</w:t>
      </w:r>
      <w:r w:rsidR="00346823">
        <w:t xml:space="preserve"> </w:t>
      </w:r>
      <w:r>
        <w:t>Dietary intake assessment</w:t>
      </w:r>
      <w:bookmarkEnd w:id="217"/>
      <w:bookmarkEnd w:id="218"/>
      <w:bookmarkEnd w:id="219"/>
    </w:p>
    <w:p w14:paraId="06E9EAFB" w14:textId="4F2E6891" w:rsidR="006B2BDE" w:rsidRDefault="006B2BDE" w:rsidP="006B2BDE">
      <w:bookmarkStart w:id="220" w:name="_Toc509824903"/>
      <w:bookmarkStart w:id="221" w:name="_Toc519260384"/>
      <w:bookmarkStart w:id="222" w:name="_Toc519260710"/>
      <w:bookmarkStart w:id="223" w:name="_Toc519607991"/>
      <w:bookmarkStart w:id="224" w:name="_Toc521418064"/>
      <w:bookmarkStart w:id="225" w:name="_Toc13219529"/>
      <w:bookmarkStart w:id="226" w:name="_Toc70675696"/>
      <w:bookmarkStart w:id="227" w:name="_Toc70675789"/>
      <w:bookmarkStart w:id="228" w:name="_Toc519260389"/>
      <w:bookmarkStart w:id="229" w:name="_Toc519260715"/>
      <w:bookmarkStart w:id="230" w:name="_Toc519607996"/>
      <w:bookmarkEnd w:id="220"/>
      <w:bookmarkEnd w:id="221"/>
      <w:bookmarkEnd w:id="222"/>
      <w:bookmarkEnd w:id="223"/>
      <w:bookmarkEnd w:id="224"/>
      <w:bookmarkEnd w:id="225"/>
      <w:bookmarkEnd w:id="226"/>
      <w:bookmarkEnd w:id="227"/>
      <w:r>
        <w:t xml:space="preserve">FSANZ </w:t>
      </w:r>
      <w:r w:rsidRPr="00B51144">
        <w:t xml:space="preserve">completed a dietary intake assessment of </w:t>
      </w:r>
      <w:r w:rsidR="00FD1A13">
        <w:t>2′-FL</w:t>
      </w:r>
      <w:r w:rsidRPr="00B51144">
        <w:t xml:space="preserve"> for application </w:t>
      </w:r>
      <w:r w:rsidR="00A140CB" w:rsidRPr="00A140CB">
        <w:t>A1155</w:t>
      </w:r>
      <w:r w:rsidR="00A140CB" w:rsidRPr="00A140CB">
        <w:rPr>
          <w:rStyle w:val="Hyperlink"/>
          <w:color w:val="auto"/>
          <w:u w:val="none"/>
        </w:rPr>
        <w:t xml:space="preserve"> (FSANZ 2019)</w:t>
      </w:r>
      <w:r w:rsidRPr="00A140CB">
        <w:t>.</w:t>
      </w:r>
      <w:r w:rsidRPr="00B51144">
        <w:t xml:space="preserve"> </w:t>
      </w:r>
      <w:r w:rsidRPr="00DC6ABD">
        <w:t>T</w:t>
      </w:r>
      <w:r w:rsidRPr="00DC6ABD">
        <w:rPr>
          <w:bCs/>
        </w:rPr>
        <w:t>he concentration of 2′-FL</w:t>
      </w:r>
      <w:r>
        <w:rPr>
          <w:vertAlign w:val="subscript"/>
        </w:rPr>
        <w:t>micro</w:t>
      </w:r>
      <w:r w:rsidRPr="00DC6ABD">
        <w:rPr>
          <w:bCs/>
        </w:rPr>
        <w:t xml:space="preserve"> in infant formula</w:t>
      </w:r>
      <w:r w:rsidR="00D902EB">
        <w:rPr>
          <w:bCs/>
        </w:rPr>
        <w:t>,</w:t>
      </w:r>
      <w:r w:rsidRPr="00DC6ABD">
        <w:rPr>
          <w:bCs/>
        </w:rPr>
        <w:t xml:space="preserve"> follow-on formula</w:t>
      </w:r>
      <w:r w:rsidR="00D902EB">
        <w:rPr>
          <w:bCs/>
        </w:rPr>
        <w:t xml:space="preserve"> and </w:t>
      </w:r>
      <w:r w:rsidRPr="00DC6ABD">
        <w:rPr>
          <w:bCs/>
        </w:rPr>
        <w:t>FSFYC considered in the dietary intake assessment</w:t>
      </w:r>
      <w:r w:rsidR="00616564">
        <w:rPr>
          <w:bCs/>
        </w:rPr>
        <w:t xml:space="preserve"> </w:t>
      </w:r>
      <w:r w:rsidRPr="00DC6ABD">
        <w:rPr>
          <w:bCs/>
        </w:rPr>
        <w:t>was 2.4 g/L</w:t>
      </w:r>
      <w:r w:rsidR="005B5AE9">
        <w:rPr>
          <w:bCs/>
        </w:rPr>
        <w:t>.</w:t>
      </w:r>
      <w:r w:rsidRPr="00DC6ABD">
        <w:rPr>
          <w:bCs/>
        </w:rPr>
        <w:t xml:space="preserve"> </w:t>
      </w:r>
      <w:r w:rsidR="005B5AE9">
        <w:rPr>
          <w:bCs/>
        </w:rPr>
        <w:t>T</w:t>
      </w:r>
      <w:r w:rsidRPr="00DC6ABD">
        <w:rPr>
          <w:bCs/>
        </w:rPr>
        <w:t xml:space="preserve">his level </w:t>
      </w:r>
      <w:r w:rsidR="0082095E">
        <w:t>is</w:t>
      </w:r>
      <w:r w:rsidR="00C13900" w:rsidRPr="005A311F">
        <w:rPr>
          <w:rFonts w:hint="eastAsia"/>
        </w:rPr>
        <w:t xml:space="preserve"> </w:t>
      </w:r>
      <w:r w:rsidR="00514377" w:rsidRPr="0003268A">
        <w:t>in the mid</w:t>
      </w:r>
      <w:r w:rsidR="00C85064">
        <w:t>dle</w:t>
      </w:r>
      <w:r w:rsidR="00514377" w:rsidRPr="0003268A">
        <w:t xml:space="preserve"> of </w:t>
      </w:r>
      <w:r w:rsidR="00C85064">
        <w:t xml:space="preserve">the </w:t>
      </w:r>
      <w:r w:rsidR="00514377" w:rsidRPr="0003268A">
        <w:t>range of concentrations found in mature human milk</w:t>
      </w:r>
      <w:r w:rsidR="0082095E">
        <w:t xml:space="preserve"> for secretors of </w:t>
      </w:r>
      <w:r w:rsidR="00FD1A13">
        <w:t>2′-FL</w:t>
      </w:r>
      <w:r>
        <w:rPr>
          <w:bCs/>
        </w:rPr>
        <w:t xml:space="preserve">. </w:t>
      </w:r>
      <w:r w:rsidR="00423719">
        <w:rPr>
          <w:bCs/>
        </w:rPr>
        <w:t>Evidence suggests that</w:t>
      </w:r>
      <w:r>
        <w:rPr>
          <w:bCs/>
        </w:rPr>
        <w:t xml:space="preserve"> 70-80% of women are secretors of </w:t>
      </w:r>
      <w:r w:rsidR="00FD1A13">
        <w:rPr>
          <w:bCs/>
        </w:rPr>
        <w:t>2′-FL</w:t>
      </w:r>
      <w:r>
        <w:rPr>
          <w:bCs/>
        </w:rPr>
        <w:t>, due to the functional expression of the</w:t>
      </w:r>
      <w:r w:rsidRPr="00563708">
        <w:t xml:space="preserve"> enzyme α-1,2-</w:t>
      </w:r>
      <w:r w:rsidRPr="007C20B8">
        <w:t xml:space="preserve">fucosyltransferase (Sprenger </w:t>
      </w:r>
      <w:r w:rsidR="005B5AE9">
        <w:t>et al. 2017; Totten et al. 2012</w:t>
      </w:r>
      <w:r w:rsidRPr="007C20B8">
        <w:t xml:space="preserve">). </w:t>
      </w:r>
      <w:r w:rsidR="0038332C">
        <w:t xml:space="preserve">At the time of the </w:t>
      </w:r>
      <w:r w:rsidR="00D902EB">
        <w:t xml:space="preserve">A1155 </w:t>
      </w:r>
      <w:r w:rsidR="0038332C">
        <w:t xml:space="preserve">assessment, the range of concentrations </w:t>
      </w:r>
      <w:r w:rsidR="00E06E78">
        <w:t xml:space="preserve">reported </w:t>
      </w:r>
      <w:r w:rsidR="0038332C">
        <w:t xml:space="preserve">in mature human milk for secretor mothers was </w:t>
      </w:r>
      <w:r w:rsidR="0038332C">
        <w:rPr>
          <w:bCs/>
        </w:rPr>
        <w:t>1.0</w:t>
      </w:r>
      <w:r w:rsidR="0038332C" w:rsidRPr="00C04530">
        <w:rPr>
          <w:bCs/>
        </w:rPr>
        <w:t xml:space="preserve"> – </w:t>
      </w:r>
      <w:r w:rsidR="0038332C">
        <w:rPr>
          <w:bCs/>
        </w:rPr>
        <w:t>7.8</w:t>
      </w:r>
      <w:r w:rsidR="00423719">
        <w:rPr>
          <w:bCs/>
        </w:rPr>
        <w:t> </w:t>
      </w:r>
      <w:r w:rsidR="0038332C">
        <w:rPr>
          <w:bCs/>
        </w:rPr>
        <w:t xml:space="preserve">g/L. </w:t>
      </w:r>
      <w:r w:rsidRPr="007C20B8">
        <w:t>The estimated dietary intake of 2′-FL</w:t>
      </w:r>
      <w:r>
        <w:rPr>
          <w:vertAlign w:val="subscript"/>
        </w:rPr>
        <w:t>micro</w:t>
      </w:r>
      <w:r w:rsidRPr="007C20B8">
        <w:t>,</w:t>
      </w:r>
      <w:r w:rsidRPr="007C20B8">
        <w:rPr>
          <w:vertAlign w:val="subscript"/>
        </w:rPr>
        <w:t xml:space="preserve"> </w:t>
      </w:r>
      <w:r w:rsidRPr="007C20B8">
        <w:t>based on</w:t>
      </w:r>
      <w:r w:rsidRPr="00DC6ABD">
        <w:t xml:space="preserve"> 2.4 g/L in infant</w:t>
      </w:r>
      <w:r>
        <w:t xml:space="preserve"> formula and follow-on formula, wa</w:t>
      </w:r>
      <w:r w:rsidRPr="00DC6ABD">
        <w:t>s similar to 2′-FL intakes for 3 and 9 month old breastfed infants</w:t>
      </w:r>
      <w:r w:rsidR="005B5AE9">
        <w:t xml:space="preserve"> (FSANZ 2019)</w:t>
      </w:r>
      <w:r w:rsidRPr="00DC6ABD">
        <w:t>. Estimated mean intakes of 2′-FL</w:t>
      </w:r>
      <w:r>
        <w:rPr>
          <w:vertAlign w:val="subscript"/>
        </w:rPr>
        <w:t>micro</w:t>
      </w:r>
      <w:r w:rsidRPr="00DC6ABD">
        <w:t xml:space="preserve"> from FSFYC, based on 2.4 g/L, for 12 month old infants and 2-3 year old children </w:t>
      </w:r>
      <w:r w:rsidR="00E770A3">
        <w:t>were</w:t>
      </w:r>
      <w:r w:rsidR="00E770A3" w:rsidRPr="00DC6ABD">
        <w:t xml:space="preserve"> </w:t>
      </w:r>
      <w:r w:rsidRPr="00DC6ABD">
        <w:t>similar to or less than those for younger formula-fed and breastfed infants (&lt; 12 months).</w:t>
      </w:r>
      <w:r>
        <w:t xml:space="preserve"> A summary of the results from the dietary intake assessment for</w:t>
      </w:r>
      <w:r w:rsidRPr="005B5AE9">
        <w:t xml:space="preserve"> A1155</w:t>
      </w:r>
      <w:r>
        <w:t xml:space="preserve"> are reproduced </w:t>
      </w:r>
      <w:r w:rsidR="00D902EB">
        <w:t>in</w:t>
      </w:r>
      <w:r>
        <w:t xml:space="preserve"> Table </w:t>
      </w:r>
      <w:r w:rsidR="005B5AE9">
        <w:t>6.1</w:t>
      </w:r>
      <w:r>
        <w:t>.</w:t>
      </w:r>
    </w:p>
    <w:p w14:paraId="63B18561" w14:textId="74598C95" w:rsidR="006B2BDE" w:rsidRPr="0038332C" w:rsidRDefault="006B2BDE" w:rsidP="006B2BDE">
      <w:pPr>
        <w:rPr>
          <w:szCs w:val="22"/>
        </w:rPr>
      </w:pPr>
      <w:r w:rsidRPr="00563708">
        <w:rPr>
          <w:bCs/>
        </w:rPr>
        <w:t xml:space="preserve">The concentration of </w:t>
      </w:r>
      <w:r w:rsidRPr="00563708">
        <w:t>2′-FL</w:t>
      </w:r>
      <w:r w:rsidRPr="00563708">
        <w:rPr>
          <w:vertAlign w:val="subscript"/>
        </w:rPr>
        <w:t>human</w:t>
      </w:r>
      <w:r w:rsidRPr="00563708">
        <w:t xml:space="preserve"> </w:t>
      </w:r>
      <w:r w:rsidRPr="00563708">
        <w:rPr>
          <w:bCs/>
        </w:rPr>
        <w:t xml:space="preserve">in </w:t>
      </w:r>
      <w:r>
        <w:rPr>
          <w:bCs/>
        </w:rPr>
        <w:t>human</w:t>
      </w:r>
      <w:r w:rsidRPr="00563708">
        <w:rPr>
          <w:bCs/>
        </w:rPr>
        <w:t xml:space="preserve"> milk varies between mothers, over the stages of lactation and across regions of the </w:t>
      </w:r>
      <w:r w:rsidRPr="007C20B8">
        <w:rPr>
          <w:bCs/>
        </w:rPr>
        <w:t>world (Austin et al. 2016; Chaturvedi et al. 2001; Erney et al. 2000; Kunz et al. 2017; McGuire et al. 2017). The</w:t>
      </w:r>
      <w:r w:rsidRPr="00563708">
        <w:rPr>
          <w:bCs/>
        </w:rPr>
        <w:t xml:space="preserve"> analytical methods used to quantify </w:t>
      </w:r>
      <w:r w:rsidRPr="00563708">
        <w:t>2′-FL</w:t>
      </w:r>
      <w:r w:rsidRPr="00563708">
        <w:rPr>
          <w:vertAlign w:val="subscript"/>
        </w:rPr>
        <w:t>human</w:t>
      </w:r>
      <w:r w:rsidRPr="00563708">
        <w:t xml:space="preserve"> </w:t>
      </w:r>
      <w:r w:rsidRPr="00563708">
        <w:rPr>
          <w:bCs/>
        </w:rPr>
        <w:t xml:space="preserve">vary between studies, as do the regions of the world the samples were collected in and the </w:t>
      </w:r>
      <w:r w:rsidRPr="00FB2DD8">
        <w:t>breadth of time across which the samples were taken</w:t>
      </w:r>
      <w:r w:rsidRPr="00563708">
        <w:rPr>
          <w:bCs/>
        </w:rPr>
        <w:t xml:space="preserve">. Some studies report the concentration of </w:t>
      </w:r>
      <w:r w:rsidRPr="00563708">
        <w:t>2′-FL</w:t>
      </w:r>
      <w:r w:rsidRPr="00563708">
        <w:rPr>
          <w:vertAlign w:val="subscript"/>
        </w:rPr>
        <w:t>human</w:t>
      </w:r>
      <w:r>
        <w:rPr>
          <w:bCs/>
        </w:rPr>
        <w:t xml:space="preserve"> in human milk for secretors</w:t>
      </w:r>
      <w:r w:rsidRPr="00563708">
        <w:rPr>
          <w:bCs/>
        </w:rPr>
        <w:t xml:space="preserve"> only</w:t>
      </w:r>
      <w:r w:rsidRPr="00563708">
        <w:rPr>
          <w:szCs w:val="22"/>
        </w:rPr>
        <w:t xml:space="preserve">, while others report the concentration from all milk samples pooled. </w:t>
      </w:r>
      <w:r>
        <w:t>FSANZ undertook a literature search for concentration data for 2’FL</w:t>
      </w:r>
      <w:r>
        <w:rPr>
          <w:vertAlign w:val="subscript"/>
        </w:rPr>
        <w:t>human</w:t>
      </w:r>
      <w:r>
        <w:t xml:space="preserve"> in human milk</w:t>
      </w:r>
      <w:r w:rsidRPr="003A0072">
        <w:t xml:space="preserve"> </w:t>
      </w:r>
      <w:r>
        <w:t xml:space="preserve">published since the assessment of </w:t>
      </w:r>
      <w:r w:rsidRPr="005B5AE9">
        <w:t>A1155</w:t>
      </w:r>
      <w:r w:rsidR="00E06E78">
        <w:t>.</w:t>
      </w:r>
      <w:r>
        <w:t xml:space="preserve"> A number of relevant studies were identified</w:t>
      </w:r>
      <w:r w:rsidR="00AE3848">
        <w:t xml:space="preserve"> (Lagstr</w:t>
      </w:r>
      <w:r w:rsidR="00AE3848" w:rsidRPr="009937BC">
        <w:t>ö</w:t>
      </w:r>
      <w:r w:rsidR="00AE3848">
        <w:t>m et al. 2020; McJarrow et al. 2019;</w:t>
      </w:r>
      <w:r w:rsidR="00AE3848" w:rsidRPr="007C20B8">
        <w:t xml:space="preserve"> </w:t>
      </w:r>
      <w:r w:rsidR="00AE3848">
        <w:t xml:space="preserve">Plows et al. 2021; Saben et al. 2020; </w:t>
      </w:r>
      <w:r w:rsidR="00AE3848" w:rsidRPr="007C20B8">
        <w:t>Saben et al. 2021</w:t>
      </w:r>
      <w:r w:rsidR="00AE3848">
        <w:t>;</w:t>
      </w:r>
      <w:r w:rsidR="00AE3848" w:rsidRPr="007C20B8">
        <w:t xml:space="preserve"> Tonon et al. 2019</w:t>
      </w:r>
      <w:r w:rsidR="00AE3848">
        <w:t>b; Torres Roldan et al. 2020; Wu et al. 2020)</w:t>
      </w:r>
      <w:r>
        <w:t>, with the range of concentrations reported for secretors</w:t>
      </w:r>
      <w:r w:rsidRPr="00AC43AB">
        <w:t xml:space="preserve">, </w:t>
      </w:r>
      <w:r>
        <w:t>0.</w:t>
      </w:r>
      <w:r w:rsidR="00D707D5">
        <w:t>6</w:t>
      </w:r>
      <w:r w:rsidR="00E06E78">
        <w:t xml:space="preserve"> – </w:t>
      </w:r>
      <w:r w:rsidR="00D707D5">
        <w:t>4.0</w:t>
      </w:r>
      <w:r w:rsidR="008E7379">
        <w:t> </w:t>
      </w:r>
      <w:r w:rsidRPr="00AC43AB">
        <w:t>g/L, falling</w:t>
      </w:r>
      <w:r>
        <w:t xml:space="preserve"> within a similar range to </w:t>
      </w:r>
      <w:r w:rsidR="00514377">
        <w:t>concentrations</w:t>
      </w:r>
      <w:r>
        <w:t xml:space="preserve"> reported in previous studies</w:t>
      </w:r>
      <w:r w:rsidR="00E06E78">
        <w:t>.</w:t>
      </w:r>
      <w:r w:rsidRPr="007C20B8">
        <w:t xml:space="preserve"> </w:t>
      </w:r>
      <w:r w:rsidRPr="007C20B8">
        <w:lastRenderedPageBreak/>
        <w:t>It was concluded</w:t>
      </w:r>
      <w:r>
        <w:t xml:space="preserve"> that a</w:t>
      </w:r>
      <w:r w:rsidR="00F50D5D">
        <w:t>n additional</w:t>
      </w:r>
      <w:r w:rsidR="000416A9">
        <w:t xml:space="preserve"> </w:t>
      </w:r>
      <w:r>
        <w:t xml:space="preserve">dietary intake assessment </w:t>
      </w:r>
      <w:r w:rsidR="00F50D5D">
        <w:t>was</w:t>
      </w:r>
      <w:r>
        <w:t xml:space="preserve"> not required for application </w:t>
      </w:r>
      <w:r w:rsidRPr="00500BA9">
        <w:t>A1190</w:t>
      </w:r>
      <w:r>
        <w:t xml:space="preserve">. </w:t>
      </w:r>
    </w:p>
    <w:p w14:paraId="175AFD04" w14:textId="0F5E1497" w:rsidR="006B2BDE" w:rsidRDefault="006B2BDE" w:rsidP="00567589">
      <w:pPr>
        <w:pStyle w:val="FSTableFigureHeading"/>
        <w:keepNext/>
        <w:ind w:left="0" w:firstLine="0"/>
      </w:pPr>
      <w:bookmarkStart w:id="231" w:name="Table6_7"/>
      <w:r w:rsidRPr="004D1ABF">
        <w:t xml:space="preserve">Table </w:t>
      </w:r>
      <w:bookmarkEnd w:id="231"/>
      <w:r w:rsidR="005B5AE9">
        <w:t>6.1</w:t>
      </w:r>
      <w:r>
        <w:t>:</w:t>
      </w:r>
      <w:r w:rsidRPr="004D1ABF">
        <w:t xml:space="preserve"> </w:t>
      </w:r>
      <w:r w:rsidRPr="00500BA9">
        <w:rPr>
          <w:b w:val="0"/>
        </w:rPr>
        <w:t>Summary of estimated</w:t>
      </w:r>
      <w:r w:rsidR="00164E06">
        <w:rPr>
          <w:b w:val="0"/>
        </w:rPr>
        <w:t xml:space="preserve"> dietary intakes of 2′-FL (</w:t>
      </w:r>
      <w:r w:rsidRPr="00500BA9">
        <w:rPr>
          <w:b w:val="0"/>
        </w:rPr>
        <w:t>human and microb</w:t>
      </w:r>
      <w:r w:rsidR="00500BA9" w:rsidRPr="00500BA9">
        <w:rPr>
          <w:b w:val="0"/>
        </w:rPr>
        <w:t>ial sources) for infants aged 3</w:t>
      </w:r>
      <w:r w:rsidRPr="00500BA9">
        <w:rPr>
          <w:b w:val="0"/>
        </w:rPr>
        <w:t>, 9 and 12 months and children aged 2-3 years (reproduced from A1155</w:t>
      </w:r>
      <w:r w:rsidR="00500BA9" w:rsidRPr="00500BA9">
        <w:rPr>
          <w:b w:val="0"/>
          <w:vertAlign w:val="superscript"/>
        </w:rPr>
        <w:t>14</w:t>
      </w:r>
      <w:r w:rsidRPr="00500BA9">
        <w:rPr>
          <w:b w:val="0"/>
        </w:rPr>
        <w:t>)</w:t>
      </w:r>
    </w:p>
    <w:tbl>
      <w:tblPr>
        <w:tblStyle w:val="Table"/>
        <w:tblW w:w="5158" w:type="pct"/>
        <w:tblLook w:val="04A0" w:firstRow="1" w:lastRow="0" w:firstColumn="1" w:lastColumn="0" w:noHBand="0" w:noVBand="1"/>
        <w:tblCaption w:val="Summary of estimated dietary intakes of 2′-FL (from human and microbial sources) for infants aged 3 months, 9 months and 12 months and children aged 2-3 years"/>
        <w:tblDescription w:val="Comparison of mean and P90 dietary intakes of 2'-FL, in grams per day and grams per kg body weight per day, for all age groups, taking into account the different units for 2'-FL and LNnT in infant formula, follow-on formula and FSFYC"/>
      </w:tblPr>
      <w:tblGrid>
        <w:gridCol w:w="1079"/>
        <w:gridCol w:w="1620"/>
        <w:gridCol w:w="1895"/>
        <w:gridCol w:w="1293"/>
        <w:gridCol w:w="1895"/>
        <w:gridCol w:w="1575"/>
      </w:tblGrid>
      <w:tr w:rsidR="005B5AE9" w:rsidRPr="00370866" w14:paraId="07FB9878" w14:textId="77777777" w:rsidTr="008E7379">
        <w:trPr>
          <w:cnfStyle w:val="100000000000" w:firstRow="1" w:lastRow="0" w:firstColumn="0" w:lastColumn="0" w:oddVBand="0" w:evenVBand="0" w:oddHBand="0" w:evenHBand="0" w:firstRowFirstColumn="0" w:firstRowLastColumn="0" w:lastRowFirstColumn="0" w:lastRowLastColumn="0"/>
          <w:tblHeader/>
        </w:trPr>
        <w:tc>
          <w:tcPr>
            <w:tcW w:w="556" w:type="pct"/>
            <w:shd w:val="clear" w:color="auto" w:fill="7F7F7F"/>
          </w:tcPr>
          <w:p w14:paraId="3CEF0AB7" w14:textId="77777777" w:rsidR="005B5AE9" w:rsidRPr="00AE7A3D" w:rsidRDefault="005B5AE9" w:rsidP="00500BA9">
            <w:pPr>
              <w:keepNext/>
              <w:keepLines/>
              <w:spacing w:before="60" w:after="60"/>
              <w:rPr>
                <w:rFonts w:cs="Arial"/>
                <w:sz w:val="19"/>
                <w:szCs w:val="19"/>
                <w:lang w:eastAsia="en-GB" w:bidi="ar-SA"/>
              </w:rPr>
            </w:pPr>
          </w:p>
        </w:tc>
        <w:tc>
          <w:tcPr>
            <w:tcW w:w="866" w:type="pct"/>
            <w:shd w:val="clear" w:color="auto" w:fill="7F7F7F"/>
            <w:noWrap/>
          </w:tcPr>
          <w:p w14:paraId="397AEF70" w14:textId="77777777" w:rsidR="005B5AE9" w:rsidRPr="00AE7A3D" w:rsidRDefault="005B5AE9" w:rsidP="00500BA9">
            <w:pPr>
              <w:keepNext/>
              <w:keepLines/>
              <w:spacing w:before="60" w:after="60"/>
              <w:rPr>
                <w:rFonts w:cs="Arial"/>
                <w:sz w:val="19"/>
                <w:szCs w:val="19"/>
                <w:lang w:eastAsia="en-GB" w:bidi="ar-SA"/>
              </w:rPr>
            </w:pPr>
          </w:p>
        </w:tc>
        <w:tc>
          <w:tcPr>
            <w:tcW w:w="1704" w:type="pct"/>
            <w:gridSpan w:val="2"/>
            <w:shd w:val="clear" w:color="auto" w:fill="7F7F7F"/>
          </w:tcPr>
          <w:p w14:paraId="3C40772D"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Mean dietary intake</w:t>
            </w:r>
          </w:p>
        </w:tc>
        <w:tc>
          <w:tcPr>
            <w:tcW w:w="1874" w:type="pct"/>
            <w:gridSpan w:val="2"/>
            <w:shd w:val="clear" w:color="auto" w:fill="7F7F7F"/>
          </w:tcPr>
          <w:p w14:paraId="1028CADF" w14:textId="5B31B661"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90</w:t>
            </w:r>
            <w:r w:rsidR="008E7379">
              <w:rPr>
                <w:rFonts w:cs="Arial"/>
                <w:sz w:val="19"/>
                <w:szCs w:val="19"/>
                <w:lang w:eastAsia="en-GB" w:bidi="ar-SA"/>
              </w:rPr>
              <w:t>th percentile</w:t>
            </w:r>
            <w:r w:rsidRPr="00AE7A3D">
              <w:rPr>
                <w:rFonts w:cs="Arial"/>
                <w:sz w:val="19"/>
                <w:szCs w:val="19"/>
                <w:lang w:eastAsia="en-GB" w:bidi="ar-SA"/>
              </w:rPr>
              <w:t xml:space="preserve"> dietary intake</w:t>
            </w:r>
          </w:p>
        </w:tc>
      </w:tr>
      <w:tr w:rsidR="005B5AE9" w:rsidRPr="00AE7A3D" w14:paraId="3550720E" w14:textId="77777777" w:rsidTr="008E7379">
        <w:trPr>
          <w:cnfStyle w:val="100000000000" w:firstRow="1" w:lastRow="0" w:firstColumn="0" w:lastColumn="0" w:oddVBand="0" w:evenVBand="0" w:oddHBand="0" w:evenHBand="0" w:firstRowFirstColumn="0" w:firstRowLastColumn="0" w:lastRowFirstColumn="0" w:lastRowLastColumn="0"/>
          <w:tblHeader/>
        </w:trPr>
        <w:tc>
          <w:tcPr>
            <w:tcW w:w="556" w:type="pct"/>
            <w:shd w:val="clear" w:color="auto" w:fill="7F7F7F"/>
          </w:tcPr>
          <w:p w14:paraId="5A14E3B2" w14:textId="77777777" w:rsidR="005B5AE9" w:rsidRPr="00AE7A3D" w:rsidRDefault="005B5AE9" w:rsidP="00500BA9">
            <w:pPr>
              <w:keepNext/>
              <w:keepLines/>
              <w:spacing w:before="60" w:after="60"/>
              <w:rPr>
                <w:rFonts w:cs="Arial"/>
                <w:sz w:val="19"/>
                <w:szCs w:val="19"/>
                <w:lang w:eastAsia="en-GB" w:bidi="ar-SA"/>
              </w:rPr>
            </w:pPr>
            <w:r w:rsidRPr="00AE7A3D">
              <w:rPr>
                <w:rFonts w:cs="Arial"/>
                <w:sz w:val="19"/>
                <w:szCs w:val="19"/>
                <w:lang w:eastAsia="en-GB" w:bidi="ar-SA"/>
              </w:rPr>
              <w:t>Unit</w:t>
            </w:r>
          </w:p>
        </w:tc>
        <w:tc>
          <w:tcPr>
            <w:tcW w:w="866" w:type="pct"/>
            <w:shd w:val="clear" w:color="auto" w:fill="7F7F7F"/>
            <w:noWrap/>
          </w:tcPr>
          <w:p w14:paraId="6E701507" w14:textId="77777777" w:rsidR="005B5AE9" w:rsidRPr="00AE7A3D" w:rsidRDefault="005B5AE9" w:rsidP="00500BA9">
            <w:pPr>
              <w:keepNext/>
              <w:keepLines/>
              <w:spacing w:before="60" w:after="60"/>
              <w:jc w:val="both"/>
              <w:rPr>
                <w:rFonts w:cs="Arial"/>
                <w:sz w:val="19"/>
                <w:szCs w:val="19"/>
                <w:lang w:eastAsia="en-GB" w:bidi="ar-SA"/>
              </w:rPr>
            </w:pPr>
            <w:r w:rsidRPr="00AE7A3D">
              <w:rPr>
                <w:rFonts w:cs="Arial"/>
                <w:sz w:val="19"/>
                <w:szCs w:val="19"/>
                <w:lang w:eastAsia="en-GB" w:bidi="ar-SA"/>
              </w:rPr>
              <w:t>Age group</w:t>
            </w:r>
          </w:p>
        </w:tc>
        <w:tc>
          <w:tcPr>
            <w:tcW w:w="973" w:type="pct"/>
            <w:shd w:val="clear" w:color="auto" w:fill="7F7F7F"/>
          </w:tcPr>
          <w:p w14:paraId="5CE3A6ED" w14:textId="3EADE181" w:rsidR="005B5AE9" w:rsidRPr="00AE7A3D" w:rsidRDefault="005B5AE9" w:rsidP="00500BA9">
            <w:pPr>
              <w:keepNext/>
              <w:keepLines/>
              <w:spacing w:before="60" w:after="60"/>
              <w:jc w:val="center"/>
              <w:rPr>
                <w:rFonts w:cs="Arial"/>
                <w:sz w:val="19"/>
                <w:szCs w:val="19"/>
                <w:lang w:eastAsia="en-GB" w:bidi="ar-SA"/>
              </w:rPr>
            </w:pPr>
            <w:r>
              <w:rPr>
                <w:rFonts w:cs="Arial"/>
                <w:sz w:val="19"/>
                <w:szCs w:val="19"/>
                <w:lang w:eastAsia="en-GB" w:bidi="ar-SA"/>
              </w:rPr>
              <w:t>From microbial fermentation</w:t>
            </w:r>
            <w:r w:rsidR="003F2C34">
              <w:rPr>
                <w:rFonts w:cs="Arial"/>
                <w:sz w:val="19"/>
                <w:szCs w:val="19"/>
                <w:lang w:eastAsia="en-GB" w:bidi="ar-SA"/>
              </w:rPr>
              <w:t>*</w:t>
            </w:r>
          </w:p>
        </w:tc>
        <w:tc>
          <w:tcPr>
            <w:tcW w:w="731" w:type="pct"/>
            <w:shd w:val="clear" w:color="auto" w:fill="7F7F7F"/>
          </w:tcPr>
          <w:p w14:paraId="2487B5D4"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From human milk</w:t>
            </w:r>
            <w:r w:rsidRPr="00AE7A3D">
              <w:rPr>
                <w:rFonts w:cs="Arial"/>
                <w:sz w:val="19"/>
                <w:szCs w:val="19"/>
                <w:vertAlign w:val="superscript"/>
                <w:lang w:eastAsia="en-GB" w:bidi="ar-SA"/>
              </w:rPr>
              <w:sym w:font="Wingdings" w:char="F074"/>
            </w:r>
          </w:p>
        </w:tc>
        <w:tc>
          <w:tcPr>
            <w:tcW w:w="973" w:type="pct"/>
            <w:shd w:val="clear" w:color="auto" w:fill="7F7F7F"/>
          </w:tcPr>
          <w:p w14:paraId="055756CB" w14:textId="305D5F41" w:rsidR="005B5AE9" w:rsidRPr="00AE7A3D" w:rsidRDefault="005B5AE9" w:rsidP="00500BA9">
            <w:pPr>
              <w:keepNext/>
              <w:keepLines/>
              <w:spacing w:before="60" w:after="60"/>
              <w:jc w:val="center"/>
              <w:rPr>
                <w:rFonts w:cs="Arial"/>
                <w:sz w:val="19"/>
                <w:szCs w:val="19"/>
                <w:lang w:eastAsia="en-GB" w:bidi="ar-SA"/>
              </w:rPr>
            </w:pPr>
            <w:r>
              <w:rPr>
                <w:rFonts w:cs="Arial"/>
                <w:sz w:val="19"/>
                <w:szCs w:val="19"/>
                <w:lang w:eastAsia="en-GB" w:bidi="ar-SA"/>
              </w:rPr>
              <w:t>From microbial fermentation</w:t>
            </w:r>
            <w:r w:rsidR="003F2C34">
              <w:rPr>
                <w:rFonts w:cs="Arial"/>
                <w:sz w:val="19"/>
                <w:szCs w:val="19"/>
                <w:lang w:eastAsia="en-GB" w:bidi="ar-SA"/>
              </w:rPr>
              <w:t>*</w:t>
            </w:r>
          </w:p>
        </w:tc>
        <w:tc>
          <w:tcPr>
            <w:tcW w:w="901" w:type="pct"/>
            <w:shd w:val="clear" w:color="auto" w:fill="7F7F7F"/>
          </w:tcPr>
          <w:p w14:paraId="02A955E2"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From human milk</w:t>
            </w:r>
            <w:r w:rsidRPr="00AE7A3D">
              <w:rPr>
                <w:rFonts w:cs="Arial"/>
                <w:sz w:val="19"/>
                <w:szCs w:val="19"/>
                <w:vertAlign w:val="superscript"/>
                <w:lang w:eastAsia="en-GB" w:bidi="ar-SA"/>
              </w:rPr>
              <w:sym w:font="Wingdings" w:char="F074"/>
            </w:r>
          </w:p>
        </w:tc>
      </w:tr>
      <w:tr w:rsidR="005B5AE9" w:rsidRPr="00370866" w14:paraId="5019C15D"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6A344A58" w14:textId="77777777" w:rsidR="005B5AE9" w:rsidRPr="00370866" w:rsidRDefault="005B5AE9" w:rsidP="00500BA9">
            <w:pPr>
              <w:keepNext/>
              <w:keepLines/>
              <w:spacing w:before="60" w:after="60"/>
              <w:rPr>
                <w:rFonts w:cs="Arial"/>
                <w:sz w:val="19"/>
                <w:szCs w:val="19"/>
                <w:lang w:eastAsia="en-GB" w:bidi="ar-SA"/>
              </w:rPr>
            </w:pPr>
            <w:r w:rsidRPr="00370866">
              <w:rPr>
                <w:rFonts w:cs="Arial"/>
                <w:sz w:val="19"/>
                <w:szCs w:val="19"/>
                <w:lang w:eastAsia="en-GB" w:bidi="ar-SA"/>
              </w:rPr>
              <w:t>g/day</w:t>
            </w:r>
          </w:p>
        </w:tc>
        <w:tc>
          <w:tcPr>
            <w:tcW w:w="866" w:type="pct"/>
            <w:noWrap/>
            <w:vAlign w:val="center"/>
            <w:hideMark/>
          </w:tcPr>
          <w:p w14:paraId="7314F8D8"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3 months</w:t>
            </w:r>
          </w:p>
        </w:tc>
        <w:tc>
          <w:tcPr>
            <w:tcW w:w="973" w:type="pct"/>
            <w:vAlign w:val="center"/>
          </w:tcPr>
          <w:p w14:paraId="069B5F5F" w14:textId="77777777" w:rsidR="005B5AE9" w:rsidRPr="00370866" w:rsidRDefault="005B5AE9" w:rsidP="00500BA9">
            <w:pPr>
              <w:keepNext/>
              <w:keepLines/>
              <w:spacing w:before="60" w:after="60"/>
              <w:jc w:val="center"/>
              <w:rPr>
                <w:rFonts w:cs="Arial"/>
                <w:sz w:val="19"/>
                <w:szCs w:val="19"/>
              </w:rPr>
            </w:pPr>
            <w:r>
              <w:rPr>
                <w:rFonts w:cs="Arial"/>
                <w:sz w:val="19"/>
                <w:szCs w:val="19"/>
              </w:rPr>
              <w:t>2.</w:t>
            </w:r>
            <w:r w:rsidRPr="00370866" w:rsidDel="00AE7A3D">
              <w:rPr>
                <w:rFonts w:cs="Arial"/>
                <w:sz w:val="19"/>
                <w:szCs w:val="19"/>
              </w:rPr>
              <w:t>1</w:t>
            </w:r>
          </w:p>
        </w:tc>
        <w:tc>
          <w:tcPr>
            <w:tcW w:w="731" w:type="pct"/>
            <w:vAlign w:val="center"/>
          </w:tcPr>
          <w:p w14:paraId="11A67E61" w14:textId="77777777" w:rsidR="005B5AE9" w:rsidRPr="00370866" w:rsidRDefault="005B5AE9" w:rsidP="00500BA9">
            <w:pPr>
              <w:keepNext/>
              <w:keepLines/>
              <w:spacing w:before="60" w:after="60"/>
              <w:jc w:val="center"/>
              <w:rPr>
                <w:rFonts w:cs="Arial"/>
                <w:sz w:val="19"/>
                <w:szCs w:val="19"/>
              </w:rPr>
            </w:pPr>
            <w:r w:rsidRPr="00485199">
              <w:rPr>
                <w:rFonts w:cs="Arial"/>
                <w:sz w:val="19"/>
                <w:szCs w:val="19"/>
              </w:rPr>
              <w:t>1.8 – 2.2</w:t>
            </w:r>
          </w:p>
        </w:tc>
        <w:tc>
          <w:tcPr>
            <w:tcW w:w="973" w:type="pct"/>
            <w:vAlign w:val="center"/>
          </w:tcPr>
          <w:p w14:paraId="3B4B11ED" w14:textId="77777777" w:rsidR="005B5AE9" w:rsidRPr="00370866" w:rsidRDefault="005B5AE9" w:rsidP="00500BA9">
            <w:pPr>
              <w:keepNext/>
              <w:keepLines/>
              <w:spacing w:before="60" w:after="60"/>
              <w:jc w:val="center"/>
              <w:rPr>
                <w:rFonts w:cs="Arial"/>
                <w:sz w:val="19"/>
                <w:szCs w:val="19"/>
              </w:rPr>
            </w:pPr>
            <w:r>
              <w:rPr>
                <w:rFonts w:cs="Arial"/>
                <w:sz w:val="19"/>
                <w:szCs w:val="19"/>
              </w:rPr>
              <w:t>4.2</w:t>
            </w:r>
          </w:p>
        </w:tc>
        <w:tc>
          <w:tcPr>
            <w:tcW w:w="901" w:type="pct"/>
            <w:vAlign w:val="center"/>
          </w:tcPr>
          <w:p w14:paraId="49FB7DE6" w14:textId="77777777" w:rsidR="005B5AE9" w:rsidRPr="00370866" w:rsidRDefault="005B5AE9" w:rsidP="00500BA9">
            <w:pPr>
              <w:keepNext/>
              <w:keepLines/>
              <w:spacing w:before="60" w:after="60"/>
              <w:jc w:val="center"/>
              <w:rPr>
                <w:rFonts w:cs="Arial"/>
                <w:sz w:val="19"/>
                <w:szCs w:val="19"/>
              </w:rPr>
            </w:pPr>
            <w:r>
              <w:rPr>
                <w:rFonts w:cs="Arial"/>
                <w:sz w:val="19"/>
                <w:szCs w:val="19"/>
              </w:rPr>
              <w:t>3.5 – 4.4</w:t>
            </w:r>
          </w:p>
        </w:tc>
      </w:tr>
      <w:tr w:rsidR="005B5AE9" w:rsidRPr="00370866" w14:paraId="00C3748B"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071BDA57"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5293EF01"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9 months</w:t>
            </w:r>
          </w:p>
        </w:tc>
        <w:tc>
          <w:tcPr>
            <w:tcW w:w="973" w:type="pct"/>
            <w:vAlign w:val="center"/>
          </w:tcPr>
          <w:p w14:paraId="1044EA6F" w14:textId="77777777" w:rsidR="005B5AE9" w:rsidRPr="00370866" w:rsidRDefault="005B5AE9" w:rsidP="00500BA9">
            <w:pPr>
              <w:keepNext/>
              <w:keepLines/>
              <w:spacing w:before="60" w:after="60"/>
              <w:jc w:val="center"/>
              <w:rPr>
                <w:rFonts w:cs="Arial"/>
                <w:sz w:val="19"/>
                <w:szCs w:val="19"/>
              </w:rPr>
            </w:pPr>
            <w:r>
              <w:rPr>
                <w:rFonts w:cs="Arial"/>
                <w:sz w:val="19"/>
                <w:szCs w:val="19"/>
              </w:rPr>
              <w:t>1.4</w:t>
            </w:r>
          </w:p>
        </w:tc>
        <w:tc>
          <w:tcPr>
            <w:tcW w:w="731" w:type="pct"/>
            <w:vAlign w:val="center"/>
          </w:tcPr>
          <w:p w14:paraId="3EE25B79" w14:textId="77777777" w:rsidR="005B5AE9" w:rsidRPr="00370866" w:rsidRDefault="005B5AE9" w:rsidP="00500BA9">
            <w:pPr>
              <w:keepNext/>
              <w:keepLines/>
              <w:spacing w:before="60" w:after="60"/>
              <w:jc w:val="center"/>
              <w:rPr>
                <w:rFonts w:cs="Arial"/>
                <w:sz w:val="19"/>
                <w:szCs w:val="19"/>
              </w:rPr>
            </w:pPr>
            <w:r>
              <w:rPr>
                <w:rFonts w:cs="Arial"/>
                <w:sz w:val="19"/>
                <w:szCs w:val="19"/>
              </w:rPr>
              <w:t>1.2</w:t>
            </w:r>
          </w:p>
        </w:tc>
        <w:tc>
          <w:tcPr>
            <w:tcW w:w="973" w:type="pct"/>
            <w:vAlign w:val="center"/>
          </w:tcPr>
          <w:p w14:paraId="0CDBFED0" w14:textId="77777777" w:rsidR="005B5AE9" w:rsidRPr="00370866" w:rsidRDefault="005B5AE9" w:rsidP="00500BA9">
            <w:pPr>
              <w:keepNext/>
              <w:keepLines/>
              <w:spacing w:before="60" w:after="60"/>
              <w:jc w:val="center"/>
              <w:rPr>
                <w:rFonts w:cs="Arial"/>
                <w:sz w:val="19"/>
                <w:szCs w:val="19"/>
              </w:rPr>
            </w:pPr>
            <w:r>
              <w:rPr>
                <w:rFonts w:cs="Arial"/>
                <w:sz w:val="19"/>
                <w:szCs w:val="19"/>
              </w:rPr>
              <w:t>2.8</w:t>
            </w:r>
          </w:p>
        </w:tc>
        <w:tc>
          <w:tcPr>
            <w:tcW w:w="901" w:type="pct"/>
            <w:vAlign w:val="center"/>
          </w:tcPr>
          <w:p w14:paraId="6ECB1A79" w14:textId="77777777" w:rsidR="005B5AE9" w:rsidRPr="00370866" w:rsidRDefault="005B5AE9" w:rsidP="00500BA9">
            <w:pPr>
              <w:keepNext/>
              <w:keepLines/>
              <w:spacing w:before="60" w:after="60"/>
              <w:jc w:val="center"/>
              <w:rPr>
                <w:rFonts w:cs="Arial"/>
                <w:sz w:val="19"/>
                <w:szCs w:val="19"/>
              </w:rPr>
            </w:pPr>
            <w:r>
              <w:rPr>
                <w:rFonts w:cs="Arial"/>
                <w:sz w:val="19"/>
                <w:szCs w:val="19"/>
              </w:rPr>
              <w:t>2.4</w:t>
            </w:r>
          </w:p>
        </w:tc>
      </w:tr>
      <w:tr w:rsidR="005B5AE9" w:rsidRPr="00370866" w14:paraId="1F982593"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655AB137"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634D7813"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12 months</w:t>
            </w:r>
          </w:p>
        </w:tc>
        <w:tc>
          <w:tcPr>
            <w:tcW w:w="973" w:type="pct"/>
            <w:vAlign w:val="center"/>
          </w:tcPr>
          <w:p w14:paraId="2E046831" w14:textId="7EF037D5" w:rsidR="005B5AE9" w:rsidRPr="00B51144" w:rsidRDefault="005B5AE9" w:rsidP="00500BA9">
            <w:pPr>
              <w:keepNext/>
              <w:keepLines/>
              <w:spacing w:before="60" w:after="60"/>
              <w:jc w:val="center"/>
              <w:rPr>
                <w:rFonts w:cs="Arial"/>
                <w:sz w:val="19"/>
                <w:szCs w:val="19"/>
                <w:lang w:eastAsia="en-GB" w:bidi="ar-SA"/>
              </w:rPr>
            </w:pPr>
            <w:r w:rsidRPr="00B51144">
              <w:rPr>
                <w:rFonts w:cs="Arial"/>
                <w:sz w:val="19"/>
                <w:szCs w:val="19"/>
                <w:lang w:eastAsia="en-GB" w:bidi="ar-SA"/>
              </w:rPr>
              <w:t>0.9</w:t>
            </w:r>
            <w:r w:rsidR="0070283A">
              <w:rPr>
                <w:rFonts w:cs="Arial"/>
                <w:sz w:val="19"/>
                <w:szCs w:val="19"/>
                <w:lang w:eastAsia="en-GB" w:bidi="ar-SA"/>
              </w:rPr>
              <w:t>7</w:t>
            </w:r>
            <w:r w:rsidRPr="00B51144">
              <w:rPr>
                <w:rFonts w:cs="Arial"/>
                <w:sz w:val="19"/>
                <w:szCs w:val="19"/>
                <w:lang w:eastAsia="en-GB" w:bidi="ar-SA"/>
              </w:rPr>
              <w:t xml:space="preserve"> – 1.9</w:t>
            </w:r>
            <w:r w:rsidRPr="00B51144">
              <w:rPr>
                <w:rFonts w:cs="Arial"/>
                <w:sz w:val="19"/>
                <w:szCs w:val="19"/>
                <w:vertAlign w:val="superscript"/>
                <w:lang w:eastAsia="en-GB" w:bidi="ar-SA"/>
              </w:rPr>
              <w:t>Ω</w:t>
            </w:r>
          </w:p>
        </w:tc>
        <w:tc>
          <w:tcPr>
            <w:tcW w:w="731" w:type="pct"/>
            <w:vAlign w:val="center"/>
          </w:tcPr>
          <w:p w14:paraId="7A1DD9DE" w14:textId="77777777" w:rsidR="005B5AE9" w:rsidRPr="00B51144" w:rsidRDefault="005B5AE9" w:rsidP="00500BA9">
            <w:pPr>
              <w:keepNext/>
              <w:keepLines/>
              <w:spacing w:before="60" w:after="60"/>
              <w:jc w:val="center"/>
              <w:rPr>
                <w:rFonts w:cs="Arial"/>
                <w:sz w:val="19"/>
                <w:szCs w:val="19"/>
              </w:rPr>
            </w:pPr>
            <w:r w:rsidRPr="00B51144">
              <w:rPr>
                <w:rFonts w:cs="Arial"/>
                <w:sz w:val="19"/>
                <w:szCs w:val="19"/>
                <w:lang w:eastAsia="en-GB" w:bidi="ar-SA"/>
              </w:rPr>
              <w:t>n/a</w:t>
            </w:r>
          </w:p>
        </w:tc>
        <w:tc>
          <w:tcPr>
            <w:tcW w:w="973" w:type="pct"/>
            <w:vAlign w:val="center"/>
          </w:tcPr>
          <w:p w14:paraId="663C1115" w14:textId="00009789" w:rsidR="005B5AE9" w:rsidRPr="00B51144" w:rsidRDefault="005B5AE9" w:rsidP="00500BA9">
            <w:pPr>
              <w:keepNext/>
              <w:keepLines/>
              <w:spacing w:before="60" w:after="60"/>
              <w:jc w:val="center"/>
              <w:rPr>
                <w:rFonts w:cs="Arial"/>
                <w:sz w:val="19"/>
                <w:szCs w:val="19"/>
                <w:lang w:eastAsia="en-GB" w:bidi="ar-SA"/>
              </w:rPr>
            </w:pPr>
            <w:r w:rsidRPr="00B51144">
              <w:rPr>
                <w:rFonts w:cs="Arial"/>
                <w:sz w:val="19"/>
                <w:szCs w:val="19"/>
                <w:lang w:eastAsia="en-GB" w:bidi="ar-SA"/>
              </w:rPr>
              <w:t>1.9 – 3.</w:t>
            </w:r>
            <w:r w:rsidR="0070283A">
              <w:rPr>
                <w:rFonts w:cs="Arial"/>
                <w:sz w:val="19"/>
                <w:szCs w:val="19"/>
                <w:lang w:eastAsia="en-GB" w:bidi="ar-SA"/>
              </w:rPr>
              <w:t>9</w:t>
            </w:r>
            <w:r w:rsidRPr="00B51144">
              <w:rPr>
                <w:rFonts w:cs="Arial"/>
                <w:sz w:val="19"/>
                <w:szCs w:val="19"/>
                <w:vertAlign w:val="superscript"/>
                <w:lang w:eastAsia="en-GB" w:bidi="ar-SA"/>
              </w:rPr>
              <w:t>Ω</w:t>
            </w:r>
          </w:p>
        </w:tc>
        <w:tc>
          <w:tcPr>
            <w:tcW w:w="901" w:type="pct"/>
            <w:vAlign w:val="center"/>
          </w:tcPr>
          <w:p w14:paraId="29684126"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lang w:eastAsia="en-GB" w:bidi="ar-SA"/>
              </w:rPr>
              <w:t>n/a</w:t>
            </w:r>
          </w:p>
        </w:tc>
      </w:tr>
      <w:tr w:rsidR="005B5AE9" w:rsidRPr="00370866" w14:paraId="1FF69BF7"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2AE638EB" w14:textId="77777777" w:rsidR="005B5AE9" w:rsidRPr="00370866" w:rsidRDefault="005B5AE9" w:rsidP="00500BA9">
            <w:pPr>
              <w:keepNext/>
              <w:keepLines/>
              <w:spacing w:before="60" w:after="60"/>
              <w:rPr>
                <w:rFonts w:cs="Arial"/>
                <w:sz w:val="19"/>
                <w:szCs w:val="19"/>
                <w:highlight w:val="yellow"/>
                <w:lang w:eastAsia="en-GB" w:bidi="ar-SA"/>
              </w:rPr>
            </w:pPr>
          </w:p>
        </w:tc>
        <w:tc>
          <w:tcPr>
            <w:tcW w:w="866" w:type="pct"/>
            <w:noWrap/>
            <w:vAlign w:val="center"/>
            <w:hideMark/>
          </w:tcPr>
          <w:p w14:paraId="5D2251E8" w14:textId="77777777" w:rsidR="005B5AE9" w:rsidRPr="00370866" w:rsidRDefault="005B5AE9" w:rsidP="00500BA9">
            <w:pPr>
              <w:keepNext/>
              <w:keepLines/>
              <w:spacing w:before="60" w:after="60"/>
              <w:jc w:val="both"/>
              <w:rPr>
                <w:rFonts w:cs="Arial"/>
                <w:sz w:val="19"/>
                <w:szCs w:val="19"/>
                <w:highlight w:val="yellow"/>
                <w:lang w:eastAsia="en-GB" w:bidi="ar-SA"/>
              </w:rPr>
            </w:pPr>
            <w:r w:rsidRPr="00DB6927">
              <w:rPr>
                <w:rFonts w:cs="Arial"/>
                <w:sz w:val="19"/>
                <w:szCs w:val="19"/>
                <w:lang w:eastAsia="en-GB" w:bidi="ar-SA"/>
              </w:rPr>
              <w:t>2-3 years</w:t>
            </w:r>
          </w:p>
        </w:tc>
        <w:tc>
          <w:tcPr>
            <w:tcW w:w="973" w:type="pct"/>
            <w:vAlign w:val="center"/>
          </w:tcPr>
          <w:p w14:paraId="08AD1683" w14:textId="77777777" w:rsidR="005B5AE9" w:rsidRPr="000D48F9" w:rsidRDefault="005B5AE9" w:rsidP="00500BA9">
            <w:pPr>
              <w:keepNext/>
              <w:keepLines/>
              <w:spacing w:before="60" w:after="60"/>
              <w:jc w:val="center"/>
              <w:rPr>
                <w:rFonts w:cs="Arial"/>
                <w:sz w:val="19"/>
                <w:szCs w:val="19"/>
              </w:rPr>
            </w:pPr>
            <w:r w:rsidRPr="00CA6944">
              <w:rPr>
                <w:rFonts w:cs="Arial"/>
                <w:sz w:val="19"/>
                <w:szCs w:val="19"/>
                <w:lang w:eastAsia="en-GB" w:bidi="ar-SA"/>
              </w:rPr>
              <w:t>1.1</w:t>
            </w:r>
            <w:r w:rsidRPr="000D48F9">
              <w:rPr>
                <w:rFonts w:cs="Arial"/>
                <w:sz w:val="19"/>
                <w:szCs w:val="19"/>
                <w:lang w:eastAsia="en-GB" w:bidi="ar-SA"/>
              </w:rPr>
              <w:t xml:space="preserve"> – 2.2</w:t>
            </w:r>
            <w:r w:rsidRPr="00CA6944">
              <w:rPr>
                <w:rFonts w:cs="Arial"/>
                <w:sz w:val="19"/>
                <w:szCs w:val="19"/>
                <w:vertAlign w:val="superscript"/>
                <w:lang w:eastAsia="en-GB" w:bidi="ar-SA"/>
              </w:rPr>
              <w:t>Ω</w:t>
            </w:r>
          </w:p>
        </w:tc>
        <w:tc>
          <w:tcPr>
            <w:tcW w:w="731" w:type="pct"/>
            <w:vAlign w:val="center"/>
          </w:tcPr>
          <w:p w14:paraId="7345624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c>
          <w:tcPr>
            <w:tcW w:w="973" w:type="pct"/>
            <w:vAlign w:val="center"/>
          </w:tcPr>
          <w:p w14:paraId="47D80A98" w14:textId="77777777" w:rsidR="005B5AE9" w:rsidRPr="000D48F9" w:rsidRDefault="005B5AE9" w:rsidP="00500BA9">
            <w:pPr>
              <w:keepNext/>
              <w:keepLines/>
              <w:spacing w:before="60" w:after="60"/>
              <w:jc w:val="center"/>
              <w:rPr>
                <w:rFonts w:cs="Arial"/>
                <w:sz w:val="19"/>
                <w:szCs w:val="19"/>
              </w:rPr>
            </w:pPr>
            <w:r w:rsidRPr="00CA6944">
              <w:rPr>
                <w:rFonts w:cs="Arial"/>
                <w:sz w:val="19"/>
                <w:szCs w:val="19"/>
                <w:lang w:eastAsia="en-GB" w:bidi="ar-SA"/>
              </w:rPr>
              <w:t>2.2</w:t>
            </w:r>
            <w:r w:rsidRPr="000D48F9">
              <w:rPr>
                <w:rFonts w:cs="Arial"/>
                <w:sz w:val="19"/>
                <w:szCs w:val="19"/>
                <w:lang w:eastAsia="en-GB" w:bidi="ar-SA"/>
              </w:rPr>
              <w:t xml:space="preserve"> – 4.4</w:t>
            </w:r>
            <w:r w:rsidRPr="00CA6944">
              <w:rPr>
                <w:rFonts w:cs="Arial"/>
                <w:sz w:val="19"/>
                <w:szCs w:val="19"/>
                <w:vertAlign w:val="superscript"/>
                <w:lang w:eastAsia="en-GB" w:bidi="ar-SA"/>
              </w:rPr>
              <w:t>Ω</w:t>
            </w:r>
          </w:p>
        </w:tc>
        <w:tc>
          <w:tcPr>
            <w:tcW w:w="901" w:type="pct"/>
            <w:vAlign w:val="center"/>
          </w:tcPr>
          <w:p w14:paraId="461B4A1A"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r>
      <w:tr w:rsidR="005B5AE9" w:rsidRPr="00370866" w14:paraId="1917F9DB"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52CA285F" w14:textId="63A0D05A" w:rsidR="005B5AE9" w:rsidRPr="00370866" w:rsidRDefault="005B5AE9" w:rsidP="00500BA9">
            <w:pPr>
              <w:keepNext/>
              <w:keepLines/>
              <w:spacing w:before="60" w:after="60"/>
              <w:rPr>
                <w:rFonts w:cs="Arial"/>
                <w:sz w:val="19"/>
                <w:szCs w:val="19"/>
                <w:lang w:eastAsia="en-GB" w:bidi="ar-SA"/>
              </w:rPr>
            </w:pPr>
            <w:r w:rsidRPr="00370866">
              <w:rPr>
                <w:rFonts w:cs="Arial"/>
                <w:sz w:val="19"/>
                <w:szCs w:val="19"/>
                <w:lang w:eastAsia="en-GB" w:bidi="ar-SA"/>
              </w:rPr>
              <w:t>g/kg bw/day</w:t>
            </w:r>
            <w:r w:rsidR="008E7379">
              <w:rPr>
                <w:rFonts w:cs="Arial"/>
                <w:sz w:val="19"/>
                <w:szCs w:val="19"/>
                <w:lang w:eastAsia="en-GB" w:bidi="ar-SA"/>
              </w:rPr>
              <w:t>*</w:t>
            </w:r>
            <w:r w:rsidR="003F2C34">
              <w:rPr>
                <w:rFonts w:cs="Arial"/>
                <w:sz w:val="19"/>
                <w:szCs w:val="19"/>
                <w:lang w:eastAsia="en-GB" w:bidi="ar-SA"/>
              </w:rPr>
              <w:t>*</w:t>
            </w:r>
          </w:p>
        </w:tc>
        <w:tc>
          <w:tcPr>
            <w:tcW w:w="866" w:type="pct"/>
            <w:noWrap/>
            <w:vAlign w:val="center"/>
            <w:hideMark/>
          </w:tcPr>
          <w:p w14:paraId="307BB5F4"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3 months</w:t>
            </w:r>
          </w:p>
        </w:tc>
        <w:tc>
          <w:tcPr>
            <w:tcW w:w="973" w:type="pct"/>
            <w:vAlign w:val="center"/>
          </w:tcPr>
          <w:p w14:paraId="15002BA2"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0.33</w:t>
            </w:r>
          </w:p>
        </w:tc>
        <w:tc>
          <w:tcPr>
            <w:tcW w:w="731" w:type="pct"/>
            <w:vAlign w:val="center"/>
          </w:tcPr>
          <w:p w14:paraId="42969F19" w14:textId="77777777" w:rsidR="005B5AE9" w:rsidRPr="00CA6944" w:rsidRDefault="005B5AE9" w:rsidP="00500BA9">
            <w:pPr>
              <w:keepNext/>
              <w:keepLines/>
              <w:spacing w:before="60" w:after="60"/>
              <w:jc w:val="center"/>
              <w:rPr>
                <w:rFonts w:cs="Arial"/>
                <w:sz w:val="19"/>
                <w:szCs w:val="19"/>
              </w:rPr>
            </w:pPr>
            <w:r w:rsidRPr="00CA6944" w:rsidDel="00AE7A3D">
              <w:rPr>
                <w:rFonts w:cs="Arial"/>
                <w:sz w:val="19"/>
                <w:szCs w:val="19"/>
              </w:rPr>
              <w:t>0.</w:t>
            </w:r>
            <w:r w:rsidRPr="00CA6944">
              <w:rPr>
                <w:rFonts w:cs="Arial"/>
                <w:sz w:val="19"/>
                <w:szCs w:val="19"/>
              </w:rPr>
              <w:t>28 – 0.34</w:t>
            </w:r>
          </w:p>
        </w:tc>
        <w:tc>
          <w:tcPr>
            <w:tcW w:w="973" w:type="pct"/>
            <w:vAlign w:val="center"/>
          </w:tcPr>
          <w:p w14:paraId="2762533B"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0.66</w:t>
            </w:r>
          </w:p>
        </w:tc>
        <w:tc>
          <w:tcPr>
            <w:tcW w:w="901" w:type="pct"/>
            <w:vAlign w:val="center"/>
          </w:tcPr>
          <w:p w14:paraId="021FCD6A" w14:textId="77777777" w:rsidR="005B5AE9" w:rsidRPr="00CA6944" w:rsidRDefault="005B5AE9" w:rsidP="00500BA9">
            <w:pPr>
              <w:keepNext/>
              <w:keepLines/>
              <w:spacing w:before="60" w:after="60"/>
              <w:jc w:val="center"/>
              <w:rPr>
                <w:rFonts w:cs="Arial"/>
                <w:sz w:val="19"/>
                <w:szCs w:val="19"/>
              </w:rPr>
            </w:pPr>
            <w:r w:rsidRPr="00CA6944" w:rsidDel="00AE7A3D">
              <w:rPr>
                <w:rFonts w:cs="Arial"/>
                <w:sz w:val="19"/>
                <w:szCs w:val="19"/>
              </w:rPr>
              <w:t>0.</w:t>
            </w:r>
            <w:r w:rsidRPr="00CA6944">
              <w:rPr>
                <w:rFonts w:cs="Arial"/>
                <w:sz w:val="19"/>
                <w:szCs w:val="19"/>
              </w:rPr>
              <w:t>55 – 0.69</w:t>
            </w:r>
          </w:p>
        </w:tc>
      </w:tr>
      <w:tr w:rsidR="005B5AE9" w:rsidRPr="00370866" w14:paraId="56333C3E"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47D90FB1"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6D3BCE91"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9 months</w:t>
            </w:r>
          </w:p>
        </w:tc>
        <w:tc>
          <w:tcPr>
            <w:tcW w:w="973" w:type="pct"/>
            <w:vAlign w:val="center"/>
          </w:tcPr>
          <w:p w14:paraId="2A7085A4" w14:textId="77777777" w:rsidR="005B5AE9" w:rsidRPr="00370866" w:rsidRDefault="005B5AE9" w:rsidP="00500BA9">
            <w:pPr>
              <w:keepNext/>
              <w:keepLines/>
              <w:spacing w:before="60" w:after="60"/>
              <w:jc w:val="center"/>
              <w:rPr>
                <w:rFonts w:cs="Arial"/>
                <w:sz w:val="19"/>
                <w:szCs w:val="19"/>
              </w:rPr>
            </w:pPr>
            <w:r w:rsidRPr="00370866">
              <w:rPr>
                <w:rFonts w:cs="Arial"/>
                <w:sz w:val="19"/>
                <w:szCs w:val="19"/>
              </w:rPr>
              <w:t>0.</w:t>
            </w:r>
            <w:r>
              <w:rPr>
                <w:rFonts w:cs="Arial"/>
                <w:sz w:val="19"/>
                <w:szCs w:val="19"/>
              </w:rPr>
              <w:t>16</w:t>
            </w:r>
          </w:p>
        </w:tc>
        <w:tc>
          <w:tcPr>
            <w:tcW w:w="731" w:type="pct"/>
            <w:vAlign w:val="center"/>
          </w:tcPr>
          <w:p w14:paraId="39C3ACE2"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rPr>
              <w:t>0.1</w:t>
            </w:r>
            <w:r>
              <w:rPr>
                <w:rFonts w:cs="Arial"/>
                <w:sz w:val="19"/>
                <w:szCs w:val="19"/>
              </w:rPr>
              <w:t>3</w:t>
            </w:r>
          </w:p>
        </w:tc>
        <w:tc>
          <w:tcPr>
            <w:tcW w:w="973" w:type="pct"/>
            <w:vAlign w:val="center"/>
          </w:tcPr>
          <w:p w14:paraId="22CC3ECF" w14:textId="77777777" w:rsidR="005B5AE9" w:rsidRPr="00370866" w:rsidRDefault="005B5AE9" w:rsidP="00500BA9">
            <w:pPr>
              <w:keepNext/>
              <w:keepLines/>
              <w:spacing w:before="60" w:after="60"/>
              <w:jc w:val="center"/>
              <w:rPr>
                <w:rFonts w:cs="Arial"/>
                <w:sz w:val="19"/>
                <w:szCs w:val="19"/>
              </w:rPr>
            </w:pPr>
            <w:r w:rsidRPr="00370866">
              <w:rPr>
                <w:rFonts w:cs="Arial"/>
                <w:sz w:val="19"/>
                <w:szCs w:val="19"/>
              </w:rPr>
              <w:t>0.</w:t>
            </w:r>
            <w:r>
              <w:rPr>
                <w:rFonts w:cs="Arial"/>
                <w:sz w:val="19"/>
                <w:szCs w:val="19"/>
              </w:rPr>
              <w:t>32</w:t>
            </w:r>
          </w:p>
        </w:tc>
        <w:tc>
          <w:tcPr>
            <w:tcW w:w="901" w:type="pct"/>
            <w:vAlign w:val="center"/>
          </w:tcPr>
          <w:p w14:paraId="10924379"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rPr>
              <w:t>0.2</w:t>
            </w:r>
            <w:r>
              <w:rPr>
                <w:rFonts w:cs="Arial"/>
                <w:sz w:val="19"/>
                <w:szCs w:val="19"/>
              </w:rPr>
              <w:t>7</w:t>
            </w:r>
          </w:p>
        </w:tc>
      </w:tr>
      <w:tr w:rsidR="005B5AE9" w:rsidRPr="00370866" w14:paraId="43EBB588"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069AF4B6"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01AAA9F6"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12 months</w:t>
            </w:r>
          </w:p>
        </w:tc>
        <w:tc>
          <w:tcPr>
            <w:tcW w:w="973" w:type="pct"/>
            <w:vAlign w:val="center"/>
          </w:tcPr>
          <w:p w14:paraId="0B46EC8E" w14:textId="77777777" w:rsidR="005B5AE9" w:rsidRPr="00CA6944" w:rsidRDefault="005B5AE9" w:rsidP="00500BA9">
            <w:pPr>
              <w:keepNext/>
              <w:keepLines/>
              <w:spacing w:before="60" w:after="60"/>
              <w:jc w:val="center"/>
              <w:rPr>
                <w:rFonts w:cs="Arial"/>
                <w:sz w:val="19"/>
                <w:szCs w:val="19"/>
                <w:lang w:eastAsia="en-GB" w:bidi="ar-SA"/>
              </w:rPr>
            </w:pPr>
            <w:r w:rsidRPr="00CA6944">
              <w:rPr>
                <w:rFonts w:cs="Arial"/>
                <w:sz w:val="19"/>
                <w:szCs w:val="19"/>
                <w:lang w:eastAsia="en-GB" w:bidi="ar-SA"/>
              </w:rPr>
              <w:t>0.10 – 0.20</w:t>
            </w:r>
            <w:r w:rsidRPr="00CA6944">
              <w:rPr>
                <w:rFonts w:cs="Arial"/>
                <w:sz w:val="19"/>
                <w:szCs w:val="19"/>
                <w:vertAlign w:val="superscript"/>
                <w:lang w:eastAsia="en-GB" w:bidi="ar-SA"/>
              </w:rPr>
              <w:t>Ω</w:t>
            </w:r>
          </w:p>
        </w:tc>
        <w:tc>
          <w:tcPr>
            <w:tcW w:w="731" w:type="pct"/>
            <w:vAlign w:val="center"/>
          </w:tcPr>
          <w:p w14:paraId="3AEDC12E"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c>
          <w:tcPr>
            <w:tcW w:w="973" w:type="pct"/>
            <w:vAlign w:val="center"/>
          </w:tcPr>
          <w:p w14:paraId="4E18D805" w14:textId="77777777" w:rsidR="005B5AE9" w:rsidRPr="00CA6944" w:rsidRDefault="005B5AE9" w:rsidP="00500BA9">
            <w:pPr>
              <w:keepNext/>
              <w:keepLines/>
              <w:spacing w:before="60" w:after="60"/>
              <w:jc w:val="center"/>
              <w:rPr>
                <w:rFonts w:cs="Arial"/>
                <w:sz w:val="19"/>
                <w:szCs w:val="19"/>
                <w:lang w:eastAsia="en-GB" w:bidi="ar-SA"/>
              </w:rPr>
            </w:pPr>
            <w:r w:rsidRPr="00CA6944">
              <w:rPr>
                <w:rFonts w:cs="Arial"/>
                <w:sz w:val="19"/>
                <w:szCs w:val="19"/>
                <w:lang w:eastAsia="en-GB" w:bidi="ar-SA"/>
              </w:rPr>
              <w:t>0.20 – 0.40</w:t>
            </w:r>
            <w:r w:rsidRPr="00CA6944">
              <w:rPr>
                <w:rFonts w:cs="Arial"/>
                <w:sz w:val="19"/>
                <w:szCs w:val="19"/>
                <w:vertAlign w:val="superscript"/>
                <w:lang w:eastAsia="en-GB" w:bidi="ar-SA"/>
              </w:rPr>
              <w:t>Ω</w:t>
            </w:r>
          </w:p>
        </w:tc>
        <w:tc>
          <w:tcPr>
            <w:tcW w:w="901" w:type="pct"/>
            <w:vAlign w:val="center"/>
          </w:tcPr>
          <w:p w14:paraId="2A240BF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r>
      <w:tr w:rsidR="005B5AE9" w:rsidRPr="00370866" w14:paraId="1D736673"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44A00217" w14:textId="77777777" w:rsidR="005B5AE9" w:rsidRPr="00370866" w:rsidRDefault="005B5AE9" w:rsidP="00500BA9">
            <w:pPr>
              <w:keepNext/>
              <w:keepLines/>
              <w:spacing w:before="60" w:after="60"/>
              <w:rPr>
                <w:rFonts w:cs="Arial"/>
                <w:sz w:val="19"/>
                <w:szCs w:val="19"/>
                <w:highlight w:val="yellow"/>
                <w:lang w:eastAsia="en-GB" w:bidi="ar-SA"/>
              </w:rPr>
            </w:pPr>
          </w:p>
        </w:tc>
        <w:tc>
          <w:tcPr>
            <w:tcW w:w="866" w:type="pct"/>
            <w:noWrap/>
            <w:vAlign w:val="center"/>
            <w:hideMark/>
          </w:tcPr>
          <w:p w14:paraId="497D0479" w14:textId="77777777" w:rsidR="005B5AE9" w:rsidRPr="00370866" w:rsidRDefault="005B5AE9" w:rsidP="00500BA9">
            <w:pPr>
              <w:keepNext/>
              <w:keepLines/>
              <w:spacing w:before="60" w:after="60"/>
              <w:jc w:val="both"/>
              <w:rPr>
                <w:rFonts w:cs="Arial"/>
                <w:sz w:val="19"/>
                <w:szCs w:val="19"/>
                <w:highlight w:val="yellow"/>
                <w:lang w:eastAsia="en-GB" w:bidi="ar-SA"/>
              </w:rPr>
            </w:pPr>
            <w:r w:rsidRPr="00575D79">
              <w:rPr>
                <w:rFonts w:cs="Arial"/>
                <w:sz w:val="19"/>
                <w:szCs w:val="19"/>
                <w:lang w:eastAsia="en-GB" w:bidi="ar-SA"/>
              </w:rPr>
              <w:t>2-3 years</w:t>
            </w:r>
          </w:p>
        </w:tc>
        <w:tc>
          <w:tcPr>
            <w:tcW w:w="973" w:type="pct"/>
            <w:vAlign w:val="center"/>
          </w:tcPr>
          <w:p w14:paraId="5C2160CF" w14:textId="77777777" w:rsidR="005B5AE9" w:rsidRPr="000D48F9" w:rsidRDefault="005B5AE9" w:rsidP="00500BA9">
            <w:pPr>
              <w:keepNext/>
              <w:keepLines/>
              <w:spacing w:before="60" w:after="60"/>
              <w:jc w:val="center"/>
              <w:rPr>
                <w:rFonts w:cs="Arial"/>
                <w:sz w:val="19"/>
                <w:szCs w:val="19"/>
              </w:rPr>
            </w:pPr>
            <w:r w:rsidRPr="00CA6944">
              <w:rPr>
                <w:rFonts w:cs="Arial"/>
                <w:color w:val="000000"/>
                <w:sz w:val="19"/>
                <w:szCs w:val="19"/>
              </w:rPr>
              <w:t>0.077</w:t>
            </w:r>
            <w:r w:rsidRPr="000D48F9">
              <w:rPr>
                <w:rFonts w:cs="Arial"/>
                <w:color w:val="000000"/>
                <w:sz w:val="19"/>
                <w:szCs w:val="19"/>
              </w:rPr>
              <w:t xml:space="preserve"> – 0.15</w:t>
            </w:r>
            <w:r w:rsidRPr="00CA6944">
              <w:rPr>
                <w:rFonts w:cs="Arial"/>
                <w:sz w:val="19"/>
                <w:szCs w:val="19"/>
                <w:vertAlign w:val="superscript"/>
                <w:lang w:eastAsia="en-GB" w:bidi="ar-SA"/>
              </w:rPr>
              <w:t>Ω</w:t>
            </w:r>
          </w:p>
        </w:tc>
        <w:tc>
          <w:tcPr>
            <w:tcW w:w="731" w:type="pct"/>
            <w:vAlign w:val="center"/>
          </w:tcPr>
          <w:p w14:paraId="078BD0A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c>
          <w:tcPr>
            <w:tcW w:w="973" w:type="pct"/>
            <w:vAlign w:val="center"/>
          </w:tcPr>
          <w:p w14:paraId="19D035EA" w14:textId="77777777" w:rsidR="005B5AE9" w:rsidRPr="000D48F9" w:rsidRDefault="005B5AE9" w:rsidP="00500BA9">
            <w:pPr>
              <w:jc w:val="center"/>
              <w:rPr>
                <w:rFonts w:cs="Arial"/>
                <w:sz w:val="19"/>
                <w:szCs w:val="19"/>
                <w:lang w:eastAsia="en-GB" w:bidi="ar-SA"/>
              </w:rPr>
            </w:pPr>
            <w:r w:rsidRPr="00485199">
              <w:rPr>
                <w:rFonts w:cs="Arial"/>
                <w:color w:val="000000"/>
                <w:sz w:val="19"/>
                <w:szCs w:val="19"/>
              </w:rPr>
              <w:t>0.</w:t>
            </w:r>
            <w:r w:rsidRPr="000D48F9">
              <w:rPr>
                <w:rFonts w:cs="Arial"/>
                <w:color w:val="000000"/>
                <w:sz w:val="19"/>
                <w:szCs w:val="19"/>
              </w:rPr>
              <w:t>15</w:t>
            </w:r>
            <w:r w:rsidRPr="00CA6944">
              <w:rPr>
                <w:rFonts w:cs="Arial"/>
                <w:color w:val="000000"/>
                <w:sz w:val="19"/>
                <w:szCs w:val="19"/>
              </w:rPr>
              <w:t xml:space="preserve"> </w:t>
            </w:r>
            <w:r w:rsidRPr="00CA6944">
              <w:rPr>
                <w:rFonts w:cs="Arial"/>
                <w:sz w:val="19"/>
                <w:szCs w:val="19"/>
                <w:lang w:eastAsia="en-GB" w:bidi="ar-SA"/>
              </w:rPr>
              <w:t>–</w:t>
            </w:r>
            <w:r w:rsidRPr="00CA6944">
              <w:rPr>
                <w:rFonts w:cs="Arial"/>
                <w:color w:val="000000"/>
                <w:sz w:val="19"/>
                <w:szCs w:val="19"/>
              </w:rPr>
              <w:t xml:space="preserve"> 0.</w:t>
            </w:r>
            <w:r w:rsidRPr="000D48F9">
              <w:rPr>
                <w:rFonts w:cs="Arial"/>
                <w:color w:val="000000"/>
                <w:sz w:val="19"/>
                <w:szCs w:val="19"/>
              </w:rPr>
              <w:t>31</w:t>
            </w:r>
            <w:r w:rsidRPr="00CA6944">
              <w:rPr>
                <w:rFonts w:cs="Arial"/>
                <w:sz w:val="19"/>
                <w:szCs w:val="19"/>
                <w:vertAlign w:val="superscript"/>
                <w:lang w:eastAsia="en-GB" w:bidi="ar-SA"/>
              </w:rPr>
              <w:t>Ω</w:t>
            </w:r>
          </w:p>
        </w:tc>
        <w:tc>
          <w:tcPr>
            <w:tcW w:w="901" w:type="pct"/>
            <w:vAlign w:val="center"/>
          </w:tcPr>
          <w:p w14:paraId="63B12208"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r>
    </w:tbl>
    <w:p w14:paraId="40FC6D71" w14:textId="13B79EAE" w:rsidR="008E7379" w:rsidRDefault="00055710" w:rsidP="000D1A31">
      <w:pPr>
        <w:spacing w:before="80"/>
        <w:rPr>
          <w:rFonts w:cs="Arial"/>
          <w:sz w:val="18"/>
          <w:szCs w:val="18"/>
          <w:lang w:eastAsia="en-GB" w:bidi="ar-SA"/>
        </w:rPr>
      </w:pPr>
      <w:r>
        <w:rPr>
          <w:rFonts w:cs="Arial"/>
          <w:sz w:val="18"/>
          <w:szCs w:val="18"/>
          <w:lang w:eastAsia="en-GB" w:bidi="ar-SA"/>
        </w:rPr>
        <w:t xml:space="preserve">*Estimated intake is </w:t>
      </w:r>
      <w:r w:rsidRPr="003F2C34">
        <w:rPr>
          <w:rFonts w:cs="Arial"/>
          <w:sz w:val="18"/>
          <w:szCs w:val="18"/>
          <w:lang w:eastAsia="en-GB" w:bidi="ar-SA"/>
        </w:rPr>
        <w:t>from infant formula / follow on formula / FSFYC</w:t>
      </w:r>
      <w:r>
        <w:rPr>
          <w:rFonts w:cs="Arial"/>
          <w:sz w:val="18"/>
          <w:szCs w:val="18"/>
          <w:lang w:eastAsia="en-GB" w:bidi="ar-SA"/>
        </w:rPr>
        <w:t xml:space="preserve"> only. </w:t>
      </w:r>
      <w:r w:rsidR="003C34DA">
        <w:rPr>
          <w:rFonts w:cs="Arial"/>
          <w:sz w:val="18"/>
          <w:szCs w:val="18"/>
          <w:lang w:eastAsia="en-GB" w:bidi="ar-SA"/>
        </w:rPr>
        <w:t>The minor contribution to intake from</w:t>
      </w:r>
      <w:r w:rsidR="004D7F96">
        <w:rPr>
          <w:rFonts w:cs="Arial"/>
          <w:sz w:val="18"/>
          <w:szCs w:val="18"/>
          <w:lang w:eastAsia="en-GB" w:bidi="ar-SA"/>
        </w:rPr>
        <w:t xml:space="preserve"> </w:t>
      </w:r>
      <w:r w:rsidR="003C34DA">
        <w:rPr>
          <w:rFonts w:cs="Arial"/>
          <w:sz w:val="18"/>
          <w:szCs w:val="18"/>
          <w:lang w:eastAsia="en-GB" w:bidi="ar-SA"/>
        </w:rPr>
        <w:t xml:space="preserve">other </w:t>
      </w:r>
      <w:r w:rsidR="004D7F96">
        <w:rPr>
          <w:rFonts w:cs="Arial"/>
          <w:sz w:val="18"/>
          <w:szCs w:val="18"/>
          <w:lang w:eastAsia="en-GB" w:bidi="ar-SA"/>
        </w:rPr>
        <w:t>f</w:t>
      </w:r>
      <w:r>
        <w:rPr>
          <w:rFonts w:cs="Arial"/>
          <w:sz w:val="18"/>
          <w:szCs w:val="18"/>
          <w:lang w:eastAsia="en-GB" w:bidi="ar-SA"/>
        </w:rPr>
        <w:t xml:space="preserve">ood sources of </w:t>
      </w:r>
      <w:r w:rsidR="00FD1A13">
        <w:rPr>
          <w:rFonts w:cs="Arial"/>
          <w:sz w:val="18"/>
          <w:szCs w:val="18"/>
          <w:lang w:eastAsia="en-GB" w:bidi="ar-SA"/>
        </w:rPr>
        <w:t>2′-FL</w:t>
      </w:r>
      <w:r>
        <w:rPr>
          <w:rFonts w:cs="Arial"/>
          <w:sz w:val="18"/>
          <w:szCs w:val="18"/>
          <w:lang w:eastAsia="en-GB" w:bidi="ar-SA"/>
        </w:rPr>
        <w:t xml:space="preserve"> </w:t>
      </w:r>
      <w:r w:rsidR="003C34DA">
        <w:rPr>
          <w:rFonts w:cs="Arial"/>
          <w:sz w:val="18"/>
          <w:szCs w:val="18"/>
          <w:lang w:eastAsia="en-GB" w:bidi="ar-SA"/>
        </w:rPr>
        <w:t>is</w:t>
      </w:r>
      <w:r>
        <w:rPr>
          <w:rFonts w:cs="Arial"/>
          <w:sz w:val="18"/>
          <w:szCs w:val="18"/>
          <w:lang w:eastAsia="en-GB" w:bidi="ar-SA"/>
        </w:rPr>
        <w:t xml:space="preserve"> not included. </w:t>
      </w:r>
      <w:r w:rsidR="005B5AE9" w:rsidRPr="003F240F">
        <w:rPr>
          <w:rFonts w:cs="Arial"/>
          <w:sz w:val="18"/>
          <w:szCs w:val="18"/>
          <w:lang w:eastAsia="en-GB" w:bidi="ar-SA"/>
        </w:rPr>
        <w:t xml:space="preserve">Ω </w:t>
      </w:r>
      <w:r w:rsidR="00383805">
        <w:rPr>
          <w:rFonts w:cs="Arial"/>
          <w:sz w:val="18"/>
          <w:szCs w:val="18"/>
          <w:lang w:eastAsia="en-GB" w:bidi="ar-SA"/>
        </w:rPr>
        <w:t>L</w:t>
      </w:r>
      <w:r w:rsidR="005B5AE9" w:rsidRPr="003F240F">
        <w:rPr>
          <w:rFonts w:cs="Arial"/>
          <w:sz w:val="18"/>
          <w:szCs w:val="18"/>
          <w:lang w:eastAsia="en-GB" w:bidi="ar-SA"/>
        </w:rPr>
        <w:t xml:space="preserve">ower bound of the range is for the FSFYC </w:t>
      </w:r>
      <w:r w:rsidR="005B5AE9">
        <w:rPr>
          <w:rFonts w:cs="Arial"/>
          <w:sz w:val="18"/>
          <w:szCs w:val="18"/>
          <w:lang w:eastAsia="en-GB" w:bidi="ar-SA"/>
        </w:rPr>
        <w:t>serve size of 230 </w:t>
      </w:r>
      <w:r w:rsidR="005B5AE9" w:rsidRPr="003F240F">
        <w:rPr>
          <w:rFonts w:cs="Arial"/>
          <w:sz w:val="18"/>
          <w:szCs w:val="18"/>
          <w:lang w:eastAsia="en-GB" w:bidi="ar-SA"/>
        </w:rPr>
        <w:t xml:space="preserve">ml; the upper bound of the range is </w:t>
      </w:r>
      <w:r w:rsidR="005B5AE9">
        <w:rPr>
          <w:rFonts w:cs="Arial"/>
          <w:sz w:val="18"/>
          <w:szCs w:val="18"/>
          <w:lang w:eastAsia="en-GB" w:bidi="ar-SA"/>
        </w:rPr>
        <w:t>for the FSFYC serve size of 115 </w:t>
      </w:r>
      <w:r w:rsidR="005B5AE9" w:rsidRPr="003F240F">
        <w:rPr>
          <w:rFonts w:cs="Arial"/>
          <w:sz w:val="18"/>
          <w:szCs w:val="18"/>
          <w:lang w:eastAsia="en-GB" w:bidi="ar-SA"/>
        </w:rPr>
        <w:t>ml</w:t>
      </w:r>
      <w:r w:rsidR="008E7379">
        <w:rPr>
          <w:rFonts w:cs="Arial"/>
          <w:sz w:val="18"/>
          <w:szCs w:val="18"/>
          <w:lang w:eastAsia="en-GB" w:bidi="ar-SA"/>
        </w:rPr>
        <w:t>.</w:t>
      </w:r>
      <w:r w:rsidR="006C33F3">
        <w:rPr>
          <w:rFonts w:cs="Arial"/>
          <w:sz w:val="18"/>
          <w:szCs w:val="18"/>
          <w:lang w:eastAsia="en-GB" w:bidi="ar-SA"/>
        </w:rPr>
        <w:t xml:space="preserve">  </w:t>
      </w:r>
      <w:r w:rsidR="005B5AE9" w:rsidRPr="00FE7428">
        <w:rPr>
          <w:rFonts w:cs="Arial"/>
          <w:sz w:val="19"/>
          <w:szCs w:val="19"/>
          <w:lang w:eastAsia="en-GB" w:bidi="ar-SA"/>
        </w:rPr>
        <w:sym w:font="Wingdings" w:char="F074"/>
      </w:r>
      <w:r w:rsidR="00383805">
        <w:rPr>
          <w:rFonts w:cs="Arial"/>
          <w:sz w:val="18"/>
          <w:szCs w:val="18"/>
          <w:lang w:eastAsia="en-GB" w:bidi="ar-SA"/>
        </w:rPr>
        <w:t xml:space="preserve"> L</w:t>
      </w:r>
      <w:r w:rsidR="005B5AE9" w:rsidRPr="00FE7428">
        <w:rPr>
          <w:rFonts w:cs="Arial"/>
          <w:sz w:val="18"/>
          <w:szCs w:val="18"/>
          <w:lang w:eastAsia="en-GB" w:bidi="ar-SA"/>
        </w:rPr>
        <w:t xml:space="preserve">ower bound of the range is for </w:t>
      </w:r>
      <w:r w:rsidR="005B5AE9">
        <w:rPr>
          <w:rFonts w:cs="Arial"/>
          <w:sz w:val="18"/>
          <w:szCs w:val="18"/>
          <w:lang w:eastAsia="en-GB" w:bidi="ar-SA"/>
        </w:rPr>
        <w:t>human</w:t>
      </w:r>
      <w:r w:rsidR="005B5AE9" w:rsidRPr="00FE7428">
        <w:rPr>
          <w:rFonts w:cs="Arial"/>
          <w:sz w:val="18"/>
          <w:szCs w:val="18"/>
          <w:lang w:eastAsia="en-GB" w:bidi="ar-SA"/>
        </w:rPr>
        <w:t xml:space="preserve"> milk 60+ days post-partum; upper bound of the range if for 10-60 days post-partum</w:t>
      </w:r>
      <w:r w:rsidR="008E7379">
        <w:rPr>
          <w:rFonts w:cs="Arial"/>
          <w:sz w:val="18"/>
          <w:szCs w:val="18"/>
          <w:lang w:eastAsia="en-GB" w:bidi="ar-SA"/>
        </w:rPr>
        <w:t>.</w:t>
      </w:r>
      <w:r w:rsidR="006C33F3">
        <w:rPr>
          <w:rFonts w:cs="Arial"/>
          <w:sz w:val="18"/>
          <w:szCs w:val="18"/>
          <w:lang w:eastAsia="en-GB" w:bidi="ar-SA"/>
        </w:rPr>
        <w:t xml:space="preserve"> </w:t>
      </w:r>
      <w:r w:rsidR="008E7379">
        <w:rPr>
          <w:rFonts w:cs="Arial"/>
          <w:sz w:val="18"/>
          <w:szCs w:val="18"/>
          <w:lang w:eastAsia="en-GB" w:bidi="ar-SA"/>
        </w:rPr>
        <w:t>*</w:t>
      </w:r>
      <w:r w:rsidR="003F2C34">
        <w:rPr>
          <w:rFonts w:cs="Arial"/>
          <w:sz w:val="18"/>
          <w:szCs w:val="18"/>
          <w:lang w:eastAsia="en-GB" w:bidi="ar-SA"/>
        </w:rPr>
        <w:t>*</w:t>
      </w:r>
      <w:r w:rsidR="008E7379">
        <w:rPr>
          <w:rFonts w:cs="Arial"/>
          <w:sz w:val="18"/>
          <w:szCs w:val="18"/>
          <w:lang w:eastAsia="en-GB" w:bidi="ar-SA"/>
        </w:rPr>
        <w:t xml:space="preserve"> Mean body weights</w:t>
      </w:r>
      <w:r>
        <w:rPr>
          <w:rFonts w:cs="Arial"/>
          <w:sz w:val="18"/>
          <w:szCs w:val="18"/>
          <w:lang w:eastAsia="en-GB" w:bidi="ar-SA"/>
        </w:rPr>
        <w:t xml:space="preserve"> used</w:t>
      </w:r>
      <w:r w:rsidR="008E7379">
        <w:rPr>
          <w:rFonts w:cs="Arial"/>
          <w:sz w:val="18"/>
          <w:szCs w:val="18"/>
          <w:lang w:eastAsia="en-GB" w:bidi="ar-SA"/>
        </w:rPr>
        <w:t xml:space="preserve">: </w:t>
      </w:r>
      <w:r w:rsidRPr="009A7DB3">
        <w:rPr>
          <w:rFonts w:cs="Arial"/>
          <w:sz w:val="18"/>
          <w:szCs w:val="18"/>
          <w:lang w:eastAsia="en-GB" w:bidi="ar-SA"/>
        </w:rPr>
        <w:t>6.4 kg</w:t>
      </w:r>
      <w:r w:rsidR="008E7379">
        <w:rPr>
          <w:rFonts w:cs="Arial"/>
          <w:sz w:val="18"/>
          <w:szCs w:val="18"/>
          <w:lang w:eastAsia="en-GB" w:bidi="ar-SA"/>
        </w:rPr>
        <w:t xml:space="preserve"> for 3 months, </w:t>
      </w:r>
      <w:r w:rsidRPr="009A7DB3">
        <w:rPr>
          <w:rFonts w:cs="Arial"/>
          <w:sz w:val="18"/>
          <w:szCs w:val="18"/>
          <w:lang w:eastAsia="en-GB" w:bidi="ar-SA"/>
        </w:rPr>
        <w:t>8.9 kg</w:t>
      </w:r>
      <w:r w:rsidR="008E7379">
        <w:rPr>
          <w:rFonts w:cs="Arial"/>
          <w:sz w:val="18"/>
          <w:szCs w:val="18"/>
          <w:lang w:eastAsia="en-GB" w:bidi="ar-SA"/>
        </w:rPr>
        <w:t xml:space="preserve"> for 9 months</w:t>
      </w:r>
      <w:r w:rsidRPr="009A7DB3">
        <w:rPr>
          <w:rFonts w:cs="Arial"/>
          <w:sz w:val="18"/>
          <w:szCs w:val="18"/>
          <w:lang w:eastAsia="en-GB" w:bidi="ar-SA"/>
        </w:rPr>
        <w:t xml:space="preserve"> and</w:t>
      </w:r>
      <w:r w:rsidR="00383805">
        <w:rPr>
          <w:rFonts w:cs="Arial"/>
          <w:sz w:val="18"/>
          <w:szCs w:val="18"/>
          <w:lang w:eastAsia="en-GB" w:bidi="ar-SA"/>
        </w:rPr>
        <w:t xml:space="preserve"> </w:t>
      </w:r>
      <w:r w:rsidRPr="009A7DB3">
        <w:rPr>
          <w:rFonts w:cs="Arial"/>
          <w:sz w:val="18"/>
          <w:szCs w:val="18"/>
          <w:lang w:eastAsia="en-GB" w:bidi="ar-SA"/>
        </w:rPr>
        <w:t>9.6 kg</w:t>
      </w:r>
      <w:r w:rsidR="008E7379">
        <w:rPr>
          <w:rFonts w:cs="Arial"/>
          <w:sz w:val="18"/>
          <w:szCs w:val="18"/>
          <w:lang w:eastAsia="en-GB" w:bidi="ar-SA"/>
        </w:rPr>
        <w:t xml:space="preserve"> for 12 months</w:t>
      </w:r>
      <w:r w:rsidRPr="009A7DB3">
        <w:rPr>
          <w:rFonts w:cs="Arial"/>
          <w:sz w:val="18"/>
          <w:szCs w:val="18"/>
          <w:lang w:eastAsia="en-GB" w:bidi="ar-SA"/>
        </w:rPr>
        <w:t>. F</w:t>
      </w:r>
      <w:r w:rsidR="00B4198B" w:rsidRPr="009A7DB3">
        <w:rPr>
          <w:rFonts w:cs="Arial"/>
          <w:sz w:val="18"/>
          <w:szCs w:val="18"/>
          <w:lang w:eastAsia="en-GB" w:bidi="ar-SA"/>
        </w:rPr>
        <w:t>o</w:t>
      </w:r>
      <w:r w:rsidR="008E7379" w:rsidRPr="009A7DB3">
        <w:rPr>
          <w:rFonts w:cs="Arial"/>
          <w:sz w:val="18"/>
          <w:szCs w:val="18"/>
          <w:lang w:eastAsia="en-GB" w:bidi="ar-SA"/>
        </w:rPr>
        <w:t>r 2-3 year</w:t>
      </w:r>
      <w:r w:rsidRPr="009A7DB3">
        <w:rPr>
          <w:rFonts w:cs="Arial"/>
          <w:sz w:val="18"/>
          <w:szCs w:val="18"/>
          <w:lang w:eastAsia="en-GB" w:bidi="ar-SA"/>
        </w:rPr>
        <w:t xml:space="preserve"> olds, each individual’s body</w:t>
      </w:r>
      <w:r w:rsidRPr="00055710">
        <w:rPr>
          <w:rFonts w:cs="Arial"/>
          <w:sz w:val="18"/>
          <w:szCs w:val="18"/>
          <w:lang w:eastAsia="en-GB" w:bidi="ar-SA"/>
        </w:rPr>
        <w:t xml:space="preserve"> weight was used</w:t>
      </w:r>
      <w:r w:rsidR="008E7379">
        <w:rPr>
          <w:rFonts w:cs="Arial"/>
          <w:sz w:val="18"/>
          <w:szCs w:val="18"/>
          <w:lang w:eastAsia="en-GB" w:bidi="ar-SA"/>
        </w:rPr>
        <w:t xml:space="preserve"> for </w:t>
      </w:r>
      <w:r w:rsidRPr="00055710">
        <w:rPr>
          <w:rFonts w:cs="Arial"/>
          <w:sz w:val="18"/>
          <w:szCs w:val="18"/>
          <w:lang w:eastAsia="en-GB" w:bidi="ar-SA"/>
        </w:rPr>
        <w:t xml:space="preserve">the calculation before summary statistics for the group were derived. </w:t>
      </w:r>
    </w:p>
    <w:p w14:paraId="7CCBCFC2" w14:textId="2BAD253E" w:rsidR="0055283E" w:rsidRDefault="0055283E" w:rsidP="00994C81">
      <w:pPr>
        <w:pStyle w:val="Heading1"/>
        <w:ind w:left="567" w:hanging="567"/>
      </w:pPr>
      <w:bookmarkStart w:id="232" w:name="_Toc70675701"/>
      <w:bookmarkStart w:id="233" w:name="_Toc70675794"/>
      <w:bookmarkStart w:id="234" w:name="_Toc72480628"/>
      <w:bookmarkEnd w:id="228"/>
      <w:bookmarkEnd w:id="229"/>
      <w:bookmarkEnd w:id="230"/>
      <w:r>
        <w:t>7</w:t>
      </w:r>
      <w:r w:rsidR="00346823">
        <w:t xml:space="preserve"> </w:t>
      </w:r>
      <w:r w:rsidR="008666F8">
        <w:t>B</w:t>
      </w:r>
      <w:r>
        <w:t>enefit assessment</w:t>
      </w:r>
      <w:bookmarkEnd w:id="232"/>
      <w:bookmarkEnd w:id="233"/>
      <w:bookmarkEnd w:id="234"/>
    </w:p>
    <w:p w14:paraId="0D393F1E" w14:textId="77ECA887" w:rsidR="005774F6" w:rsidRDefault="00094D92" w:rsidP="00094D92">
      <w:r>
        <w:t xml:space="preserve">The </w:t>
      </w:r>
      <w:hyperlink r:id="rId27" w:history="1">
        <w:r w:rsidRPr="00B80DA8">
          <w:rPr>
            <w:rStyle w:val="Hyperlink"/>
          </w:rPr>
          <w:t>ministerial policy guideline on the regulation of infant formula products</w:t>
        </w:r>
      </w:hyperlink>
      <w:r w:rsidR="00443067">
        <w:rPr>
          <w:rStyle w:val="FootnoteReference"/>
        </w:rPr>
        <w:footnoteReference w:id="9"/>
      </w:r>
      <w:r>
        <w:t xml:space="preserve"> requires </w:t>
      </w:r>
      <w:r w:rsidR="005E2BA4">
        <w:t>that</w:t>
      </w:r>
      <w:r>
        <w:t xml:space="preserve"> </w:t>
      </w:r>
      <w:r w:rsidR="00D62B18">
        <w:t>2′</w:t>
      </w:r>
      <w:r w:rsidR="00D62B18">
        <w:noBreakHyphen/>
      </w:r>
      <w:r>
        <w:t xml:space="preserve">FL </w:t>
      </w:r>
      <w:r w:rsidRPr="00053543">
        <w:t>for use in infant formula should have</w:t>
      </w:r>
      <w:r w:rsidR="008679C0">
        <w:t>:</w:t>
      </w:r>
      <w:r w:rsidRPr="00053543">
        <w:t xml:space="preserve"> a substantiated beneficial role in the normal growth and development of infants or children</w:t>
      </w:r>
      <w:r w:rsidR="008679C0">
        <w:t>;</w:t>
      </w:r>
      <w:r w:rsidRPr="00053543">
        <w:t xml:space="preserve"> or a technological role, taking into account, where relevant, the levels of comparable substances in </w:t>
      </w:r>
      <w:r w:rsidR="005774F6">
        <w:t xml:space="preserve">human </w:t>
      </w:r>
      <w:r w:rsidR="005774F6" w:rsidRPr="00053543">
        <w:t>milk</w:t>
      </w:r>
      <w:r w:rsidRPr="00053543">
        <w:t>.</w:t>
      </w:r>
    </w:p>
    <w:p w14:paraId="0878F752" w14:textId="0DDDDD0F" w:rsidR="00094D92" w:rsidRDefault="00094D92" w:rsidP="00094D92">
      <w:r>
        <w:t>Substantiation of the</w:t>
      </w:r>
      <w:r w:rsidRPr="00053543">
        <w:t xml:space="preserve"> role</w:t>
      </w:r>
      <w:r>
        <w:t xml:space="preserve"> of </w:t>
      </w:r>
      <w:r w:rsidR="00F25E51">
        <w:t>2′-</w:t>
      </w:r>
      <w:r>
        <w:t>FL</w:t>
      </w:r>
      <w:r w:rsidRPr="00053543">
        <w:t xml:space="preserve"> in normal growth and development </w:t>
      </w:r>
      <w:r>
        <w:t>requires</w:t>
      </w:r>
      <w:r w:rsidRPr="00053543">
        <w:t xml:space="preserve"> appropriate evidence to link </w:t>
      </w:r>
      <w:r>
        <w:t>its</w:t>
      </w:r>
      <w:r w:rsidRPr="00053543">
        <w:t xml:space="preserve"> physiological, biochemical and/or functional effects to specific health outcomes for infants, in infancy or childhood.</w:t>
      </w:r>
    </w:p>
    <w:p w14:paraId="65982B2F" w14:textId="5D4B117E" w:rsidR="002D76E9" w:rsidRDefault="00094D92" w:rsidP="00094D92">
      <w:r>
        <w:t xml:space="preserve">In order to assess the evidence of a beneficial role of </w:t>
      </w:r>
      <w:r w:rsidR="00F25E51">
        <w:t>2′-</w:t>
      </w:r>
      <w:r>
        <w:t xml:space="preserve">FL </w:t>
      </w:r>
      <w:r w:rsidRPr="00053543">
        <w:t>in the normal growth and development of infants or children</w:t>
      </w:r>
      <w:r>
        <w:t>, FSANZ has applied a hierarchy to the different types of stud</w:t>
      </w:r>
      <w:r w:rsidR="00726E86">
        <w:t>ies</w:t>
      </w:r>
      <w:r>
        <w:t xml:space="preserve">, as follows, </w:t>
      </w:r>
      <w:r w:rsidRPr="00FD32A6">
        <w:t>in decreasing order of weight of evidence</w:t>
      </w:r>
      <w:r>
        <w:t>:</w:t>
      </w:r>
    </w:p>
    <w:p w14:paraId="19BDA87B" w14:textId="77777777" w:rsidR="00094D92" w:rsidRDefault="00094D92" w:rsidP="000254AB">
      <w:pPr>
        <w:pStyle w:val="FSBullet1"/>
      </w:pPr>
      <w:r>
        <w:t>Data from studies in humans:</w:t>
      </w:r>
    </w:p>
    <w:p w14:paraId="1BF53A92" w14:textId="77777777" w:rsidR="00094D92" w:rsidRDefault="00094D92" w:rsidP="000254AB">
      <w:pPr>
        <w:pStyle w:val="FSBullet2"/>
      </w:pPr>
      <w:r>
        <w:t>human intervention studies: with greatest weight given to randomised, controlled, double-blinded studies</w:t>
      </w:r>
    </w:p>
    <w:p w14:paraId="29D4BC3F" w14:textId="79A6FABA" w:rsidR="00094D92" w:rsidRDefault="00094D92" w:rsidP="000254AB">
      <w:pPr>
        <w:pStyle w:val="FSBullet2"/>
      </w:pPr>
      <w:r>
        <w:lastRenderedPageBreak/>
        <w:t>human observational studies: such as cohort studi</w:t>
      </w:r>
      <w:r w:rsidR="003868A5">
        <w:t>es, case-control studies, cross</w:t>
      </w:r>
      <w:r w:rsidR="003868A5">
        <w:noBreakHyphen/>
      </w:r>
      <w:r>
        <w:t>sectional studies</w:t>
      </w:r>
    </w:p>
    <w:p w14:paraId="6146821E" w14:textId="77777777" w:rsidR="00094D92" w:rsidRDefault="00094D92" w:rsidP="000254AB">
      <w:pPr>
        <w:pStyle w:val="FSBullet2"/>
      </w:pPr>
      <w:r>
        <w:t>other studies in humans</w:t>
      </w:r>
    </w:p>
    <w:p w14:paraId="68FAB2CE" w14:textId="77777777" w:rsidR="00094D92" w:rsidRDefault="00094D92" w:rsidP="000254AB">
      <w:pPr>
        <w:pStyle w:val="FSBullet1"/>
      </w:pPr>
      <w:r>
        <w:t>Non-human data:</w:t>
      </w:r>
    </w:p>
    <w:p w14:paraId="74AA76FA" w14:textId="77777777" w:rsidR="00094D92" w:rsidRDefault="00094D92" w:rsidP="000254AB">
      <w:pPr>
        <w:pStyle w:val="FSBullet2"/>
      </w:pPr>
      <w:r>
        <w:t>animal studies;</w:t>
      </w:r>
    </w:p>
    <w:p w14:paraId="4AA35579" w14:textId="77777777" w:rsidR="00094D92" w:rsidRDefault="00094D92" w:rsidP="000254AB">
      <w:pPr>
        <w:pStyle w:val="FSBullet2"/>
      </w:pPr>
      <w:r w:rsidRPr="005E2BA4">
        <w:rPr>
          <w:i/>
        </w:rPr>
        <w:t>ex vivo</w:t>
      </w:r>
      <w:r>
        <w:t xml:space="preserve"> studies: eg using human or animal biological samples</w:t>
      </w:r>
    </w:p>
    <w:p w14:paraId="7712D826" w14:textId="612A6854" w:rsidR="00094D92" w:rsidRDefault="00094D92" w:rsidP="000254AB">
      <w:pPr>
        <w:pStyle w:val="FSBullet2"/>
      </w:pPr>
      <w:r w:rsidRPr="005E2BA4">
        <w:rPr>
          <w:i/>
        </w:rPr>
        <w:t>in vitro</w:t>
      </w:r>
      <w:r>
        <w:t xml:space="preserve"> data: typically analysing mechanistic aspects of an effect</w:t>
      </w:r>
      <w:r w:rsidR="00E020AF">
        <w:t>.</w:t>
      </w:r>
    </w:p>
    <w:p w14:paraId="0B96C7E7" w14:textId="654AE459" w:rsidR="00094D92" w:rsidRDefault="00094D92" w:rsidP="00C15D46">
      <w:r>
        <w:t xml:space="preserve">Data from well-controlled human studies are considered of greatest value in reaching conclusions about a possible beneficial role of </w:t>
      </w:r>
      <w:r w:rsidR="00F25E51">
        <w:t>2′-</w:t>
      </w:r>
      <w:r>
        <w:t>FL. However,</w:t>
      </w:r>
      <w:r w:rsidRPr="00FD32A6">
        <w:t xml:space="preserve"> </w:t>
      </w:r>
      <w:r>
        <w:t>ethical constraints limit their availability when considering health outcomes from interventions in infants and children</w:t>
      </w:r>
      <w:r w:rsidRPr="0085589B">
        <w:t xml:space="preserve">. Therefore, </w:t>
      </w:r>
      <w:r w:rsidR="00FD41B2">
        <w:t>this</w:t>
      </w:r>
      <w:r w:rsidR="00FD41B2" w:rsidRPr="0085589B">
        <w:t xml:space="preserve"> assessment </w:t>
      </w:r>
      <w:r w:rsidR="00FD41B2">
        <w:t>necessarily focusses mainly on</w:t>
      </w:r>
      <w:r w:rsidR="00FD41B2" w:rsidRPr="00D259A9">
        <w:t xml:space="preserve"> </w:t>
      </w:r>
      <w:r w:rsidRPr="00D259A9">
        <w:t xml:space="preserve">less direct evidence for a link between physiological, biochemical or functional effects of </w:t>
      </w:r>
      <w:r w:rsidR="005E2BA4">
        <w:t>2</w:t>
      </w:r>
      <w:r w:rsidR="001763CF">
        <w:t>′</w:t>
      </w:r>
      <w:r w:rsidR="005E2BA4">
        <w:t>-FL</w:t>
      </w:r>
      <w:r w:rsidRPr="00D259A9">
        <w:t xml:space="preserve"> and specific health outcomes. FSANZ has also considered any limitations or confounding factors in the studies which might affect the overall quality of the findings.</w:t>
      </w:r>
    </w:p>
    <w:p w14:paraId="21F77860" w14:textId="70A7887C" w:rsidR="008F4E79" w:rsidRDefault="008F4E79" w:rsidP="00797DDD">
      <w:pPr>
        <w:pStyle w:val="Heading2"/>
      </w:pPr>
      <w:bookmarkStart w:id="235" w:name="_7.1_Previous_FSANZ"/>
      <w:bookmarkStart w:id="236" w:name="_Toc72480629"/>
      <w:bookmarkEnd w:id="235"/>
      <w:r>
        <w:t>7.1 Previous FSANZ assessment</w:t>
      </w:r>
      <w:r w:rsidR="001E5398">
        <w:t xml:space="preserve"> (A1155)</w:t>
      </w:r>
      <w:bookmarkEnd w:id="236"/>
    </w:p>
    <w:p w14:paraId="2DD1BB17" w14:textId="3384EC83" w:rsidR="008F4E79" w:rsidRDefault="008F4E79" w:rsidP="008F4E79">
      <w:pPr>
        <w:spacing w:after="120"/>
        <w:rPr>
          <w:lang w:val="en-AU"/>
        </w:rPr>
      </w:pPr>
      <w:r>
        <w:rPr>
          <w:lang w:val="en-AU"/>
        </w:rPr>
        <w:t xml:space="preserve">FSANZ recently assessed the benefits of </w:t>
      </w:r>
      <w:r w:rsidR="00F25E51">
        <w:rPr>
          <w:lang w:val="en-AU"/>
        </w:rPr>
        <w:t>2′-</w:t>
      </w:r>
      <w:r>
        <w:rPr>
          <w:lang w:val="en-AU"/>
        </w:rPr>
        <w:t xml:space="preserve">FL as part of </w:t>
      </w:r>
      <w:hyperlink r:id="rId28" w:history="1">
        <w:r w:rsidRPr="00B80DA8">
          <w:rPr>
            <w:rStyle w:val="Hyperlink"/>
            <w:lang w:val="en-AU"/>
          </w:rPr>
          <w:t>application A1155</w:t>
        </w:r>
      </w:hyperlink>
      <w:r w:rsidR="00CF2D25">
        <w:rPr>
          <w:rStyle w:val="FootnoteReference"/>
          <w:lang w:val="en-AU"/>
        </w:rPr>
        <w:footnoteReference w:id="10"/>
      </w:r>
      <w:r w:rsidR="00FD41B2">
        <w:rPr>
          <w:lang w:val="en-AU"/>
        </w:rPr>
        <w:t>,</w:t>
      </w:r>
      <w:r>
        <w:rPr>
          <w:lang w:val="en-AU"/>
        </w:rPr>
        <w:t xml:space="preserve"> focusing on three </w:t>
      </w:r>
      <w:r w:rsidR="001E5398">
        <w:rPr>
          <w:lang w:val="en-AU"/>
        </w:rPr>
        <w:t xml:space="preserve">proposed </w:t>
      </w:r>
      <w:r>
        <w:rPr>
          <w:lang w:val="en-AU"/>
        </w:rPr>
        <w:t>health benefits:</w:t>
      </w:r>
    </w:p>
    <w:p w14:paraId="62032E61" w14:textId="5BCBC87D" w:rsidR="008F4E79" w:rsidRDefault="00FD41B2" w:rsidP="000254AB">
      <w:pPr>
        <w:pStyle w:val="ListParagraph"/>
        <w:numPr>
          <w:ilvl w:val="0"/>
          <w:numId w:val="15"/>
        </w:numPr>
        <w:spacing w:before="120" w:after="120"/>
        <w:contextualSpacing w:val="0"/>
      </w:pPr>
      <w:r>
        <w:t>p</w:t>
      </w:r>
      <w:r w:rsidRPr="00FD41B2">
        <w:t xml:space="preserve">athogen-binding inhibition </w:t>
      </w:r>
      <w:r w:rsidR="008F4E79" w:rsidRPr="00245366" w:rsidDel="00FD41B2">
        <w:t>effect</w:t>
      </w:r>
      <w:r w:rsidR="008F4E79">
        <w:t>;</w:t>
      </w:r>
    </w:p>
    <w:p w14:paraId="2F1734F4" w14:textId="77777777" w:rsidR="008F4E79" w:rsidRDefault="008F4E79" w:rsidP="000254AB">
      <w:pPr>
        <w:pStyle w:val="ListParagraph"/>
        <w:numPr>
          <w:ilvl w:val="0"/>
          <w:numId w:val="15"/>
        </w:numPr>
        <w:spacing w:before="120" w:after="120"/>
        <w:ind w:left="714" w:hanging="357"/>
        <w:contextualSpacing w:val="0"/>
      </w:pPr>
      <w:r>
        <w:t>intestinal microbiota modulating effect supporting a proliferation of bifidobacteria (</w:t>
      </w:r>
      <w:r w:rsidRPr="00245366">
        <w:t>bifidogenic effect</w:t>
      </w:r>
      <w:r>
        <w:t>);</w:t>
      </w:r>
    </w:p>
    <w:p w14:paraId="285735D4" w14:textId="33D74A36" w:rsidR="008F4E79" w:rsidRDefault="008F4E79" w:rsidP="000254AB">
      <w:pPr>
        <w:pStyle w:val="ListParagraph"/>
        <w:numPr>
          <w:ilvl w:val="0"/>
          <w:numId w:val="15"/>
        </w:numPr>
        <w:spacing w:before="120" w:after="120"/>
        <w:ind w:left="714" w:hanging="357"/>
        <w:contextualSpacing w:val="0"/>
      </w:pPr>
      <w:r w:rsidRPr="00245366">
        <w:t>immune modulation, improved barrier function and alleviation of allergic responses</w:t>
      </w:r>
      <w:r>
        <w:t>.</w:t>
      </w:r>
    </w:p>
    <w:p w14:paraId="0B7FC94C" w14:textId="7D378870" w:rsidR="008F4E79" w:rsidRPr="004A7893" w:rsidRDefault="005D26C5" w:rsidP="008F4E79">
      <w:pPr>
        <w:rPr>
          <w:b/>
          <w:bCs/>
          <w:i/>
          <w:iCs/>
          <w:lang w:val="en-AU"/>
        </w:rPr>
      </w:pPr>
      <w:r w:rsidRPr="005D26C5">
        <w:rPr>
          <w:b/>
          <w:bCs/>
          <w:i/>
          <w:iCs/>
          <w:lang w:val="en-AU"/>
        </w:rPr>
        <w:t xml:space="preserve">Pathogen-binding inhibition </w:t>
      </w:r>
      <w:r w:rsidR="008F4E79" w:rsidRPr="004A7893" w:rsidDel="005D26C5">
        <w:rPr>
          <w:b/>
          <w:bCs/>
          <w:i/>
          <w:iCs/>
          <w:lang w:val="en-AU"/>
        </w:rPr>
        <w:t>effect</w:t>
      </w:r>
    </w:p>
    <w:p w14:paraId="1A30343A" w14:textId="05E732C8" w:rsidR="00720E34" w:rsidRDefault="00720E34" w:rsidP="00AB5E3E">
      <w:pPr>
        <w:spacing w:after="120"/>
      </w:pPr>
      <w:r>
        <w:t xml:space="preserve">FSANZ assessed the evidence for an inhibitory effect of </w:t>
      </w:r>
      <w:r w:rsidR="00F25E51">
        <w:t>2′-</w:t>
      </w:r>
      <w:r>
        <w:t xml:space="preserve">FL on the binding of pathogenic strains of </w:t>
      </w:r>
      <w:r w:rsidRPr="00F52F05">
        <w:rPr>
          <w:i/>
        </w:rPr>
        <w:t>Campylobacter</w:t>
      </w:r>
      <w:r>
        <w:rPr>
          <w:i/>
        </w:rPr>
        <w:t xml:space="preserve"> </w:t>
      </w:r>
      <w:r w:rsidR="005E2BA4">
        <w:rPr>
          <w:i/>
        </w:rPr>
        <w:t>jejuni</w:t>
      </w:r>
      <w:r>
        <w:t xml:space="preserve"> to the infant gastrointestinal epithelium and its effect on intestinal colonisation and the likelihood of illness </w:t>
      </w:r>
      <w:r w:rsidR="00B123BF">
        <w:t xml:space="preserve">(see Section 3 of </w:t>
      </w:r>
      <w:hyperlink r:id="rId29" w:history="1">
        <w:r w:rsidR="006A00B9" w:rsidRPr="006A00B9">
          <w:rPr>
            <w:rStyle w:val="Hyperlink"/>
          </w:rPr>
          <w:t>A1155 Review Supporting Document 2</w:t>
        </w:r>
      </w:hyperlink>
      <w:r w:rsidR="00B123BF">
        <w:rPr>
          <w:rStyle w:val="FootnoteReference"/>
        </w:rPr>
        <w:footnoteReference w:id="11"/>
      </w:r>
      <w:r w:rsidR="00B123BF">
        <w:t>)</w:t>
      </w:r>
      <w:r>
        <w:t>. Noting that the low number of relevant clinical trials constrains the assessment of beneficial health effects and any estimation of the magnitude of those effects, and acknowledging the limitations in the body of evidence, FSANZ concluded that:</w:t>
      </w:r>
    </w:p>
    <w:p w14:paraId="4650658B" w14:textId="38EA415A" w:rsidR="00720E34" w:rsidRDefault="00720E34" w:rsidP="000254AB">
      <w:pPr>
        <w:pStyle w:val="FSBullet1"/>
      </w:pPr>
      <w:r>
        <w:t xml:space="preserve">for infants, there is a consistent body of indirect evidence to demonstrate a credible mechanism for </w:t>
      </w:r>
      <w:r w:rsidR="00F25E51">
        <w:t>2′-</w:t>
      </w:r>
      <w:r>
        <w:t xml:space="preserve">FL inhibition of the binding of pathogenic </w:t>
      </w:r>
      <w:r>
        <w:rPr>
          <w:i/>
        </w:rPr>
        <w:t>C.</w:t>
      </w:r>
      <w:r w:rsidRPr="00F52F05">
        <w:rPr>
          <w:i/>
        </w:rPr>
        <w:t xml:space="preserve"> jejuni</w:t>
      </w:r>
      <w:r>
        <w:t xml:space="preserve"> to </w:t>
      </w:r>
      <w:r>
        <w:lastRenderedPageBreak/>
        <w:t xml:space="preserve">intestinal epithelial cells, and limited, largely indirect, evidence for a reduction of intestinal colonisation by </w:t>
      </w:r>
      <w:r w:rsidRPr="00F52F05">
        <w:rPr>
          <w:i/>
        </w:rPr>
        <w:t>C.</w:t>
      </w:r>
      <w:r w:rsidR="005E2BA4">
        <w:rPr>
          <w:i/>
        </w:rPr>
        <w:t> </w:t>
      </w:r>
      <w:r w:rsidRPr="00F52F05">
        <w:rPr>
          <w:i/>
        </w:rPr>
        <w:t>jejuni</w:t>
      </w:r>
      <w:r>
        <w:t xml:space="preserve"> and the incidence of diarrhoea.</w:t>
      </w:r>
    </w:p>
    <w:p w14:paraId="1554627C" w14:textId="36F97A0F" w:rsidR="00720E34" w:rsidRDefault="00720E34" w:rsidP="000254AB">
      <w:pPr>
        <w:pStyle w:val="FSBullet1"/>
      </w:pPr>
      <w:r>
        <w:t xml:space="preserve">for young children, there is no direct evidence that inhibition of binding of </w:t>
      </w:r>
      <w:r w:rsidRPr="00F52F05">
        <w:rPr>
          <w:i/>
        </w:rPr>
        <w:t>C. jejuni</w:t>
      </w:r>
      <w:r>
        <w:t xml:space="preserve"> occurs in children fed formulated supplementary foods for young children (FSFYC) supplemented with </w:t>
      </w:r>
      <w:r w:rsidR="00F25E51">
        <w:t>2′-</w:t>
      </w:r>
      <w:r>
        <w:t>FL</w:t>
      </w:r>
      <w:r w:rsidR="009765EF">
        <w:rPr>
          <w:vertAlign w:val="subscript"/>
        </w:rPr>
        <w:t>chem</w:t>
      </w:r>
      <w:r w:rsidR="00E020AF">
        <w:rPr>
          <w:vertAlign w:val="subscript"/>
        </w:rPr>
        <w:t>.</w:t>
      </w:r>
    </w:p>
    <w:p w14:paraId="462D44CE" w14:textId="2BCECE84" w:rsidR="00720E34" w:rsidRDefault="00720E34" w:rsidP="00AB5E3E">
      <w:pPr>
        <w:spacing w:after="120"/>
      </w:pPr>
      <w:r>
        <w:t>The Independent Expert Adviso</w:t>
      </w:r>
      <w:r w:rsidR="000A6B99">
        <w:t>ry Group (IEAG) convened by FSAN</w:t>
      </w:r>
      <w:r>
        <w:t xml:space="preserve">Z to provide guidance on the benefit assessment for A1155 </w:t>
      </w:r>
      <w:r w:rsidR="006A00B9">
        <w:t xml:space="preserve">(see </w:t>
      </w:r>
      <w:hyperlink r:id="rId30" w:history="1">
        <w:r w:rsidR="006A00B9" w:rsidRPr="006A00B9">
          <w:rPr>
            <w:rStyle w:val="Hyperlink"/>
          </w:rPr>
          <w:t>A1155 Review Supporting Document 4</w:t>
        </w:r>
      </w:hyperlink>
      <w:r w:rsidR="00B123BF">
        <w:rPr>
          <w:rStyle w:val="FootnoteReference"/>
        </w:rPr>
        <w:footnoteReference w:id="12"/>
      </w:r>
      <w:r w:rsidR="006A00B9">
        <w:t>)</w:t>
      </w:r>
      <w:r w:rsidR="00B123BF">
        <w:t>,</w:t>
      </w:r>
      <w:r>
        <w:t xml:space="preserve"> concluded that:</w:t>
      </w:r>
    </w:p>
    <w:p w14:paraId="51B570CC" w14:textId="77777777" w:rsidR="00720E34" w:rsidRDefault="00720E34" w:rsidP="000254AB">
      <w:pPr>
        <w:pStyle w:val="FSBullet1"/>
      </w:pPr>
      <w:r>
        <w:t>the approach to the assessment taken by FSANZ was appropriate; and</w:t>
      </w:r>
    </w:p>
    <w:p w14:paraId="38B51368" w14:textId="7FBADCCA" w:rsidR="00720E34" w:rsidRDefault="00720E34" w:rsidP="000254AB">
      <w:pPr>
        <w:pStyle w:val="FSBullet1"/>
      </w:pPr>
      <w:r>
        <w:t xml:space="preserve">there is a dose response effect in relation to the competitive inhibition by </w:t>
      </w:r>
      <w:r w:rsidR="00F25E51">
        <w:t>2′-</w:t>
      </w:r>
      <w:r>
        <w:t xml:space="preserve">FL of binding of </w:t>
      </w:r>
      <w:r w:rsidRPr="00720E34">
        <w:rPr>
          <w:i/>
        </w:rPr>
        <w:t>C. jejuni</w:t>
      </w:r>
      <w:r>
        <w:t xml:space="preserve"> to its epithelial cell receptor; but this inhibitory effect at a cellular level cannot be linked causally to a reduction in infection rates in infants or children because, for obvious reasons, </w:t>
      </w:r>
      <w:r w:rsidRPr="00720E34">
        <w:rPr>
          <w:i/>
        </w:rPr>
        <w:t>C. jejuni</w:t>
      </w:r>
      <w:r>
        <w:t xml:space="preserve"> challenge studies in humans are unethical.</w:t>
      </w:r>
    </w:p>
    <w:p w14:paraId="58001252" w14:textId="6BBA2161" w:rsidR="00D62B18" w:rsidRDefault="00D62B18" w:rsidP="00D62B18">
      <w:r w:rsidRPr="00D62B18">
        <w:t xml:space="preserve">The evidence for a health effect of 2′-FL </w:t>
      </w:r>
      <w:r>
        <w:t xml:space="preserve">in </w:t>
      </w:r>
      <w:r w:rsidRPr="00D62B18">
        <w:t xml:space="preserve">protecting </w:t>
      </w:r>
      <w:r>
        <w:t xml:space="preserve">infants and young children </w:t>
      </w:r>
      <w:r w:rsidRPr="00D62B18">
        <w:t xml:space="preserve">against other pathogens and toxins is inconclusive and is primarily limited to </w:t>
      </w:r>
      <w:r w:rsidRPr="00D62B18">
        <w:rPr>
          <w:i/>
        </w:rPr>
        <w:t>in vitro</w:t>
      </w:r>
      <w:r w:rsidRPr="00D62B18">
        <w:t xml:space="preserve"> inhibition studies</w:t>
      </w:r>
      <w:r>
        <w:t>,</w:t>
      </w:r>
      <w:r w:rsidRPr="00D62B18">
        <w:t xml:space="preserve"> with no specific mec</w:t>
      </w:r>
      <w:r>
        <w:t>hanism of action identified (</w:t>
      </w:r>
      <w:r w:rsidR="00FB5382" w:rsidRPr="00FB5382">
        <w:t>FS</w:t>
      </w:r>
      <w:r w:rsidR="00FB5382">
        <w:t>ANZ 2019</w:t>
      </w:r>
      <w:r>
        <w:t>)</w:t>
      </w:r>
      <w:r w:rsidR="00E020AF">
        <w:t>.</w:t>
      </w:r>
    </w:p>
    <w:p w14:paraId="6CA76AB8" w14:textId="18AD060E" w:rsidR="008F4E79" w:rsidRPr="007D52FC" w:rsidRDefault="008F4E79" w:rsidP="008F4E79">
      <w:pPr>
        <w:rPr>
          <w:b/>
          <w:bCs/>
          <w:i/>
          <w:iCs/>
          <w:lang w:val="en-AU"/>
        </w:rPr>
      </w:pPr>
      <w:r w:rsidRPr="007D52FC">
        <w:rPr>
          <w:b/>
          <w:bCs/>
          <w:i/>
          <w:iCs/>
          <w:lang w:val="en-AU"/>
        </w:rPr>
        <w:t>Bifodogenic effect</w:t>
      </w:r>
    </w:p>
    <w:p w14:paraId="141E05D5" w14:textId="22F67E91" w:rsidR="00720E34" w:rsidRDefault="00720E34" w:rsidP="00AB5E3E">
      <w:pPr>
        <w:spacing w:after="120"/>
      </w:pPr>
      <w:r>
        <w:t xml:space="preserve">FSANZ </w:t>
      </w:r>
      <w:r w:rsidR="009B6D15">
        <w:t>assessed the evidence for a bifidogen</w:t>
      </w:r>
      <w:r>
        <w:t xml:space="preserve">ic effect of </w:t>
      </w:r>
      <w:r w:rsidR="00F25E51">
        <w:t>2′-</w:t>
      </w:r>
      <w:r w:rsidR="009B6D15">
        <w:t>FL</w:t>
      </w:r>
      <w:r>
        <w:t xml:space="preserve"> in infants and young children. Noting the limitations in the evidence base</w:t>
      </w:r>
      <w:r w:rsidR="00B123BF">
        <w:t xml:space="preserve"> (see Section 2 of </w:t>
      </w:r>
      <w:hyperlink r:id="rId31" w:history="1">
        <w:r w:rsidR="006576CA" w:rsidRPr="006A00B9">
          <w:rPr>
            <w:rStyle w:val="Hyperlink"/>
          </w:rPr>
          <w:t>A1155 Review Supporting Document 2</w:t>
        </w:r>
      </w:hyperlink>
      <w:r w:rsidR="006576CA">
        <w:rPr>
          <w:vertAlign w:val="superscript"/>
        </w:rPr>
        <w:t>15</w:t>
      </w:r>
      <w:r w:rsidR="00B123BF">
        <w:t>)</w:t>
      </w:r>
      <w:r>
        <w:t>, FSANZ concluded</w:t>
      </w:r>
      <w:r w:rsidR="009B6D15">
        <w:t xml:space="preserve"> that</w:t>
      </w:r>
      <w:r>
        <w:t>:</w:t>
      </w:r>
    </w:p>
    <w:p w14:paraId="6376A50E" w14:textId="3D7887A0" w:rsidR="009B6D15" w:rsidRDefault="00720E34" w:rsidP="000254AB">
      <w:pPr>
        <w:pStyle w:val="FSBullet1"/>
      </w:pPr>
      <w:r>
        <w:t xml:space="preserve">for infants, </w:t>
      </w:r>
      <w:r w:rsidR="009B6D15">
        <w:t xml:space="preserve">the addition of </w:t>
      </w:r>
      <w:r w:rsidR="00F25E51">
        <w:t>2′-</w:t>
      </w:r>
      <w:r w:rsidR="009B6D15">
        <w:t xml:space="preserve">FL to infant formula leads to a </w:t>
      </w:r>
      <w:r w:rsidR="009B6D15" w:rsidRPr="00720E34">
        <w:rPr>
          <w:i/>
        </w:rPr>
        <w:t>Bifidobacterium</w:t>
      </w:r>
      <w:r w:rsidR="009B6D15">
        <w:t xml:space="preserve">-enriched microbiota that is more similar to that observed in breastfed infants than in those fed </w:t>
      </w:r>
      <w:r w:rsidR="00840B53">
        <w:t>non-</w:t>
      </w:r>
      <w:r w:rsidR="009B6D15">
        <w:t xml:space="preserve">supplemented formula. However, the size of the effect of </w:t>
      </w:r>
      <w:r w:rsidR="00F25E51">
        <w:t>2′-</w:t>
      </w:r>
      <w:r w:rsidR="009B6D15">
        <w:t xml:space="preserve">FL on bacterial populations is difficult to estimate. Evidence for a link between the presence of </w:t>
      </w:r>
      <w:r w:rsidR="00F25E51">
        <w:t>2′-</w:t>
      </w:r>
      <w:r w:rsidR="009B6D15">
        <w:t>FL in human milk or formula and any specific health outcome is limited to secondary outcomes of one randomised control trial and observational studies of lower quality.</w:t>
      </w:r>
    </w:p>
    <w:p w14:paraId="0FE26DBF" w14:textId="2E46B157" w:rsidR="00AA1E0F" w:rsidRDefault="009B6D15" w:rsidP="000254AB">
      <w:pPr>
        <w:pStyle w:val="FSBullet1"/>
      </w:pPr>
      <w:r>
        <w:t xml:space="preserve">evidence that a bifidogenic effect occurs in children fed formulated supplementary foods for young children (FSFYC) supplemented with </w:t>
      </w:r>
      <w:r w:rsidR="00F25E51">
        <w:t>2′-</w:t>
      </w:r>
      <w:r>
        <w:t>FL</w:t>
      </w:r>
      <w:r w:rsidR="009765EF" w:rsidRPr="00F878B3">
        <w:rPr>
          <w:vertAlign w:val="subscript"/>
        </w:rPr>
        <w:t>chem</w:t>
      </w:r>
      <w:r>
        <w:t xml:space="preserve"> </w:t>
      </w:r>
      <w:r w:rsidR="00720E34">
        <w:t>is very limited. However, t</w:t>
      </w:r>
      <w:r>
        <w:t xml:space="preserve">here is no reason to expect that the </w:t>
      </w:r>
      <w:r w:rsidR="00720E34">
        <w:t xml:space="preserve">effect </w:t>
      </w:r>
      <w:r>
        <w:t>demonstrated in infants would not occur in young children.</w:t>
      </w:r>
    </w:p>
    <w:p w14:paraId="49FC9B28" w14:textId="02E3F792" w:rsidR="00A3546E" w:rsidRDefault="00A3546E" w:rsidP="00AB5E3E">
      <w:pPr>
        <w:spacing w:after="120"/>
      </w:pPr>
      <w:r>
        <w:t xml:space="preserve">The </w:t>
      </w:r>
      <w:hyperlink r:id="rId32" w:history="1">
        <w:r w:rsidR="00B80DA8" w:rsidRPr="00B80DA8">
          <w:rPr>
            <w:rStyle w:val="Hyperlink"/>
          </w:rPr>
          <w:t>IEAG</w:t>
        </w:r>
        <w:r w:rsidRPr="00B80DA8">
          <w:rPr>
            <w:rStyle w:val="Hyperlink"/>
          </w:rPr>
          <w:t xml:space="preserve"> for A1155</w:t>
        </w:r>
      </w:hyperlink>
      <w:r w:rsidR="002B449E" w:rsidRPr="002B449E">
        <w:rPr>
          <w:vertAlign w:val="superscript"/>
        </w:rPr>
        <w:t>15</w:t>
      </w:r>
      <w:r>
        <w:t xml:space="preserve"> concluded that:</w:t>
      </w:r>
    </w:p>
    <w:p w14:paraId="6F32256E" w14:textId="75E07264" w:rsidR="009B6D15" w:rsidRDefault="009B6D15" w:rsidP="000254AB">
      <w:pPr>
        <w:pStyle w:val="FSBullet1"/>
      </w:pPr>
      <w:r>
        <w:t>the approach to</w:t>
      </w:r>
      <w:r w:rsidR="00720E34">
        <w:t xml:space="preserve"> the assessment taken by FSANZ wa</w:t>
      </w:r>
      <w:r>
        <w:t>s appropriate</w:t>
      </w:r>
      <w:r w:rsidR="00720E34">
        <w:t>; and</w:t>
      </w:r>
    </w:p>
    <w:p w14:paraId="3D48B792" w14:textId="241EEA6D" w:rsidR="009B6D15" w:rsidRPr="00AA1E0F" w:rsidRDefault="009B6D15" w:rsidP="000254AB">
      <w:pPr>
        <w:pStyle w:val="FSBullet1"/>
        <w:rPr>
          <w:b/>
          <w:i/>
          <w:lang w:val="en-AU"/>
        </w:rPr>
      </w:pPr>
      <w:r>
        <w:t>there i</w:t>
      </w:r>
      <w:r w:rsidR="00720E34">
        <w:t>s a bifidogenic effect; but</w:t>
      </w:r>
      <w:r>
        <w:t xml:space="preserve"> there is limited evidence in humans to estimate the size of the effect or to link the bifidogenic effect to a beneficial health outcome</w:t>
      </w:r>
      <w:r w:rsidR="00BE2E1D">
        <w:t>.</w:t>
      </w:r>
    </w:p>
    <w:p w14:paraId="7406DA37" w14:textId="74A1C0A9" w:rsidR="008F4E79" w:rsidRPr="004C5B05" w:rsidRDefault="008F4E79" w:rsidP="008F4E79">
      <w:pPr>
        <w:rPr>
          <w:b/>
          <w:bCs/>
          <w:i/>
          <w:iCs/>
          <w:lang w:val="en-AU"/>
        </w:rPr>
      </w:pPr>
      <w:r w:rsidRPr="004C5B05">
        <w:rPr>
          <w:b/>
          <w:bCs/>
          <w:i/>
          <w:iCs/>
          <w:lang w:val="en-AU"/>
        </w:rPr>
        <w:lastRenderedPageBreak/>
        <w:t>Immune modulation</w:t>
      </w:r>
    </w:p>
    <w:p w14:paraId="65C8BE9D" w14:textId="633BEF87" w:rsidR="008F4E79" w:rsidRDefault="008F4E79" w:rsidP="008F4E79">
      <w:pPr>
        <w:rPr>
          <w:lang w:val="en-AU"/>
        </w:rPr>
      </w:pPr>
      <w:r>
        <w:rPr>
          <w:lang w:val="en-AU"/>
        </w:rPr>
        <w:t xml:space="preserve">In the studies assessed by FSANZ </w:t>
      </w:r>
      <w:r w:rsidR="00AA1E0F">
        <w:rPr>
          <w:lang w:val="en-AU"/>
        </w:rPr>
        <w:t>(</w:t>
      </w:r>
      <w:r w:rsidR="00A140CB">
        <w:rPr>
          <w:lang w:val="en-AU"/>
        </w:rPr>
        <w:t>FSANZ 2019</w:t>
      </w:r>
      <w:r w:rsidR="003868A5">
        <w:rPr>
          <w:lang w:val="en-AU"/>
        </w:rPr>
        <w:t>)</w:t>
      </w:r>
      <w:r w:rsidR="009904DB">
        <w:rPr>
          <w:lang w:val="en-AU"/>
        </w:rPr>
        <w:t>,</w:t>
      </w:r>
      <w:r w:rsidRPr="00CD4839">
        <w:t xml:space="preserve"> </w:t>
      </w:r>
      <w:r>
        <w:t xml:space="preserve">there is </w:t>
      </w:r>
      <w:r w:rsidR="00376BDE" w:rsidRPr="00376BDE">
        <w:rPr>
          <w:i/>
        </w:rPr>
        <w:t>in vitro</w:t>
      </w:r>
      <w:r>
        <w:t xml:space="preserve"> evidence that </w:t>
      </w:r>
      <w:r w:rsidR="00F25E51">
        <w:t>2′-</w:t>
      </w:r>
      <w:r>
        <w:t>FL can mediate changes in immune signalling and trafficking. However, the clinical significance of this data is inconclusive</w:t>
      </w:r>
      <w:r w:rsidR="009904DB">
        <w:t>,</w:t>
      </w:r>
      <w:r>
        <w:t xml:space="preserve"> and an immune modulating effect for the proposed use of </w:t>
      </w:r>
      <w:r w:rsidR="00F25E51">
        <w:t>2′-</w:t>
      </w:r>
      <w:r>
        <w:t xml:space="preserve">FL in </w:t>
      </w:r>
      <w:r w:rsidR="000A4405">
        <w:t>IFP</w:t>
      </w:r>
      <w:r>
        <w:t xml:space="preserve"> is</w:t>
      </w:r>
      <w:r w:rsidR="009904DB">
        <w:t>,</w:t>
      </w:r>
      <w:r>
        <w:t xml:space="preserve"> therefore</w:t>
      </w:r>
      <w:r w:rsidR="009904DB">
        <w:t>,</w:t>
      </w:r>
      <w:r>
        <w:t xml:space="preserve"> inconclusive.</w:t>
      </w:r>
    </w:p>
    <w:p w14:paraId="3EED0C85" w14:textId="77777777" w:rsidR="008F4E79" w:rsidRPr="004C5B05" w:rsidRDefault="008F4E79" w:rsidP="008F4E79">
      <w:pPr>
        <w:rPr>
          <w:b/>
          <w:bCs/>
          <w:i/>
          <w:iCs/>
          <w:lang w:val="en-AU"/>
        </w:rPr>
      </w:pPr>
      <w:r w:rsidRPr="004C5B05">
        <w:rPr>
          <w:b/>
          <w:bCs/>
          <w:i/>
          <w:iCs/>
          <w:lang w:val="en-AU"/>
        </w:rPr>
        <w:t>Improved barrier function</w:t>
      </w:r>
    </w:p>
    <w:p w14:paraId="32F63513" w14:textId="03F707A6" w:rsidR="008F4E79" w:rsidRDefault="008F4E79" w:rsidP="008F4E79">
      <w:r>
        <w:t>In the studies previously assessed by FSANZ</w:t>
      </w:r>
      <w:r w:rsidR="0009795C" w:rsidRPr="0009795C">
        <w:t xml:space="preserve"> (FSANZ 2019)</w:t>
      </w:r>
      <w:r>
        <w:t xml:space="preserve">, there is plausible </w:t>
      </w:r>
      <w:r w:rsidR="00376BDE" w:rsidRPr="00376BDE">
        <w:rPr>
          <w:i/>
        </w:rPr>
        <w:t>in vitro</w:t>
      </w:r>
      <w:r>
        <w:t xml:space="preserve"> evidence that 2′-FL may promote intestinal epithelial cell differentiation and </w:t>
      </w:r>
      <w:r w:rsidRPr="009904DB">
        <w:t xml:space="preserve">maturation. 2′-FL </w:t>
      </w:r>
      <w:r w:rsidR="006B66E8" w:rsidRPr="009904DB">
        <w:t>had</w:t>
      </w:r>
      <w:r w:rsidRPr="009904DB">
        <w:t xml:space="preserve"> a</w:t>
      </w:r>
      <w:r w:rsidR="006B66E8" w:rsidRPr="009904DB">
        <w:t xml:space="preserve"> limited</w:t>
      </w:r>
      <w:r w:rsidRPr="009904DB">
        <w:t xml:space="preserve"> protective role in experimental models of </w:t>
      </w:r>
      <w:r w:rsidR="00D90765">
        <w:t>necrotising enterocolitis</w:t>
      </w:r>
      <w:r w:rsidR="009904DB" w:rsidRPr="009904DB">
        <w:t>,</w:t>
      </w:r>
      <w:r w:rsidRPr="009904DB">
        <w:t xml:space="preserve"> </w:t>
      </w:r>
      <w:r w:rsidR="006B66E8" w:rsidRPr="009904DB">
        <w:t>but was beneficial</w:t>
      </w:r>
      <w:r w:rsidRPr="009904DB">
        <w:t xml:space="preserve"> post intestinal surgery</w:t>
      </w:r>
      <w:r w:rsidR="009904DB" w:rsidRPr="009904DB">
        <w:t>. However,</w:t>
      </w:r>
      <w:r w:rsidRPr="009904DB">
        <w:t xml:space="preserve"> the observed effects </w:t>
      </w:r>
      <w:r w:rsidR="003240EF" w:rsidRPr="009904DB">
        <w:t xml:space="preserve">have only been </w:t>
      </w:r>
      <w:r w:rsidRPr="009904DB">
        <w:t>reported in animal models</w:t>
      </w:r>
      <w:r w:rsidR="003240EF" w:rsidRPr="009904DB">
        <w:t>,</w:t>
      </w:r>
      <w:r w:rsidRPr="009904DB">
        <w:t xml:space="preserve"> </w:t>
      </w:r>
      <w:r w:rsidR="009904DB">
        <w:t xml:space="preserve">and </w:t>
      </w:r>
      <w:r w:rsidRPr="009904DB">
        <w:t xml:space="preserve">at considerably high doses of 2′-FL </w:t>
      </w:r>
      <w:r w:rsidR="009904DB" w:rsidRPr="009904DB">
        <w:t xml:space="preserve">relative </w:t>
      </w:r>
      <w:r w:rsidRPr="009904DB">
        <w:t>to body weight. None of the</w:t>
      </w:r>
      <w:r>
        <w:t xml:space="preserve"> studies have demonstrated how </w:t>
      </w:r>
      <w:r w:rsidR="00F25E51">
        <w:t>2′-</w:t>
      </w:r>
      <w:r>
        <w:t xml:space="preserve">FL mediates these effects, be it through by-products of microbiota processing; direct binding to intestinal epithelial cells; or cellular uptake. These studies have also not provided clinically relevant data to support the protective effect of </w:t>
      </w:r>
      <w:r w:rsidR="00F25E51">
        <w:t>2′-</w:t>
      </w:r>
      <w:r>
        <w:t>FL in restoring barrier function</w:t>
      </w:r>
      <w:r w:rsidR="009904DB" w:rsidRPr="009904DB">
        <w:t xml:space="preserve"> </w:t>
      </w:r>
      <w:r w:rsidR="009904DB">
        <w:t>in infants</w:t>
      </w:r>
      <w:r>
        <w:t>.</w:t>
      </w:r>
    </w:p>
    <w:p w14:paraId="1463D81C" w14:textId="19DA96C8" w:rsidR="008F4E79" w:rsidRPr="007D52FC" w:rsidRDefault="008F4E79" w:rsidP="008F4E79">
      <w:pPr>
        <w:rPr>
          <w:b/>
          <w:bCs/>
          <w:i/>
          <w:iCs/>
          <w:lang w:val="en-AU"/>
        </w:rPr>
      </w:pPr>
      <w:r w:rsidRPr="007D52FC">
        <w:rPr>
          <w:b/>
          <w:bCs/>
          <w:i/>
          <w:iCs/>
          <w:lang w:val="en-AU"/>
        </w:rPr>
        <w:t>Alleviation of allergic responses</w:t>
      </w:r>
    </w:p>
    <w:p w14:paraId="58C362C4" w14:textId="3235F9DB" w:rsidR="002E6F8B" w:rsidRPr="006B73D7" w:rsidRDefault="008F4E79" w:rsidP="002E6F8B">
      <w:r>
        <w:t xml:space="preserve">FSANZ previously assessed </w:t>
      </w:r>
      <w:r w:rsidR="0009795C">
        <w:t xml:space="preserve">(FSANZ 2019) </w:t>
      </w:r>
      <w:r>
        <w:t xml:space="preserve">two studies examining the role of </w:t>
      </w:r>
      <w:r w:rsidR="00F25E51">
        <w:t>2′-</w:t>
      </w:r>
      <w:r>
        <w:t xml:space="preserve">FL in allergic responses </w:t>
      </w:r>
      <w:r w:rsidRPr="00E02251">
        <w:t>(Castillo-Courtade et al. 2015; Sprenger et al. 2017</w:t>
      </w:r>
      <w:r w:rsidR="00775BD4">
        <w:t>b</w:t>
      </w:r>
      <w:r w:rsidRPr="00E02251">
        <w:t>)</w:t>
      </w:r>
      <w:r>
        <w:t xml:space="preserve">. These studies did not provide strong evidence to support the protective effect of </w:t>
      </w:r>
      <w:r w:rsidR="00F25E51">
        <w:t>2′-</w:t>
      </w:r>
      <w:r>
        <w:t xml:space="preserve">FL in preventing development of allergies in infants and children. Although </w:t>
      </w:r>
      <w:r w:rsidR="00F25E51">
        <w:t>2′-</w:t>
      </w:r>
      <w:r>
        <w:t xml:space="preserve">FL was shown to have the potential to alleviate allergic responses post-sensitisation, the </w:t>
      </w:r>
      <w:r w:rsidR="009904DB">
        <w:t>effect</w:t>
      </w:r>
      <w:r>
        <w:t xml:space="preserve"> was only observed in an animal model, using a considerably high dose of </w:t>
      </w:r>
      <w:r w:rsidR="00F25E51">
        <w:t>2′-</w:t>
      </w:r>
      <w:r>
        <w:t xml:space="preserve">FL </w:t>
      </w:r>
      <w:r w:rsidR="009904DB">
        <w:t>relative to body weight. T</w:t>
      </w:r>
      <w:r>
        <w:t>hus</w:t>
      </w:r>
      <w:r w:rsidR="009904DB">
        <w:t>,</w:t>
      </w:r>
      <w:r>
        <w:t xml:space="preserve"> the relevance to infants is inconclusive. Of clinical relevance was</w:t>
      </w:r>
      <w:r w:rsidR="000A6B99">
        <w:t xml:space="preserve"> the finding</w:t>
      </w:r>
      <w:r>
        <w:t xml:space="preserve"> that </w:t>
      </w:r>
      <w:r w:rsidR="00F25E51">
        <w:t>2′-</w:t>
      </w:r>
      <w:r>
        <w:t>FL did not prevent production of allergen-specific IgE-immuno</w:t>
      </w:r>
      <w:r w:rsidR="009904DB">
        <w:t>globulins in the animal study. T</w:t>
      </w:r>
      <w:r>
        <w:t>herefore</w:t>
      </w:r>
      <w:r w:rsidR="009904DB">
        <w:t>,</w:t>
      </w:r>
      <w:r>
        <w:t xml:space="preserve"> the risk of anaphylaxis remains.</w:t>
      </w:r>
    </w:p>
    <w:p w14:paraId="3E7FD050" w14:textId="3C4D8033" w:rsidR="008F4E79" w:rsidRDefault="008F4E79" w:rsidP="00797DDD">
      <w:pPr>
        <w:pStyle w:val="Heading2"/>
      </w:pPr>
      <w:bookmarkStart w:id="237" w:name="_Toc72480630"/>
      <w:r>
        <w:t>7.2 Current assessment</w:t>
      </w:r>
      <w:bookmarkEnd w:id="237"/>
    </w:p>
    <w:p w14:paraId="48676C85" w14:textId="3E91992A" w:rsidR="008F4E79" w:rsidRDefault="008F4E79" w:rsidP="008F4E79">
      <w:pPr>
        <w:spacing w:after="120"/>
      </w:pPr>
      <w:r>
        <w:t>In the current application, t</w:t>
      </w:r>
      <w:r w:rsidRPr="00245366">
        <w:t xml:space="preserve">he addition of </w:t>
      </w:r>
      <w:r w:rsidR="00F25E51">
        <w:t>2′-</w:t>
      </w:r>
      <w:r>
        <w:t>FL</w:t>
      </w:r>
      <w:r w:rsidRPr="00245366">
        <w:t xml:space="preserve"> to </w:t>
      </w:r>
      <w:r w:rsidR="00A806CA">
        <w:t>IFP</w:t>
      </w:r>
      <w:r w:rsidRPr="00245366">
        <w:t xml:space="preserve"> and FSFYC </w:t>
      </w:r>
      <w:r>
        <w:t>is</w:t>
      </w:r>
      <w:r w:rsidRPr="00245366">
        <w:t xml:space="preserve"> stated by the applicant to confer functional benefits to infants and young children, consistent with </w:t>
      </w:r>
      <w:r w:rsidR="000D7599">
        <w:t xml:space="preserve">the oligosaccharides </w:t>
      </w:r>
      <w:r w:rsidRPr="00245366">
        <w:t xml:space="preserve">fraction of human milk, with </w:t>
      </w:r>
      <w:r>
        <w:t>the following</w:t>
      </w:r>
      <w:r w:rsidRPr="00245366">
        <w:t xml:space="preserve"> specified health effects:</w:t>
      </w:r>
    </w:p>
    <w:p w14:paraId="42BB13E4" w14:textId="0F1E0E7B" w:rsidR="008F4E79" w:rsidRDefault="008F4E79" w:rsidP="000254AB">
      <w:pPr>
        <w:pStyle w:val="ListParagraph"/>
        <w:numPr>
          <w:ilvl w:val="0"/>
          <w:numId w:val="16"/>
        </w:numPr>
        <w:spacing w:before="120" w:after="120"/>
        <w:ind w:left="714" w:hanging="357"/>
        <w:contextualSpacing w:val="0"/>
      </w:pPr>
      <w:r>
        <w:t>pathogen</w:t>
      </w:r>
      <w:r w:rsidR="00EB7E82">
        <w:t>-</w:t>
      </w:r>
      <w:r>
        <w:t xml:space="preserve">binding </w:t>
      </w:r>
      <w:r w:rsidR="00EB7E82">
        <w:t>inhibition</w:t>
      </w:r>
      <w:r>
        <w:t xml:space="preserve"> </w:t>
      </w:r>
      <w:r w:rsidRPr="00245366">
        <w:t>effect</w:t>
      </w:r>
      <w:r>
        <w:t>;</w:t>
      </w:r>
    </w:p>
    <w:p w14:paraId="1DF6E90C" w14:textId="77777777" w:rsidR="008F4E79" w:rsidRDefault="008F4E79" w:rsidP="000254AB">
      <w:pPr>
        <w:pStyle w:val="ListParagraph"/>
        <w:numPr>
          <w:ilvl w:val="0"/>
          <w:numId w:val="16"/>
        </w:numPr>
        <w:spacing w:before="120" w:after="120"/>
        <w:ind w:left="714" w:hanging="357"/>
        <w:contextualSpacing w:val="0"/>
      </w:pPr>
      <w:r>
        <w:t>intestinal microbiota modulating effect supporting a proliferation of bifidobacteria (</w:t>
      </w:r>
      <w:r w:rsidRPr="00245366">
        <w:t>bifidogenic effect</w:t>
      </w:r>
      <w:r>
        <w:t>);</w:t>
      </w:r>
    </w:p>
    <w:p w14:paraId="24573552" w14:textId="6DA8E69C" w:rsidR="008F4E79" w:rsidRDefault="008F4E79" w:rsidP="000254AB">
      <w:pPr>
        <w:pStyle w:val="ListParagraph"/>
        <w:numPr>
          <w:ilvl w:val="0"/>
          <w:numId w:val="16"/>
        </w:numPr>
        <w:spacing w:before="120" w:after="120"/>
        <w:ind w:left="714" w:hanging="357"/>
        <w:contextualSpacing w:val="0"/>
      </w:pPr>
      <w:r w:rsidRPr="00245366">
        <w:t>immune modulation, improved barrier function and alleviation of allergic responses</w:t>
      </w:r>
      <w:r>
        <w:t>;</w:t>
      </w:r>
    </w:p>
    <w:p w14:paraId="40A55AF6" w14:textId="028B4957" w:rsidR="008F4E79" w:rsidRDefault="008F4E79" w:rsidP="000254AB">
      <w:pPr>
        <w:pStyle w:val="ListParagraph"/>
        <w:numPr>
          <w:ilvl w:val="0"/>
          <w:numId w:val="16"/>
        </w:numPr>
        <w:spacing w:before="120" w:after="120"/>
        <w:ind w:left="714" w:hanging="357"/>
        <w:contextualSpacing w:val="0"/>
      </w:pPr>
      <w:r w:rsidRPr="00266754">
        <w:t>beneficial impacts on learning and memory</w:t>
      </w:r>
      <w:r>
        <w:t>; and</w:t>
      </w:r>
    </w:p>
    <w:p w14:paraId="229F76D8" w14:textId="77777777" w:rsidR="008F4E79" w:rsidRPr="004D3CF8" w:rsidRDefault="008F4E79" w:rsidP="000254AB">
      <w:pPr>
        <w:pStyle w:val="ListParagraph"/>
        <w:numPr>
          <w:ilvl w:val="0"/>
          <w:numId w:val="16"/>
        </w:numPr>
        <w:spacing w:before="120" w:after="120"/>
        <w:rPr>
          <w:lang w:eastAsia="en-AU" w:bidi="ar-SA"/>
        </w:rPr>
      </w:pPr>
      <w:r>
        <w:t>improved gut motility.</w:t>
      </w:r>
    </w:p>
    <w:p w14:paraId="23449097" w14:textId="3C532F03" w:rsidR="008F4E79" w:rsidRDefault="008F4E79" w:rsidP="008F4E79">
      <w:r w:rsidRPr="004C744E">
        <w:t xml:space="preserve">FSANZ assessed data submitted by the applicant and information from published sources. </w:t>
      </w:r>
      <w:r w:rsidR="004C744E" w:rsidRPr="004C744E">
        <w:t>Most</w:t>
      </w:r>
      <w:r w:rsidRPr="004C744E">
        <w:t xml:space="preserve"> of this data has previously been assesse</w:t>
      </w:r>
      <w:r w:rsidR="00111241" w:rsidRPr="004C744E">
        <w:t>d</w:t>
      </w:r>
      <w:r w:rsidR="004C744E" w:rsidRPr="004C744E">
        <w:t>,</w:t>
      </w:r>
      <w:r w:rsidR="00111241" w:rsidRPr="004C744E">
        <w:t xml:space="preserve"> and is summarised in </w:t>
      </w:r>
      <w:hyperlink w:anchor="_7.1_Previous_FSANZ" w:history="1">
        <w:r w:rsidR="00111241" w:rsidRPr="00D90765">
          <w:rPr>
            <w:rStyle w:val="Hyperlink"/>
          </w:rPr>
          <w:t>Section 7</w:t>
        </w:r>
        <w:r w:rsidRPr="00D90765">
          <w:rPr>
            <w:rStyle w:val="Hyperlink"/>
          </w:rPr>
          <w:t>.1</w:t>
        </w:r>
      </w:hyperlink>
      <w:r w:rsidRPr="004C744E">
        <w:t xml:space="preserve">. Both direct and indirect evidence was assessed to establish the mechanism of action underpinning the stated health effect and the likelihood of the effect </w:t>
      </w:r>
      <w:r w:rsidRPr="004C744E">
        <w:lastRenderedPageBreak/>
        <w:t>occurring in infants</w:t>
      </w:r>
      <w:r w:rsidR="004C744E">
        <w:t xml:space="preserve"> </w:t>
      </w:r>
      <w:r w:rsidR="004C744E" w:rsidRPr="00502C80">
        <w:t>and young children</w:t>
      </w:r>
      <w:r w:rsidR="004C744E" w:rsidRPr="004C744E">
        <w:t xml:space="preserve"> fed formula supplemented with </w:t>
      </w:r>
      <w:r w:rsidR="00FD1A13">
        <w:t>2′-FL</w:t>
      </w:r>
      <w:r w:rsidR="004C744E" w:rsidRPr="004C744E">
        <w:t>.</w:t>
      </w:r>
      <w:r w:rsidRPr="004C744E">
        <w:t xml:space="preserve"> This included</w:t>
      </w:r>
      <w:r w:rsidR="004C744E">
        <w:t xml:space="preserve"> </w:t>
      </w:r>
      <w:r w:rsidRPr="004C744E">
        <w:rPr>
          <w:i/>
        </w:rPr>
        <w:t>in vitro</w:t>
      </w:r>
      <w:r w:rsidRPr="004C744E">
        <w:t xml:space="preserve"> and </w:t>
      </w:r>
      <w:r w:rsidRPr="004C744E">
        <w:rPr>
          <w:i/>
        </w:rPr>
        <w:t>ex vivo</w:t>
      </w:r>
      <w:r w:rsidRPr="004C744E">
        <w:t xml:space="preserve"> studies, animal studies, </w:t>
      </w:r>
      <w:r w:rsidR="004C744E">
        <w:t xml:space="preserve">and </w:t>
      </w:r>
      <w:r w:rsidR="00502C80">
        <w:t xml:space="preserve">where available, </w:t>
      </w:r>
      <w:r w:rsidRPr="004C744E">
        <w:t>human epidemiological studies and clinical trial data. In assessing the</w:t>
      </w:r>
      <w:r w:rsidR="004C744E">
        <w:t xml:space="preserve"> quality of individual studies,</w:t>
      </w:r>
      <w:r w:rsidRPr="004C744E">
        <w:t xml:space="preserve"> FSANZ assessed various elements of the study design and method. These include</w:t>
      </w:r>
      <w:r w:rsidR="004C744E">
        <w:t>d</w:t>
      </w:r>
      <w:r w:rsidRPr="004C744E">
        <w:t>: the purpose of the study; appropriateness of the study design for the purpose; appropriateness of the outcome measures; the duration of the study; and the appropriateness of the statistical analyses undertaken.</w:t>
      </w:r>
    </w:p>
    <w:p w14:paraId="589E7E07" w14:textId="77777777" w:rsidR="00893A21" w:rsidRPr="004A7893" w:rsidRDefault="00893A21" w:rsidP="000254AB">
      <w:pPr>
        <w:keepNext/>
        <w:rPr>
          <w:b/>
          <w:bCs/>
          <w:i/>
          <w:iCs/>
          <w:lang w:val="en-AU"/>
        </w:rPr>
      </w:pPr>
      <w:r w:rsidRPr="005D26C5">
        <w:rPr>
          <w:b/>
          <w:bCs/>
          <w:i/>
          <w:iCs/>
          <w:lang w:val="en-AU"/>
        </w:rPr>
        <w:t>Pathogen-binding inhibition effect</w:t>
      </w:r>
    </w:p>
    <w:p w14:paraId="07B8B88F" w14:textId="61E5F260" w:rsidR="00197F36" w:rsidRPr="00221028" w:rsidRDefault="00197F36" w:rsidP="00197F36">
      <w:pPr>
        <w:autoSpaceDE w:val="0"/>
        <w:autoSpaceDN w:val="0"/>
        <w:adjustRightInd w:val="0"/>
        <w:rPr>
          <w:rFonts w:cs="Arial"/>
          <w:i/>
          <w:iCs/>
          <w:color w:val="000000" w:themeColor="text1"/>
          <w:szCs w:val="22"/>
        </w:rPr>
      </w:pPr>
      <w:r>
        <w:rPr>
          <w:rFonts w:cs="Arial"/>
          <w:i/>
          <w:iCs/>
          <w:color w:val="000000" w:themeColor="text1"/>
          <w:szCs w:val="22"/>
        </w:rPr>
        <w:t>Human</w:t>
      </w:r>
      <w:r w:rsidRPr="00221028">
        <w:rPr>
          <w:rFonts w:cs="Arial"/>
          <w:i/>
          <w:iCs/>
          <w:color w:val="000000" w:themeColor="text1"/>
          <w:szCs w:val="22"/>
        </w:rPr>
        <w:t xml:space="preserve"> studies</w:t>
      </w:r>
    </w:p>
    <w:p w14:paraId="3EE7E0AB" w14:textId="2CBE0F90" w:rsidR="00197F36" w:rsidRDefault="00197F36" w:rsidP="00197F36">
      <w:pPr>
        <w:autoSpaceDE w:val="0"/>
        <w:autoSpaceDN w:val="0"/>
        <w:adjustRightInd w:val="0"/>
      </w:pPr>
      <w:r w:rsidRPr="00384537">
        <w:rPr>
          <w:rFonts w:cs="Arial"/>
          <w:szCs w:val="22"/>
        </w:rPr>
        <w:t>The appli</w:t>
      </w:r>
      <w:r w:rsidRPr="00384537">
        <w:t xml:space="preserve">cant provided evidence from two infant feeding studies. A study by Stepans et al. (2006) was excluded because the focus of the study was the impact </w:t>
      </w:r>
      <w:r w:rsidR="004C744E" w:rsidRPr="00384537">
        <w:t xml:space="preserve">on health outcomes </w:t>
      </w:r>
      <w:r w:rsidRPr="00384537">
        <w:t>of the lacto-</w:t>
      </w:r>
      <w:r w:rsidRPr="00CF2D25">
        <w:rPr>
          <w:i/>
        </w:rPr>
        <w:t>N</w:t>
      </w:r>
      <w:r w:rsidRPr="00384537">
        <w:t>-fucopentaose-2</w:t>
      </w:r>
      <w:r w:rsidR="000D7599">
        <w:t xml:space="preserve">; </w:t>
      </w:r>
      <w:r w:rsidR="004C744E">
        <w:t>t</w:t>
      </w:r>
      <w:r w:rsidRPr="00384537">
        <w:t xml:space="preserve">here was no examination of </w:t>
      </w:r>
      <w:r w:rsidR="00F25E51">
        <w:t>2′-</w:t>
      </w:r>
      <w:r w:rsidRPr="00384537">
        <w:t xml:space="preserve">FL. A study by Kuhn et al. </w:t>
      </w:r>
      <w:r w:rsidR="00DB5C65">
        <w:t>(2015</w:t>
      </w:r>
      <w:r w:rsidRPr="00384537">
        <w:t>) was also excluded</w:t>
      </w:r>
      <w:r w:rsidR="00CF2D25">
        <w:t>,</w:t>
      </w:r>
      <w:r w:rsidRPr="00384537">
        <w:t xml:space="preserve"> a</w:t>
      </w:r>
      <w:r w:rsidR="00CF2D25">
        <w:t>s</w:t>
      </w:r>
      <w:r w:rsidRPr="00384537">
        <w:t xml:space="preserve"> the infants were breastfed</w:t>
      </w:r>
      <w:r>
        <w:t xml:space="preserve"> and there was no characterisation o</w:t>
      </w:r>
      <w:r w:rsidR="000D7599">
        <w:t>f the individual</w:t>
      </w:r>
      <w:r w:rsidR="000D7599" w:rsidRPr="00F22B6E">
        <w:t xml:space="preserve"> </w:t>
      </w:r>
      <w:r w:rsidR="000D7599">
        <w:t xml:space="preserve">oligosaccharide </w:t>
      </w:r>
      <w:r w:rsidR="00CF2D25">
        <w:t>levels and/</w:t>
      </w:r>
      <w:r>
        <w:t>or secretor status of the mother</w:t>
      </w:r>
      <w:r w:rsidR="00CF2D25">
        <w:t>s.</w:t>
      </w:r>
    </w:p>
    <w:p w14:paraId="214B78E7" w14:textId="68A07F18" w:rsidR="00197F36" w:rsidRPr="003F5081" w:rsidDel="00640498" w:rsidRDefault="00197F36" w:rsidP="00197F36">
      <w:pPr>
        <w:rPr>
          <w:i/>
          <w:iCs/>
        </w:rPr>
      </w:pPr>
      <w:r w:rsidDel="00640498">
        <w:rPr>
          <w:i/>
          <w:iCs/>
        </w:rPr>
        <w:t xml:space="preserve">Animal </w:t>
      </w:r>
      <w:r w:rsidRPr="003F5081" w:rsidDel="00640498">
        <w:rPr>
          <w:i/>
          <w:iCs/>
        </w:rPr>
        <w:t>studies</w:t>
      </w:r>
    </w:p>
    <w:p w14:paraId="11C5DF38" w14:textId="4373CF57" w:rsidR="00893A21" w:rsidRDefault="00197F36" w:rsidP="00B330B8">
      <w:r>
        <w:t xml:space="preserve">The applicant provided evidence from one </w:t>
      </w:r>
      <w:r w:rsidR="00893A21" w:rsidRPr="00893A21">
        <w:rPr>
          <w:iCs/>
        </w:rPr>
        <w:t>animal</w:t>
      </w:r>
      <w:r w:rsidRPr="00893A21">
        <w:t xml:space="preserve"> </w:t>
      </w:r>
      <w:r>
        <w:t xml:space="preserve">study </w:t>
      </w:r>
      <w:r w:rsidR="00136D15">
        <w:t xml:space="preserve">examining the impact of oligosaccharides </w:t>
      </w:r>
      <w:r>
        <w:t>supplementation on rotaviral infection (</w:t>
      </w:r>
      <w:r w:rsidR="00242E82">
        <w:t>Azagra-Boronat et al.</w:t>
      </w:r>
      <w:r w:rsidRPr="00CA423A">
        <w:t xml:space="preserve"> 2019a</w:t>
      </w:r>
      <w:r>
        <w:t>).</w:t>
      </w:r>
      <w:r w:rsidR="00893A21">
        <w:t xml:space="preserve"> This study was included in the A1155 </w:t>
      </w:r>
      <w:r w:rsidR="0032737D">
        <w:t xml:space="preserve">Review (see Section 3 of </w:t>
      </w:r>
      <w:hyperlink r:id="rId33" w:history="1">
        <w:r w:rsidR="0032737D" w:rsidRPr="006A00B9">
          <w:rPr>
            <w:rStyle w:val="Hyperlink"/>
          </w:rPr>
          <w:t>A1155 Review Supporting Document 2</w:t>
        </w:r>
      </w:hyperlink>
      <w:r w:rsidR="0032737D" w:rsidRPr="0032737D">
        <w:rPr>
          <w:vertAlign w:val="superscript"/>
        </w:rPr>
        <w:t>1</w:t>
      </w:r>
      <w:r w:rsidR="006576CA">
        <w:rPr>
          <w:vertAlign w:val="superscript"/>
        </w:rPr>
        <w:t>5</w:t>
      </w:r>
      <w:r w:rsidR="0032737D">
        <w:t>)</w:t>
      </w:r>
      <w:r w:rsidR="00893A21">
        <w:t>.</w:t>
      </w:r>
      <w:r w:rsidR="00B330B8">
        <w:t xml:space="preserve"> The limited evidence provided from this rodent study implies </w:t>
      </w:r>
      <w:r w:rsidR="00F25E51">
        <w:t>2′-</w:t>
      </w:r>
      <w:r w:rsidR="00B330B8">
        <w:t>FL</w:t>
      </w:r>
      <w:r w:rsidR="005E214D" w:rsidRPr="005E214D">
        <w:rPr>
          <w:vertAlign w:val="subscript"/>
        </w:rPr>
        <w:t>micro</w:t>
      </w:r>
      <w:r w:rsidR="00B330B8">
        <w:t xml:space="preserve"> may reduce the length of time of rotaviral infection in rats but not the severity. Furthermore, this study does not demonstrate</w:t>
      </w:r>
      <w:r w:rsidR="004C744E">
        <w:t xml:space="preserve"> </w:t>
      </w:r>
      <w:r w:rsidR="00B330B8">
        <w:t xml:space="preserve">a pathogen-binding inhibition effect </w:t>
      </w:r>
      <w:r w:rsidR="004C744E">
        <w:t xml:space="preserve">of 2′-FL </w:t>
      </w:r>
      <w:r w:rsidR="00B330B8">
        <w:t>in infants.</w:t>
      </w:r>
    </w:p>
    <w:p w14:paraId="7828FA88" w14:textId="0E25A677" w:rsidR="008F4E79" w:rsidRPr="003F5081" w:rsidRDefault="00F76C34" w:rsidP="008F4E79">
      <w:pPr>
        <w:autoSpaceDE w:val="0"/>
        <w:autoSpaceDN w:val="0"/>
        <w:adjustRightInd w:val="0"/>
        <w:rPr>
          <w:i/>
          <w:iCs/>
        </w:rPr>
      </w:pPr>
      <w:r w:rsidRPr="000254AB">
        <w:rPr>
          <w:i/>
          <w:iCs/>
        </w:rPr>
        <w:t>In vitro</w:t>
      </w:r>
      <w:r w:rsidR="008F4E79" w:rsidRPr="003F5081">
        <w:rPr>
          <w:i/>
          <w:iCs/>
        </w:rPr>
        <w:t xml:space="preserve"> studies</w:t>
      </w:r>
    </w:p>
    <w:p w14:paraId="3155DEBA" w14:textId="6A015CBD" w:rsidR="007F58E0" w:rsidRDefault="008F4E79" w:rsidP="008F4E79">
      <w:pPr>
        <w:autoSpaceDE w:val="0"/>
        <w:autoSpaceDN w:val="0"/>
        <w:adjustRightInd w:val="0"/>
      </w:pPr>
      <w:r>
        <w:t xml:space="preserve">The applicant provided </w:t>
      </w:r>
      <w:r w:rsidR="0041020A">
        <w:t xml:space="preserve">evidence from </w:t>
      </w:r>
      <w:r w:rsidR="00893A21">
        <w:t xml:space="preserve">four </w:t>
      </w:r>
      <w:r>
        <w:t>studies</w:t>
      </w:r>
      <w:r w:rsidR="00635584">
        <w:t>, one of which—</w:t>
      </w:r>
      <w:r w:rsidR="00EB7E82" w:rsidRPr="000F6CF0">
        <w:t>Weichert et al. (2013)</w:t>
      </w:r>
      <w:r w:rsidR="00635584">
        <w:t>—</w:t>
      </w:r>
      <w:r w:rsidR="00EB7E82">
        <w:t xml:space="preserve">was included in </w:t>
      </w:r>
      <w:r w:rsidR="00EB7E82" w:rsidRPr="00A51AA8">
        <w:t xml:space="preserve">the A1155 </w:t>
      </w:r>
      <w:r w:rsidR="0032737D" w:rsidRPr="00A51AA8">
        <w:t xml:space="preserve">Review (see Section 3 of </w:t>
      </w:r>
      <w:hyperlink r:id="rId34" w:history="1">
        <w:r w:rsidR="006576CA" w:rsidRPr="006A00B9">
          <w:rPr>
            <w:rStyle w:val="Hyperlink"/>
          </w:rPr>
          <w:t>A1155 Review Supporting Document 2</w:t>
        </w:r>
      </w:hyperlink>
      <w:r w:rsidR="006576CA" w:rsidRPr="00A51AA8">
        <w:rPr>
          <w:vertAlign w:val="superscript"/>
        </w:rPr>
        <w:t>1</w:t>
      </w:r>
      <w:r w:rsidR="006576CA">
        <w:rPr>
          <w:vertAlign w:val="superscript"/>
        </w:rPr>
        <w:t>5</w:t>
      </w:r>
      <w:r w:rsidR="0032737D" w:rsidRPr="00A51AA8">
        <w:t>)</w:t>
      </w:r>
      <w:r w:rsidRPr="00A51AA8">
        <w:t>.</w:t>
      </w:r>
    </w:p>
    <w:p w14:paraId="62FFD3D7" w14:textId="37A05CB3" w:rsidR="008F4E79" w:rsidRPr="00017CAC" w:rsidRDefault="00635584" w:rsidP="008F4E79">
      <w:pPr>
        <w:autoSpaceDE w:val="0"/>
        <w:autoSpaceDN w:val="0"/>
        <w:adjustRightInd w:val="0"/>
        <w:rPr>
          <w:lang w:bidi="ar-SA"/>
        </w:rPr>
      </w:pPr>
      <w:r>
        <w:t xml:space="preserve">Weichert et al. (2013) </w:t>
      </w:r>
      <w:r w:rsidR="003B0609" w:rsidRPr="00A51AA8">
        <w:t>showed that</w:t>
      </w:r>
      <w:r w:rsidR="004C744E">
        <w:t xml:space="preserve"> the presence of 10 mg/ml (~</w:t>
      </w:r>
      <w:r w:rsidR="003B0609" w:rsidRPr="00A51AA8">
        <w:t xml:space="preserve">20 mM) </w:t>
      </w:r>
      <w:r w:rsidR="00FD1A13">
        <w:t>2′-FL</w:t>
      </w:r>
      <w:r w:rsidR="003B0609" w:rsidRPr="00A51AA8">
        <w:rPr>
          <w:vertAlign w:val="subscript"/>
        </w:rPr>
        <w:t>micro</w:t>
      </w:r>
      <w:r w:rsidR="003B0609" w:rsidRPr="00A51AA8">
        <w:t xml:space="preserve"> inhibited adhesion of </w:t>
      </w:r>
      <w:r w:rsidR="003B0609" w:rsidRPr="00A51AA8">
        <w:rPr>
          <w:i/>
        </w:rPr>
        <w:t>Salmonella enterica</w:t>
      </w:r>
      <w:r w:rsidR="003B0609" w:rsidRPr="00A51AA8">
        <w:t xml:space="preserve"> serovar </w:t>
      </w:r>
      <w:r w:rsidR="003B0609" w:rsidRPr="00A51AA8">
        <w:rPr>
          <w:i/>
        </w:rPr>
        <w:t>fyris</w:t>
      </w:r>
      <w:r w:rsidR="003B0609" w:rsidRPr="00A51AA8">
        <w:t xml:space="preserve">, enteropathogenic </w:t>
      </w:r>
      <w:r w:rsidR="003B0609" w:rsidRPr="00A51AA8">
        <w:rPr>
          <w:i/>
        </w:rPr>
        <w:t>E. coli</w:t>
      </w:r>
      <w:r w:rsidR="003B0609" w:rsidRPr="00A51AA8">
        <w:t xml:space="preserve">, </w:t>
      </w:r>
      <w:r w:rsidR="003B0609" w:rsidRPr="00A51AA8">
        <w:rPr>
          <w:i/>
        </w:rPr>
        <w:t>Pseudomonas aeruginosa</w:t>
      </w:r>
      <w:r w:rsidR="00A51AA8">
        <w:t xml:space="preserve"> and </w:t>
      </w:r>
      <w:r w:rsidR="00A51AA8" w:rsidRPr="00A51AA8">
        <w:rPr>
          <w:i/>
        </w:rPr>
        <w:t>C. </w:t>
      </w:r>
      <w:r w:rsidR="003B0609" w:rsidRPr="00A51AA8">
        <w:rPr>
          <w:i/>
        </w:rPr>
        <w:t>jejuni</w:t>
      </w:r>
      <w:r w:rsidR="003B0609" w:rsidRPr="00A51AA8">
        <w:t xml:space="preserve"> </w:t>
      </w:r>
      <w:r w:rsidR="00A51AA8">
        <w:t>to</w:t>
      </w:r>
      <w:r w:rsidR="003B0609" w:rsidRPr="00A51AA8">
        <w:t xml:space="preserve"> Caco-2 cells </w:t>
      </w:r>
      <w:r w:rsidR="00A51AA8">
        <w:t>by 12%, 18%,</w:t>
      </w:r>
      <w:r w:rsidR="003B0609" w:rsidRPr="00A51AA8">
        <w:t xml:space="preserve"> 17% and 26</w:t>
      </w:r>
      <w:r w:rsidR="00A51AA8">
        <w:t>%, respectively.</w:t>
      </w:r>
      <w:r w:rsidR="003B0609" w:rsidRPr="00A51AA8">
        <w:t xml:space="preserve"> </w:t>
      </w:r>
      <w:r w:rsidR="00A51AA8">
        <w:t xml:space="preserve">At the same concentration, </w:t>
      </w:r>
      <w:r w:rsidR="00FD1A13">
        <w:t>2′-FL</w:t>
      </w:r>
      <w:r w:rsidR="00A51AA8">
        <w:t xml:space="preserve"> inhibited adhesion of </w:t>
      </w:r>
      <w:r w:rsidR="00A51AA8" w:rsidRPr="00A51AA8">
        <w:rPr>
          <w:i/>
        </w:rPr>
        <w:t>P. aeruginosa</w:t>
      </w:r>
      <w:r w:rsidR="00A51AA8" w:rsidRPr="00A51AA8">
        <w:t xml:space="preserve"> </w:t>
      </w:r>
      <w:r w:rsidR="00A51AA8">
        <w:t>to human lung carcinoma</w:t>
      </w:r>
      <w:r w:rsidR="003B0609" w:rsidRPr="00A51AA8">
        <w:t xml:space="preserve"> </w:t>
      </w:r>
      <w:r w:rsidR="00A51AA8">
        <w:t>cell line A549 by 24%. The study</w:t>
      </w:r>
      <w:r w:rsidR="003B0609" w:rsidRPr="00A51AA8">
        <w:t xml:space="preserve"> demonstrate</w:t>
      </w:r>
      <w:r>
        <w:t>d</w:t>
      </w:r>
      <w:r w:rsidR="003B0609" w:rsidRPr="00A51AA8">
        <w:t xml:space="preserve"> limited inhib</w:t>
      </w:r>
      <w:r w:rsidR="00A51AA8">
        <w:t xml:space="preserve">ition by </w:t>
      </w:r>
      <w:r w:rsidR="00FD1A13">
        <w:t>2′-FL</w:t>
      </w:r>
      <w:r w:rsidR="00A51AA8">
        <w:t xml:space="preserve"> of pathogen binding </w:t>
      </w:r>
      <w:r w:rsidR="003B0609" w:rsidRPr="00A51AA8">
        <w:t>to the cell lines used.</w:t>
      </w:r>
      <w:r w:rsidR="00A51AA8" w:rsidRPr="00A51AA8">
        <w:t xml:space="preserve"> T</w:t>
      </w:r>
      <w:r w:rsidR="00A51AA8" w:rsidRPr="00A51AA8">
        <w:rPr>
          <w:lang w:bidi="ar-SA"/>
        </w:rPr>
        <w:t xml:space="preserve">he concentration of </w:t>
      </w:r>
      <w:r w:rsidR="00FD1A13">
        <w:rPr>
          <w:lang w:bidi="ar-SA"/>
        </w:rPr>
        <w:t>2′-FL</w:t>
      </w:r>
      <w:r w:rsidR="001C6427">
        <w:rPr>
          <w:lang w:bidi="ar-SA"/>
        </w:rPr>
        <w:t xml:space="preserve"> used was</w:t>
      </w:r>
      <w:r w:rsidR="00A51AA8" w:rsidRPr="00A51AA8">
        <w:rPr>
          <w:lang w:bidi="ar-SA"/>
        </w:rPr>
        <w:t xml:space="preserve"> 3–4 times higher than</w:t>
      </w:r>
      <w:r w:rsidR="001C6427" w:rsidRPr="001C6427">
        <w:t xml:space="preserve"> </w:t>
      </w:r>
      <w:r w:rsidR="001C6427" w:rsidRPr="001C6427">
        <w:rPr>
          <w:lang w:bidi="ar-SA"/>
        </w:rPr>
        <w:t>the mean concentration of 2′-FL in human milk</w:t>
      </w:r>
      <w:r w:rsidR="00A51AA8" w:rsidRPr="001C6427">
        <w:rPr>
          <w:lang w:bidi="ar-SA"/>
        </w:rPr>
        <w:t xml:space="preserve">. </w:t>
      </w:r>
      <w:r>
        <w:rPr>
          <w:lang w:bidi="ar-SA"/>
        </w:rPr>
        <w:t xml:space="preserve">In similar experiments, </w:t>
      </w:r>
      <w:r w:rsidR="008F4E79" w:rsidRPr="00A66C8C">
        <w:t>Coppa et al. (2006)</w:t>
      </w:r>
      <w:r w:rsidR="008F4E79">
        <w:t xml:space="preserve"> showed</w:t>
      </w:r>
      <w:r>
        <w:t xml:space="preserve"> that purified</w:t>
      </w:r>
      <w:r w:rsidR="008F4E79">
        <w:t xml:space="preserve"> </w:t>
      </w:r>
      <w:r w:rsidR="00F25E51">
        <w:t>2′-</w:t>
      </w:r>
      <w:r w:rsidR="0041020A">
        <w:t>FL</w:t>
      </w:r>
      <w:r w:rsidRPr="00635584">
        <w:rPr>
          <w:vertAlign w:val="subscript"/>
        </w:rPr>
        <w:t>human</w:t>
      </w:r>
      <w:r w:rsidR="0041020A">
        <w:t xml:space="preserve"> had minimal impact </w:t>
      </w:r>
      <w:r>
        <w:t xml:space="preserve">on </w:t>
      </w:r>
      <w:r w:rsidR="0041020A">
        <w:t>binding</w:t>
      </w:r>
      <w:r w:rsidR="00EB7E82">
        <w:t xml:space="preserve"> </w:t>
      </w:r>
      <w:r>
        <w:t xml:space="preserve">of </w:t>
      </w:r>
      <w:r>
        <w:rPr>
          <w:i/>
        </w:rPr>
        <w:t>E. </w:t>
      </w:r>
      <w:r w:rsidR="00EB7E82" w:rsidRPr="00F17D27">
        <w:rPr>
          <w:i/>
        </w:rPr>
        <w:t>coli</w:t>
      </w:r>
      <w:r w:rsidR="00EB7E82">
        <w:t xml:space="preserve"> and </w:t>
      </w:r>
      <w:r>
        <w:rPr>
          <w:i/>
        </w:rPr>
        <w:t>S.</w:t>
      </w:r>
      <w:r w:rsidR="00EB7E82" w:rsidRPr="00F17D27">
        <w:rPr>
          <w:i/>
        </w:rPr>
        <w:t xml:space="preserve"> enterica</w:t>
      </w:r>
      <w:r w:rsidR="00EB7E82" w:rsidRPr="00F17D27">
        <w:t xml:space="preserve"> </w:t>
      </w:r>
      <w:r w:rsidR="00EB7E82">
        <w:t xml:space="preserve">serovar </w:t>
      </w:r>
      <w:r>
        <w:rPr>
          <w:i/>
        </w:rPr>
        <w:t>f</w:t>
      </w:r>
      <w:r w:rsidR="00EB7E82" w:rsidRPr="00F17D27">
        <w:rPr>
          <w:i/>
        </w:rPr>
        <w:t>yris</w:t>
      </w:r>
      <w:r w:rsidR="0041020A">
        <w:t xml:space="preserve"> to </w:t>
      </w:r>
      <w:r w:rsidR="00DB5C65">
        <w:t>Caco-2 cells</w:t>
      </w:r>
      <w:r w:rsidR="00EB7E82">
        <w:t>,</w:t>
      </w:r>
      <w:r w:rsidR="0041020A">
        <w:t xml:space="preserve"> </w:t>
      </w:r>
      <w:r>
        <w:t>while</w:t>
      </w:r>
      <w:r w:rsidR="0041020A">
        <w:t xml:space="preserve"> a mixture of </w:t>
      </w:r>
      <w:r w:rsidR="002A08B2">
        <w:t xml:space="preserve">low molecular weight </w:t>
      </w:r>
      <w:r w:rsidR="0041020A">
        <w:t xml:space="preserve">neutral </w:t>
      </w:r>
      <w:r w:rsidR="00136D15">
        <w:t>oligosaccharides found in human milk</w:t>
      </w:r>
      <w:r w:rsidR="0041020A">
        <w:t xml:space="preserve"> had </w:t>
      </w:r>
      <w:r w:rsidR="0041020A" w:rsidRPr="00017CAC">
        <w:t>significantly greater effect.</w:t>
      </w:r>
      <w:r w:rsidRPr="00017CAC">
        <w:t xml:space="preserve"> </w:t>
      </w:r>
      <w:r w:rsidRPr="00017CAC">
        <w:rPr>
          <w:lang w:bidi="ar-SA"/>
        </w:rPr>
        <w:t>The suitability of the Caco-2 cell line for these studies is open to question. It has been reported that only a subset of differentiated Caco-2 cells express the type H-2 histo-blood group antigen—the cellular receptor</w:t>
      </w:r>
      <w:r w:rsidR="00017CAC" w:rsidRPr="00017CAC">
        <w:rPr>
          <w:lang w:bidi="ar-SA"/>
        </w:rPr>
        <w:t xml:space="preserve"> for which </w:t>
      </w:r>
      <w:r w:rsidR="00FD1A13">
        <w:rPr>
          <w:lang w:bidi="ar-SA"/>
        </w:rPr>
        <w:t>2′-FL</w:t>
      </w:r>
      <w:r w:rsidR="00017CAC" w:rsidRPr="00017CAC">
        <w:rPr>
          <w:lang w:bidi="ar-SA"/>
        </w:rPr>
        <w:t xml:space="preserve"> is a putative soluble mimetic</w:t>
      </w:r>
      <w:r w:rsidRPr="00017CAC">
        <w:rPr>
          <w:lang w:bidi="ar-SA"/>
        </w:rPr>
        <w:t xml:space="preserve"> (Murakami et al</w:t>
      </w:r>
      <w:r w:rsidR="00DB5C65">
        <w:rPr>
          <w:lang w:bidi="ar-SA"/>
        </w:rPr>
        <w:t>.</w:t>
      </w:r>
      <w:r w:rsidRPr="00017CAC">
        <w:rPr>
          <w:lang w:bidi="ar-SA"/>
        </w:rPr>
        <w:t xml:space="preserve"> 2013). It is possible that a significant proportion of the binding of pathogens t</w:t>
      </w:r>
      <w:r w:rsidR="00017CAC" w:rsidRPr="00017CAC">
        <w:rPr>
          <w:lang w:bidi="ar-SA"/>
        </w:rPr>
        <w:t>o the Caco-2 cells in these studies</w:t>
      </w:r>
      <w:r w:rsidRPr="00017CAC">
        <w:rPr>
          <w:lang w:bidi="ar-SA"/>
        </w:rPr>
        <w:t xml:space="preserve"> </w:t>
      </w:r>
      <w:r w:rsidR="002A08B2">
        <w:rPr>
          <w:lang w:bidi="ar-SA"/>
        </w:rPr>
        <w:t>was non-specific</w:t>
      </w:r>
      <w:r w:rsidRPr="00017CAC">
        <w:rPr>
          <w:lang w:bidi="ar-SA"/>
        </w:rPr>
        <w:t xml:space="preserve"> or</w:t>
      </w:r>
      <w:r w:rsidR="002A08B2">
        <w:rPr>
          <w:lang w:bidi="ar-SA"/>
        </w:rPr>
        <w:t xml:space="preserve"> mediated</w:t>
      </w:r>
      <w:r w:rsidRPr="00017CAC">
        <w:rPr>
          <w:lang w:bidi="ar-SA"/>
        </w:rPr>
        <w:t xml:space="preserve"> through other epitopes which are not susceptible to inhibition by </w:t>
      </w:r>
      <w:r w:rsidR="00FD1A13">
        <w:rPr>
          <w:lang w:bidi="ar-SA"/>
        </w:rPr>
        <w:t>2′-FL</w:t>
      </w:r>
      <w:r w:rsidRPr="00017CAC">
        <w:rPr>
          <w:lang w:bidi="ar-SA"/>
        </w:rPr>
        <w:t>.</w:t>
      </w:r>
    </w:p>
    <w:p w14:paraId="589CCF36" w14:textId="1E112049" w:rsidR="00640498" w:rsidRDefault="009A6044" w:rsidP="008F4E79">
      <w:r w:rsidRPr="00DD2E08">
        <w:lastRenderedPageBreak/>
        <w:t>Lau</w:t>
      </w:r>
      <w:r w:rsidR="008F4E79" w:rsidRPr="00DD2E08">
        <w:t xml:space="preserve">cirica </w:t>
      </w:r>
      <w:r w:rsidR="008F4E79" w:rsidRPr="005469AA">
        <w:t>et al. (2017)</w:t>
      </w:r>
      <w:r w:rsidR="008F4E79">
        <w:t xml:space="preserve"> showed that </w:t>
      </w:r>
      <w:r w:rsidR="00F25E51">
        <w:t>2′-</w:t>
      </w:r>
      <w:r w:rsidR="008F4E79">
        <w:t xml:space="preserve">FL at 2.5 </w:t>
      </w:r>
      <w:r w:rsidR="00B330B8">
        <w:t>and</w:t>
      </w:r>
      <w:r w:rsidR="008F4E79">
        <w:t xml:space="preserve"> 5 mg/ml inhibited binding</w:t>
      </w:r>
      <w:r w:rsidR="008F4E79" w:rsidRPr="00CE2C1E">
        <w:t xml:space="preserve"> of two clinical strains of rotavirus </w:t>
      </w:r>
      <w:r w:rsidR="008F4E79">
        <w:t xml:space="preserve">to </w:t>
      </w:r>
      <w:r w:rsidR="003B4C17">
        <w:t>African g</w:t>
      </w:r>
      <w:r w:rsidR="005469AA" w:rsidRPr="00CE2C1E">
        <w:t xml:space="preserve">reen </w:t>
      </w:r>
      <w:r w:rsidR="005469AA">
        <w:t xml:space="preserve">monkey kidney epithelial </w:t>
      </w:r>
      <w:r w:rsidR="007D29B2">
        <w:t>cells</w:t>
      </w:r>
      <w:r w:rsidR="008F4E79">
        <w:t xml:space="preserve"> by</w:t>
      </w:r>
      <w:r w:rsidR="008F4E79" w:rsidRPr="00CE2C1E">
        <w:t xml:space="preserve"> 15% to 62%</w:t>
      </w:r>
      <w:r w:rsidR="00DC4BE8">
        <w:t>,</w:t>
      </w:r>
      <w:r w:rsidR="008F4E79" w:rsidRPr="00CE2C1E">
        <w:t xml:space="preserve"> depending on incubation conditions. When </w:t>
      </w:r>
      <w:r w:rsidR="00F25E51">
        <w:t>2′-</w:t>
      </w:r>
      <w:r w:rsidR="008F4E79" w:rsidRPr="00CE2C1E">
        <w:t>FL was added at 5 mg/ml after virus absorption onto cell</w:t>
      </w:r>
      <w:r w:rsidR="005469AA">
        <w:t>s</w:t>
      </w:r>
      <w:r w:rsidR="008F4E79" w:rsidRPr="00CE2C1E">
        <w:t>, inf</w:t>
      </w:r>
      <w:r w:rsidR="003D4D90">
        <w:t>ectivity was inhibited by 62% for one strain and 45% for</w:t>
      </w:r>
      <w:r w:rsidR="008F4E79" w:rsidRPr="00CE2C1E">
        <w:t xml:space="preserve"> the other.</w:t>
      </w:r>
    </w:p>
    <w:p w14:paraId="4D218A02" w14:textId="13B1EC5F" w:rsidR="00EB7E82" w:rsidRDefault="008F4E79" w:rsidP="003D4D90">
      <w:r w:rsidRPr="00144076">
        <w:t xml:space="preserve">Weichert et al. (2016) investigated the ability of </w:t>
      </w:r>
      <w:r w:rsidR="00F25E51">
        <w:t>2′-</w:t>
      </w:r>
      <w:r w:rsidRPr="00144076">
        <w:t>FL</w:t>
      </w:r>
      <w:r w:rsidR="00DB6698" w:rsidRPr="00DB6698">
        <w:rPr>
          <w:vertAlign w:val="subscript"/>
        </w:rPr>
        <w:t>micro</w:t>
      </w:r>
      <w:r w:rsidRPr="00144076">
        <w:t xml:space="preserve"> to inh</w:t>
      </w:r>
      <w:r w:rsidR="003868A5">
        <w:t>ibit norovirus binding to histo</w:t>
      </w:r>
      <w:r w:rsidR="003868A5">
        <w:noBreakHyphen/>
      </w:r>
      <w:r w:rsidRPr="00144076">
        <w:t>blood group antigens (HBGA)</w:t>
      </w:r>
      <w:r w:rsidR="00D62D6F">
        <w:t>—an interaction</w:t>
      </w:r>
      <w:r w:rsidR="003D4D90">
        <w:t xml:space="preserve"> thought to</w:t>
      </w:r>
      <w:r w:rsidR="00D62D6F">
        <w:t xml:space="preserve"> </w:t>
      </w:r>
      <w:r w:rsidR="003D4D90">
        <w:t>be important for infection</w:t>
      </w:r>
      <w:r w:rsidRPr="00144076">
        <w:t xml:space="preserve">. </w:t>
      </w:r>
      <w:r w:rsidR="003868A5">
        <w:t>2′</w:t>
      </w:r>
      <w:r w:rsidR="003868A5">
        <w:noBreakHyphen/>
      </w:r>
      <w:r w:rsidRPr="00144076">
        <w:t xml:space="preserve">FL inhibited </w:t>
      </w:r>
      <w:r w:rsidR="000A4405" w:rsidRPr="00144076">
        <w:t xml:space="preserve">the binding of </w:t>
      </w:r>
      <w:r w:rsidR="003D4D90">
        <w:t xml:space="preserve">norovirus virus-like particles </w:t>
      </w:r>
      <w:r w:rsidRPr="00144076">
        <w:t xml:space="preserve">to </w:t>
      </w:r>
      <w:r w:rsidR="00D62D6F">
        <w:t>HBGA in a dose dependent manner, with a</w:t>
      </w:r>
      <w:r w:rsidRPr="00144076">
        <w:t xml:space="preserve"> half-m</w:t>
      </w:r>
      <w:r w:rsidR="00D62D6F">
        <w:t>aximal inhibitory concentration</w:t>
      </w:r>
      <w:r w:rsidR="00144076" w:rsidRPr="00144076">
        <w:t xml:space="preserve"> from</w:t>
      </w:r>
      <w:r w:rsidRPr="00144076">
        <w:t xml:space="preserve"> 5.5 </w:t>
      </w:r>
      <w:r w:rsidR="00144076" w:rsidRPr="00144076">
        <w:t xml:space="preserve">to </w:t>
      </w:r>
      <w:r w:rsidRPr="00144076">
        <w:t>26.9 mM</w:t>
      </w:r>
      <w:r w:rsidR="003D4D90">
        <w:t>,</w:t>
      </w:r>
      <w:r w:rsidRPr="00144076">
        <w:t xml:space="preserve"> </w:t>
      </w:r>
      <w:r w:rsidR="00144076" w:rsidRPr="00144076">
        <w:t>depending on the source of HBGA</w:t>
      </w:r>
      <w:r w:rsidRPr="00144076">
        <w:t xml:space="preserve"> used. </w:t>
      </w:r>
      <w:r w:rsidR="0069111A">
        <w:t xml:space="preserve">Similar results were observed for 3-fucosyllactose and fucose. </w:t>
      </w:r>
      <w:r w:rsidR="00D62D6F">
        <w:t>B</w:t>
      </w:r>
      <w:r w:rsidR="00144076" w:rsidRPr="00144076">
        <w:t xml:space="preserve">inding </w:t>
      </w:r>
      <w:r w:rsidR="00D62D6F">
        <w:t xml:space="preserve">of </w:t>
      </w:r>
      <w:r w:rsidR="00FD1A13">
        <w:t>2′-FL</w:t>
      </w:r>
      <w:r w:rsidR="00D62D6F">
        <w:t xml:space="preserve"> </w:t>
      </w:r>
      <w:r w:rsidR="0069111A">
        <w:t xml:space="preserve">(and 3-FL) </w:t>
      </w:r>
      <w:r w:rsidR="00D62D6F">
        <w:t xml:space="preserve">at the HBGA-binding site </w:t>
      </w:r>
      <w:r w:rsidR="00D62D6F" w:rsidRPr="003D4D90">
        <w:rPr>
          <w:rFonts w:cs="Arial"/>
          <w:szCs w:val="22"/>
        </w:rPr>
        <w:t xml:space="preserve">on the norovirus </w:t>
      </w:r>
      <w:r w:rsidR="00D62D6F">
        <w:rPr>
          <w:rFonts w:cs="Arial"/>
          <w:szCs w:val="22"/>
        </w:rPr>
        <w:t xml:space="preserve">was demonstrated by </w:t>
      </w:r>
      <w:r w:rsidR="00D62D6F">
        <w:t>X-ray crystallography.</w:t>
      </w:r>
    </w:p>
    <w:p w14:paraId="0B6EC1CA" w14:textId="0BF3F8D7" w:rsidR="008F4E79" w:rsidRDefault="0069111A" w:rsidP="008F4E79">
      <w:r>
        <w:t>These studies</w:t>
      </w:r>
      <w:r w:rsidR="008F4E79">
        <w:t xml:space="preserve"> </w:t>
      </w:r>
      <w:r>
        <w:t>demonstrate</w:t>
      </w:r>
      <w:r w:rsidR="008F4E79">
        <w:t xml:space="preserve"> binding inhibition </w:t>
      </w:r>
      <w:r>
        <w:rPr>
          <w:i/>
        </w:rPr>
        <w:t>in vitro</w:t>
      </w:r>
      <w:r>
        <w:t>. However,</w:t>
      </w:r>
      <w:r w:rsidR="008F4E79">
        <w:t xml:space="preserve"> binding and inhibition of </w:t>
      </w:r>
      <w:r w:rsidR="00B330B8">
        <w:t xml:space="preserve">bacterial, </w:t>
      </w:r>
      <w:r w:rsidR="008F4E79" w:rsidRPr="0069111A">
        <w:t xml:space="preserve">rotavirus or norovirus infection in the infant gut has not been </w:t>
      </w:r>
      <w:r w:rsidRPr="0069111A">
        <w:t xml:space="preserve">demonstrated. Epidemiological evidence links </w:t>
      </w:r>
      <w:r w:rsidR="00FD1A13">
        <w:t>2′-FL</w:t>
      </w:r>
      <w:r w:rsidRPr="0069111A">
        <w:t xml:space="preserve"> to a reduction in diarrhoea as a result of </w:t>
      </w:r>
      <w:r w:rsidRPr="0069111A">
        <w:rPr>
          <w:i/>
        </w:rPr>
        <w:t>Campylobacter</w:t>
      </w:r>
      <w:r w:rsidRPr="0069111A">
        <w:t xml:space="preserve"> in</w:t>
      </w:r>
      <w:r>
        <w:t>f</w:t>
      </w:r>
      <w:r w:rsidRPr="0069111A">
        <w:t>ection in infants</w:t>
      </w:r>
      <w:r>
        <w:t xml:space="preserve"> and young children</w:t>
      </w:r>
      <w:r w:rsidRPr="0069111A">
        <w:t>, but not to protection against cali</w:t>
      </w:r>
      <w:r w:rsidR="00242E82">
        <w:t>civirus diarrhoea (Morrow et al.</w:t>
      </w:r>
      <w:r w:rsidRPr="0069111A">
        <w:t xml:space="preserve"> 2004)</w:t>
      </w:r>
      <w:r>
        <w:t>.</w:t>
      </w:r>
    </w:p>
    <w:p w14:paraId="61DC2BFE" w14:textId="2E59958D" w:rsidR="008F4E79" w:rsidRPr="007D52FC" w:rsidRDefault="008F4E79" w:rsidP="00567589">
      <w:pPr>
        <w:keepNext/>
        <w:rPr>
          <w:b/>
          <w:bCs/>
          <w:i/>
          <w:iCs/>
          <w:lang w:val="en-AU"/>
        </w:rPr>
      </w:pPr>
      <w:r w:rsidRPr="00DD2E08">
        <w:rPr>
          <w:b/>
          <w:bCs/>
          <w:i/>
          <w:iCs/>
          <w:lang w:val="en-AU"/>
        </w:rPr>
        <w:t xml:space="preserve">Bifodogenic </w:t>
      </w:r>
      <w:r w:rsidRPr="007D52FC">
        <w:rPr>
          <w:b/>
          <w:bCs/>
          <w:i/>
          <w:iCs/>
          <w:lang w:val="en-AU"/>
        </w:rPr>
        <w:t>effect</w:t>
      </w:r>
    </w:p>
    <w:p w14:paraId="144DDAD5" w14:textId="3A00142B" w:rsidR="00197F36" w:rsidRPr="001E74E1" w:rsidRDefault="00197F36" w:rsidP="00567589">
      <w:pPr>
        <w:pStyle w:val="FSTableText"/>
        <w:keepNext/>
        <w:rPr>
          <w:i/>
          <w:iCs/>
          <w:sz w:val="22"/>
          <w:szCs w:val="22"/>
          <w:lang w:eastAsia="en-AU"/>
        </w:rPr>
      </w:pPr>
      <w:r>
        <w:rPr>
          <w:i/>
          <w:iCs/>
          <w:sz w:val="22"/>
          <w:szCs w:val="22"/>
        </w:rPr>
        <w:t>Human observational study</w:t>
      </w:r>
    </w:p>
    <w:p w14:paraId="6F3C1DD0" w14:textId="2AAA8E51" w:rsidR="00F22B6E" w:rsidRPr="00F22B6E" w:rsidRDefault="0032737D" w:rsidP="00F22B6E">
      <w:r>
        <w:t>The applicant provided evidence from one human observation study (</w:t>
      </w:r>
      <w:r w:rsidR="00197F36" w:rsidRPr="00800FB6">
        <w:t>Borewicz et al</w:t>
      </w:r>
      <w:r w:rsidR="00242E82">
        <w:t>.</w:t>
      </w:r>
      <w:r>
        <w:t xml:space="preserve"> </w:t>
      </w:r>
      <w:r w:rsidR="00197F36" w:rsidRPr="00800FB6">
        <w:t>2019)</w:t>
      </w:r>
      <w:r>
        <w:t>, which</w:t>
      </w:r>
      <w:r w:rsidR="00197F36" w:rsidRPr="00800FB6">
        <w:t xml:space="preserve"> </w:t>
      </w:r>
      <w:r>
        <w:t xml:space="preserve">was included in the A1155 Review (see Section 2 of </w:t>
      </w:r>
      <w:hyperlink r:id="rId35" w:history="1">
        <w:r w:rsidR="006576CA" w:rsidRPr="006A00B9">
          <w:rPr>
            <w:rStyle w:val="Hyperlink"/>
          </w:rPr>
          <w:t>A1155 Review Supporting Document 2</w:t>
        </w:r>
      </w:hyperlink>
      <w:r w:rsidR="006576CA">
        <w:rPr>
          <w:vertAlign w:val="superscript"/>
        </w:rPr>
        <w:t>15</w:t>
      </w:r>
      <w:r>
        <w:t xml:space="preserve">). </w:t>
      </w:r>
      <w:r w:rsidR="00F22B6E">
        <w:t>R</w:t>
      </w:r>
      <w:r w:rsidR="00B60262">
        <w:t xml:space="preserve">esults indicated </w:t>
      </w:r>
      <w:r w:rsidR="00F22B6E">
        <w:t xml:space="preserve">that the breakdown of </w:t>
      </w:r>
      <w:r w:rsidR="00FD1A13">
        <w:t>2′-FL</w:t>
      </w:r>
      <w:r w:rsidR="00D90FEA" w:rsidRPr="00D90FEA">
        <w:rPr>
          <w:vertAlign w:val="subscript"/>
        </w:rPr>
        <w:t>human</w:t>
      </w:r>
      <w:r w:rsidR="00F22B6E">
        <w:t xml:space="preserve"> and </w:t>
      </w:r>
      <w:r w:rsidR="00F22B6E" w:rsidRPr="00F22B6E">
        <w:t xml:space="preserve">other </w:t>
      </w:r>
      <w:r w:rsidR="00136D15">
        <w:t>oligosaccharides found in human milk,</w:t>
      </w:r>
      <w:r w:rsidR="00F22B6E" w:rsidRPr="00F22B6E">
        <w:t xml:space="preserve"> in transit through the</w:t>
      </w:r>
      <w:r w:rsidR="00F22B6E">
        <w:t xml:space="preserve"> infant</w:t>
      </w:r>
      <w:r w:rsidR="00F22B6E" w:rsidRPr="00F22B6E">
        <w:t xml:space="preserve"> </w:t>
      </w:r>
      <w:r w:rsidR="00B72FC6">
        <w:t>gastrointestinal tract</w:t>
      </w:r>
      <w:r w:rsidR="00136D15">
        <w:t>,</w:t>
      </w:r>
      <w:r w:rsidR="00F22B6E">
        <w:t xml:space="preserve"> </w:t>
      </w:r>
      <w:r w:rsidR="00197F36" w:rsidRPr="00800FB6">
        <w:t>was strongly associated with microbial composition, particularly with</w:t>
      </w:r>
      <w:r w:rsidR="00F22B6E">
        <w:t xml:space="preserve"> levels of</w:t>
      </w:r>
      <w:r w:rsidR="00197F36" w:rsidRPr="00800FB6">
        <w:t xml:space="preserve"> </w:t>
      </w:r>
      <w:r w:rsidR="00197F36" w:rsidRPr="00800FB6">
        <w:rPr>
          <w:i/>
        </w:rPr>
        <w:t>Bifidobacterium</w:t>
      </w:r>
      <w:r w:rsidR="00197F36" w:rsidRPr="00800FB6">
        <w:t xml:space="preserve">, </w:t>
      </w:r>
      <w:r w:rsidR="00197F36" w:rsidRPr="00800FB6">
        <w:rPr>
          <w:i/>
        </w:rPr>
        <w:t>Bacteroides</w:t>
      </w:r>
      <w:r w:rsidR="00197F36" w:rsidRPr="00800FB6">
        <w:t xml:space="preserve"> and </w:t>
      </w:r>
      <w:r w:rsidR="00197F36" w:rsidRPr="00800FB6">
        <w:rPr>
          <w:i/>
        </w:rPr>
        <w:t>Lactobacillus</w:t>
      </w:r>
      <w:r w:rsidR="00197F36" w:rsidRPr="00800FB6">
        <w:t>.</w:t>
      </w:r>
    </w:p>
    <w:p w14:paraId="02A6A6AD" w14:textId="316C941E" w:rsidR="008F4E79" w:rsidRPr="00567589" w:rsidRDefault="008F4E79" w:rsidP="008F4E79">
      <w:pPr>
        <w:autoSpaceDE w:val="0"/>
        <w:autoSpaceDN w:val="0"/>
        <w:rPr>
          <w:i/>
          <w:iCs/>
          <w:szCs w:val="22"/>
          <w:lang w:bidi="ar-SA"/>
        </w:rPr>
      </w:pPr>
      <w:r w:rsidRPr="00567589">
        <w:rPr>
          <w:i/>
        </w:rPr>
        <w:t>In vitro</w:t>
      </w:r>
      <w:r w:rsidRPr="00567589">
        <w:rPr>
          <w:i/>
          <w:iCs/>
        </w:rPr>
        <w:t xml:space="preserve"> </w:t>
      </w:r>
      <w:r w:rsidR="00050226" w:rsidRPr="00567589">
        <w:rPr>
          <w:i/>
          <w:iCs/>
        </w:rPr>
        <w:t>studies</w:t>
      </w:r>
    </w:p>
    <w:p w14:paraId="14EEBC8B" w14:textId="3AD391C1" w:rsidR="0027355E" w:rsidRDefault="00050226" w:rsidP="0027355E">
      <w:r>
        <w:t>T</w:t>
      </w:r>
      <w:r w:rsidR="00D13AF1">
        <w:t>wo</w:t>
      </w:r>
      <w:r>
        <w:t xml:space="preserve"> studies examining bacterial growth and utilisation of </w:t>
      </w:r>
      <w:r w:rsidR="00F25E51">
        <w:t>2′-</w:t>
      </w:r>
      <w:r>
        <w:t xml:space="preserve">FL were provided by the applicant. </w:t>
      </w:r>
      <w:r w:rsidRPr="00050226">
        <w:t>The study by Marcobal et al</w:t>
      </w:r>
      <w:r w:rsidR="00242E82">
        <w:t>.</w:t>
      </w:r>
      <w:r w:rsidRPr="00050226">
        <w:t xml:space="preserve"> (2010) was excluded because the </w:t>
      </w:r>
      <w:r w:rsidR="00136D15">
        <w:t>oligosaccharide was a mixture</w:t>
      </w:r>
      <w:r w:rsidRPr="00050226">
        <w:t>.</w:t>
      </w:r>
      <w:r>
        <w:t xml:space="preserve"> </w:t>
      </w:r>
      <w:r w:rsidR="008F4E79" w:rsidRPr="00050226">
        <w:t>Thongaram et al</w:t>
      </w:r>
      <w:r>
        <w:t>.</w:t>
      </w:r>
      <w:r w:rsidR="008F4E79" w:rsidRPr="00050226">
        <w:t xml:space="preserve"> (2017) </w:t>
      </w:r>
      <w:r>
        <w:t>examine</w:t>
      </w:r>
      <w:r w:rsidR="00197F36">
        <w:t>d</w:t>
      </w:r>
      <w:r>
        <w:t xml:space="preserve"> the ability of</w:t>
      </w:r>
      <w:r w:rsidR="008F4E79" w:rsidRPr="00050226">
        <w:t xml:space="preserve"> 12 </w:t>
      </w:r>
      <w:r w:rsidR="008F4E79" w:rsidRPr="00050226">
        <w:rPr>
          <w:i/>
          <w:iCs/>
        </w:rPr>
        <w:t>Lactobacillus</w:t>
      </w:r>
      <w:r w:rsidR="008F4E79" w:rsidRPr="00050226">
        <w:t xml:space="preserve"> and 12 </w:t>
      </w:r>
      <w:r w:rsidR="008F4E79" w:rsidRPr="00050226">
        <w:rPr>
          <w:i/>
          <w:iCs/>
        </w:rPr>
        <w:t>Bifidobacterium</w:t>
      </w:r>
      <w:r w:rsidR="008F4E79" w:rsidRPr="00050226">
        <w:t xml:space="preserve"> strains (</w:t>
      </w:r>
      <w:r w:rsidR="008F4E79" w:rsidRPr="00050226">
        <w:rPr>
          <w:i/>
          <w:iCs/>
        </w:rPr>
        <w:t>B</w:t>
      </w:r>
      <w:r w:rsidR="008F4E79" w:rsidRPr="00050226">
        <w:t xml:space="preserve">. </w:t>
      </w:r>
      <w:r w:rsidR="008F4E79" w:rsidRPr="00050226">
        <w:rPr>
          <w:i/>
          <w:iCs/>
        </w:rPr>
        <w:t>adolescentis</w:t>
      </w:r>
      <w:r w:rsidR="008F4E79" w:rsidRPr="00050226">
        <w:t xml:space="preserve">, </w:t>
      </w:r>
      <w:r w:rsidR="0027355E" w:rsidRPr="0027355E">
        <w:rPr>
          <w:i/>
        </w:rPr>
        <w:t>B. animalis</w:t>
      </w:r>
      <w:r w:rsidR="0027355E" w:rsidRPr="0027355E">
        <w:t xml:space="preserve"> ssp. </w:t>
      </w:r>
      <w:r w:rsidR="0027355E" w:rsidRPr="0027355E">
        <w:rPr>
          <w:i/>
        </w:rPr>
        <w:t>animalis</w:t>
      </w:r>
      <w:r w:rsidR="0027355E">
        <w:t>,</w:t>
      </w:r>
      <w:r w:rsidR="0027355E" w:rsidRPr="0027355E">
        <w:t xml:space="preserve"> </w:t>
      </w:r>
      <w:r w:rsidR="008F4E79" w:rsidRPr="00050226">
        <w:rPr>
          <w:i/>
          <w:iCs/>
        </w:rPr>
        <w:t>B</w:t>
      </w:r>
      <w:r w:rsidR="008F4E79" w:rsidRPr="00050226">
        <w:t xml:space="preserve">. </w:t>
      </w:r>
      <w:r w:rsidR="008F4E79" w:rsidRPr="00050226">
        <w:rPr>
          <w:i/>
          <w:iCs/>
        </w:rPr>
        <w:t>animalis</w:t>
      </w:r>
      <w:r w:rsidR="008F4E79" w:rsidRPr="00050226">
        <w:t xml:space="preserve"> ssp. </w:t>
      </w:r>
      <w:r w:rsidR="008F4E79" w:rsidRPr="00050226">
        <w:rPr>
          <w:i/>
          <w:iCs/>
        </w:rPr>
        <w:t>lactis</w:t>
      </w:r>
      <w:r w:rsidR="008F4E79" w:rsidRPr="00050226">
        <w:t xml:space="preserve">, </w:t>
      </w:r>
      <w:r w:rsidR="008F4E79" w:rsidRPr="00050226">
        <w:rPr>
          <w:i/>
          <w:iCs/>
        </w:rPr>
        <w:t>B</w:t>
      </w:r>
      <w:r w:rsidR="008F4E79" w:rsidRPr="00050226">
        <w:t xml:space="preserve">. </w:t>
      </w:r>
      <w:r w:rsidR="008F4E79" w:rsidRPr="00050226">
        <w:rPr>
          <w:i/>
          <w:iCs/>
        </w:rPr>
        <w:t>bifidum</w:t>
      </w:r>
      <w:r w:rsidR="008F4E79" w:rsidRPr="00050226">
        <w:t xml:space="preserve">, </w:t>
      </w:r>
      <w:r w:rsidR="008F4E79" w:rsidRPr="00050226">
        <w:rPr>
          <w:i/>
          <w:iCs/>
        </w:rPr>
        <w:t>B</w:t>
      </w:r>
      <w:r w:rsidR="008F4E79" w:rsidRPr="00050226">
        <w:t xml:space="preserve">. </w:t>
      </w:r>
      <w:r w:rsidR="008F4E79" w:rsidRPr="00050226">
        <w:rPr>
          <w:i/>
          <w:iCs/>
        </w:rPr>
        <w:t>breve</w:t>
      </w:r>
      <w:r w:rsidR="008F4E79" w:rsidRPr="00050226">
        <w:t xml:space="preserve">, </w:t>
      </w:r>
      <w:r w:rsidR="008F4E79" w:rsidRPr="00050226">
        <w:rPr>
          <w:i/>
          <w:iCs/>
        </w:rPr>
        <w:t>B</w:t>
      </w:r>
      <w:r w:rsidR="008F4E79" w:rsidRPr="00050226">
        <w:t xml:space="preserve">. </w:t>
      </w:r>
      <w:r w:rsidR="008F4E79" w:rsidRPr="00050226">
        <w:rPr>
          <w:i/>
          <w:iCs/>
        </w:rPr>
        <w:t>longum</w:t>
      </w:r>
      <w:r w:rsidR="008F4E79" w:rsidRPr="00050226">
        <w:t xml:space="preserve"> and </w:t>
      </w:r>
      <w:r w:rsidR="008F4E79" w:rsidRPr="00050226">
        <w:rPr>
          <w:i/>
          <w:iCs/>
        </w:rPr>
        <w:t>B</w:t>
      </w:r>
      <w:r w:rsidR="008F4E79" w:rsidRPr="00050226">
        <w:t xml:space="preserve">. </w:t>
      </w:r>
      <w:r w:rsidR="008F4E79" w:rsidRPr="00050226">
        <w:rPr>
          <w:i/>
          <w:iCs/>
        </w:rPr>
        <w:t>longum</w:t>
      </w:r>
      <w:r w:rsidR="008F4E79" w:rsidRPr="00050226">
        <w:t xml:space="preserve"> ssp. </w:t>
      </w:r>
      <w:r w:rsidR="008F4E79" w:rsidRPr="00050226">
        <w:rPr>
          <w:i/>
          <w:iCs/>
        </w:rPr>
        <w:t>infantis</w:t>
      </w:r>
      <w:r w:rsidR="008F4E79" w:rsidRPr="00050226">
        <w:t xml:space="preserve">) to ferment </w:t>
      </w:r>
      <w:r w:rsidR="00136D15">
        <w:t>a variety of oligosaccharides found in human milk</w:t>
      </w:r>
      <w:r w:rsidR="008F4E79" w:rsidRPr="00050226">
        <w:t xml:space="preserve">, including </w:t>
      </w:r>
      <w:r w:rsidR="00F25E51">
        <w:t>2′-</w:t>
      </w:r>
      <w:r w:rsidR="008F4E79" w:rsidRPr="00050226">
        <w:t>FL</w:t>
      </w:r>
      <w:r w:rsidR="00D90FEA" w:rsidRPr="00D90FEA">
        <w:rPr>
          <w:vertAlign w:val="subscript"/>
        </w:rPr>
        <w:t>chem</w:t>
      </w:r>
      <w:r w:rsidR="008F4E79" w:rsidRPr="00050226">
        <w:t xml:space="preserve">, </w:t>
      </w:r>
      <w:r>
        <w:t>on media containing</w:t>
      </w:r>
      <w:r w:rsidR="008F4E79" w:rsidRPr="00050226">
        <w:t xml:space="preserve"> simple sugars. Only the two </w:t>
      </w:r>
      <w:r w:rsidR="008F4E79" w:rsidRPr="00050226">
        <w:rPr>
          <w:i/>
          <w:iCs/>
        </w:rPr>
        <w:t>B</w:t>
      </w:r>
      <w:r w:rsidR="008F4E79" w:rsidRPr="00050226">
        <w:t xml:space="preserve">. </w:t>
      </w:r>
      <w:r w:rsidR="008F4E79" w:rsidRPr="00050226">
        <w:rPr>
          <w:i/>
          <w:iCs/>
        </w:rPr>
        <w:t>longum</w:t>
      </w:r>
      <w:r w:rsidR="008F4E79" w:rsidRPr="00050226">
        <w:t xml:space="preserve"> spp. </w:t>
      </w:r>
      <w:r w:rsidR="008F4E79" w:rsidRPr="00050226">
        <w:rPr>
          <w:i/>
          <w:iCs/>
        </w:rPr>
        <w:t>infantis</w:t>
      </w:r>
      <w:r w:rsidR="008F4E79" w:rsidRPr="00050226">
        <w:t xml:space="preserve"> strains were demonstrated to grow on </w:t>
      </w:r>
      <w:r w:rsidR="00F25E51">
        <w:t>2′-</w:t>
      </w:r>
      <w:r w:rsidR="0027355E">
        <w:t>FL as</w:t>
      </w:r>
      <w:r w:rsidR="00A73314">
        <w:t xml:space="preserve"> the</w:t>
      </w:r>
      <w:r w:rsidR="0027355E">
        <w:t xml:space="preserve"> sole carbon source.</w:t>
      </w:r>
    </w:p>
    <w:p w14:paraId="32F3537F" w14:textId="77777777" w:rsidR="008F4E79" w:rsidRPr="00CC582D" w:rsidRDefault="008F4E79" w:rsidP="008F4E79">
      <w:pPr>
        <w:rPr>
          <w:b/>
          <w:bCs/>
          <w:i/>
          <w:iCs/>
        </w:rPr>
      </w:pPr>
      <w:r w:rsidRPr="00CC582D">
        <w:rPr>
          <w:b/>
          <w:bCs/>
          <w:i/>
          <w:iCs/>
        </w:rPr>
        <w:t>Improved barrier function</w:t>
      </w:r>
    </w:p>
    <w:p w14:paraId="5971924F" w14:textId="77777777" w:rsidR="00242E82" w:rsidRDefault="00242E82" w:rsidP="00242E82">
      <w:pPr>
        <w:rPr>
          <w:lang w:bidi="ar-SA"/>
        </w:rPr>
      </w:pPr>
      <w:r>
        <w:t>No new studies were provided as supporting evidence, nor new studies identified from a literature search (performed April 2021).</w:t>
      </w:r>
    </w:p>
    <w:p w14:paraId="4A48745A" w14:textId="77777777" w:rsidR="008F4E79" w:rsidRDefault="008F4E79" w:rsidP="008F4E79">
      <w:pPr>
        <w:rPr>
          <w:b/>
          <w:bCs/>
          <w:i/>
          <w:iCs/>
          <w:lang w:val="en-AU"/>
        </w:rPr>
      </w:pPr>
      <w:r>
        <w:rPr>
          <w:b/>
          <w:bCs/>
          <w:i/>
          <w:iCs/>
          <w:lang w:val="en-AU"/>
        </w:rPr>
        <w:t>Immune Modulation</w:t>
      </w:r>
    </w:p>
    <w:p w14:paraId="3BBB0BE3" w14:textId="3241C7E0" w:rsidR="008F4E79" w:rsidRPr="00E03B4E" w:rsidRDefault="0075687E" w:rsidP="008F4E79">
      <w:pPr>
        <w:rPr>
          <w:bCs/>
          <w:i/>
          <w:iCs/>
          <w:lang w:val="en-AU"/>
        </w:rPr>
      </w:pPr>
      <w:r>
        <w:rPr>
          <w:bCs/>
          <w:i/>
          <w:iCs/>
          <w:lang w:val="en-AU"/>
        </w:rPr>
        <w:t>Animal</w:t>
      </w:r>
      <w:r w:rsidR="008F4E79" w:rsidRPr="00E03B4E">
        <w:rPr>
          <w:bCs/>
          <w:i/>
          <w:iCs/>
          <w:lang w:val="en-AU"/>
        </w:rPr>
        <w:t xml:space="preserve"> studies</w:t>
      </w:r>
    </w:p>
    <w:p w14:paraId="20C619C1" w14:textId="2E0ED437" w:rsidR="008F4E79" w:rsidRDefault="008F4E79" w:rsidP="008F4E79">
      <w:r>
        <w:t xml:space="preserve">The applicant submitted two studies investigating the impact of </w:t>
      </w:r>
      <w:r w:rsidR="00F25E51">
        <w:t>2′-</w:t>
      </w:r>
      <w:r>
        <w:t xml:space="preserve">FL </w:t>
      </w:r>
      <w:r w:rsidR="00C01F43">
        <w:t xml:space="preserve">supplementation </w:t>
      </w:r>
      <w:r>
        <w:t xml:space="preserve">on vaccine responsiveness in mice. The study by van den Elsen et al. (2019) was excluded because the treatment arm had </w:t>
      </w:r>
      <w:r w:rsidR="00F25E51">
        <w:t>2′-</w:t>
      </w:r>
      <w:r>
        <w:t xml:space="preserve">FL in the presence of FOS and </w:t>
      </w:r>
      <w:r>
        <w:lastRenderedPageBreak/>
        <w:t xml:space="preserve">GOS. </w:t>
      </w:r>
      <w:r w:rsidR="00E83B12">
        <w:t>In t</w:t>
      </w:r>
      <w:r>
        <w:t>he second study (Xiao et al. 2018)</w:t>
      </w:r>
      <w:r w:rsidR="00817535">
        <w:t>,</w:t>
      </w:r>
      <w:r>
        <w:t xml:space="preserve"> </w:t>
      </w:r>
      <w:r w:rsidR="00C01F43">
        <w:t xml:space="preserve">adolescent mice </w:t>
      </w:r>
      <w:r w:rsidR="00E83B12">
        <w:t xml:space="preserve">were placed on a diet intervention, where the feed was supplemented with 0 to 5g </w:t>
      </w:r>
      <w:r w:rsidR="00F25E51">
        <w:t>2′-</w:t>
      </w:r>
      <w:r w:rsidR="00E83B12">
        <w:t>FL</w:t>
      </w:r>
      <w:r w:rsidR="00373619" w:rsidRPr="00373619">
        <w:rPr>
          <w:vertAlign w:val="subscript"/>
        </w:rPr>
        <w:t>micro</w:t>
      </w:r>
      <w:r w:rsidR="00E83B12">
        <w:t>/total carbohydrate. On day 14, mice received a primary vaccination and</w:t>
      </w:r>
      <w:r w:rsidR="00817535">
        <w:t>,</w:t>
      </w:r>
      <w:r w:rsidR="00E83B12">
        <w:t xml:space="preserve"> on day 35</w:t>
      </w:r>
      <w:r w:rsidR="00144076">
        <w:t>,</w:t>
      </w:r>
      <w:r w:rsidR="00E83B12">
        <w:t xml:space="preserve"> a booster vaccination, using an inactivated influenza virus vaccine. Analyses were performed on </w:t>
      </w:r>
      <w:r w:rsidR="005E18DE">
        <w:t>days 44 and 45. Results showed</w:t>
      </w:r>
      <w:r w:rsidR="00C01F43">
        <w:t xml:space="preserve"> that chronic supplementation of</w:t>
      </w:r>
      <w:r w:rsidR="005E18DE">
        <w:t xml:space="preserve"> the vaccinated</w:t>
      </w:r>
      <w:r w:rsidR="00C01F43">
        <w:t xml:space="preserve"> adolescent</w:t>
      </w:r>
      <w:r w:rsidR="00E83B12">
        <w:t xml:space="preserve"> mice </w:t>
      </w:r>
      <w:r w:rsidR="005E18DE">
        <w:t>led to</w:t>
      </w:r>
      <w:r w:rsidR="00C01F43">
        <w:t xml:space="preserve"> </w:t>
      </w:r>
      <w:r>
        <w:t xml:space="preserve">a significant dose-responsive effect on splenic B cell maturation and vaccine-specific serum antibody levels with </w:t>
      </w:r>
      <w:r w:rsidR="00F25E51">
        <w:t>2′-</w:t>
      </w:r>
      <w:r w:rsidR="00817535">
        <w:t>FL from 0.25–</w:t>
      </w:r>
      <w:r>
        <w:t xml:space="preserve">1%. This was associated with an increased level of mature antigen presenting cells (dendritic cells (DC)) in the spleen from animals in the 1% </w:t>
      </w:r>
      <w:r w:rsidR="00FD1A13">
        <w:t>2′-FL</w:t>
      </w:r>
      <w:r>
        <w:t xml:space="preserve"> group. Neither B cell or DC maturation was observed in mesente</w:t>
      </w:r>
      <w:r w:rsidR="00C01F43">
        <w:t>ric lymph node tissue from the supplemented</w:t>
      </w:r>
      <w:r>
        <w:t xml:space="preserve"> animals. The authors suggest these results demonstrate that </w:t>
      </w:r>
      <w:r w:rsidR="00F25E51">
        <w:t>2′-</w:t>
      </w:r>
      <w:r>
        <w:t xml:space="preserve">FL improves vaccine responsiveness. Although this study showed that antibody levels were higher in the treated animals, there was no demonstration that the antibodies were effective at preventing disease. Furthermore, the mice used are an inbred strain, maintained in a clean environment, </w:t>
      </w:r>
      <w:r w:rsidR="004B22A5">
        <w:t xml:space="preserve">and, </w:t>
      </w:r>
      <w:r>
        <w:t>therefore</w:t>
      </w:r>
      <w:r w:rsidR="004B22A5">
        <w:t>,</w:t>
      </w:r>
      <w:r>
        <w:t xml:space="preserve"> do not reflect the genetic diversity of humans nor the full environmental exposure of infants that can influence the development of the immune system (Boyd and Jackson 2015).</w:t>
      </w:r>
    </w:p>
    <w:p w14:paraId="4B33C702" w14:textId="7F5FD2C6" w:rsidR="008F4E79" w:rsidRDefault="008F4E79" w:rsidP="008F4E79">
      <w:r>
        <w:t xml:space="preserve">The applicant also provided a study examining </w:t>
      </w:r>
      <w:r w:rsidR="00F25E51">
        <w:t>2′-</w:t>
      </w:r>
      <w:r>
        <w:t>FL</w:t>
      </w:r>
      <w:r w:rsidR="00373619" w:rsidRPr="00373619">
        <w:rPr>
          <w:vertAlign w:val="subscript"/>
        </w:rPr>
        <w:t>micro</w:t>
      </w:r>
      <w:r>
        <w:t xml:space="preserve"> supplementation on immune modulation in rat pups (</w:t>
      </w:r>
      <w:r w:rsidR="00242E82">
        <w:t>Azagra-Boronat et al.</w:t>
      </w:r>
      <w:r w:rsidRPr="00D82AAD">
        <w:t xml:space="preserve"> 2019b</w:t>
      </w:r>
      <w:r w:rsidR="005E18DE">
        <w:t>). Chronic supplementation of rat pups</w:t>
      </w:r>
      <w:r>
        <w:t xml:space="preserve"> </w:t>
      </w:r>
      <w:r w:rsidR="005E18DE">
        <w:t>led to</w:t>
      </w:r>
      <w:r>
        <w:t xml:space="preserve"> significantly increased plasma levels of IgG compared to </w:t>
      </w:r>
      <w:r w:rsidR="005E18DE">
        <w:t>unsupplemented animals</w:t>
      </w:r>
      <w:r w:rsidR="00817535">
        <w:t>. The increase was 1.16–</w:t>
      </w:r>
      <w:r>
        <w:t>1.55 times at 7 and 15 days, respectively. This was associated wit</w:t>
      </w:r>
      <w:r w:rsidR="00817535">
        <w:t>h a 1.19–</w:t>
      </w:r>
      <w:r>
        <w:t>1.42 times increase in the Th1/Th2 immunoglobin ratio at 7 and 15 days</w:t>
      </w:r>
      <w:r w:rsidR="00817535">
        <w:t>,</w:t>
      </w:r>
      <w:r>
        <w:t xml:space="preserve"> respectively, reflecting a shift to a more cell-based immune response driven by </w:t>
      </w:r>
      <w:r w:rsidR="00F25E51">
        <w:t>2′-</w:t>
      </w:r>
      <w:r>
        <w:t xml:space="preserve">FL. On treatment day 15, </w:t>
      </w:r>
      <w:r w:rsidR="005E18DE">
        <w:t>supplemented animals showed</w:t>
      </w:r>
      <w:r w:rsidR="00817535">
        <w:t xml:space="preserve"> a significant</w:t>
      </w:r>
      <w:r>
        <w:t xml:space="preserve"> reduction in B cells in the mesenteric lymph nodes that changed the ratio of B to T cells from 0.49 to 0.24. Measurement of cytokines from a gut wash showed reduced levels of both pro- and anti-inflammatory cytokines in the </w:t>
      </w:r>
      <w:r w:rsidR="005E18DE">
        <w:t>supplemented</w:t>
      </w:r>
      <w:r>
        <w:t xml:space="preserve"> animals. The authors suggest the</w:t>
      </w:r>
      <w:r w:rsidR="005E18DE">
        <w:t>ir</w:t>
      </w:r>
      <w:r>
        <w:t xml:space="preserve"> results show that </w:t>
      </w:r>
      <w:r w:rsidR="00F25E51">
        <w:t>2′-</w:t>
      </w:r>
      <w:r>
        <w:t>FL promotes a more mature immune response</w:t>
      </w:r>
      <w:r w:rsidR="004B22A5">
        <w:t>. H</w:t>
      </w:r>
      <w:r w:rsidR="005E18DE">
        <w:t>owever</w:t>
      </w:r>
      <w:r w:rsidR="004B22A5">
        <w:t>,</w:t>
      </w:r>
      <w:r w:rsidR="005E18DE">
        <w:t xml:space="preserve"> n</w:t>
      </w:r>
      <w:r>
        <w:t>o evidence was provided demonstrating that the</w:t>
      </w:r>
      <w:r w:rsidR="005E18DE">
        <w:t xml:space="preserve"> observed</w:t>
      </w:r>
      <w:r>
        <w:t xml:space="preserve"> changes actual</w:t>
      </w:r>
      <w:r w:rsidR="004B22A5">
        <w:t>ly resemble</w:t>
      </w:r>
      <w:r>
        <w:t xml:space="preserve"> a more mature immune system. The result also demonstrate</w:t>
      </w:r>
      <w:r w:rsidR="004B22A5">
        <w:t>s</w:t>
      </w:r>
      <w:r>
        <w:t xml:space="preserve"> that</w:t>
      </w:r>
      <w:r w:rsidR="004B22A5">
        <w:t>,</w:t>
      </w:r>
      <w:r>
        <w:t xml:space="preserve"> at the timepoints analysed, the immune system is </w:t>
      </w:r>
      <w:r w:rsidR="005E18DE">
        <w:t xml:space="preserve">actually </w:t>
      </w:r>
      <w:r w:rsidR="004B22A5">
        <w:t>in flux.</w:t>
      </w:r>
    </w:p>
    <w:p w14:paraId="21B512A0" w14:textId="29A97DDA" w:rsidR="008F4E79" w:rsidRPr="00745794" w:rsidRDefault="008F4E79" w:rsidP="008F4E79">
      <w:pPr>
        <w:jc w:val="both"/>
      </w:pPr>
      <w:r>
        <w:t xml:space="preserve">The evidence from both of these rodent studies provide further support that </w:t>
      </w:r>
      <w:r w:rsidR="00F25E51">
        <w:t>2′-</w:t>
      </w:r>
      <w:r>
        <w:t>FL may mediate changes in imm</w:t>
      </w:r>
      <w:r w:rsidR="004B22A5">
        <w:t>une signalling and trafficking. H</w:t>
      </w:r>
      <w:r>
        <w:t>owever, there is</w:t>
      </w:r>
      <w:r w:rsidR="004B22A5">
        <w:t xml:space="preserve"> still no demonstration that 2′</w:t>
      </w:r>
      <w:r w:rsidR="004B22A5">
        <w:noBreakHyphen/>
      </w:r>
      <w:r>
        <w:t>FL is able to pe</w:t>
      </w:r>
      <w:r w:rsidR="004B22A5">
        <w:t xml:space="preserve">rform this function </w:t>
      </w:r>
      <w:r w:rsidR="004607F4">
        <w:t xml:space="preserve">and thus provide a benefit </w:t>
      </w:r>
      <w:r w:rsidR="004B22A5">
        <w:t>in infants.</w:t>
      </w:r>
    </w:p>
    <w:p w14:paraId="7EEA05F9" w14:textId="77777777" w:rsidR="008F4E79" w:rsidRPr="007D52FC" w:rsidRDefault="008F4E79" w:rsidP="008F4E79">
      <w:pPr>
        <w:rPr>
          <w:b/>
          <w:bCs/>
          <w:i/>
          <w:iCs/>
          <w:lang w:val="en-AU"/>
        </w:rPr>
      </w:pPr>
      <w:r w:rsidRPr="007D52FC">
        <w:rPr>
          <w:b/>
          <w:bCs/>
          <w:i/>
          <w:iCs/>
          <w:lang w:val="en-AU"/>
        </w:rPr>
        <w:t>Alleviation of allergic responses</w:t>
      </w:r>
    </w:p>
    <w:p w14:paraId="19ED2B75" w14:textId="48B512FE" w:rsidR="008F4E79" w:rsidRDefault="008F4E79" w:rsidP="008F4E79">
      <w:pPr>
        <w:rPr>
          <w:lang w:bidi="ar-SA"/>
        </w:rPr>
      </w:pPr>
      <w:r>
        <w:t>No new studies were p</w:t>
      </w:r>
      <w:r w:rsidR="00817535">
        <w:t>rovided as supporting evidence</w:t>
      </w:r>
      <w:r w:rsidR="002D7B71">
        <w:t>, nor new studies identified from a literature search</w:t>
      </w:r>
      <w:r w:rsidR="00242E82">
        <w:t xml:space="preserve"> (performed April 2021)</w:t>
      </w:r>
      <w:r w:rsidR="00817535">
        <w:t>.</w:t>
      </w:r>
    </w:p>
    <w:p w14:paraId="7A5BA70F" w14:textId="77777777" w:rsidR="008F4E79" w:rsidRPr="00E116C2" w:rsidRDefault="008F4E79" w:rsidP="008F4E79">
      <w:pPr>
        <w:rPr>
          <w:b/>
          <w:bCs/>
          <w:i/>
          <w:iCs/>
          <w:lang w:bidi="ar-SA"/>
        </w:rPr>
      </w:pPr>
      <w:r w:rsidRPr="00E116C2">
        <w:rPr>
          <w:b/>
          <w:bCs/>
          <w:i/>
          <w:iCs/>
          <w:lang w:bidi="ar-SA"/>
        </w:rPr>
        <w:t>Learning and Memory</w:t>
      </w:r>
    </w:p>
    <w:p w14:paraId="4BC04003" w14:textId="11FA4493" w:rsidR="0075687E" w:rsidRPr="0075687E" w:rsidRDefault="0075687E" w:rsidP="008F4E79">
      <w:pPr>
        <w:rPr>
          <w:i/>
          <w:lang w:bidi="ar-SA"/>
        </w:rPr>
      </w:pPr>
      <w:r w:rsidRPr="0075687E">
        <w:rPr>
          <w:i/>
          <w:lang w:bidi="ar-SA"/>
        </w:rPr>
        <w:t>Animal studies</w:t>
      </w:r>
    </w:p>
    <w:p w14:paraId="698BE7CD" w14:textId="0026E384" w:rsidR="00A563AF" w:rsidRDefault="00032D09" w:rsidP="00032D09">
      <w:pPr>
        <w:autoSpaceDE w:val="0"/>
        <w:autoSpaceDN w:val="0"/>
        <w:adjustRightInd w:val="0"/>
        <w:rPr>
          <w:rFonts w:cs="Arial"/>
          <w:szCs w:val="18"/>
        </w:rPr>
      </w:pPr>
      <w:r>
        <w:rPr>
          <w:lang w:bidi="ar-SA"/>
        </w:rPr>
        <w:t xml:space="preserve">Three studies examining </w:t>
      </w:r>
      <w:r w:rsidR="00F25E51">
        <w:rPr>
          <w:lang w:bidi="ar-SA"/>
        </w:rPr>
        <w:t>2′-</w:t>
      </w:r>
      <w:r>
        <w:rPr>
          <w:lang w:bidi="ar-SA"/>
        </w:rPr>
        <w:t>FL supplementation on the learning and memory of rodents</w:t>
      </w:r>
      <w:r w:rsidRPr="00032D09">
        <w:rPr>
          <w:rFonts w:cs="Arial"/>
          <w:szCs w:val="18"/>
        </w:rPr>
        <w:t xml:space="preserve"> (</w:t>
      </w:r>
      <w:r w:rsidRPr="00CA6EA4">
        <w:rPr>
          <w:rFonts w:cs="Arial"/>
          <w:szCs w:val="18"/>
        </w:rPr>
        <w:t xml:space="preserve">Vazquez </w:t>
      </w:r>
      <w:r w:rsidRPr="00CA6EA4">
        <w:rPr>
          <w:rFonts w:cs="Arial"/>
          <w:iCs/>
          <w:szCs w:val="18"/>
        </w:rPr>
        <w:t>et al</w:t>
      </w:r>
      <w:r w:rsidRPr="00CA6EA4">
        <w:rPr>
          <w:rFonts w:cs="Arial"/>
          <w:szCs w:val="18"/>
        </w:rPr>
        <w:t>.</w:t>
      </w:r>
      <w:r w:rsidRPr="00032D09">
        <w:rPr>
          <w:rFonts w:cs="Arial"/>
          <w:szCs w:val="18"/>
        </w:rPr>
        <w:t xml:space="preserve"> 2015; Vazquez </w:t>
      </w:r>
      <w:r w:rsidRPr="00CA6EA4">
        <w:rPr>
          <w:rFonts w:cs="Arial"/>
          <w:iCs/>
          <w:szCs w:val="18"/>
        </w:rPr>
        <w:t>et al</w:t>
      </w:r>
      <w:r w:rsidRPr="00CA6EA4">
        <w:rPr>
          <w:rFonts w:cs="Arial"/>
          <w:szCs w:val="18"/>
        </w:rPr>
        <w:t>.</w:t>
      </w:r>
      <w:r w:rsidRPr="00032D09">
        <w:rPr>
          <w:rFonts w:cs="Arial"/>
          <w:szCs w:val="18"/>
        </w:rPr>
        <w:t xml:space="preserve"> 2016; </w:t>
      </w:r>
      <w:r w:rsidRPr="00CF1CDA">
        <w:rPr>
          <w:rFonts w:cs="Arial"/>
          <w:szCs w:val="18"/>
        </w:rPr>
        <w:t xml:space="preserve">Oliveros </w:t>
      </w:r>
      <w:r w:rsidRPr="00CA6EA4">
        <w:rPr>
          <w:rFonts w:cs="Arial"/>
          <w:szCs w:val="18"/>
        </w:rPr>
        <w:t>et al</w:t>
      </w:r>
      <w:r w:rsidRPr="00CF1CDA">
        <w:rPr>
          <w:rFonts w:cs="Arial"/>
          <w:szCs w:val="18"/>
        </w:rPr>
        <w:t>. 2016</w:t>
      </w:r>
      <w:r w:rsidRPr="00032D09">
        <w:rPr>
          <w:rFonts w:cs="Arial"/>
          <w:szCs w:val="18"/>
        </w:rPr>
        <w:t>)</w:t>
      </w:r>
      <w:r>
        <w:rPr>
          <w:rFonts w:cs="Arial"/>
          <w:szCs w:val="18"/>
        </w:rPr>
        <w:t xml:space="preserve">. </w:t>
      </w:r>
      <w:r w:rsidR="00A563AF">
        <w:rPr>
          <w:rFonts w:cs="Arial"/>
          <w:szCs w:val="18"/>
        </w:rPr>
        <w:t>In the first study</w:t>
      </w:r>
      <w:r w:rsidR="00430D48">
        <w:rPr>
          <w:rFonts w:cs="Arial"/>
          <w:szCs w:val="18"/>
        </w:rPr>
        <w:t xml:space="preserve"> </w:t>
      </w:r>
      <w:r w:rsidR="00430D48" w:rsidRPr="00032D09">
        <w:rPr>
          <w:rFonts w:cs="Arial"/>
          <w:szCs w:val="18"/>
        </w:rPr>
        <w:t xml:space="preserve">(Vazquez </w:t>
      </w:r>
      <w:r w:rsidR="00430D48" w:rsidRPr="00CA6EA4">
        <w:rPr>
          <w:rFonts w:cs="Arial"/>
          <w:iCs/>
          <w:szCs w:val="18"/>
        </w:rPr>
        <w:t>et al</w:t>
      </w:r>
      <w:r w:rsidR="00430D48" w:rsidRPr="00032D09">
        <w:rPr>
          <w:rFonts w:cs="Arial"/>
          <w:szCs w:val="18"/>
        </w:rPr>
        <w:t>. 2015</w:t>
      </w:r>
      <w:r w:rsidR="00430D48">
        <w:rPr>
          <w:rFonts w:cs="Arial"/>
          <w:szCs w:val="18"/>
        </w:rPr>
        <w:t>)</w:t>
      </w:r>
      <w:r w:rsidR="00A563AF">
        <w:rPr>
          <w:rFonts w:cs="Arial"/>
          <w:szCs w:val="18"/>
        </w:rPr>
        <w:t xml:space="preserve">, </w:t>
      </w:r>
      <w:r w:rsidR="00932447">
        <w:rPr>
          <w:rFonts w:cs="Arial"/>
          <w:szCs w:val="18"/>
        </w:rPr>
        <w:t>long term (12-week</w:t>
      </w:r>
      <w:r w:rsidR="001661F0">
        <w:rPr>
          <w:rFonts w:cs="Arial"/>
          <w:szCs w:val="18"/>
        </w:rPr>
        <w:t>) supplementation of adult mice with</w:t>
      </w:r>
      <w:r w:rsidR="00A563AF">
        <w:rPr>
          <w:rFonts w:cs="Arial"/>
          <w:szCs w:val="18"/>
        </w:rPr>
        <w:t xml:space="preserve"> </w:t>
      </w:r>
      <w:r w:rsidR="00F25E51">
        <w:rPr>
          <w:rFonts w:cs="Arial"/>
          <w:szCs w:val="18"/>
        </w:rPr>
        <w:t>2′-</w:t>
      </w:r>
      <w:r w:rsidR="00A563AF">
        <w:rPr>
          <w:rFonts w:cs="Arial"/>
          <w:szCs w:val="18"/>
        </w:rPr>
        <w:t>FL</w:t>
      </w:r>
      <w:r w:rsidR="00373619" w:rsidRPr="00373619">
        <w:rPr>
          <w:rFonts w:cs="Arial"/>
          <w:szCs w:val="18"/>
          <w:vertAlign w:val="subscript"/>
        </w:rPr>
        <w:t>chem</w:t>
      </w:r>
      <w:r w:rsidR="00A563AF">
        <w:rPr>
          <w:rFonts w:cs="Arial"/>
          <w:szCs w:val="18"/>
        </w:rPr>
        <w:t xml:space="preserve"> </w:t>
      </w:r>
      <w:r w:rsidR="001661F0">
        <w:rPr>
          <w:rFonts w:cs="Arial"/>
          <w:szCs w:val="18"/>
        </w:rPr>
        <w:t xml:space="preserve">resulted in </w:t>
      </w:r>
      <w:r w:rsidR="00430D48">
        <w:rPr>
          <w:rFonts w:cs="Arial"/>
          <w:szCs w:val="18"/>
        </w:rPr>
        <w:t>improved</w:t>
      </w:r>
      <w:r w:rsidR="001661F0">
        <w:rPr>
          <w:rFonts w:cs="Arial"/>
          <w:szCs w:val="18"/>
        </w:rPr>
        <w:t xml:space="preserve"> performance in a conditioning task using a S</w:t>
      </w:r>
      <w:r w:rsidR="00915778">
        <w:rPr>
          <w:rFonts w:cs="Arial"/>
          <w:szCs w:val="18"/>
        </w:rPr>
        <w:t>kinner box</w:t>
      </w:r>
      <w:r w:rsidR="00932447">
        <w:rPr>
          <w:rFonts w:cs="Arial"/>
          <w:szCs w:val="18"/>
        </w:rPr>
        <w:t>,</w:t>
      </w:r>
      <w:r w:rsidR="00915778">
        <w:rPr>
          <w:rFonts w:cs="Arial"/>
          <w:szCs w:val="18"/>
        </w:rPr>
        <w:t xml:space="preserve"> and in a learning task in an IntelliCage system</w:t>
      </w:r>
      <w:r w:rsidR="00430D48">
        <w:rPr>
          <w:rFonts w:cs="Arial"/>
          <w:szCs w:val="18"/>
        </w:rPr>
        <w:t>, compared to unsupplemented animals</w:t>
      </w:r>
      <w:r w:rsidR="00915778">
        <w:rPr>
          <w:rFonts w:cs="Arial"/>
          <w:szCs w:val="18"/>
        </w:rPr>
        <w:t>. This was associated with increased long-term potentiation</w:t>
      </w:r>
      <w:r w:rsidR="00436DE3" w:rsidRPr="00436DE3">
        <w:rPr>
          <w:rFonts w:cs="Arial"/>
          <w:szCs w:val="18"/>
        </w:rPr>
        <w:t xml:space="preserve"> </w:t>
      </w:r>
      <w:r w:rsidR="00436DE3">
        <w:rPr>
          <w:rFonts w:cs="Arial"/>
          <w:szCs w:val="18"/>
        </w:rPr>
        <w:t xml:space="preserve">in the </w:t>
      </w:r>
      <w:r w:rsidR="00436DE3">
        <w:rPr>
          <w:rFonts w:cs="Arial"/>
          <w:szCs w:val="18"/>
        </w:rPr>
        <w:lastRenderedPageBreak/>
        <w:t xml:space="preserve">hippocampus and significantly increased expression of protein markers for: synaptic signal transduction (PSD-95); </w:t>
      </w:r>
      <w:r w:rsidR="00436DE3" w:rsidRPr="00436DE3">
        <w:rPr>
          <w:rFonts w:cs="Arial"/>
          <w:szCs w:val="18"/>
        </w:rPr>
        <w:t>rapid excitatory synaptic transmission</w:t>
      </w:r>
      <w:r w:rsidR="00436DE3">
        <w:rPr>
          <w:rFonts w:cs="Arial"/>
          <w:szCs w:val="18"/>
        </w:rPr>
        <w:t xml:space="preserve"> (CaMKII); and synaptic plasticity (BDNF). All three markers were increased in the hippocampus</w:t>
      </w:r>
      <w:r w:rsidR="00932447">
        <w:rPr>
          <w:rFonts w:cs="Arial"/>
          <w:szCs w:val="18"/>
        </w:rPr>
        <w:t>,</w:t>
      </w:r>
      <w:r w:rsidR="00436DE3">
        <w:rPr>
          <w:rFonts w:cs="Arial"/>
          <w:szCs w:val="18"/>
        </w:rPr>
        <w:t xml:space="preserve"> but BDNF was also increased in the striatum.</w:t>
      </w:r>
      <w:r w:rsidR="00C733BB">
        <w:rPr>
          <w:rFonts w:cs="Arial"/>
          <w:szCs w:val="18"/>
        </w:rPr>
        <w:t xml:space="preserve"> The results from this study indicate that supplementation with </w:t>
      </w:r>
      <w:r w:rsidR="00F25E51">
        <w:rPr>
          <w:rFonts w:cs="Arial"/>
          <w:szCs w:val="18"/>
        </w:rPr>
        <w:t>2′-</w:t>
      </w:r>
      <w:r w:rsidR="00C733BB">
        <w:rPr>
          <w:rFonts w:cs="Arial"/>
          <w:szCs w:val="18"/>
        </w:rPr>
        <w:t>FL can have an impact on development of memory and associative learning</w:t>
      </w:r>
      <w:r w:rsidR="00143FE2">
        <w:rPr>
          <w:rFonts w:cs="Arial"/>
          <w:szCs w:val="18"/>
        </w:rPr>
        <w:t xml:space="preserve"> in adult mice</w:t>
      </w:r>
      <w:r w:rsidR="00C733BB">
        <w:rPr>
          <w:rFonts w:cs="Arial"/>
          <w:szCs w:val="18"/>
        </w:rPr>
        <w:t xml:space="preserve">. The authors concede that the mechanism of action has not been elucidated, especially as there is no evidence that ingested </w:t>
      </w:r>
      <w:r w:rsidR="00F25E51">
        <w:rPr>
          <w:rFonts w:cs="Arial"/>
          <w:szCs w:val="18"/>
        </w:rPr>
        <w:t>2′-</w:t>
      </w:r>
      <w:r w:rsidR="00C733BB">
        <w:rPr>
          <w:rFonts w:cs="Arial"/>
          <w:szCs w:val="18"/>
        </w:rPr>
        <w:t xml:space="preserve">FL </w:t>
      </w:r>
      <w:r w:rsidR="00430D48">
        <w:rPr>
          <w:rFonts w:cs="Arial"/>
          <w:szCs w:val="18"/>
        </w:rPr>
        <w:t xml:space="preserve">can </w:t>
      </w:r>
      <w:r w:rsidR="00C733BB">
        <w:rPr>
          <w:rFonts w:cs="Arial"/>
          <w:szCs w:val="18"/>
        </w:rPr>
        <w:t>cross the blood-brain barrier.</w:t>
      </w:r>
    </w:p>
    <w:p w14:paraId="32B312CE" w14:textId="4B27BB06" w:rsidR="00A563AF" w:rsidRDefault="00430D48" w:rsidP="00032D09">
      <w:pPr>
        <w:autoSpaceDE w:val="0"/>
        <w:autoSpaceDN w:val="0"/>
        <w:adjustRightInd w:val="0"/>
        <w:rPr>
          <w:rFonts w:cs="Arial"/>
          <w:szCs w:val="18"/>
        </w:rPr>
      </w:pPr>
      <w:r>
        <w:rPr>
          <w:rFonts w:cs="Arial"/>
          <w:szCs w:val="18"/>
        </w:rPr>
        <w:t xml:space="preserve">In the second study </w:t>
      </w:r>
      <w:r w:rsidRPr="00032D09">
        <w:rPr>
          <w:rFonts w:cs="Arial"/>
          <w:szCs w:val="18"/>
        </w:rPr>
        <w:t xml:space="preserve">(Vazquez </w:t>
      </w:r>
      <w:r w:rsidRPr="00CA6EA4">
        <w:rPr>
          <w:rFonts w:cs="Arial"/>
          <w:iCs/>
          <w:szCs w:val="18"/>
        </w:rPr>
        <w:t>et al</w:t>
      </w:r>
      <w:r w:rsidRPr="00032D09">
        <w:rPr>
          <w:rFonts w:cs="Arial"/>
          <w:szCs w:val="18"/>
        </w:rPr>
        <w:t>. 201</w:t>
      </w:r>
      <w:r w:rsidR="00932447">
        <w:rPr>
          <w:rFonts w:cs="Arial"/>
          <w:szCs w:val="18"/>
        </w:rPr>
        <w:t>6), long term (5-week</w:t>
      </w:r>
      <w:r>
        <w:rPr>
          <w:rFonts w:cs="Arial"/>
          <w:szCs w:val="18"/>
        </w:rPr>
        <w:t xml:space="preserve">) supplementation of adult rats with </w:t>
      </w:r>
      <w:r w:rsidR="00F25E51">
        <w:rPr>
          <w:rFonts w:cs="Arial"/>
          <w:szCs w:val="18"/>
        </w:rPr>
        <w:t>2′-</w:t>
      </w:r>
      <w:r>
        <w:rPr>
          <w:rFonts w:cs="Arial"/>
          <w:szCs w:val="18"/>
        </w:rPr>
        <w:t>FL</w:t>
      </w:r>
      <w:r w:rsidR="00373619" w:rsidRPr="00373619">
        <w:rPr>
          <w:rFonts w:cs="Arial"/>
          <w:szCs w:val="18"/>
          <w:vertAlign w:val="subscript"/>
        </w:rPr>
        <w:t>chem</w:t>
      </w:r>
      <w:r w:rsidR="001A2288">
        <w:rPr>
          <w:rFonts w:cs="Arial"/>
          <w:szCs w:val="18"/>
        </w:rPr>
        <w:t xml:space="preserve"> did not </w:t>
      </w:r>
      <w:r w:rsidR="00143FE2">
        <w:rPr>
          <w:rFonts w:cs="Arial"/>
          <w:szCs w:val="18"/>
        </w:rPr>
        <w:t xml:space="preserve">significantly </w:t>
      </w:r>
      <w:r w:rsidR="001A2288">
        <w:rPr>
          <w:rFonts w:cs="Arial"/>
          <w:szCs w:val="18"/>
        </w:rPr>
        <w:t xml:space="preserve">improve performance in a conditioning task using </w:t>
      </w:r>
      <w:r w:rsidR="00B95230">
        <w:rPr>
          <w:rFonts w:cs="Arial"/>
          <w:szCs w:val="18"/>
        </w:rPr>
        <w:t>the</w:t>
      </w:r>
      <w:r w:rsidR="001A2288">
        <w:rPr>
          <w:rFonts w:cs="Arial"/>
          <w:szCs w:val="18"/>
        </w:rPr>
        <w:t xml:space="preserve"> Skinner box, when compared to either unsupplemented animals or supplemented animals that had been vagotomised. Supplemented rats did</w:t>
      </w:r>
      <w:r w:rsidR="00932447">
        <w:rPr>
          <w:rFonts w:cs="Arial"/>
          <w:szCs w:val="18"/>
        </w:rPr>
        <w:t>,</w:t>
      </w:r>
      <w:r w:rsidR="001A2288">
        <w:rPr>
          <w:rFonts w:cs="Arial"/>
          <w:szCs w:val="18"/>
        </w:rPr>
        <w:t xml:space="preserve"> however</w:t>
      </w:r>
      <w:r w:rsidR="00932447">
        <w:rPr>
          <w:rFonts w:cs="Arial"/>
          <w:szCs w:val="18"/>
        </w:rPr>
        <w:t>,</w:t>
      </w:r>
      <w:r w:rsidR="001A2288">
        <w:rPr>
          <w:rFonts w:cs="Arial"/>
          <w:szCs w:val="18"/>
        </w:rPr>
        <w:t xml:space="preserve"> show increased long-term potentiation compared to both unsupplemented and supplemented + vagotomised animals. </w:t>
      </w:r>
      <w:r w:rsidR="0061604D">
        <w:rPr>
          <w:rFonts w:cs="Arial"/>
          <w:szCs w:val="18"/>
        </w:rPr>
        <w:t xml:space="preserve">The authors suggest that data from this study shows a potential role of the vagus nerve in mediating the effects of </w:t>
      </w:r>
      <w:r w:rsidR="00F25E51">
        <w:rPr>
          <w:rFonts w:cs="Arial"/>
          <w:szCs w:val="18"/>
        </w:rPr>
        <w:t>2′-</w:t>
      </w:r>
      <w:r w:rsidR="0061604D">
        <w:rPr>
          <w:rFonts w:cs="Arial"/>
          <w:szCs w:val="18"/>
        </w:rPr>
        <w:t>FL on the central nervous system.</w:t>
      </w:r>
    </w:p>
    <w:p w14:paraId="302739DA" w14:textId="4121A7A2" w:rsidR="00032D09" w:rsidRDefault="00B95230" w:rsidP="00032D09">
      <w:pPr>
        <w:autoSpaceDE w:val="0"/>
        <w:autoSpaceDN w:val="0"/>
        <w:adjustRightInd w:val="0"/>
      </w:pPr>
      <w:r>
        <w:t>In the third study (</w:t>
      </w:r>
      <w:r w:rsidRPr="00B95230">
        <w:t>Oliveros et al. 2016</w:t>
      </w:r>
      <w:r>
        <w:t>)</w:t>
      </w:r>
      <w:r w:rsidR="0045315F">
        <w:t xml:space="preserve">, </w:t>
      </w:r>
      <w:r w:rsidR="00AA7B55">
        <w:t>performance in different behavioural tests used f</w:t>
      </w:r>
      <w:r w:rsidR="00932447">
        <w:t>or studying learning and memory</w:t>
      </w:r>
      <w:r w:rsidR="00AA7B55">
        <w:t xml:space="preserve"> were compared</w:t>
      </w:r>
      <w:r w:rsidR="00932447">
        <w:t xml:space="preserve"> based on age (4–6 week</w:t>
      </w:r>
      <w:r w:rsidR="00AA7B55">
        <w:t xml:space="preserve"> old vs 1 year old) and </w:t>
      </w:r>
      <w:r w:rsidR="0096482C">
        <w:t xml:space="preserve">supplementation </w:t>
      </w:r>
      <w:r w:rsidR="00AA7B55">
        <w:rPr>
          <w:rFonts w:cs="Arial"/>
        </w:rPr>
        <w:t>±</w:t>
      </w:r>
      <w:r w:rsidR="00AA7B55">
        <w:t xml:space="preserve"> </w:t>
      </w:r>
      <w:r w:rsidR="00F25E51">
        <w:t>2′-</w:t>
      </w:r>
      <w:r w:rsidR="00AA7B55">
        <w:t>FL</w:t>
      </w:r>
      <w:r w:rsidR="00373619" w:rsidRPr="00373619">
        <w:rPr>
          <w:vertAlign w:val="subscript"/>
        </w:rPr>
        <w:t>chem</w:t>
      </w:r>
      <w:r w:rsidR="00AA7B55">
        <w:t xml:space="preserve"> (from day 3 of life to weaning at 21 days).</w:t>
      </w:r>
      <w:r w:rsidR="0096482C">
        <w:t xml:space="preserve"> </w:t>
      </w:r>
      <w:r w:rsidR="00AA7B55">
        <w:t>Supplementation</w:t>
      </w:r>
      <w:r w:rsidR="0096482C">
        <w:t xml:space="preserve"> did not significantly change response in a novel object recognition task</w:t>
      </w:r>
      <w:r w:rsidR="009F3AAE">
        <w:t xml:space="preserve"> in </w:t>
      </w:r>
      <w:r w:rsidR="00AA7B55">
        <w:t>young rats</w:t>
      </w:r>
      <w:r w:rsidR="00932447">
        <w:t>. H</w:t>
      </w:r>
      <w:r w:rsidR="0096482C">
        <w:t>owever</w:t>
      </w:r>
      <w:r w:rsidR="00932447">
        <w:t>,</w:t>
      </w:r>
      <w:r w:rsidR="0096482C">
        <w:t xml:space="preserve"> when the same </w:t>
      </w:r>
      <w:r w:rsidR="00AA7B55">
        <w:t>rats</w:t>
      </w:r>
      <w:r w:rsidR="0096482C">
        <w:t xml:space="preserve"> were 1 year old, the supplemented animals spent significantly more time exploring the novel object.</w:t>
      </w:r>
      <w:r w:rsidR="00932447">
        <w:t xml:space="preserve"> Using a Y maze test—</w:t>
      </w:r>
      <w:r w:rsidR="007F55A6">
        <w:t>where there was an initia</w:t>
      </w:r>
      <w:r w:rsidR="00932447">
        <w:t>l blocked arm that was removed—</w:t>
      </w:r>
      <w:r w:rsidR="007F55A6">
        <w:t>adult rats from the supplemented group showed a s</w:t>
      </w:r>
      <w:r w:rsidR="00932447">
        <w:t>ignificantly reduced latency; an</w:t>
      </w:r>
      <w:r w:rsidR="007F55A6">
        <w:t xml:space="preserve"> increased number of animals visited the novel arm</w:t>
      </w:r>
      <w:r w:rsidR="00932447">
        <w:t>;</w:t>
      </w:r>
      <w:r w:rsidR="007F55A6">
        <w:t xml:space="preserve"> and </w:t>
      </w:r>
      <w:r w:rsidR="00932447">
        <w:t xml:space="preserve">there was </w:t>
      </w:r>
      <w:r w:rsidR="007F55A6">
        <w:t xml:space="preserve">a nonsignificant increase in time spent in the novel arm </w:t>
      </w:r>
      <w:r w:rsidR="00AA7B55">
        <w:t>c</w:t>
      </w:r>
      <w:r w:rsidR="007F55A6">
        <w:t>ompared to unsupplemented animals.</w:t>
      </w:r>
      <w:r w:rsidR="009F3AAE">
        <w:t xml:space="preserve"> Data was not collected on the young rats. Using the Morris water maze, </w:t>
      </w:r>
      <w:r w:rsidR="00932447">
        <w:t>neither supplementation nor age</w:t>
      </w:r>
      <w:r w:rsidR="009F3AAE">
        <w:t xml:space="preserve"> affect</w:t>
      </w:r>
      <w:r w:rsidR="00932447">
        <w:t>ed</w:t>
      </w:r>
      <w:r w:rsidR="009F3AAE">
        <w:t xml:space="preserve"> laten</w:t>
      </w:r>
      <w:r w:rsidR="00932447">
        <w:t xml:space="preserve">cy time </w:t>
      </w:r>
      <w:r w:rsidR="009F3AAE">
        <w:t>or time spent in the same area as the platform.</w:t>
      </w:r>
      <w:r w:rsidR="00CF1CDA">
        <w:t xml:space="preserve"> Although the author claims their data shows supplementation of pups was beneficial for cognitive skills in adult rats, this was only really demonstrated in one visual recall task, potentially showing</w:t>
      </w:r>
      <w:r w:rsidR="00932447">
        <w:t xml:space="preserve"> effects on</w:t>
      </w:r>
      <w:r w:rsidR="00CF1CDA">
        <w:t xml:space="preserve"> long-term memory.</w:t>
      </w:r>
    </w:p>
    <w:p w14:paraId="1987A22C" w14:textId="38CBD8CF" w:rsidR="00CF1CDA" w:rsidRDefault="00CF1CDA" w:rsidP="00032D09">
      <w:pPr>
        <w:autoSpaceDE w:val="0"/>
        <w:autoSpaceDN w:val="0"/>
        <w:adjustRightInd w:val="0"/>
        <w:rPr>
          <w:lang w:bidi="ar-SA"/>
        </w:rPr>
      </w:pPr>
      <w:r>
        <w:t xml:space="preserve">The data from these studies indicate that </w:t>
      </w:r>
      <w:r w:rsidR="00F25E51">
        <w:t>2′-</w:t>
      </w:r>
      <w:r>
        <w:t>FL may have the potential to influence l</w:t>
      </w:r>
      <w:r w:rsidR="00932447">
        <w:t>earning and memory in rodents. However, t</w:t>
      </w:r>
      <w:r>
        <w:t>he mechanism has not been identified</w:t>
      </w:r>
      <w:r w:rsidR="00932447">
        <w:t>,</w:t>
      </w:r>
      <w:r>
        <w:t xml:space="preserve"> and there is still no demonstration that this occurs in infants.</w:t>
      </w:r>
    </w:p>
    <w:p w14:paraId="698E040E" w14:textId="77777777" w:rsidR="008F4E79" w:rsidRPr="00E116C2" w:rsidRDefault="008F4E79" w:rsidP="008F4E79">
      <w:pPr>
        <w:rPr>
          <w:b/>
          <w:bCs/>
          <w:i/>
          <w:iCs/>
          <w:lang w:bidi="ar-SA"/>
        </w:rPr>
      </w:pPr>
      <w:r w:rsidRPr="00E116C2">
        <w:rPr>
          <w:b/>
          <w:bCs/>
          <w:i/>
          <w:iCs/>
          <w:lang w:bidi="ar-SA"/>
        </w:rPr>
        <w:t>Gut motility</w:t>
      </w:r>
    </w:p>
    <w:p w14:paraId="4DAFD95D" w14:textId="73DF08E4" w:rsidR="00EB4BE9" w:rsidRPr="00EB4BE9" w:rsidRDefault="00EB4BE9" w:rsidP="008F4E79">
      <w:pPr>
        <w:rPr>
          <w:i/>
        </w:rPr>
      </w:pPr>
      <w:r w:rsidRPr="00EB4BE9">
        <w:rPr>
          <w:i/>
        </w:rPr>
        <w:t>Ex vivo study</w:t>
      </w:r>
    </w:p>
    <w:p w14:paraId="5E7DB291" w14:textId="3DA7C28C" w:rsidR="008F4E79" w:rsidRDefault="008F4E79" w:rsidP="008F4E79">
      <w:pPr>
        <w:rPr>
          <w:lang w:bidi="ar-SA"/>
        </w:rPr>
      </w:pPr>
      <w:r>
        <w:t xml:space="preserve">The applicant submitted a study investigating </w:t>
      </w:r>
      <w:r w:rsidR="00C03A82">
        <w:t>if</w:t>
      </w:r>
      <w:r>
        <w:t xml:space="preserve"> </w:t>
      </w:r>
      <w:r w:rsidR="00F25E51">
        <w:t>2′-</w:t>
      </w:r>
      <w:r>
        <w:t xml:space="preserve">FL </w:t>
      </w:r>
      <w:r w:rsidR="00035E55">
        <w:t>had an</w:t>
      </w:r>
      <w:r w:rsidR="00C03A82">
        <w:t xml:space="preserve"> impact on</w:t>
      </w:r>
      <w:r>
        <w:t xml:space="preserve"> gastrointestinal contra</w:t>
      </w:r>
      <w:r w:rsidR="00342C21">
        <w:t>c</w:t>
      </w:r>
      <w:r>
        <w:t xml:space="preserve">tility in an </w:t>
      </w:r>
      <w:r w:rsidRPr="00B64602">
        <w:rPr>
          <w:i/>
        </w:rPr>
        <w:t>ex vivo</w:t>
      </w:r>
      <w:r>
        <w:t xml:space="preserve"> murine colon </w:t>
      </w:r>
      <w:r w:rsidR="006E13A4">
        <w:t>preparation (Bienenstock et al.</w:t>
      </w:r>
      <w:r w:rsidRPr="00B64602">
        <w:t xml:space="preserve"> 2013</w:t>
      </w:r>
      <w:r>
        <w:t xml:space="preserve">). The data showed that fucose and the fucosylated molecules </w:t>
      </w:r>
      <w:r w:rsidR="00F25E51">
        <w:t>2′-</w:t>
      </w:r>
      <w:r>
        <w:t>FL</w:t>
      </w:r>
      <w:r w:rsidR="005146C6" w:rsidRPr="005146C6">
        <w:rPr>
          <w:vertAlign w:val="subscript"/>
        </w:rPr>
        <w:t>chem</w:t>
      </w:r>
      <w:r>
        <w:t xml:space="preserve"> and 3’-FL</w:t>
      </w:r>
      <w:r w:rsidR="005146C6" w:rsidRPr="005146C6">
        <w:rPr>
          <w:vertAlign w:val="subscript"/>
        </w:rPr>
        <w:t>chem</w:t>
      </w:r>
      <w:r>
        <w:t xml:space="preserve"> </w:t>
      </w:r>
      <w:r w:rsidR="00C03A82">
        <w:t xml:space="preserve">did </w:t>
      </w:r>
      <w:r>
        <w:t>reduce the</w:t>
      </w:r>
      <w:r w:rsidRPr="00C9512A">
        <w:t xml:space="preserve"> frequency, amplitude and velocity of colonic motor contractions</w:t>
      </w:r>
      <w:r>
        <w:t xml:space="preserve">. The strongest effect was observed with 3’-FL. The authors noted that </w:t>
      </w:r>
      <w:r w:rsidR="00F25E51">
        <w:t>2′-</w:t>
      </w:r>
      <w:r>
        <w:t>FL is not present in mouse milk</w:t>
      </w:r>
      <w:r w:rsidR="00B95F92">
        <w:t>,</w:t>
      </w:r>
      <w:r>
        <w:t xml:space="preserve"> and suggested the reduced effect seen with </w:t>
      </w:r>
      <w:r w:rsidR="00F25E51">
        <w:t>2′-</w:t>
      </w:r>
      <w:r>
        <w:t xml:space="preserve">FL compared to 3’-FL may be related to the </w:t>
      </w:r>
      <w:r w:rsidR="00B95F92">
        <w:t>murine intestinal cells not being</w:t>
      </w:r>
      <w:r>
        <w:t xml:space="preserve"> adapted to respond to </w:t>
      </w:r>
      <w:r w:rsidR="00F25E51">
        <w:t>2′-</w:t>
      </w:r>
      <w:r>
        <w:t xml:space="preserve">FL. The authors stated </w:t>
      </w:r>
      <w:r w:rsidR="00B95F92">
        <w:t xml:space="preserve">that </w:t>
      </w:r>
      <w:r>
        <w:t>further studies are required to determine if reduced gut motility could reduce functional gut disorders and colic in infants.</w:t>
      </w:r>
    </w:p>
    <w:p w14:paraId="69C54347" w14:textId="57BDA937" w:rsidR="0084097F" w:rsidRPr="003868A5" w:rsidRDefault="0084097F" w:rsidP="0084097F">
      <w:pPr>
        <w:pStyle w:val="Heading2"/>
      </w:pPr>
      <w:bookmarkStart w:id="238" w:name="_Toc70675702"/>
      <w:bookmarkStart w:id="239" w:name="_Toc70675795"/>
      <w:bookmarkStart w:id="240" w:name="_Toc72480631"/>
      <w:r>
        <w:lastRenderedPageBreak/>
        <w:t>7.</w:t>
      </w:r>
      <w:r w:rsidR="008F4E79">
        <w:t>3</w:t>
      </w:r>
      <w:r w:rsidR="00346823">
        <w:t xml:space="preserve"> </w:t>
      </w:r>
      <w:r w:rsidRPr="003868A5">
        <w:t>Key findings of the health benefit assessment</w:t>
      </w:r>
      <w:bookmarkEnd w:id="238"/>
      <w:bookmarkEnd w:id="239"/>
      <w:bookmarkEnd w:id="240"/>
    </w:p>
    <w:p w14:paraId="6356A286" w14:textId="7FB87B4B" w:rsidR="001945FB" w:rsidRDefault="00004D8B" w:rsidP="00337A74">
      <w:pPr>
        <w:spacing w:after="120"/>
      </w:pPr>
      <w:r w:rsidRPr="003868A5">
        <w:rPr>
          <w:lang w:bidi="ar-SA"/>
        </w:rPr>
        <w:t>There is consistent</w:t>
      </w:r>
      <w:r w:rsidR="009C4C71" w:rsidRPr="003868A5">
        <w:rPr>
          <w:lang w:bidi="ar-SA"/>
        </w:rPr>
        <w:t xml:space="preserve"> evidence that </w:t>
      </w:r>
      <w:r w:rsidR="00F25E51" w:rsidRPr="003868A5">
        <w:rPr>
          <w:lang w:bidi="ar-SA"/>
        </w:rPr>
        <w:t>2′-</w:t>
      </w:r>
      <w:r w:rsidR="009C4C71" w:rsidRPr="003868A5">
        <w:rPr>
          <w:lang w:bidi="ar-SA"/>
        </w:rPr>
        <w:t xml:space="preserve">FL is bifidogenic </w:t>
      </w:r>
      <w:r w:rsidR="00337A74">
        <w:t>in infants and young children</w:t>
      </w:r>
      <w:r w:rsidR="00337A74" w:rsidRPr="003868A5">
        <w:rPr>
          <w:lang w:bidi="ar-SA"/>
        </w:rPr>
        <w:t xml:space="preserve"> </w:t>
      </w:r>
      <w:r w:rsidR="009C4C71" w:rsidRPr="003868A5">
        <w:rPr>
          <w:lang w:bidi="ar-SA"/>
        </w:rPr>
        <w:t xml:space="preserve">based on both </w:t>
      </w:r>
      <w:r w:rsidR="009C4C71" w:rsidRPr="003868A5">
        <w:rPr>
          <w:i/>
          <w:lang w:bidi="ar-SA"/>
        </w:rPr>
        <w:t>in vitro</w:t>
      </w:r>
      <w:r w:rsidR="009C4C71" w:rsidRPr="003868A5">
        <w:rPr>
          <w:lang w:bidi="ar-SA"/>
        </w:rPr>
        <w:t xml:space="preserve"> and human studies. Specific strains can metabolise </w:t>
      </w:r>
      <w:r w:rsidR="00F25E51" w:rsidRPr="003868A5">
        <w:rPr>
          <w:lang w:bidi="ar-SA"/>
        </w:rPr>
        <w:t>2′-</w:t>
      </w:r>
      <w:r w:rsidR="009C4C71" w:rsidRPr="003868A5">
        <w:rPr>
          <w:lang w:bidi="ar-SA"/>
        </w:rPr>
        <w:t xml:space="preserve">FL, </w:t>
      </w:r>
      <w:r w:rsidR="009C4C71" w:rsidRPr="003868A5">
        <w:t xml:space="preserve">providing a selective growth advantage over other species of bacteria. </w:t>
      </w:r>
      <w:r w:rsidR="00337A74">
        <w:t>FSANZ notes</w:t>
      </w:r>
      <w:r w:rsidR="001945FB">
        <w:t xml:space="preserve"> limitations in the evidence base (see Section 2 of </w:t>
      </w:r>
      <w:hyperlink r:id="rId36" w:history="1">
        <w:r w:rsidR="006576CA" w:rsidRPr="00F878B3">
          <w:rPr>
            <w:rStyle w:val="Hyperlink"/>
          </w:rPr>
          <w:t>A1155 Review Supporting Document 2</w:t>
        </w:r>
      </w:hyperlink>
      <w:r w:rsidR="006576CA" w:rsidRPr="00E97945">
        <w:rPr>
          <w:vertAlign w:val="superscript"/>
        </w:rPr>
        <w:t>1</w:t>
      </w:r>
      <w:r w:rsidR="006576CA">
        <w:rPr>
          <w:vertAlign w:val="superscript"/>
        </w:rPr>
        <w:t>5</w:t>
      </w:r>
      <w:r w:rsidR="002C0DDE">
        <w:t>). H</w:t>
      </w:r>
      <w:r w:rsidR="00337A74">
        <w:t>owever</w:t>
      </w:r>
      <w:r w:rsidR="002C0DDE">
        <w:t>,</w:t>
      </w:r>
      <w:r w:rsidR="00337A74">
        <w:t xml:space="preserve"> it has been </w:t>
      </w:r>
      <w:r w:rsidR="001945FB">
        <w:t>concluded that:</w:t>
      </w:r>
    </w:p>
    <w:p w14:paraId="0DA5D93B" w14:textId="788BC8D5" w:rsidR="001945FB" w:rsidRDefault="001945FB" w:rsidP="000254AB">
      <w:pPr>
        <w:pStyle w:val="FSBullet1"/>
      </w:pPr>
      <w:r>
        <w:t xml:space="preserve">for infants, the addition of 2′-FL to infant formula leads to a </w:t>
      </w:r>
      <w:r w:rsidRPr="002C0DDE">
        <w:rPr>
          <w:i/>
        </w:rPr>
        <w:t>Bifidobacterium</w:t>
      </w:r>
      <w:r>
        <w:t>-enriched microbiota that is more similar to that observed in breastfed infants than in those fed unsupplemented formula. However, the size of the effect of 2′-FL on bacterial populations is difficult to estimate. Evidence for a link between the presence of 2′-FL in human milk or formula and any specific health outcome is limited to secondary outcomes of one randomised control trial and observational studies of lower quality.</w:t>
      </w:r>
    </w:p>
    <w:p w14:paraId="10033BA5" w14:textId="3B218E20" w:rsidR="001945FB" w:rsidRDefault="001945FB" w:rsidP="000254AB">
      <w:pPr>
        <w:pStyle w:val="FSBullet1"/>
      </w:pPr>
      <w:r>
        <w:t>evidence that a bifidogenic effect occurs in children fed formulated supplementary foods for young children (FSFYC) supplemented with 2′-FL is very limited. However, there is no reason to expect that the effect demonstrated in infants</w:t>
      </w:r>
      <w:r w:rsidR="006C3CBB">
        <w:t xml:space="preserve"> and adults</w:t>
      </w:r>
      <w:r>
        <w:t xml:space="preserve"> would not occur in young children.</w:t>
      </w:r>
    </w:p>
    <w:p w14:paraId="30AA5876" w14:textId="2F52B216" w:rsidR="008F7D36" w:rsidRPr="003868A5" w:rsidRDefault="009C4C71" w:rsidP="00E97945">
      <w:r w:rsidRPr="003868A5">
        <w:t xml:space="preserve">There is also plausible evidence that intestinal infection with invasive </w:t>
      </w:r>
      <w:r w:rsidRPr="003868A5">
        <w:rPr>
          <w:i/>
        </w:rPr>
        <w:t>C. jejuni</w:t>
      </w:r>
      <w:r w:rsidRPr="003868A5">
        <w:t xml:space="preserve"> and subsequent pathogenesis is inhibited by </w:t>
      </w:r>
      <w:r w:rsidR="00F25E51" w:rsidRPr="003868A5">
        <w:t>2′-</w:t>
      </w:r>
      <w:r w:rsidRPr="003868A5">
        <w:t>FL. This has been demonstrated</w:t>
      </w:r>
      <w:r w:rsidR="004454E7" w:rsidRPr="003868A5">
        <w:t>:</w:t>
      </w:r>
      <w:r w:rsidRPr="003868A5">
        <w:t xml:space="preserve"> by </w:t>
      </w:r>
      <w:r w:rsidRPr="003868A5">
        <w:rPr>
          <w:i/>
        </w:rPr>
        <w:t>in vitro</w:t>
      </w:r>
      <w:r w:rsidRPr="003868A5">
        <w:t xml:space="preserve"> studies that have identified mechanism of action</w:t>
      </w:r>
      <w:r w:rsidR="004454E7" w:rsidRPr="003868A5">
        <w:t>;</w:t>
      </w:r>
      <w:r w:rsidRPr="003868A5">
        <w:t xml:space="preserve"> animal </w:t>
      </w:r>
      <w:r w:rsidR="004454E7" w:rsidRPr="003868A5">
        <w:t xml:space="preserve">studies where supplementation reduced infection, invasiveness and disease severity; </w:t>
      </w:r>
      <w:r w:rsidRPr="003868A5">
        <w:t xml:space="preserve">and human studies </w:t>
      </w:r>
      <w:r w:rsidR="004454E7" w:rsidRPr="003868A5">
        <w:t xml:space="preserve">where there is epidemiological evidence supporting </w:t>
      </w:r>
      <w:r w:rsidR="00F25E51" w:rsidRPr="003868A5">
        <w:t>2′-</w:t>
      </w:r>
      <w:r w:rsidR="004454E7" w:rsidRPr="003868A5">
        <w:t>FL having an anti-infective health effect</w:t>
      </w:r>
      <w:r w:rsidR="006C3CBB">
        <w:t xml:space="preserve"> in infants and young children</w:t>
      </w:r>
      <w:r w:rsidR="004454E7" w:rsidRPr="003868A5">
        <w:t>.</w:t>
      </w:r>
    </w:p>
    <w:p w14:paraId="00348DD7" w14:textId="19FC30B8" w:rsidR="009C4C71" w:rsidRPr="003868A5" w:rsidRDefault="00B90604" w:rsidP="009C4C71">
      <w:r w:rsidRPr="003868A5">
        <w:rPr>
          <w:lang w:bidi="ar-SA"/>
        </w:rPr>
        <w:t xml:space="preserve">Although there is a range of evidence that </w:t>
      </w:r>
      <w:r w:rsidR="00F25E51" w:rsidRPr="003868A5">
        <w:rPr>
          <w:lang w:bidi="ar-SA"/>
        </w:rPr>
        <w:t>2′-</w:t>
      </w:r>
      <w:r w:rsidRPr="003868A5">
        <w:rPr>
          <w:lang w:bidi="ar-SA"/>
        </w:rPr>
        <w:t xml:space="preserve">FL can mediate changes in the function of the immune response, the intestinal barrier, learning and memory and gut motility, there is limited information demonstrating this effect in humans. FSANZ concludes that </w:t>
      </w:r>
      <w:r w:rsidRPr="003868A5">
        <w:t>for these stated health effects, the claims are not supported by the evidence.</w:t>
      </w:r>
    </w:p>
    <w:p w14:paraId="2CB38543" w14:textId="6D414421" w:rsidR="002E6F8B" w:rsidRDefault="002E6F8B" w:rsidP="00994C81">
      <w:pPr>
        <w:pStyle w:val="Heading1"/>
        <w:ind w:left="567" w:hanging="567"/>
      </w:pPr>
      <w:bookmarkStart w:id="241" w:name="_Toc70675703"/>
      <w:bookmarkStart w:id="242" w:name="_Toc70675796"/>
      <w:bookmarkStart w:id="243" w:name="_Toc72480632"/>
      <w:r w:rsidRPr="003868A5">
        <w:t>8</w:t>
      </w:r>
      <w:r w:rsidR="00346823" w:rsidRPr="003868A5">
        <w:t xml:space="preserve"> </w:t>
      </w:r>
      <w:r w:rsidRPr="003868A5">
        <w:t>Summary a</w:t>
      </w:r>
      <w:r>
        <w:t>nd conclusions</w:t>
      </w:r>
      <w:bookmarkEnd w:id="241"/>
      <w:bookmarkEnd w:id="242"/>
      <w:bookmarkEnd w:id="243"/>
    </w:p>
    <w:p w14:paraId="1F47133B" w14:textId="4E02DC24" w:rsidR="000822B7" w:rsidRDefault="00FB0CB9" w:rsidP="00FB0CB9">
      <w:pPr>
        <w:rPr>
          <w:bCs/>
        </w:rPr>
      </w:pPr>
      <w:r>
        <w:t>2′-</w:t>
      </w:r>
      <w:r w:rsidR="00676CFC">
        <w:t>fucosyllactose (</w:t>
      </w:r>
      <w:r w:rsidR="00676CFC" w:rsidRPr="00990C8B">
        <w:rPr>
          <w:lang w:val="en-AU"/>
        </w:rPr>
        <w:t>2′-FL</w:t>
      </w:r>
      <w:r w:rsidR="00676CFC">
        <w:t xml:space="preserve">) </w:t>
      </w:r>
      <w:r>
        <w:t>is</w:t>
      </w:r>
      <w:r w:rsidR="000822B7">
        <w:t xml:space="preserve"> one of the</w:t>
      </w:r>
      <w:r>
        <w:t xml:space="preserve"> pr</w:t>
      </w:r>
      <w:r w:rsidR="00676CFC">
        <w:t>ed</w:t>
      </w:r>
      <w:r>
        <w:t>ominent oligosaccharide</w:t>
      </w:r>
      <w:r w:rsidR="000822B7">
        <w:t>s</w:t>
      </w:r>
      <w:r w:rsidR="00676CFC">
        <w:t xml:space="preserve"> identified </w:t>
      </w:r>
      <w:r>
        <w:t>in human milk</w:t>
      </w:r>
      <w:r w:rsidR="00676CFC">
        <w:t xml:space="preserve">, expressed by 70-80% of </w:t>
      </w:r>
      <w:r w:rsidR="000822B7">
        <w:t>women</w:t>
      </w:r>
      <w:r w:rsidR="00676CFC">
        <w:t>, known as secretors</w:t>
      </w:r>
      <w:r w:rsidR="000822B7">
        <w:t xml:space="preserve">. </w:t>
      </w:r>
      <w:r w:rsidR="00676CFC">
        <w:t>While t</w:t>
      </w:r>
      <w:r w:rsidR="000822B7">
        <w:t xml:space="preserve">he levels of 2′-FL varies </w:t>
      </w:r>
      <w:r w:rsidR="00DD1E8A">
        <w:t xml:space="preserve">throughout the lactation period and </w:t>
      </w:r>
      <w:r w:rsidR="000822B7">
        <w:t>per individual</w:t>
      </w:r>
      <w:r w:rsidR="00676CFC">
        <w:t>, the overall range found in human milk from secretors is</w:t>
      </w:r>
      <w:r>
        <w:t xml:space="preserve"> </w:t>
      </w:r>
      <w:r>
        <w:rPr>
          <w:lang w:val="en-AU"/>
        </w:rPr>
        <w:t xml:space="preserve">0.6 – 7.8 g/L. </w:t>
      </w:r>
      <w:r w:rsidR="00DD1E8A">
        <w:rPr>
          <w:bCs/>
        </w:rPr>
        <w:t xml:space="preserve">The maximum level permitted in the Code is equivalent to 2.4 g/L. </w:t>
      </w:r>
      <w:r w:rsidR="00DD1E8A" w:rsidRPr="00DC6ABD">
        <w:t>T</w:t>
      </w:r>
      <w:r w:rsidR="00DD1E8A" w:rsidRPr="00DC6ABD">
        <w:rPr>
          <w:bCs/>
        </w:rPr>
        <w:t>he concentration of 2′-FL</w:t>
      </w:r>
      <w:r w:rsidR="00DD1E8A">
        <w:rPr>
          <w:vertAlign w:val="subscript"/>
        </w:rPr>
        <w:t>micro</w:t>
      </w:r>
      <w:r w:rsidR="00DD1E8A" w:rsidRPr="00DC6ABD">
        <w:rPr>
          <w:bCs/>
        </w:rPr>
        <w:t xml:space="preserve"> </w:t>
      </w:r>
      <w:r w:rsidR="00DD1E8A">
        <w:rPr>
          <w:bCs/>
        </w:rPr>
        <w:t>requested by the applicant to be added to IFP</w:t>
      </w:r>
      <w:r w:rsidR="00DD1E8A" w:rsidRPr="00DC6ABD">
        <w:rPr>
          <w:bCs/>
        </w:rPr>
        <w:t xml:space="preserve"> </w:t>
      </w:r>
      <w:r w:rsidR="00DD1E8A">
        <w:rPr>
          <w:bCs/>
        </w:rPr>
        <w:t>and</w:t>
      </w:r>
      <w:r w:rsidR="00DD1E8A" w:rsidRPr="00DC6ABD">
        <w:rPr>
          <w:bCs/>
        </w:rPr>
        <w:t xml:space="preserve"> FSFYC </w:t>
      </w:r>
      <w:r w:rsidR="00DD1E8A">
        <w:rPr>
          <w:bCs/>
        </w:rPr>
        <w:t xml:space="preserve">is 2.0 g/L, which is well within the range found in human milk </w:t>
      </w:r>
      <w:r w:rsidR="0044668F">
        <w:rPr>
          <w:bCs/>
        </w:rPr>
        <w:t xml:space="preserve">from secretors </w:t>
      </w:r>
      <w:r w:rsidR="00DD1E8A">
        <w:rPr>
          <w:bCs/>
        </w:rPr>
        <w:t xml:space="preserve">and below the maximum permitted level. </w:t>
      </w:r>
      <w:r w:rsidR="005F0EA9">
        <w:rPr>
          <w:bCs/>
        </w:rPr>
        <w:t>As 2</w:t>
      </w:r>
      <w:r w:rsidR="005F0EA9" w:rsidRPr="00990C8B">
        <w:rPr>
          <w:lang w:val="en-AU"/>
        </w:rPr>
        <w:t>′</w:t>
      </w:r>
      <w:r w:rsidR="005F0EA9">
        <w:rPr>
          <w:bCs/>
        </w:rPr>
        <w:t>-FL is already permitted in the Code, the purpose of this assessment is to determine the risk and safety of 2</w:t>
      </w:r>
      <w:r w:rsidR="005F0EA9" w:rsidRPr="00990C8B">
        <w:rPr>
          <w:lang w:val="en-AU"/>
        </w:rPr>
        <w:t>′</w:t>
      </w:r>
      <w:r w:rsidR="005F0EA9">
        <w:rPr>
          <w:bCs/>
        </w:rPr>
        <w:t>-FL produced by a new production strain and with it’s own specifications.</w:t>
      </w:r>
    </w:p>
    <w:p w14:paraId="75A5E94C" w14:textId="136CA220" w:rsidR="00FB0CB9" w:rsidRDefault="00FB0CB9" w:rsidP="00FB0CB9">
      <w:r>
        <w:t xml:space="preserve">Estimates of dietary intakes of </w:t>
      </w:r>
      <w:r w:rsidR="0044668F">
        <w:rPr>
          <w:lang w:val="en-AU"/>
        </w:rPr>
        <w:t>2′-FL</w:t>
      </w:r>
      <w:r>
        <w:t xml:space="preserve"> </w:t>
      </w:r>
      <w:r w:rsidR="00423719">
        <w:t xml:space="preserve">based on a concentration of 2.4 g/L </w:t>
      </w:r>
      <w:r>
        <w:t>for infants up to 12 months ranged between 0.1</w:t>
      </w:r>
      <w:r>
        <w:rPr>
          <w:lang w:val="en-AU"/>
        </w:rPr>
        <w:t xml:space="preserve"> – </w:t>
      </w:r>
      <w:r>
        <w:t>0.33 g/kg bw/day at the mean and 0.2</w:t>
      </w:r>
      <w:r>
        <w:rPr>
          <w:lang w:val="en-AU"/>
        </w:rPr>
        <w:t xml:space="preserve"> – </w:t>
      </w:r>
      <w:r>
        <w:t>0.66 g/kg bw/day at the 90</w:t>
      </w:r>
      <w:r w:rsidRPr="00EB2618">
        <w:rPr>
          <w:vertAlign w:val="superscript"/>
        </w:rPr>
        <w:t>th</w:t>
      </w:r>
      <w:r>
        <w:t xml:space="preserve"> percentile, and for children 2-3 years from 0.077</w:t>
      </w:r>
      <w:r>
        <w:rPr>
          <w:lang w:val="en-AU"/>
        </w:rPr>
        <w:t xml:space="preserve"> – </w:t>
      </w:r>
      <w:r>
        <w:t>0.15 g/kg bw/day at the mean and 0.15</w:t>
      </w:r>
      <w:r>
        <w:rPr>
          <w:lang w:val="en-AU"/>
        </w:rPr>
        <w:t xml:space="preserve"> – </w:t>
      </w:r>
      <w:r>
        <w:t>0.31 at the 90</w:t>
      </w:r>
      <w:r w:rsidRPr="00EB2618">
        <w:rPr>
          <w:vertAlign w:val="superscript"/>
        </w:rPr>
        <w:t>th</w:t>
      </w:r>
      <w:r>
        <w:t xml:space="preserve"> percentile.</w:t>
      </w:r>
      <w:r w:rsidR="00D601F9">
        <w:t xml:space="preserve"> These ranges reflect typical </w:t>
      </w:r>
      <w:r w:rsidR="00423719">
        <w:t xml:space="preserve">intakes </w:t>
      </w:r>
      <w:r w:rsidR="00D601F9">
        <w:t xml:space="preserve">of infants and young children who receive human milk from </w:t>
      </w:r>
      <w:r w:rsidR="003F26C3">
        <w:t xml:space="preserve">mothers who are </w:t>
      </w:r>
      <w:r w:rsidR="00D601F9">
        <w:t>secretors.</w:t>
      </w:r>
    </w:p>
    <w:p w14:paraId="78F3EC7C" w14:textId="7470286A" w:rsidR="00FB0CB9" w:rsidRDefault="003F26C3" w:rsidP="00FB0CB9">
      <w:r>
        <w:lastRenderedPageBreak/>
        <w:t>C</w:t>
      </w:r>
      <w:r w:rsidR="00FB0CB9" w:rsidRPr="00990C8B">
        <w:t>hemically and structurally</w:t>
      </w:r>
      <w:r>
        <w:t xml:space="preserve">, </w:t>
      </w:r>
      <w:r w:rsidRPr="00990C8B">
        <w:t>2′-FL</w:t>
      </w:r>
      <w:r>
        <w:t xml:space="preserve"> produced by fermentation was shown to be</w:t>
      </w:r>
      <w:r w:rsidR="00FB0CB9" w:rsidRPr="00990C8B">
        <w:t xml:space="preserve"> identical to the naturally occurring oligosaccharide </w:t>
      </w:r>
      <w:r w:rsidR="00FB0CB9">
        <w:t xml:space="preserve">found </w:t>
      </w:r>
      <w:r w:rsidR="00FB0CB9" w:rsidRPr="00990C8B">
        <w:t xml:space="preserve">in human milk. </w:t>
      </w:r>
      <w:r w:rsidR="00FB0CB9">
        <w:t>The final product was shown to be free of fermentation-derived contaminants. The purity and other constituents of the final product have been identified and listed in the specification for the product</w:t>
      </w:r>
      <w:r w:rsidR="00FB0CB9" w:rsidRPr="00990C8B">
        <w:t>. The shelf-life and specifications are appropriate for addition to IFP and FSFYC.</w:t>
      </w:r>
    </w:p>
    <w:p w14:paraId="643CBE76" w14:textId="6196DA80" w:rsidR="003F26C3" w:rsidRDefault="003F26C3" w:rsidP="00FB0CB9">
      <w:r>
        <w:t>The examination of the source organisms concluded there were no safety concerns. The host organism is a well characterised bacterium with a recognised safe history of use for the production of industrial compounds and human therapeutics. It is neither pathogenic nor toxigenic. The production strains were</w:t>
      </w:r>
      <w:r w:rsidRPr="007E09D7">
        <w:t xml:space="preserve"> confirmed to contain the in</w:t>
      </w:r>
      <w:r>
        <w:t>troduced</w:t>
      </w:r>
      <w:r w:rsidRPr="007E09D7">
        <w:t xml:space="preserve"> DNA</w:t>
      </w:r>
      <w:r>
        <w:t>, which was</w:t>
      </w:r>
      <w:r w:rsidRPr="007E09D7">
        <w:t xml:space="preserve"> shown to be inhe</w:t>
      </w:r>
      <w:r>
        <w:t>rited across several generations.</w:t>
      </w:r>
    </w:p>
    <w:p w14:paraId="7120111B" w14:textId="1CDF6153" w:rsidR="00307759" w:rsidRDefault="00307759" w:rsidP="00307759">
      <w:pPr>
        <w:rPr>
          <w:lang w:val="en-AU"/>
        </w:rPr>
      </w:pPr>
      <w:r>
        <w:rPr>
          <w:lang w:val="en-AU"/>
        </w:rPr>
        <w:t>FSANZ has previously determined that</w:t>
      </w:r>
      <w:r w:rsidRPr="00990C8B">
        <w:rPr>
          <w:lang w:val="en-AU"/>
        </w:rPr>
        <w:t xml:space="preserve"> there are</w:t>
      </w:r>
      <w:r>
        <w:rPr>
          <w:lang w:val="en-AU"/>
        </w:rPr>
        <w:t xml:space="preserve"> no </w:t>
      </w:r>
      <w:r w:rsidRPr="00990C8B">
        <w:rPr>
          <w:lang w:val="en-AU"/>
        </w:rPr>
        <w:t xml:space="preserve">safety concerns associated with </w:t>
      </w:r>
      <w:r w:rsidRPr="00990C8B">
        <w:rPr>
          <w:rFonts w:cs="Arial"/>
        </w:rPr>
        <w:t xml:space="preserve">the addition of 2′-FL to IFP and FSFYC </w:t>
      </w:r>
      <w:r w:rsidRPr="00990C8B">
        <w:rPr>
          <w:lang w:val="en-AU"/>
        </w:rPr>
        <w:t>at concentrations up to 2.4 g/L</w:t>
      </w:r>
      <w:r w:rsidRPr="00965992">
        <w:rPr>
          <w:lang w:val="en-AU"/>
        </w:rPr>
        <w:t>.</w:t>
      </w:r>
      <w:r w:rsidRPr="00965992">
        <w:rPr>
          <w:rFonts w:cs="Arial"/>
        </w:rPr>
        <w:t xml:space="preserve"> </w:t>
      </w:r>
      <w:r>
        <w:rPr>
          <w:rFonts w:cs="Arial"/>
        </w:rPr>
        <w:t>A number of new studies evaluated as a part of this application</w:t>
      </w:r>
      <w:r w:rsidRPr="00990C8B">
        <w:rPr>
          <w:rFonts w:cs="Arial"/>
        </w:rPr>
        <w:t xml:space="preserve"> </w:t>
      </w:r>
      <w:r>
        <w:rPr>
          <w:rFonts w:cs="Arial"/>
        </w:rPr>
        <w:t xml:space="preserve">did not indicate a reason to change this conclusion. </w:t>
      </w:r>
    </w:p>
    <w:p w14:paraId="226B4053" w14:textId="1852AF36" w:rsidR="00307759" w:rsidRDefault="00307759" w:rsidP="00307759">
      <w:pPr>
        <w:pStyle w:val="NoSpacing"/>
      </w:pPr>
      <w:r>
        <w:rPr>
          <w:szCs w:val="22"/>
          <w:lang w:val="en-AU" w:eastAsia="en-AU"/>
        </w:rPr>
        <w:t>2′-</w:t>
      </w:r>
      <w:r w:rsidRPr="00990C8B">
        <w:rPr>
          <w:szCs w:val="22"/>
          <w:lang w:val="en-AU" w:eastAsia="en-AU"/>
        </w:rPr>
        <w:t xml:space="preserve">FL was not genotoxic </w:t>
      </w:r>
      <w:r w:rsidRPr="00990C8B">
        <w:rPr>
          <w:i/>
          <w:szCs w:val="22"/>
          <w:lang w:val="en-AU" w:eastAsia="en-AU"/>
        </w:rPr>
        <w:t>in vitro</w:t>
      </w:r>
      <w:r w:rsidRPr="00990C8B">
        <w:rPr>
          <w:szCs w:val="22"/>
          <w:lang w:val="en-AU" w:eastAsia="en-AU"/>
        </w:rPr>
        <w:t xml:space="preserve"> or </w:t>
      </w:r>
      <w:r w:rsidRPr="00990C8B">
        <w:rPr>
          <w:i/>
          <w:szCs w:val="22"/>
          <w:lang w:val="en-AU" w:eastAsia="en-AU"/>
        </w:rPr>
        <w:t>in vivo</w:t>
      </w:r>
      <w:r w:rsidRPr="00990C8B">
        <w:rPr>
          <w:szCs w:val="22"/>
          <w:lang w:val="en-AU" w:eastAsia="en-AU"/>
        </w:rPr>
        <w:t xml:space="preserve">. No adverse effects were observed in </w:t>
      </w:r>
      <w:r>
        <w:rPr>
          <w:szCs w:val="22"/>
          <w:lang w:val="en-AU" w:eastAsia="en-AU"/>
        </w:rPr>
        <w:t xml:space="preserve">multiple </w:t>
      </w:r>
      <w:r w:rsidRPr="00990C8B">
        <w:rPr>
          <w:szCs w:val="22"/>
          <w:lang w:val="en-AU" w:eastAsia="en-AU"/>
        </w:rPr>
        <w:t xml:space="preserve">subchronic oral toxicity studies in </w:t>
      </w:r>
      <w:r>
        <w:rPr>
          <w:szCs w:val="22"/>
          <w:lang w:val="en-AU" w:eastAsia="en-AU"/>
        </w:rPr>
        <w:t>neonatal</w:t>
      </w:r>
      <w:r w:rsidRPr="00990C8B">
        <w:rPr>
          <w:szCs w:val="22"/>
          <w:lang w:val="en-AU" w:eastAsia="en-AU"/>
        </w:rPr>
        <w:t xml:space="preserve"> rats at doses up to 5000 mg/kg bw/day, or in older rats at doses </w:t>
      </w:r>
      <w:r>
        <w:rPr>
          <w:szCs w:val="22"/>
          <w:lang w:val="en-AU" w:eastAsia="en-AU"/>
        </w:rPr>
        <w:t>&gt;</w:t>
      </w:r>
      <w:r w:rsidRPr="00990C8B">
        <w:rPr>
          <w:szCs w:val="22"/>
          <w:lang w:val="en-AU" w:eastAsia="en-AU"/>
        </w:rPr>
        <w:t xml:space="preserve"> </w:t>
      </w:r>
      <w:r>
        <w:rPr>
          <w:szCs w:val="22"/>
          <w:lang w:val="en-AU" w:eastAsia="en-AU"/>
        </w:rPr>
        <w:t>7000</w:t>
      </w:r>
      <w:r w:rsidRPr="00990C8B">
        <w:rPr>
          <w:szCs w:val="22"/>
          <w:lang w:val="en-AU" w:eastAsia="en-AU"/>
        </w:rPr>
        <w:t xml:space="preserve"> mg/kg bw/day. </w:t>
      </w:r>
      <w:r>
        <w:rPr>
          <w:szCs w:val="22"/>
          <w:lang w:val="en-AU" w:eastAsia="en-AU"/>
        </w:rPr>
        <w:t>Three</w:t>
      </w:r>
      <w:r w:rsidRPr="00990C8B">
        <w:rPr>
          <w:szCs w:val="22"/>
          <w:lang w:val="en-AU" w:eastAsia="en-AU"/>
        </w:rPr>
        <w:t>-week stud</w:t>
      </w:r>
      <w:r>
        <w:rPr>
          <w:szCs w:val="22"/>
          <w:lang w:val="en-AU" w:eastAsia="en-AU"/>
        </w:rPr>
        <w:t>ies</w:t>
      </w:r>
      <w:r w:rsidRPr="00990C8B">
        <w:rPr>
          <w:szCs w:val="22"/>
          <w:lang w:val="en-AU" w:eastAsia="en-AU"/>
        </w:rPr>
        <w:t xml:space="preserve"> with neonatal piglets administered formula containing </w:t>
      </w:r>
      <w:r>
        <w:rPr>
          <w:szCs w:val="22"/>
          <w:lang w:val="en-AU" w:eastAsia="en-AU"/>
        </w:rPr>
        <w:t>2′-</w:t>
      </w:r>
      <w:r w:rsidRPr="00990C8B">
        <w:rPr>
          <w:szCs w:val="22"/>
          <w:lang w:val="en-AU" w:eastAsia="en-AU"/>
        </w:rPr>
        <w:t xml:space="preserve">FL at concentrations up to </w:t>
      </w:r>
      <w:r>
        <w:rPr>
          <w:szCs w:val="22"/>
          <w:lang w:val="en-AU" w:eastAsia="en-AU"/>
        </w:rPr>
        <w:t>4</w:t>
      </w:r>
      <w:r w:rsidRPr="00990C8B">
        <w:rPr>
          <w:szCs w:val="22"/>
          <w:lang w:val="en-AU" w:eastAsia="en-AU"/>
        </w:rPr>
        <w:t xml:space="preserve"> g/L also found no adverse effects. </w:t>
      </w:r>
      <w:r w:rsidRPr="00990C8B">
        <w:rPr>
          <w:lang w:val="en-AU"/>
        </w:rPr>
        <w:t xml:space="preserve">In human studies, infant formula supplemented with 2′-FL was well tolerated with </w:t>
      </w:r>
      <w:r w:rsidRPr="00990C8B">
        <w:t>no significant increases in adverse events. 2′-FL was also well tolerated in studies with children and adults.</w:t>
      </w:r>
    </w:p>
    <w:p w14:paraId="4B262EB7" w14:textId="2992F669" w:rsidR="007033A6" w:rsidRDefault="00307759" w:rsidP="00307759">
      <w:pPr>
        <w:rPr>
          <w:lang w:val="en-AU"/>
        </w:rPr>
      </w:pPr>
      <w:r>
        <w:rPr>
          <w:lang w:val="en-AU"/>
        </w:rPr>
        <w:t>Protein was not detected in the 2′-FL</w:t>
      </w:r>
      <w:r>
        <w:rPr>
          <w:vertAlign w:val="subscript"/>
          <w:lang w:val="en-AU"/>
        </w:rPr>
        <w:t xml:space="preserve"> </w:t>
      </w:r>
      <w:r>
        <w:rPr>
          <w:lang w:val="en-AU"/>
        </w:rPr>
        <w:t xml:space="preserve">product, therefore 2′-FL is unlikely to pose an allergenicity concern. </w:t>
      </w:r>
    </w:p>
    <w:p w14:paraId="14BDAD4A" w14:textId="78628F8D" w:rsidR="0044668F" w:rsidRPr="00990C8B" w:rsidRDefault="001D09C2" w:rsidP="0044668F">
      <w:pPr>
        <w:rPr>
          <w:rFonts w:cs="Arial"/>
          <w:iCs/>
          <w:lang w:val="en-AU" w:eastAsia="en-GB"/>
        </w:rPr>
      </w:pPr>
      <w:r>
        <w:rPr>
          <w:rFonts w:cs="Arial"/>
          <w:iCs/>
          <w:lang w:val="en-AU" w:eastAsia="en-GB"/>
        </w:rPr>
        <w:t xml:space="preserve">Based on the available information from feeding studies, a nutritional assessment </w:t>
      </w:r>
      <w:r w:rsidR="0044668F" w:rsidRPr="00990C8B">
        <w:rPr>
          <w:rFonts w:cs="Arial"/>
          <w:iCs/>
          <w:lang w:val="en-AU" w:eastAsia="en-GB"/>
        </w:rPr>
        <w:t xml:space="preserve">found </w:t>
      </w:r>
      <w:r>
        <w:rPr>
          <w:rFonts w:cs="Arial"/>
          <w:iCs/>
          <w:lang w:val="en-AU" w:eastAsia="en-GB"/>
        </w:rPr>
        <w:t>no</w:t>
      </w:r>
      <w:r w:rsidR="0044668F" w:rsidRPr="00990C8B">
        <w:rPr>
          <w:rFonts w:cs="Arial"/>
          <w:iCs/>
          <w:lang w:val="en-AU" w:eastAsia="en-GB"/>
        </w:rPr>
        <w:t xml:space="preserve"> difference in growth </w:t>
      </w:r>
      <w:r w:rsidR="00C26F51">
        <w:rPr>
          <w:rFonts w:cs="Arial"/>
          <w:iCs/>
          <w:lang w:val="en-AU" w:eastAsia="en-GB"/>
        </w:rPr>
        <w:t xml:space="preserve">for infants </w:t>
      </w:r>
      <w:r w:rsidR="00C26F51">
        <w:rPr>
          <w:lang w:val="en-AU" w:eastAsia="en-AU" w:bidi="ar-SA"/>
        </w:rPr>
        <w:t>fed formula with</w:t>
      </w:r>
      <w:r w:rsidR="00C26F51" w:rsidRPr="001E641B">
        <w:rPr>
          <w:lang w:val="en-AU" w:eastAsia="en-AU" w:bidi="ar-SA"/>
        </w:rPr>
        <w:t xml:space="preserve"> </w:t>
      </w:r>
      <w:r w:rsidR="00C26F51">
        <w:rPr>
          <w:lang w:val="en-AU" w:eastAsia="en-AU" w:bidi="ar-SA"/>
        </w:rPr>
        <w:t>2′-</w:t>
      </w:r>
      <w:r w:rsidR="00C26F51" w:rsidRPr="001E641B">
        <w:rPr>
          <w:lang w:val="en-AU" w:eastAsia="en-AU" w:bidi="ar-SA"/>
        </w:rPr>
        <w:t>FL</w:t>
      </w:r>
      <w:r w:rsidR="00C26F51" w:rsidRPr="00990C8B">
        <w:rPr>
          <w:rFonts w:cs="Arial"/>
          <w:iCs/>
          <w:lang w:val="en-AU" w:eastAsia="en-GB"/>
        </w:rPr>
        <w:t xml:space="preserve"> </w:t>
      </w:r>
      <w:r w:rsidR="0044668F" w:rsidRPr="00990C8B">
        <w:rPr>
          <w:rFonts w:cs="Arial"/>
          <w:iCs/>
          <w:lang w:val="en-AU" w:eastAsia="en-GB"/>
        </w:rPr>
        <w:t xml:space="preserve">compared to a control formula. </w:t>
      </w:r>
      <w:r w:rsidR="00C26F51">
        <w:rPr>
          <w:lang w:val="en-AU"/>
        </w:rPr>
        <w:t xml:space="preserve">Combined with </w:t>
      </w:r>
      <w:r w:rsidR="0044668F" w:rsidRPr="00990C8B">
        <w:rPr>
          <w:lang w:val="en-AU"/>
        </w:rPr>
        <w:t>the limited gastrointestinal absorption of 2′-FL, there is no evidence to indicate a nutritional concern at concentrations that are typically observed in human milk.</w:t>
      </w:r>
    </w:p>
    <w:p w14:paraId="0CEAA1B8" w14:textId="288F8BF7" w:rsidR="0044668F" w:rsidRPr="00C52781" w:rsidRDefault="0044668F" w:rsidP="0044668F">
      <w:pPr>
        <w:rPr>
          <w:lang w:val="en-AU"/>
        </w:rPr>
      </w:pPr>
      <w:r>
        <w:rPr>
          <w:lang w:val="en-AU"/>
        </w:rPr>
        <w:t xml:space="preserve">An assessment of the proposed </w:t>
      </w:r>
      <w:r w:rsidRPr="00802394">
        <w:rPr>
          <w:lang w:val="en-AU"/>
        </w:rPr>
        <w:t>beneficial role</w:t>
      </w:r>
      <w:r>
        <w:rPr>
          <w:lang w:val="en-AU"/>
        </w:rPr>
        <w:t xml:space="preserve"> of 2′-FL</w:t>
      </w:r>
      <w:r w:rsidRPr="00802394">
        <w:rPr>
          <w:lang w:val="en-AU"/>
        </w:rPr>
        <w:t xml:space="preserve"> in the normal growth and development of infants or children</w:t>
      </w:r>
      <w:r>
        <w:rPr>
          <w:lang w:val="en-AU"/>
        </w:rPr>
        <w:t xml:space="preserve"> concluded that there was evidence to support a bifidogenic effect and inhibition of infection by pathogenic strains of </w:t>
      </w:r>
      <w:r w:rsidRPr="00802394">
        <w:rPr>
          <w:i/>
          <w:lang w:val="en-AU"/>
        </w:rPr>
        <w:t>Campylobacter jejuni</w:t>
      </w:r>
      <w:r>
        <w:rPr>
          <w:lang w:val="en-AU"/>
        </w:rPr>
        <w:t>.</w:t>
      </w:r>
    </w:p>
    <w:p w14:paraId="1A6A3431" w14:textId="6155C2CD" w:rsidR="00E06FDF" w:rsidRPr="00C52781" w:rsidRDefault="00E06FDF" w:rsidP="00E06FDF">
      <w:pPr>
        <w:rPr>
          <w:i/>
          <w:lang w:eastAsia="en-AU" w:bidi="ar-SA"/>
        </w:rPr>
      </w:pPr>
      <w:r w:rsidRPr="00C52781">
        <w:rPr>
          <w:i/>
        </w:rPr>
        <w:t>In vitro</w:t>
      </w:r>
      <w:r w:rsidRPr="00C52781">
        <w:t xml:space="preserve"> studies clearly showed specific strains of </w:t>
      </w:r>
      <w:r w:rsidR="00FD2018">
        <w:rPr>
          <w:bCs/>
          <w:i/>
        </w:rPr>
        <w:t>Bifidobacterium</w:t>
      </w:r>
      <w:r w:rsidRPr="00C52781">
        <w:t xml:space="preserve"> can metabolise </w:t>
      </w:r>
      <w:r w:rsidR="00F25E51" w:rsidRPr="00C52781">
        <w:t>2′-</w:t>
      </w:r>
      <w:r w:rsidRPr="00C52781">
        <w:t xml:space="preserve">FL, providing these organisms a selective growth advantage. Studies examining the </w:t>
      </w:r>
      <w:r w:rsidR="00901242">
        <w:t>faecal microbiome</w:t>
      </w:r>
      <w:r w:rsidRPr="00C52781">
        <w:t xml:space="preserve"> </w:t>
      </w:r>
      <w:r w:rsidR="00802394">
        <w:t>of</w:t>
      </w:r>
      <w:r w:rsidRPr="00C52781">
        <w:t xml:space="preserve"> breastfed infants</w:t>
      </w:r>
      <w:r>
        <w:t xml:space="preserve"> </w:t>
      </w:r>
      <w:r w:rsidR="00802394">
        <w:t>of</w:t>
      </w:r>
      <w:r w:rsidRPr="00C52781">
        <w:t xml:space="preserve"> mothers of known </w:t>
      </w:r>
      <w:r w:rsidR="00F25E51" w:rsidRPr="00C52781">
        <w:t>2′-</w:t>
      </w:r>
      <w:r w:rsidRPr="00C52781">
        <w:t xml:space="preserve">FL secretor status corroborate the </w:t>
      </w:r>
      <w:r w:rsidRPr="00C52781">
        <w:rPr>
          <w:i/>
        </w:rPr>
        <w:t>in</w:t>
      </w:r>
      <w:r w:rsidRPr="00C52781">
        <w:t xml:space="preserve"> </w:t>
      </w:r>
      <w:r w:rsidRPr="00C52781">
        <w:rPr>
          <w:i/>
        </w:rPr>
        <w:t>vitro</w:t>
      </w:r>
      <w:r w:rsidRPr="00C52781">
        <w:t xml:space="preserve"> studies, demonstrating the growth advantage afforded to </w:t>
      </w:r>
      <w:r w:rsidR="00FD2018" w:rsidRPr="00FD2018">
        <w:t>b</w:t>
      </w:r>
      <w:r w:rsidRPr="00FD2018">
        <w:t>ifidobacteria</w:t>
      </w:r>
      <w:r w:rsidRPr="00C52781">
        <w:t xml:space="preserve"> when fucosylated oligosaccharides, including </w:t>
      </w:r>
      <w:r w:rsidR="00F25E51" w:rsidRPr="00C52781">
        <w:t>2′-</w:t>
      </w:r>
      <w:r w:rsidRPr="00C52781">
        <w:t xml:space="preserve">FL, are present in the infant diet. Similarly, a feeding study performed in adults showed that </w:t>
      </w:r>
      <w:r w:rsidR="00F25E51" w:rsidRPr="00C52781">
        <w:t>2′-</w:t>
      </w:r>
      <w:r w:rsidRPr="00C52781">
        <w:t xml:space="preserve">FL supplementation resulted in increased relative abundance </w:t>
      </w:r>
      <w:r w:rsidRPr="00C52781">
        <w:rPr>
          <w:i/>
        </w:rPr>
        <w:t>of Bifodobacterium</w:t>
      </w:r>
      <w:r w:rsidRPr="00C52781">
        <w:t xml:space="preserve">. The data from these studies supports the likelihood that </w:t>
      </w:r>
      <w:r w:rsidR="00F25E51" w:rsidRPr="00C52781">
        <w:t>2′-</w:t>
      </w:r>
      <w:r w:rsidRPr="00C52781">
        <w:t>FL has a bifidogenic effect</w:t>
      </w:r>
      <w:r w:rsidR="00802394">
        <w:t xml:space="preserve"> in infants</w:t>
      </w:r>
      <w:r w:rsidR="001354F4">
        <w:t xml:space="preserve"> and young children</w:t>
      </w:r>
      <w:r w:rsidR="005F0EA9">
        <w:t>.</w:t>
      </w:r>
    </w:p>
    <w:p w14:paraId="4E029E13" w14:textId="05631925" w:rsidR="00C15D46" w:rsidRDefault="00802394" w:rsidP="00C15D46">
      <w:r>
        <w:t>Available evidence</w:t>
      </w:r>
      <w:r w:rsidR="00E06FDF" w:rsidRPr="00C52781">
        <w:t xml:space="preserve"> supports the likelihood that 2′-FL </w:t>
      </w:r>
      <w:r w:rsidR="008B7337">
        <w:t>can bind</w:t>
      </w:r>
      <w:r w:rsidR="008B7337" w:rsidRPr="00C52781">
        <w:t xml:space="preserve"> </w:t>
      </w:r>
      <w:r w:rsidR="00E06FDF" w:rsidRPr="00C52781">
        <w:t xml:space="preserve">to invasive strains of </w:t>
      </w:r>
      <w:r w:rsidR="008B7337">
        <w:rPr>
          <w:i/>
        </w:rPr>
        <w:t>C.</w:t>
      </w:r>
      <w:r w:rsidR="008B7337" w:rsidRPr="00C52781">
        <w:rPr>
          <w:i/>
        </w:rPr>
        <w:t xml:space="preserve"> </w:t>
      </w:r>
      <w:r w:rsidR="00E06FDF" w:rsidRPr="00C52781">
        <w:rPr>
          <w:i/>
        </w:rPr>
        <w:t>jejuni</w:t>
      </w:r>
      <w:r w:rsidR="008B7337">
        <w:t xml:space="preserve">, </w:t>
      </w:r>
      <w:r w:rsidR="00E06FDF" w:rsidRPr="00C52781">
        <w:t>prevent</w:t>
      </w:r>
      <w:r w:rsidR="008B7337">
        <w:t>ing</w:t>
      </w:r>
      <w:r w:rsidR="00E06FDF" w:rsidRPr="00C52781">
        <w:t xml:space="preserve"> attachment and subsequent infection and pathogenesis. The mechanism of action was established in an </w:t>
      </w:r>
      <w:r w:rsidR="00E06FDF" w:rsidRPr="00C52781">
        <w:rPr>
          <w:i/>
        </w:rPr>
        <w:t>in vitro</w:t>
      </w:r>
      <w:r w:rsidR="00E06FDF" w:rsidRPr="00C52781">
        <w:t xml:space="preserve"> study </w:t>
      </w:r>
      <w:r w:rsidR="008B7337">
        <w:t>which showed that</w:t>
      </w:r>
      <w:r w:rsidR="008B7337" w:rsidRPr="00C52781">
        <w:t xml:space="preserve"> </w:t>
      </w:r>
      <w:r w:rsidR="00E06FDF" w:rsidRPr="00C52781">
        <w:rPr>
          <w:rFonts w:cs="Arial"/>
        </w:rPr>
        <w:t>α</w:t>
      </w:r>
      <w:r w:rsidR="00E06FDF" w:rsidRPr="00C52781">
        <w:t>1,2-</w:t>
      </w:r>
      <w:r w:rsidR="00E06FDF" w:rsidRPr="00C52781">
        <w:lastRenderedPageBreak/>
        <w:t xml:space="preserve">fucosylated oligosaccharides, including </w:t>
      </w:r>
      <w:r w:rsidR="00F25E51" w:rsidRPr="00C52781">
        <w:t>2′-</w:t>
      </w:r>
      <w:r w:rsidR="00E06FDF" w:rsidRPr="00C52781">
        <w:t xml:space="preserve">FL, specifically inhibit attachment of invasive </w:t>
      </w:r>
      <w:r w:rsidR="00E06FDF" w:rsidRPr="00C52781">
        <w:rPr>
          <w:i/>
        </w:rPr>
        <w:t>C. jejuni</w:t>
      </w:r>
      <w:r w:rsidR="00E06FDF" w:rsidRPr="00C52781">
        <w:t xml:space="preserve"> to the intestinal H2 antigen binding receptor. The plausibility of this anti-infective health effect occurring in infants was demonstrated in an </w:t>
      </w:r>
      <w:r w:rsidR="00E06FDF" w:rsidRPr="00C52781">
        <w:rPr>
          <w:i/>
        </w:rPr>
        <w:t>in vivo</w:t>
      </w:r>
      <w:r w:rsidR="00E06FDF" w:rsidRPr="00C52781">
        <w:t xml:space="preserve"> murine model. Animals supplemented with </w:t>
      </w:r>
      <w:r w:rsidR="00F25E51" w:rsidRPr="00C52781">
        <w:t>2′-</w:t>
      </w:r>
      <w:r w:rsidR="00E06FDF" w:rsidRPr="00C52781">
        <w:t xml:space="preserve">FL and challenged with invasive </w:t>
      </w:r>
      <w:r w:rsidR="00E06FDF" w:rsidRPr="00C52781">
        <w:rPr>
          <w:i/>
        </w:rPr>
        <w:t>C. jejuni</w:t>
      </w:r>
      <w:r w:rsidR="00E06FDF" w:rsidRPr="00C52781">
        <w:t xml:space="preserve"> showed decreased intestinal infection, invasiveness and disease severity. </w:t>
      </w:r>
      <w:r w:rsidR="008B7337">
        <w:rPr>
          <w:lang w:eastAsia="en-AU" w:bidi="ar-SA"/>
        </w:rPr>
        <w:t>A</w:t>
      </w:r>
      <w:r w:rsidR="00E06FDF" w:rsidRPr="00C52781">
        <w:rPr>
          <w:lang w:eastAsia="en-AU" w:bidi="ar-SA"/>
        </w:rPr>
        <w:t xml:space="preserve"> human study </w:t>
      </w:r>
      <w:r w:rsidR="00E06FDF" w:rsidRPr="00C52781">
        <w:t xml:space="preserve">showing decreased incidence of </w:t>
      </w:r>
      <w:r w:rsidR="00E06FDF" w:rsidRPr="00C52781">
        <w:rPr>
          <w:i/>
        </w:rPr>
        <w:t>Campylobacter</w:t>
      </w:r>
      <w:r w:rsidR="008B7337">
        <w:t>-</w:t>
      </w:r>
      <w:r w:rsidR="00E06FDF" w:rsidRPr="00C52781">
        <w:t xml:space="preserve">associated diarrhoea in infants </w:t>
      </w:r>
      <w:r w:rsidR="005F0EA9">
        <w:t xml:space="preserve">and young children </w:t>
      </w:r>
      <w:r w:rsidR="00E06FDF" w:rsidRPr="00C52781">
        <w:t xml:space="preserve">of mothers with a higher proportion of 2′-FL in their milk provides additional epidemiological evidence of </w:t>
      </w:r>
      <w:r w:rsidR="00F25E51" w:rsidRPr="00C52781">
        <w:t>2′-</w:t>
      </w:r>
      <w:r w:rsidR="00E06FDF" w:rsidRPr="00C52781">
        <w:t>FL having an anti-infective health effect.</w:t>
      </w:r>
    </w:p>
    <w:p w14:paraId="6A3D19C2" w14:textId="26DD27B2" w:rsidR="00C15D46" w:rsidRDefault="00C15D46" w:rsidP="00C15D46">
      <w:r w:rsidRPr="00C52781">
        <w:t xml:space="preserve">FSANZ notes that the Independent Expert Advisory Group (IEAG) for A1155 concluded that there are many different factors in the microbiome which influence infant health, and that it is not possible to determine a linear effect from the presence of one substance in human milk and a specific health outcome. The IEAG advised that FSANZ should focus on specific mechanisms by which health outcomes could be modified by </w:t>
      </w:r>
      <w:r w:rsidR="00F25E51" w:rsidRPr="00C52781">
        <w:t>2′-</w:t>
      </w:r>
      <w:r w:rsidRPr="00C52781">
        <w:t>FL</w:t>
      </w:r>
      <w:r w:rsidR="008369D9">
        <w:t>.</w:t>
      </w:r>
    </w:p>
    <w:p w14:paraId="1A5A923D" w14:textId="1C5C3DEF" w:rsidR="00E06FDF" w:rsidRPr="00DF4D7C" w:rsidRDefault="00E1489B" w:rsidP="00E06FDF">
      <w:pPr>
        <w:rPr>
          <w:lang w:val="en-AU" w:bidi="ar-SA"/>
        </w:rPr>
      </w:pPr>
      <w:r>
        <w:rPr>
          <w:lang w:val="en-AU"/>
        </w:rPr>
        <w:t xml:space="preserve">In summary, </w:t>
      </w:r>
      <w:r w:rsidR="00E06FDF">
        <w:rPr>
          <w:lang w:val="en-AU"/>
        </w:rPr>
        <w:t>2′</w:t>
      </w:r>
      <w:r w:rsidR="00E06FDF" w:rsidRPr="00E41E19">
        <w:rPr>
          <w:lang w:val="en-AU"/>
        </w:rPr>
        <w:t xml:space="preserve">-FL </w:t>
      </w:r>
      <w:r w:rsidR="00E06FDF">
        <w:rPr>
          <w:lang w:val="en-AU"/>
        </w:rPr>
        <w:t>is</w:t>
      </w:r>
      <w:r w:rsidR="00E06FDF" w:rsidRPr="00E41E19">
        <w:rPr>
          <w:lang w:val="en-AU"/>
        </w:rPr>
        <w:t xml:space="preserve"> naturally present in human milk in a range of concentrations, providing a history of safe human exposure for breastfed infants. </w:t>
      </w:r>
      <w:r>
        <w:rPr>
          <w:lang w:val="en-AU"/>
        </w:rPr>
        <w:t>The conclusion from the assessment is</w:t>
      </w:r>
      <w:r w:rsidR="00E06FDF" w:rsidRPr="00E41E19">
        <w:rPr>
          <w:lang w:val="en-AU"/>
        </w:rPr>
        <w:t xml:space="preserve"> there are no public health and safety concerns associated with the addition of </w:t>
      </w:r>
      <w:r w:rsidR="00E06FDF">
        <w:rPr>
          <w:lang w:val="en-AU"/>
        </w:rPr>
        <w:t>2′</w:t>
      </w:r>
      <w:r w:rsidR="00E06FDF" w:rsidRPr="00E41E19">
        <w:rPr>
          <w:lang w:val="en-AU"/>
        </w:rPr>
        <w:t xml:space="preserve">-FL to </w:t>
      </w:r>
      <w:r w:rsidR="00E06FDF">
        <w:rPr>
          <w:lang w:val="en-AU"/>
        </w:rPr>
        <w:t>IFP</w:t>
      </w:r>
      <w:r w:rsidR="00E06FDF" w:rsidRPr="00E41E19">
        <w:rPr>
          <w:lang w:val="en-AU"/>
        </w:rPr>
        <w:t xml:space="preserve"> and FSFYC at the requested level</w:t>
      </w:r>
      <w:r w:rsidR="008369D9">
        <w:rPr>
          <w:lang w:val="en-AU"/>
        </w:rPr>
        <w:t xml:space="preserve"> of 2 g/L</w:t>
      </w:r>
      <w:r w:rsidR="00E06FDF" w:rsidRPr="00E41E19">
        <w:rPr>
          <w:lang w:val="en-AU"/>
        </w:rPr>
        <w:t xml:space="preserve">, or at higher estimated </w:t>
      </w:r>
      <w:r w:rsidR="001D09C2">
        <w:rPr>
          <w:lang w:val="en-AU"/>
        </w:rPr>
        <w:t xml:space="preserve">dietary intakes based on 2.4 g/L, </w:t>
      </w:r>
      <w:r>
        <w:rPr>
          <w:lang w:val="en-AU"/>
        </w:rPr>
        <w:t xml:space="preserve">which is the level already </w:t>
      </w:r>
      <w:r w:rsidR="001D09C2">
        <w:rPr>
          <w:lang w:val="en-AU"/>
        </w:rPr>
        <w:t>permitted in the Code</w:t>
      </w:r>
      <w:r w:rsidR="00E06FDF">
        <w:rPr>
          <w:lang w:val="en-AU"/>
        </w:rPr>
        <w:t>.</w:t>
      </w:r>
    </w:p>
    <w:p w14:paraId="4DD87FCB" w14:textId="77777777" w:rsidR="004604B0" w:rsidRDefault="004604B0">
      <w:pPr>
        <w:rPr>
          <w:b/>
          <w:bCs/>
          <w:sz w:val="36"/>
          <w:szCs w:val="28"/>
          <w:lang w:bidi="ar-SA"/>
        </w:rPr>
      </w:pPr>
      <w:r>
        <w:br w:type="page"/>
      </w:r>
    </w:p>
    <w:p w14:paraId="70494A89" w14:textId="1D013640" w:rsidR="002E6F8B" w:rsidRDefault="002E6F8B" w:rsidP="00994C81">
      <w:pPr>
        <w:pStyle w:val="Heading1"/>
        <w:ind w:left="567" w:hanging="567"/>
      </w:pPr>
      <w:bookmarkStart w:id="244" w:name="_Toc70675704"/>
      <w:bookmarkStart w:id="245" w:name="_Toc70675797"/>
      <w:bookmarkStart w:id="246" w:name="_Toc72480633"/>
      <w:r>
        <w:lastRenderedPageBreak/>
        <w:t>9</w:t>
      </w:r>
      <w:r w:rsidR="00346823">
        <w:t xml:space="preserve"> </w:t>
      </w:r>
      <w:r>
        <w:t>References</w:t>
      </w:r>
      <w:bookmarkEnd w:id="244"/>
      <w:bookmarkEnd w:id="245"/>
      <w:bookmarkEnd w:id="246"/>
    </w:p>
    <w:p w14:paraId="2219E4D4" w14:textId="791F5BD1" w:rsidR="00795FBF" w:rsidRPr="00347A80" w:rsidRDefault="00795FBF" w:rsidP="00224CE5">
      <w:pPr>
        <w:pStyle w:val="CitaviBibliographyEntry"/>
        <w:spacing w:after="120"/>
        <w:ind w:left="0" w:firstLine="0"/>
        <w:rPr>
          <w:sz w:val="20"/>
        </w:rPr>
      </w:pPr>
      <w:r w:rsidRPr="00347A80">
        <w:rPr>
          <w:sz w:val="20"/>
        </w:rPr>
        <w:t>Asakuma S, Urashima T, Akahori M, Obayashi H, Nakamura T, Kimura K, Watanabe Y, Arai I, Sanai Y (2008) Variation of major neutral oligosaccharides levels in human colostrum. Eur J Clin Nutr 62(4):488-494</w:t>
      </w:r>
    </w:p>
    <w:p w14:paraId="407E136E" w14:textId="35235BBD" w:rsidR="001838F9" w:rsidRPr="00347A80" w:rsidRDefault="001838F9" w:rsidP="00224CE5">
      <w:pPr>
        <w:pStyle w:val="CitaviBibliographyEntry"/>
        <w:spacing w:after="120"/>
        <w:ind w:left="0" w:firstLine="0"/>
        <w:rPr>
          <w:sz w:val="20"/>
        </w:rPr>
      </w:pPr>
      <w:r w:rsidRPr="00347A80">
        <w:rPr>
          <w:sz w:val="20"/>
        </w:rPr>
        <w:t>Austin S, Castro CA de, Bénet T, Hou Y, Sun H, Thakkar SK, Vinyes-Pares G, Zhang Y, Wang P (2016) Temporal change of the content of 10 oligosaccharides in the milk of Chinese urban mothers. Nutrients 8</w:t>
      </w:r>
      <w:r w:rsidR="00C141B9" w:rsidRPr="00347A80">
        <w:rPr>
          <w:sz w:val="20"/>
        </w:rPr>
        <w:t>(6)</w:t>
      </w:r>
      <w:r w:rsidR="001E1CB5" w:rsidRPr="00347A80">
        <w:rPr>
          <w:sz w:val="20"/>
        </w:rPr>
        <w:t>:</w:t>
      </w:r>
      <w:r w:rsidR="00795FBF" w:rsidRPr="00347A80">
        <w:rPr>
          <w:sz w:val="20"/>
        </w:rPr>
        <w:t>e</w:t>
      </w:r>
      <w:r w:rsidR="001E1CB5" w:rsidRPr="00347A80">
        <w:rPr>
          <w:sz w:val="20"/>
        </w:rPr>
        <w:t>346</w:t>
      </w:r>
    </w:p>
    <w:p w14:paraId="7F8ECF03" w14:textId="6C596AD5" w:rsidR="004D2AB3" w:rsidRPr="00347A80" w:rsidRDefault="004D2AB3" w:rsidP="00224CE5">
      <w:pPr>
        <w:pStyle w:val="CitaviBibliographyEntry"/>
        <w:spacing w:after="120"/>
        <w:ind w:left="0" w:firstLine="0"/>
        <w:rPr>
          <w:sz w:val="20"/>
        </w:rPr>
      </w:pPr>
      <w:r w:rsidRPr="00347A80">
        <w:rPr>
          <w:sz w:val="20"/>
        </w:rPr>
        <w:t>Azagra-Boronat I, Massot-Cladera M, Knipping K, Van't Land B, Tims S, Stahl B, Knol J, Garssen J, Franch À, Castell M, Pérez-Cano FJ, Rodríguez-Lagunas MJ (2019a) Oligosaccharides modulate rotavirus-associated dysbiosis and TLR gene expression in neonatal rats. Cells 8(8):e876</w:t>
      </w:r>
    </w:p>
    <w:p w14:paraId="38604203" w14:textId="50140483" w:rsidR="004D2AB3" w:rsidRDefault="004D2AB3" w:rsidP="00224CE5">
      <w:pPr>
        <w:pStyle w:val="CitaviBibliographyEntry"/>
        <w:spacing w:after="120"/>
        <w:ind w:left="0" w:firstLine="0"/>
        <w:rPr>
          <w:sz w:val="20"/>
        </w:rPr>
      </w:pPr>
      <w:r w:rsidRPr="00347A80">
        <w:rPr>
          <w:sz w:val="20"/>
        </w:rPr>
        <w:t>Azagra-Boronat I, Massot-Cladera M, Mayneris-Perxachs J, Knipping K, Van't Land B, Tims S, Stahl B, Garssen J, Franch À, Castell M, Rodríguez-Lagunas MJ, Pérez-Cano FJ (2019b) Immunomodulatory and prebiotic effects of 2'-fucosyllactose in suckling rats. Front Immunol 10:e1773</w:t>
      </w:r>
    </w:p>
    <w:p w14:paraId="0BB289FD" w14:textId="36C7B13E" w:rsidR="00732030" w:rsidRDefault="00732030" w:rsidP="00224CE5">
      <w:pPr>
        <w:pStyle w:val="CitaviBibliographyEntry"/>
        <w:spacing w:after="120"/>
        <w:ind w:left="0" w:firstLine="0"/>
        <w:rPr>
          <w:sz w:val="20"/>
        </w:rPr>
      </w:pPr>
      <w:r w:rsidRPr="00732030">
        <w:rPr>
          <w:sz w:val="20"/>
        </w:rPr>
        <w:t>Berger PK, Plows JF, Jones RB, Alderete TL, Yonemitsu C, Poulse</w:t>
      </w:r>
      <w:r w:rsidR="00E90EA3">
        <w:rPr>
          <w:sz w:val="20"/>
        </w:rPr>
        <w:t xml:space="preserve">n M, Ryoo JH, Peterson BS, Bode </w:t>
      </w:r>
      <w:r w:rsidRPr="00732030">
        <w:rPr>
          <w:sz w:val="20"/>
        </w:rPr>
        <w:t>L, Goran MI</w:t>
      </w:r>
      <w:r>
        <w:rPr>
          <w:sz w:val="20"/>
        </w:rPr>
        <w:t xml:space="preserve"> (2020)</w:t>
      </w:r>
      <w:r w:rsidRPr="00732030">
        <w:rPr>
          <w:sz w:val="20"/>
        </w:rPr>
        <w:t xml:space="preserve"> </w:t>
      </w:r>
      <w:r w:rsidR="00F36723" w:rsidRPr="00F36723">
        <w:rPr>
          <w:sz w:val="20"/>
        </w:rPr>
        <w:t>Human milk oligosaccharide 2'-fucosyllactose links feedings at 1 month to cognitive development at 24 months in infants of normal and overweight mothers</w:t>
      </w:r>
      <w:r w:rsidR="00F36723">
        <w:rPr>
          <w:sz w:val="20"/>
        </w:rPr>
        <w:t xml:space="preserve">. </w:t>
      </w:r>
      <w:r w:rsidRPr="00732030">
        <w:rPr>
          <w:sz w:val="20"/>
        </w:rPr>
        <w:t>PLoS One</w:t>
      </w:r>
      <w:r w:rsidR="00F36723">
        <w:rPr>
          <w:sz w:val="20"/>
        </w:rPr>
        <w:t xml:space="preserve"> </w:t>
      </w:r>
      <w:r w:rsidRPr="00732030">
        <w:rPr>
          <w:sz w:val="20"/>
        </w:rPr>
        <w:t>15(2):e0228323</w:t>
      </w:r>
    </w:p>
    <w:p w14:paraId="534EE579" w14:textId="5ADA81CD" w:rsidR="005B28ED" w:rsidRPr="00347A80" w:rsidRDefault="005B28ED" w:rsidP="00224CE5">
      <w:pPr>
        <w:pStyle w:val="CitaviBibliographyEntry"/>
        <w:spacing w:after="120"/>
        <w:ind w:left="0" w:firstLine="0"/>
        <w:rPr>
          <w:sz w:val="20"/>
        </w:rPr>
      </w:pPr>
      <w:r w:rsidRPr="00347A80">
        <w:rPr>
          <w:sz w:val="20"/>
        </w:rPr>
        <w:t>Bienenstock J, Buck RH, Linke H, Forsythe P, Stanisz AM, Kunze WA (2013) Fucosylated but not sialylated milk oligosaccharides diminish colon motor contractions. PLoS One 8(10):e76236</w:t>
      </w:r>
    </w:p>
    <w:p w14:paraId="3E1DFD3F" w14:textId="0ACFEB29" w:rsidR="001E74E1" w:rsidRPr="00347A80" w:rsidRDefault="001E74E1" w:rsidP="00224CE5">
      <w:pPr>
        <w:pStyle w:val="CitaviBibliographyEntry"/>
        <w:spacing w:after="120"/>
        <w:ind w:left="0" w:firstLine="0"/>
        <w:rPr>
          <w:sz w:val="20"/>
        </w:rPr>
      </w:pPr>
      <w:r w:rsidRPr="00347A80">
        <w:rPr>
          <w:sz w:val="20"/>
        </w:rPr>
        <w:t>Borewicz K, Gu F, Saccenti E, Arts ICW, Penders J, Thijs C, van Leeuwen SS, Lindner C, Nauta A, van Leusen E, Schols HA, Smidt H (2019) Correlating infant faecal microbiota composition and human milk oligosaccharide consumption by microbiota of one-month old breastfed infants. Mol Nutr Food Res 63(13):e1801214</w:t>
      </w:r>
    </w:p>
    <w:p w14:paraId="711E1F78" w14:textId="7916C897" w:rsidR="00342C21" w:rsidRPr="00347A80" w:rsidRDefault="00342C21" w:rsidP="00224CE5">
      <w:pPr>
        <w:pStyle w:val="CitaviBibliographyEntry"/>
        <w:spacing w:after="120"/>
        <w:ind w:left="0" w:firstLine="0"/>
        <w:rPr>
          <w:sz w:val="20"/>
        </w:rPr>
      </w:pPr>
      <w:r w:rsidRPr="00347A80">
        <w:rPr>
          <w:sz w:val="20"/>
        </w:rPr>
        <w:t>Boyd SD, Jackson KJL (2015) Predicting vaccine responsiveness. Cell Host Microbe 17(3):301-307</w:t>
      </w:r>
    </w:p>
    <w:p w14:paraId="1C75B4A3" w14:textId="1FC887CD" w:rsidR="00775BD4" w:rsidRPr="00347A80" w:rsidRDefault="00775BD4" w:rsidP="00224CE5">
      <w:pPr>
        <w:pStyle w:val="CitaviBibliographyEntry"/>
        <w:spacing w:after="120"/>
        <w:ind w:left="0" w:firstLine="0"/>
        <w:rPr>
          <w:sz w:val="20"/>
        </w:rPr>
      </w:pPr>
      <w:r w:rsidRPr="00347A80">
        <w:rPr>
          <w:sz w:val="20"/>
        </w:rPr>
        <w:t>Castillo-Courtade L, Han S, Lee S, Mian FM, Buck R, Forsythe P (2015) Attenuation of food allergy symptoms following treatment with human milk oligosaccharides in a mouse model. Allergy 70:1091–1102</w:t>
      </w:r>
    </w:p>
    <w:p w14:paraId="6D03B40B" w14:textId="0ADF1235" w:rsidR="001838F9" w:rsidRPr="00347A80" w:rsidRDefault="001838F9" w:rsidP="00224CE5">
      <w:pPr>
        <w:pStyle w:val="CitaviBibliographyEntry"/>
        <w:spacing w:after="120"/>
        <w:ind w:left="0" w:firstLine="0"/>
        <w:rPr>
          <w:sz w:val="20"/>
        </w:rPr>
      </w:pPr>
      <w:r w:rsidRPr="00347A80">
        <w:rPr>
          <w:sz w:val="20"/>
        </w:rPr>
        <w:t>Chaturvedi P, Warren CD, Buescher CR, Pickering LK, Newburg DS (2001) Survival of Human Milk Oligosaccharides in the Intestine of Infants. In: Newburg DS (ed) Bioactive Components of Human Milk, vol 501. Springer US, Boston, MA, pp 315–323</w:t>
      </w:r>
    </w:p>
    <w:p w14:paraId="525ECD31" w14:textId="14095A98" w:rsidR="005B28ED" w:rsidRPr="00347A80" w:rsidRDefault="005B28ED" w:rsidP="00224CE5">
      <w:pPr>
        <w:pStyle w:val="CitaviBibliographyEntry"/>
        <w:spacing w:after="120"/>
        <w:ind w:left="0" w:firstLine="0"/>
        <w:rPr>
          <w:sz w:val="20"/>
        </w:rPr>
      </w:pPr>
      <w:r w:rsidRPr="00347A80">
        <w:rPr>
          <w:sz w:val="20"/>
        </w:rPr>
        <w:t xml:space="preserve">Coppa GV, Zampini L, Galeazzi T, Facinelli B, Ferrante L, Capretti R, Orazio G (2006) Human milk oligosaccharides inhibit the adhesion to Caco-2 cells of diarrheal pathogens: </w:t>
      </w:r>
      <w:r w:rsidRPr="00347A80">
        <w:rPr>
          <w:i/>
          <w:sz w:val="20"/>
        </w:rPr>
        <w:t>Escherichia coli</w:t>
      </w:r>
      <w:r w:rsidRPr="00347A80">
        <w:rPr>
          <w:sz w:val="20"/>
        </w:rPr>
        <w:t xml:space="preserve">, </w:t>
      </w:r>
      <w:r w:rsidRPr="00347A80">
        <w:rPr>
          <w:i/>
          <w:sz w:val="20"/>
        </w:rPr>
        <w:t>Vibrio cholerae</w:t>
      </w:r>
      <w:r w:rsidRPr="00347A80">
        <w:rPr>
          <w:sz w:val="20"/>
        </w:rPr>
        <w:t xml:space="preserve">, and </w:t>
      </w:r>
      <w:r w:rsidRPr="00347A80">
        <w:rPr>
          <w:i/>
          <w:sz w:val="20"/>
        </w:rPr>
        <w:t>Salmonella fyris</w:t>
      </w:r>
      <w:r w:rsidRPr="00347A80">
        <w:rPr>
          <w:sz w:val="20"/>
        </w:rPr>
        <w:t>. Pediatr Res 59:377–382</w:t>
      </w:r>
    </w:p>
    <w:p w14:paraId="2A443123" w14:textId="77777777" w:rsidR="004F4BE5" w:rsidRPr="00347A80" w:rsidRDefault="004F4BE5" w:rsidP="00224CE5">
      <w:pPr>
        <w:spacing w:after="120"/>
        <w:rPr>
          <w:sz w:val="20"/>
          <w:szCs w:val="20"/>
        </w:rPr>
      </w:pPr>
      <w:r w:rsidRPr="00347A80">
        <w:rPr>
          <w:sz w:val="20"/>
          <w:szCs w:val="20"/>
        </w:rPr>
        <w:t xml:space="preserve">Daegelen P, Studier FW, Lenski RE, Cure S, Kim JF (2009) Tracing ancestors and relatives of </w:t>
      </w:r>
      <w:r w:rsidRPr="00347A80">
        <w:rPr>
          <w:i/>
          <w:sz w:val="20"/>
          <w:szCs w:val="20"/>
        </w:rPr>
        <w:t>Escherichia coli</w:t>
      </w:r>
      <w:r w:rsidRPr="00347A80">
        <w:rPr>
          <w:sz w:val="20"/>
          <w:szCs w:val="20"/>
        </w:rPr>
        <w:t xml:space="preserve"> B, and the derivation of B strains REL606 and BL21(DE3). J Mol Biol 394(4):634-643</w:t>
      </w:r>
    </w:p>
    <w:p w14:paraId="51B21A2F" w14:textId="1F46EBDF" w:rsidR="004E0899" w:rsidRPr="00347A80" w:rsidRDefault="004E0899" w:rsidP="00224CE5">
      <w:pPr>
        <w:spacing w:after="120"/>
        <w:rPr>
          <w:sz w:val="20"/>
          <w:szCs w:val="20"/>
        </w:rPr>
      </w:pPr>
      <w:r w:rsidRPr="00347A80">
        <w:rPr>
          <w:sz w:val="20"/>
          <w:szCs w:val="20"/>
        </w:rPr>
        <w:t>Danforth E Jr, Horton ES, O'Connell M, Sims EA, Burger AG, Ingbar SH, Braverman L, Vagenakis AG (1979) Dietary-induced alterations in thyroid hormone metabolism during overnutrition. J Clin Invest 64:1336-1347</w:t>
      </w:r>
    </w:p>
    <w:p w14:paraId="23B1A70C" w14:textId="108593D3" w:rsidR="004F4BE5" w:rsidRPr="00347A80" w:rsidRDefault="004F4BE5" w:rsidP="00A24ACB">
      <w:pPr>
        <w:spacing w:after="120"/>
        <w:rPr>
          <w:sz w:val="20"/>
          <w:szCs w:val="20"/>
        </w:rPr>
      </w:pPr>
      <w:r w:rsidRPr="00347A80">
        <w:rPr>
          <w:sz w:val="20"/>
          <w:szCs w:val="20"/>
        </w:rPr>
        <w:lastRenderedPageBreak/>
        <w:t>Delbrück M, Luria SE (1942) Interference between bacterial viruses. I. Interference between two bacterial viruses acting upon the same host, and the mechanism of virus</w:t>
      </w:r>
      <w:r w:rsidR="00A24ACB" w:rsidRPr="00347A80">
        <w:rPr>
          <w:sz w:val="20"/>
          <w:szCs w:val="20"/>
        </w:rPr>
        <w:t xml:space="preserve"> growth. Arch Biochem 1:111-141</w:t>
      </w:r>
    </w:p>
    <w:p w14:paraId="39CC976E" w14:textId="343B389E" w:rsidR="00D26ACD" w:rsidRPr="00423719" w:rsidRDefault="001B379F" w:rsidP="00A24ACB">
      <w:pPr>
        <w:pStyle w:val="CitaviBibliographyEntry"/>
        <w:spacing w:after="120"/>
        <w:ind w:left="0" w:firstLine="0"/>
        <w:rPr>
          <w:sz w:val="20"/>
        </w:rPr>
      </w:pPr>
      <w:r w:rsidRPr="00347A80">
        <w:rPr>
          <w:sz w:val="20"/>
        </w:rPr>
        <w:t>EFSA (2015) Scientific opinion on the safety of 2'-O-fucosyllactose as a novel food ingredient pursuant to Regulation (EC) No. 258/97. EFSA Journal 13(7):e4184</w:t>
      </w:r>
      <w:r w:rsidR="0047465A" w:rsidRPr="00347A80">
        <w:rPr>
          <w:sz w:val="20"/>
        </w:rPr>
        <w:t xml:space="preserve"> </w:t>
      </w:r>
      <w:hyperlink r:id="rId37" w:history="1">
        <w:r w:rsidR="00A24ACB" w:rsidRPr="00F73398">
          <w:rPr>
            <w:rStyle w:val="Hyperlink"/>
            <w:sz w:val="20"/>
          </w:rPr>
          <w:t>www.efsa.europa.eu/en/efsajournal/pub/4184</w:t>
        </w:r>
      </w:hyperlink>
      <w:r w:rsidR="00D26ACD" w:rsidRPr="0047465A">
        <w:rPr>
          <w:color w:val="00B050"/>
          <w:sz w:val="20"/>
        </w:rPr>
        <w:t xml:space="preserve"> </w:t>
      </w:r>
    </w:p>
    <w:p w14:paraId="3E49671A" w14:textId="41FA2226" w:rsidR="0047465A" w:rsidRDefault="0047465A" w:rsidP="00A24ACB">
      <w:pPr>
        <w:spacing w:after="120"/>
        <w:rPr>
          <w:sz w:val="20"/>
          <w:szCs w:val="20"/>
        </w:rPr>
      </w:pPr>
      <w:r w:rsidRPr="00347A80">
        <w:rPr>
          <w:sz w:val="20"/>
          <w:szCs w:val="20"/>
        </w:rPr>
        <w:t>EMEA (2008) Guideline on the need for non-clinical testing in juvenile animals of pharmaceuticals for paediatric indications. European Medicines Agency, Amsterdam</w:t>
      </w:r>
      <w:r w:rsidR="00A24ACB" w:rsidRPr="00347A80">
        <w:rPr>
          <w:sz w:val="20"/>
          <w:szCs w:val="20"/>
        </w:rPr>
        <w:t xml:space="preserve"> </w:t>
      </w:r>
      <w:hyperlink r:id="rId38" w:history="1">
        <w:r w:rsidRPr="00D52EAC">
          <w:rPr>
            <w:rStyle w:val="Hyperlink"/>
            <w:sz w:val="20"/>
            <w:szCs w:val="20"/>
          </w:rPr>
          <w:t>www.ema.europa.eu/documents/scientific-guideline/guideline-need-non-clinical-testing-juvenile-animals-pharmaceuticals-paediatric-indications_en.pdf</w:t>
        </w:r>
      </w:hyperlink>
      <w:r>
        <w:rPr>
          <w:sz w:val="20"/>
          <w:szCs w:val="20"/>
        </w:rPr>
        <w:t xml:space="preserve"> </w:t>
      </w:r>
    </w:p>
    <w:p w14:paraId="71623A1E" w14:textId="56E45399" w:rsidR="004F4BE5" w:rsidRPr="00347A80" w:rsidRDefault="004F4BE5" w:rsidP="00A24ACB">
      <w:pPr>
        <w:spacing w:after="120"/>
        <w:rPr>
          <w:sz w:val="20"/>
          <w:szCs w:val="20"/>
        </w:rPr>
      </w:pPr>
      <w:r w:rsidRPr="00347A80">
        <w:rPr>
          <w:sz w:val="20"/>
          <w:szCs w:val="20"/>
        </w:rPr>
        <w:t>Engels L, Elling L (2014) WbgL: a novel bacterial α1,2-fucosyltran</w:t>
      </w:r>
      <w:r w:rsidR="00111241" w:rsidRPr="00347A80">
        <w:rPr>
          <w:sz w:val="20"/>
          <w:szCs w:val="20"/>
        </w:rPr>
        <w:t>sferase for the synthesis of 2'</w:t>
      </w:r>
      <w:r w:rsidR="00111241" w:rsidRPr="00347A80">
        <w:rPr>
          <w:sz w:val="20"/>
          <w:szCs w:val="20"/>
        </w:rPr>
        <w:noBreakHyphen/>
      </w:r>
      <w:r w:rsidRPr="00347A80">
        <w:rPr>
          <w:sz w:val="20"/>
          <w:szCs w:val="20"/>
        </w:rPr>
        <w:t>fucosyllactose. Glycobiology 24(2):170-178</w:t>
      </w:r>
    </w:p>
    <w:p w14:paraId="64C9BA33" w14:textId="1CDFE855" w:rsidR="002D0910" w:rsidRPr="000D1A31" w:rsidRDefault="001838F9" w:rsidP="000D1A31">
      <w:pPr>
        <w:pStyle w:val="CitaviBibliographyEntry"/>
        <w:spacing w:after="120"/>
        <w:ind w:left="0" w:firstLine="0"/>
        <w:rPr>
          <w:sz w:val="20"/>
        </w:rPr>
      </w:pPr>
      <w:r w:rsidRPr="00347A80">
        <w:rPr>
          <w:sz w:val="20"/>
        </w:rPr>
        <w:t>Erney RM, Malone WT, Skelding MB, Marcon AA, Kleman-Leyer KM, O'Ryan ML, Ruiz-Palacios G, Hilty MD, Pickering LK, Prieto PA (2000) Variability of human milk neutral oligosaccharides in a diverse population. J Pediatr Gas</w:t>
      </w:r>
      <w:r w:rsidR="000D1A31">
        <w:rPr>
          <w:sz w:val="20"/>
        </w:rPr>
        <w:t>troenterol Nutr 30:181–192</w:t>
      </w:r>
    </w:p>
    <w:p w14:paraId="3FF77C05" w14:textId="0A727A47" w:rsidR="00C5517A" w:rsidRPr="002D0910" w:rsidRDefault="00C5517A" w:rsidP="00A24ACB">
      <w:pPr>
        <w:pStyle w:val="CitaviBibliographyEntry"/>
        <w:tabs>
          <w:tab w:val="clear" w:pos="397"/>
        </w:tabs>
        <w:spacing w:after="120"/>
        <w:ind w:left="0" w:firstLine="0"/>
        <w:rPr>
          <w:sz w:val="20"/>
        </w:rPr>
      </w:pPr>
      <w:r w:rsidRPr="002D0910">
        <w:rPr>
          <w:sz w:val="20"/>
          <w:szCs w:val="20"/>
        </w:rPr>
        <w:t>FDA (2020) 2'-fucosyllactose: Exempt Infant Formula and Additional Uses. Generally Recognized as</w:t>
      </w:r>
      <w:r w:rsidRPr="002D0910">
        <w:rPr>
          <w:sz w:val="20"/>
        </w:rPr>
        <w:t xml:space="preserve"> Safe Notice (GRN) 929. US Food and Drug Administration, USA. </w:t>
      </w:r>
      <w:hyperlink r:id="rId39" w:history="1">
        <w:r w:rsidR="002D0910" w:rsidRPr="006D7084">
          <w:rPr>
            <w:rStyle w:val="Hyperlink"/>
            <w:sz w:val="20"/>
          </w:rPr>
          <w:t>www.fda.gov/media/142982/download</w:t>
        </w:r>
      </w:hyperlink>
      <w:r w:rsidR="002D0910">
        <w:rPr>
          <w:rStyle w:val="Hyperlink"/>
          <w:color w:val="auto"/>
          <w:sz w:val="20"/>
        </w:rPr>
        <w:t xml:space="preserve"> </w:t>
      </w:r>
      <w:r w:rsidRPr="002D0910">
        <w:rPr>
          <w:sz w:val="20"/>
        </w:rPr>
        <w:t xml:space="preserve"> </w:t>
      </w:r>
    </w:p>
    <w:p w14:paraId="7CF77211" w14:textId="04A220A9" w:rsidR="001C3971" w:rsidRDefault="001C3971" w:rsidP="00A24ACB">
      <w:pPr>
        <w:pStyle w:val="CitaviBibliographyEntry"/>
        <w:spacing w:after="120"/>
        <w:ind w:left="0" w:firstLine="0"/>
        <w:rPr>
          <w:sz w:val="20"/>
        </w:rPr>
      </w:pPr>
      <w:r w:rsidRPr="00347A80">
        <w:rPr>
          <w:rFonts w:cs="Arial"/>
          <w:sz w:val="20"/>
          <w:szCs w:val="20"/>
        </w:rPr>
        <w:t xml:space="preserve">FSAI (2016) Substantial equivalence Opinion: 2’-O-fucosyllactose. Food Safety Authority of Ireland, Dublin, Ireland </w:t>
      </w:r>
      <w:hyperlink r:id="rId40" w:history="1">
        <w:r w:rsidR="001301A8" w:rsidRPr="006D7084">
          <w:rPr>
            <w:rStyle w:val="Hyperlink"/>
            <w:rFonts w:cs="Arial"/>
            <w:sz w:val="20"/>
            <w:szCs w:val="20"/>
          </w:rPr>
          <w:t>www.fsai.ie/uploadedFiles/Science_and_Health/Novel_Foods/Notifications/2016%20Glycom%20Fermented%202'FL.pdf</w:t>
        </w:r>
      </w:hyperlink>
    </w:p>
    <w:p w14:paraId="7DEA0172" w14:textId="30CC9926" w:rsidR="00D26ACD" w:rsidRDefault="00D26ACD" w:rsidP="00A24ACB">
      <w:pPr>
        <w:pStyle w:val="CitaviBibliographyEntry"/>
        <w:ind w:left="0" w:firstLine="0"/>
        <w:rPr>
          <w:sz w:val="20"/>
        </w:rPr>
      </w:pPr>
      <w:r w:rsidRPr="00347A80" w:rsidDel="00CF2D25">
        <w:rPr>
          <w:sz w:val="20"/>
        </w:rPr>
        <w:t xml:space="preserve">FSANZ (2019) Application A1155: </w:t>
      </w:r>
      <w:r w:rsidR="00F25E51" w:rsidRPr="00347A80">
        <w:rPr>
          <w:sz w:val="20"/>
        </w:rPr>
        <w:t>2′-</w:t>
      </w:r>
      <w:r w:rsidRPr="00347A80" w:rsidDel="00CF2D25">
        <w:rPr>
          <w:sz w:val="20"/>
        </w:rPr>
        <w:t>FL and LNnT in infant formula and other products - Supporting Document 1</w:t>
      </w:r>
      <w:r w:rsidR="00891175" w:rsidRPr="00347A80">
        <w:rPr>
          <w:sz w:val="20"/>
        </w:rPr>
        <w:t xml:space="preserve"> at Approval</w:t>
      </w:r>
      <w:r w:rsidRPr="00347A80">
        <w:rPr>
          <w:sz w:val="20"/>
        </w:rPr>
        <w:t>.</w:t>
      </w:r>
      <w:r w:rsidRPr="00347A80" w:rsidDel="00CF2D25">
        <w:rPr>
          <w:sz w:val="20"/>
        </w:rPr>
        <w:t xml:space="preserve"> Food Standards Australia </w:t>
      </w:r>
      <w:r w:rsidR="001C3971" w:rsidRPr="00347A80" w:rsidDel="00CF2D25">
        <w:rPr>
          <w:sz w:val="20"/>
        </w:rPr>
        <w:t>N</w:t>
      </w:r>
      <w:r w:rsidR="00053C19">
        <w:rPr>
          <w:sz w:val="20"/>
        </w:rPr>
        <w:t>ew Zealand, Canberra, Australia</w:t>
      </w:r>
    </w:p>
    <w:p w14:paraId="23981290" w14:textId="13F044AC" w:rsidR="00053C19" w:rsidRDefault="00446FFC" w:rsidP="00A24ACB">
      <w:pPr>
        <w:pStyle w:val="CitaviBibliographyEntry"/>
        <w:spacing w:after="120"/>
        <w:ind w:left="0" w:firstLine="0"/>
        <w:rPr>
          <w:sz w:val="20"/>
        </w:rPr>
      </w:pPr>
      <w:hyperlink r:id="rId41" w:history="1">
        <w:r w:rsidR="00053C19" w:rsidRPr="006D7084">
          <w:rPr>
            <w:rStyle w:val="Hyperlink"/>
            <w:sz w:val="20"/>
          </w:rPr>
          <w:t>www.foodstandards.gov.au/code/applications/Documents/A1155%20SD1%20at%20approval.pdf</w:t>
        </w:r>
      </w:hyperlink>
    </w:p>
    <w:p w14:paraId="4E74E37C" w14:textId="63C25837" w:rsidR="00D26ACD" w:rsidRPr="00347A80" w:rsidRDefault="00D26ACD" w:rsidP="00A24ACB">
      <w:pPr>
        <w:pStyle w:val="CitaviBibliographyEntry"/>
        <w:spacing w:after="120"/>
        <w:ind w:left="0" w:firstLine="0"/>
        <w:rPr>
          <w:sz w:val="20"/>
        </w:rPr>
      </w:pPr>
      <w:r w:rsidRPr="00347A80">
        <w:rPr>
          <w:sz w:val="20"/>
        </w:rPr>
        <w:t>Grabarics M, Csernák O, Balogh R, Béni S (2017) Analytical characterization of human milk oligosaccharides – potential applications in pharmaceutical analysis. J Pharm Biomed Anal 146:168-178</w:t>
      </w:r>
    </w:p>
    <w:p w14:paraId="0FD3CA59" w14:textId="17D6213D"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Hanlon PR, Thorsrud BA (2014) A 3-week pre-clinical study of 2′-fucosyllactose in farm piglets. Food Chem Toxicol 74:343–348</w:t>
      </w:r>
    </w:p>
    <w:p w14:paraId="4B61A12C" w14:textId="28741FE4" w:rsidR="004F4BE5" w:rsidRPr="00347A80" w:rsidRDefault="004F4BE5" w:rsidP="00A24ACB">
      <w:pPr>
        <w:spacing w:after="120"/>
        <w:rPr>
          <w:sz w:val="20"/>
          <w:szCs w:val="20"/>
        </w:rPr>
      </w:pPr>
      <w:r w:rsidRPr="00347A80">
        <w:rPr>
          <w:sz w:val="20"/>
          <w:szCs w:val="20"/>
        </w:rPr>
        <w:t xml:space="preserve">Jensen BH, Olsen KE, Struve C, Krogfelt KA, Petersen AM (2014) Epidemiology and clinical manifestations of enteroaggregative </w:t>
      </w:r>
      <w:r w:rsidRPr="00347A80">
        <w:rPr>
          <w:i/>
          <w:sz w:val="20"/>
          <w:szCs w:val="20"/>
        </w:rPr>
        <w:t>Escherichia coli</w:t>
      </w:r>
      <w:r w:rsidRPr="00347A80">
        <w:rPr>
          <w:sz w:val="20"/>
          <w:szCs w:val="20"/>
        </w:rPr>
        <w:t>. Clin Micro R 27(3):614-630</w:t>
      </w:r>
    </w:p>
    <w:p w14:paraId="36C9035A" w14:textId="77777777" w:rsidR="004F4BE5" w:rsidRPr="00347A80" w:rsidRDefault="004F4BE5" w:rsidP="00A24ACB">
      <w:pPr>
        <w:spacing w:after="120"/>
        <w:rPr>
          <w:sz w:val="20"/>
          <w:szCs w:val="20"/>
        </w:rPr>
      </w:pPr>
      <w:r w:rsidRPr="00347A80">
        <w:rPr>
          <w:sz w:val="20"/>
          <w:szCs w:val="20"/>
        </w:rPr>
        <w:t xml:space="preserve">Jeong H, Barbe V, Lee CH, Vallenet D, Yu DS, Choi SH, Couloux A, Lee SW, Yoon SH, Cattolico L, Hur CG, Park HS, Ségurens B, Kim SC, Oh TK, Lenski RE, Studier FW, Daegelen P, Kim JF (2009) Genome sequences of </w:t>
      </w:r>
      <w:r w:rsidRPr="00347A80">
        <w:rPr>
          <w:i/>
          <w:sz w:val="20"/>
          <w:szCs w:val="20"/>
        </w:rPr>
        <w:t>Escherichia coli</w:t>
      </w:r>
      <w:r w:rsidRPr="00347A80">
        <w:rPr>
          <w:sz w:val="20"/>
          <w:szCs w:val="20"/>
        </w:rPr>
        <w:t xml:space="preserve"> B strains REL606 and BL21(DE3). J Mol Biol 394(4):644-652 </w:t>
      </w:r>
    </w:p>
    <w:p w14:paraId="01BDD242" w14:textId="00886BB9" w:rsidR="004F4BE5" w:rsidRPr="00347A80" w:rsidRDefault="004F4BE5" w:rsidP="00A24ACB">
      <w:pPr>
        <w:spacing w:after="120"/>
        <w:rPr>
          <w:sz w:val="20"/>
          <w:szCs w:val="20"/>
        </w:rPr>
      </w:pPr>
      <w:r w:rsidRPr="00347A80">
        <w:rPr>
          <w:sz w:val="20"/>
          <w:szCs w:val="20"/>
        </w:rPr>
        <w:t xml:space="preserve">Jeong H, Kim HJ, Lee SJ (2015) Complete Genome Sequence of </w:t>
      </w:r>
      <w:r w:rsidRPr="00347A80">
        <w:rPr>
          <w:i/>
          <w:sz w:val="20"/>
          <w:szCs w:val="20"/>
        </w:rPr>
        <w:t>Escherichia coli</w:t>
      </w:r>
      <w:r w:rsidRPr="00347A80">
        <w:rPr>
          <w:sz w:val="20"/>
          <w:szCs w:val="20"/>
        </w:rPr>
        <w:t xml:space="preserve"> Strain BL21. Genome Announc  3(2):e00134-15</w:t>
      </w:r>
    </w:p>
    <w:p w14:paraId="10DCAD45" w14:textId="2A35472A" w:rsidR="00224CE5" w:rsidRPr="00423719" w:rsidRDefault="00224CE5" w:rsidP="00A24ACB">
      <w:pPr>
        <w:pStyle w:val="CitaviBibliographyEntry"/>
        <w:spacing w:after="120"/>
        <w:ind w:left="0" w:firstLine="0"/>
        <w:rPr>
          <w:sz w:val="20"/>
          <w:szCs w:val="20"/>
        </w:rPr>
      </w:pPr>
      <w:r w:rsidRPr="00347A80">
        <w:rPr>
          <w:sz w:val="20"/>
          <w:szCs w:val="20"/>
        </w:rPr>
        <w:t xml:space="preserve">Joint FAO/WHO Food Contamination Monitoring Programme, Global Environment Monitoring System &amp; World Health Organization (1985) Guidelines for the study of dietary intakes of chemical contaminants. prepared under the Joint FAO/WHO Food Contamination Monitoring Programme, in collaboration with the Joint FAO/WHO Food Standards Programme. World Health Organization. </w:t>
      </w:r>
      <w:hyperlink r:id="rId42" w:history="1">
        <w:r w:rsidR="00093B4A" w:rsidRPr="00F73398">
          <w:rPr>
            <w:rStyle w:val="Hyperlink"/>
            <w:sz w:val="20"/>
            <w:szCs w:val="20"/>
          </w:rPr>
          <w:t>apps.who.int/iris/handle/10665/39255</w:t>
        </w:r>
      </w:hyperlink>
      <w:r w:rsidR="00093B4A">
        <w:rPr>
          <w:sz w:val="20"/>
          <w:szCs w:val="20"/>
        </w:rPr>
        <w:t xml:space="preserve"> </w:t>
      </w:r>
      <w:r w:rsidRPr="00093B4A">
        <w:rPr>
          <w:sz w:val="20"/>
          <w:szCs w:val="20"/>
        </w:rPr>
        <w:t xml:space="preserve"> </w:t>
      </w:r>
    </w:p>
    <w:p w14:paraId="21396761" w14:textId="22FF141F" w:rsidR="00176CBB" w:rsidRPr="00347A80" w:rsidRDefault="00176CBB" w:rsidP="00A24ACB">
      <w:pPr>
        <w:spacing w:after="120"/>
        <w:rPr>
          <w:sz w:val="20"/>
          <w:lang w:bidi="ar-SA"/>
        </w:rPr>
      </w:pPr>
      <w:r w:rsidRPr="00347A80">
        <w:rPr>
          <w:sz w:val="20"/>
          <w:lang w:bidi="ar-SA"/>
        </w:rPr>
        <w:lastRenderedPageBreak/>
        <w:t>Kajzer J, Oliver JS, Marriage BJ (2016) Gastrointestinal tolerance of formula supplemented with oligosaccharides. FASEB J 30:Abstract 671.4</w:t>
      </w:r>
    </w:p>
    <w:p w14:paraId="3CFF2245" w14:textId="139874B0" w:rsidR="004E0899" w:rsidRPr="00347A80" w:rsidRDefault="004E0899" w:rsidP="00A24ACB">
      <w:pPr>
        <w:spacing w:after="120"/>
        <w:rPr>
          <w:sz w:val="20"/>
          <w:lang w:bidi="ar-SA"/>
        </w:rPr>
      </w:pPr>
      <w:r w:rsidRPr="00347A80">
        <w:rPr>
          <w:sz w:val="20"/>
          <w:lang w:bidi="ar-SA"/>
        </w:rPr>
        <w:t xml:space="preserve">Kopp W (2004) Nutrition, evolution and thyroid hormone levels - a link to iodine deficiency disorders? Med Hypotheses 62:871-875. </w:t>
      </w:r>
    </w:p>
    <w:p w14:paraId="392BE2A3" w14:textId="123E2192" w:rsidR="00384537" w:rsidRPr="00347A80" w:rsidRDefault="00384537" w:rsidP="00A24ACB">
      <w:pPr>
        <w:spacing w:after="120"/>
        <w:rPr>
          <w:sz w:val="20"/>
          <w:szCs w:val="20"/>
        </w:rPr>
      </w:pPr>
      <w:r w:rsidRPr="00347A80">
        <w:rPr>
          <w:sz w:val="20"/>
          <w:szCs w:val="20"/>
        </w:rPr>
        <w:t>Kuhn L, Kim HY, Hsiao L, Nissan C, Kankasa C, Mwiya M, Thea DM, Aldrovandi GM, Bode L (2015) Oligosaccharide composition of breast milk influences survival of uninfected children born to HIV</w:t>
      </w:r>
      <w:r w:rsidRPr="00347A80">
        <w:rPr>
          <w:sz w:val="20"/>
          <w:szCs w:val="20"/>
        </w:rPr>
        <w:noBreakHyphen/>
        <w:t>infected mothers in Lusaka, Zambia. J Nutr 145(1):66-72.</w:t>
      </w:r>
    </w:p>
    <w:p w14:paraId="3E31A90B" w14:textId="602C9B66" w:rsidR="004940D0" w:rsidRDefault="001838F9" w:rsidP="00A24ACB">
      <w:pPr>
        <w:pStyle w:val="CitaviBibliographyEntry"/>
        <w:spacing w:after="120"/>
        <w:ind w:left="0" w:firstLine="0"/>
        <w:rPr>
          <w:sz w:val="20"/>
        </w:rPr>
      </w:pPr>
      <w:r w:rsidRPr="00347A80">
        <w:rPr>
          <w:sz w:val="20"/>
        </w:rPr>
        <w:t>Kunz C, Meyer C, Collado MC, Geiger L, García-Mantrana I, Bertua-Ríos B, Martínez-Costa C, Borsch C, Rudloff S (2017) Influence of gestational age, secretor, and Lewis blood group status on the oligosaccharide content of human milk. J Pediatr Gastroenterol Nutr 64:789–798</w:t>
      </w:r>
    </w:p>
    <w:p w14:paraId="14E3CDB7" w14:textId="47B07DAB" w:rsidR="004940D0" w:rsidRPr="00347A80" w:rsidRDefault="004940D0" w:rsidP="004940D0">
      <w:pPr>
        <w:pStyle w:val="CitaviBibliographyEntry"/>
        <w:spacing w:after="120"/>
        <w:ind w:left="0" w:firstLine="0"/>
        <w:rPr>
          <w:sz w:val="20"/>
        </w:rPr>
      </w:pPr>
      <w:r w:rsidRPr="004940D0">
        <w:rPr>
          <w:sz w:val="20"/>
        </w:rPr>
        <w:t>Lagström H, Rautava S, Ollila H, Kaljonen A, Turta O, Mäkelä J, Yonemitsu C, Gupta J, Bode L (2020) Associations between human milk oligosaccharides and growth</w:t>
      </w:r>
      <w:r>
        <w:rPr>
          <w:sz w:val="20"/>
        </w:rPr>
        <w:t xml:space="preserve"> </w:t>
      </w:r>
      <w:r w:rsidRPr="004940D0">
        <w:rPr>
          <w:sz w:val="20"/>
        </w:rPr>
        <w:t>in infancy and early childhood</w:t>
      </w:r>
      <w:r>
        <w:rPr>
          <w:sz w:val="20"/>
        </w:rPr>
        <w:t xml:space="preserve">. </w:t>
      </w:r>
      <w:r w:rsidRPr="004940D0">
        <w:rPr>
          <w:sz w:val="20"/>
        </w:rPr>
        <w:t>Am J Clin Nutr 111:769</w:t>
      </w:r>
      <w:r w:rsidRPr="004940D0">
        <w:rPr>
          <w:rFonts w:hint="eastAsia"/>
          <w:sz w:val="20"/>
        </w:rPr>
        <w:t>–</w:t>
      </w:r>
      <w:r w:rsidRPr="004940D0">
        <w:rPr>
          <w:sz w:val="20"/>
        </w:rPr>
        <w:t>778</w:t>
      </w:r>
    </w:p>
    <w:p w14:paraId="38371B4B" w14:textId="68535655" w:rsidR="00176CBB" w:rsidRPr="00347A80" w:rsidRDefault="00176CBB" w:rsidP="00A24ACB">
      <w:pPr>
        <w:spacing w:after="120"/>
        <w:rPr>
          <w:sz w:val="20"/>
          <w:lang w:bidi="ar-SA"/>
        </w:rPr>
      </w:pPr>
      <w:r w:rsidRPr="00347A80">
        <w:rPr>
          <w:sz w:val="20"/>
          <w:lang w:bidi="ar-SA"/>
        </w:rPr>
        <w:t>Larsson MW, Lind MV, Laursen RP, Yonemitsu C, Larnkjær A, Mølgaard C, Michaelsen KF, Bode L (2019) Human milk oligosaccharide composition is associated with excessive weight gain during exclusive breastfeeding - an explorative study. Front Pediatr 7:e297</w:t>
      </w:r>
    </w:p>
    <w:p w14:paraId="1CB1E1D0" w14:textId="25187228" w:rsidR="00B27EF6" w:rsidRPr="00347A80" w:rsidRDefault="000F6CF0" w:rsidP="00A24ACB">
      <w:pPr>
        <w:spacing w:after="120"/>
        <w:rPr>
          <w:sz w:val="20"/>
          <w:lang w:bidi="ar-SA"/>
        </w:rPr>
      </w:pPr>
      <w:r w:rsidRPr="00347A80">
        <w:rPr>
          <w:sz w:val="20"/>
          <w:lang w:bidi="ar-SA"/>
        </w:rPr>
        <w:t>Laucirica DR, Triantis V, Schoemaker R, Estes MK, Ramani S (2017) Milk oligosaccharides inhibit human rotavirus infectivity in MA</w:t>
      </w:r>
      <w:r w:rsidR="009A6044" w:rsidRPr="00347A80">
        <w:rPr>
          <w:sz w:val="20"/>
          <w:lang w:bidi="ar-SA"/>
        </w:rPr>
        <w:t>104 c</w:t>
      </w:r>
      <w:r w:rsidRPr="00347A80">
        <w:rPr>
          <w:sz w:val="20"/>
          <w:lang w:bidi="ar-SA"/>
        </w:rPr>
        <w:t>ells. J Nutr 147:1709–1714</w:t>
      </w:r>
    </w:p>
    <w:p w14:paraId="56C79341" w14:textId="16CDFF58" w:rsidR="002D0910" w:rsidRPr="000D1A31" w:rsidRDefault="00B27EF6" w:rsidP="000D1A31">
      <w:pPr>
        <w:spacing w:after="120"/>
        <w:rPr>
          <w:sz w:val="20"/>
          <w:lang w:bidi="ar-SA"/>
        </w:rPr>
      </w:pPr>
      <w:r w:rsidRPr="00347A80">
        <w:rPr>
          <w:sz w:val="20"/>
          <w:lang w:bidi="ar-SA"/>
        </w:rPr>
        <w:t>Leung TF, Ulfman LH, Chong MKC, Hon KL, Khouw IMSL, Chan PKS, Delsing DJ, Kortman GAM, Bovee-Oudenhoven IMJ (2020) A randomized controlled trial of different young child formulas on upper respiratory and gastrointestinal tract infections in Chinese toddlers. Pedia</w:t>
      </w:r>
      <w:r w:rsidR="000D1A31">
        <w:rPr>
          <w:sz w:val="20"/>
          <w:lang w:bidi="ar-SA"/>
        </w:rPr>
        <w:t xml:space="preserve">tr Allergy Immunol 31:745-754. </w:t>
      </w:r>
    </w:p>
    <w:p w14:paraId="3F9CE3C2" w14:textId="35714DEF"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Mahadevan B, Thorsrud BA, Brorby GP, Ferguson HE (2014) A 3-week dietary safety study of octenyl succinic anhydride (OSA)-modified starch in neonatal farm piglets. Food Chem Toxicol 72:83–89</w:t>
      </w:r>
    </w:p>
    <w:p w14:paraId="3005F3C4" w14:textId="19FE14FF" w:rsidR="00D13AF1" w:rsidRPr="00347A80" w:rsidRDefault="00D13AF1" w:rsidP="00A24ACB">
      <w:pPr>
        <w:pStyle w:val="CitaviBibliographyEntry"/>
        <w:spacing w:after="120"/>
        <w:ind w:left="0" w:firstLine="0"/>
        <w:rPr>
          <w:rFonts w:cs="Arial"/>
          <w:sz w:val="20"/>
          <w:szCs w:val="20"/>
        </w:rPr>
      </w:pPr>
      <w:r w:rsidRPr="00347A80">
        <w:rPr>
          <w:rFonts w:cs="Arial"/>
          <w:sz w:val="20"/>
          <w:szCs w:val="20"/>
        </w:rPr>
        <w:t>Marcobal A, Barboza M, Froehlich JW, Block DE, German JB, Lebrilla CB, Mills DA (2010) Consumption of human milk oligosaccharides by gut-related microbes. J Agric Food Chem 58(9): 5334-5340</w:t>
      </w:r>
    </w:p>
    <w:p w14:paraId="22718308" w14:textId="620D9BDA" w:rsidR="00E42141" w:rsidRPr="00347A80" w:rsidRDefault="00E42141" w:rsidP="00A24ACB">
      <w:pPr>
        <w:pStyle w:val="CitaviBibliographyEntry"/>
        <w:spacing w:after="120"/>
        <w:ind w:left="0" w:firstLine="0"/>
        <w:rPr>
          <w:sz w:val="20"/>
          <w:lang w:bidi="ar-SA"/>
        </w:rPr>
      </w:pPr>
      <w:r w:rsidRPr="00347A80">
        <w:rPr>
          <w:sz w:val="20"/>
          <w:lang w:bidi="ar-SA"/>
        </w:rPr>
        <w:t xml:space="preserve">Marriage BJ, Buck RH, Goehring KC, Oliver JS, Williams JA (2015) Infants fed a lower calorie formula with </w:t>
      </w:r>
      <w:r w:rsidR="00F25E51" w:rsidRPr="00347A80">
        <w:rPr>
          <w:sz w:val="20"/>
          <w:lang w:bidi="ar-SA"/>
        </w:rPr>
        <w:t>2′-</w:t>
      </w:r>
      <w:r w:rsidRPr="00347A80">
        <w:rPr>
          <w:sz w:val="20"/>
          <w:lang w:bidi="ar-SA"/>
        </w:rPr>
        <w:t xml:space="preserve">FL show growth and </w:t>
      </w:r>
      <w:r w:rsidR="00F25E51" w:rsidRPr="00347A80">
        <w:rPr>
          <w:sz w:val="20"/>
          <w:lang w:bidi="ar-SA"/>
        </w:rPr>
        <w:t>2′-</w:t>
      </w:r>
      <w:r w:rsidRPr="00347A80">
        <w:rPr>
          <w:sz w:val="20"/>
          <w:lang w:bidi="ar-SA"/>
        </w:rPr>
        <w:t>FL uptake like breast-fed infants. J Pediatr Gastroenterol Nutr 61:649–658</w:t>
      </w:r>
    </w:p>
    <w:p w14:paraId="711AAAAD" w14:textId="2C44507D" w:rsidR="001838F9" w:rsidRPr="00347A80" w:rsidRDefault="001838F9" w:rsidP="00A24ACB">
      <w:pPr>
        <w:pStyle w:val="CitaviBibliographyEntry"/>
        <w:spacing w:after="120"/>
        <w:ind w:left="0" w:firstLine="0"/>
        <w:rPr>
          <w:sz w:val="20"/>
        </w:rPr>
      </w:pPr>
      <w:r w:rsidRPr="00347A80">
        <w:rPr>
          <w:sz w:val="20"/>
        </w:rPr>
        <w:t>McGuire MK, Meehan CL, McGuire MA, Williams JE, Foster J, Sellen DW, Kamau-Mbuthia EW, Kamundia EW, Mbugua S, Moore SE, Prentice AM, Kvist LJ, Otoo GE, Brooker SL, Price WJ, Shafii B, Placek C, Lackey KA, Robertson B, Manzano S, Ruíz L, Rodríguez JM, Pareja RG, Bode L (2017) What's normal? Oligosaccharide concentrations and profiles in milk produced by healthy women vary geographically. Am J Clin Nutr 105:1086–1100</w:t>
      </w:r>
    </w:p>
    <w:p w14:paraId="2712AEAD" w14:textId="02768C14" w:rsidR="001838F9" w:rsidRPr="00347A80" w:rsidRDefault="001838F9" w:rsidP="00A24ACB">
      <w:pPr>
        <w:pStyle w:val="CitaviBibliographyEntry"/>
        <w:spacing w:after="120"/>
        <w:ind w:left="0" w:firstLine="0"/>
        <w:rPr>
          <w:sz w:val="20"/>
        </w:rPr>
      </w:pPr>
      <w:r w:rsidRPr="00347A80">
        <w:rPr>
          <w:sz w:val="20"/>
        </w:rPr>
        <w:t>McJarrow P, Radwan H, Ma L, MacGibbon AKH, Hashim M, Hayder H, Obaid RS, Naja F, Mohamed HJJ, Ghazal HA, Fong BY (2019) Hu</w:t>
      </w:r>
      <w:r w:rsidR="00A65B98" w:rsidRPr="00347A80">
        <w:rPr>
          <w:sz w:val="20"/>
        </w:rPr>
        <w:t>man milk o</w:t>
      </w:r>
      <w:r w:rsidRPr="00347A80">
        <w:rPr>
          <w:sz w:val="20"/>
        </w:rPr>
        <w:t>ligosaccharide, phospholipid, and ganglioside concentrations in breast milk from United Arab Emirates mothers: Results from the MISC Cohort. Nutrients 11</w:t>
      </w:r>
      <w:r w:rsidR="00C141B9" w:rsidRPr="00347A80">
        <w:rPr>
          <w:sz w:val="20"/>
        </w:rPr>
        <w:t>(10)</w:t>
      </w:r>
      <w:r w:rsidR="005D4E08" w:rsidRPr="00347A80">
        <w:rPr>
          <w:sz w:val="20"/>
        </w:rPr>
        <w:t>:</w:t>
      </w:r>
      <w:r w:rsidR="00C51A8C" w:rsidRPr="00347A80">
        <w:rPr>
          <w:sz w:val="20"/>
        </w:rPr>
        <w:t>2400</w:t>
      </w:r>
    </w:p>
    <w:p w14:paraId="76630C78" w14:textId="20EB430A" w:rsidR="001C3971" w:rsidRPr="007F58E0" w:rsidRDefault="005F0EF6" w:rsidP="00871004">
      <w:pPr>
        <w:pStyle w:val="CitaviBibliographyEntry"/>
        <w:spacing w:after="120"/>
        <w:ind w:left="0" w:firstLine="0"/>
        <w:rPr>
          <w:rFonts w:cs="Arial"/>
          <w:color w:val="943634" w:themeColor="accent2" w:themeShade="BF"/>
          <w:sz w:val="20"/>
          <w:szCs w:val="20"/>
        </w:rPr>
      </w:pPr>
      <w:r w:rsidRPr="00347A80">
        <w:rPr>
          <w:sz w:val="20"/>
        </w:rPr>
        <w:t>Morrow AL, Ruiz-Palacios GM, Altaye M, Jiang X, Guerrero ML, Meinzen-Derr JK, Farkas T, Chaturvedi P, Pickering LK, Newburg DS (2004) Human milk oligosaccharides are associated with protection against diarrhea in breast-fed infants. J Pediatr 145:297–303</w:t>
      </w:r>
    </w:p>
    <w:p w14:paraId="64FF3467" w14:textId="6FC50842" w:rsidR="001C6427" w:rsidRPr="00347A80" w:rsidRDefault="001C6427" w:rsidP="00A24ACB">
      <w:pPr>
        <w:pStyle w:val="CitaviBibliographyEntry"/>
        <w:spacing w:after="120"/>
        <w:ind w:left="0" w:firstLine="0"/>
        <w:rPr>
          <w:sz w:val="20"/>
        </w:rPr>
      </w:pPr>
      <w:r w:rsidRPr="00347A80">
        <w:rPr>
          <w:sz w:val="20"/>
        </w:rPr>
        <w:lastRenderedPageBreak/>
        <w:t>Murakami K., Kurihara C, Oka T, Shimoike T, Fujii Y, Takai-Todaka R, Park Y, Wakita T, Matsuda T, Hokari R, Miura S, Katayama K (2013) Norovirus binding to intestinal epithelial cells is independent of histo-blood group antigens. PloS one 8(6):e66534.</w:t>
      </w:r>
    </w:p>
    <w:p w14:paraId="5DA6DF2D" w14:textId="77777777"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 xml:space="preserve">NFU (2016) 2’-Fucosyllactose. Assessment of safety for the consumer, in accordance with European Regulation 258/97 concerning novel foods and novel food ingredients. Novel Foods Unit, Medicine Evaluation Board Agency, Netherlands. </w:t>
      </w:r>
    </w:p>
    <w:p w14:paraId="771B8F44" w14:textId="092673FB"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Nowak-Wegrzyn A, Czerkies L, Reyes K, Collin</w:t>
      </w:r>
      <w:r w:rsidR="00A65B98" w:rsidRPr="00347A80">
        <w:rPr>
          <w:rFonts w:cs="Arial"/>
          <w:sz w:val="20"/>
          <w:szCs w:val="20"/>
        </w:rPr>
        <w:t>s B, Heine RG (2019) Confirmed hypoallergenicity of a novel whey-based extensively hydrolyzed infant formula containing two human milk o</w:t>
      </w:r>
      <w:r w:rsidRPr="00347A80">
        <w:rPr>
          <w:rFonts w:cs="Arial"/>
          <w:sz w:val="20"/>
          <w:szCs w:val="20"/>
        </w:rPr>
        <w:t>ligosaccharides. Nutrients 11:1447</w:t>
      </w:r>
    </w:p>
    <w:p w14:paraId="17ABDC63" w14:textId="758DC51E"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t xml:space="preserve">OECD (1997) </w:t>
      </w:r>
      <w:r w:rsidR="003E5FC1" w:rsidRPr="00347A80">
        <w:rPr>
          <w:rFonts w:cs="Arial"/>
          <w:sz w:val="20"/>
          <w:szCs w:val="20"/>
        </w:rPr>
        <w:t xml:space="preserve">Test No. 471: Bacterial Reverse Mutation Test, OECD Guidelines for the Testing of Chemicals, Section 4, OECD Publishing, Paris </w:t>
      </w:r>
      <w:hyperlink r:id="rId43" w:history="1">
        <w:r w:rsidR="003E5FC1" w:rsidRPr="00D52EAC">
          <w:rPr>
            <w:rStyle w:val="Hyperlink"/>
            <w:rFonts w:cs="Arial"/>
            <w:sz w:val="20"/>
            <w:szCs w:val="20"/>
          </w:rPr>
          <w:t>doi.org/10.1787/9789264071247-en</w:t>
        </w:r>
      </w:hyperlink>
      <w:r w:rsidRPr="00DC3A73">
        <w:rPr>
          <w:rFonts w:cs="Arial"/>
          <w:sz w:val="20"/>
          <w:szCs w:val="20"/>
        </w:rPr>
        <w:t xml:space="preserve"> </w:t>
      </w:r>
      <w:r w:rsidR="003E5FC1">
        <w:rPr>
          <w:rFonts w:cs="Arial"/>
          <w:sz w:val="20"/>
          <w:szCs w:val="20"/>
        </w:rPr>
        <w:t>(updated version 2020)</w:t>
      </w:r>
    </w:p>
    <w:p w14:paraId="264BDC2A" w14:textId="73140DA6"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t xml:space="preserve">OECD (1998) </w:t>
      </w:r>
      <w:r w:rsidR="003E5FC1" w:rsidRPr="00347A80">
        <w:rPr>
          <w:rFonts w:cs="Arial"/>
          <w:sz w:val="20"/>
          <w:szCs w:val="20"/>
        </w:rPr>
        <w:t>Test No. 408: Repeated Dose 90-Day Oral Toxicity Study in Rodents, OECD Guidelines for the Testing of Chemicals, Se</w:t>
      </w:r>
      <w:r w:rsidR="00347A80">
        <w:rPr>
          <w:rFonts w:cs="Arial"/>
          <w:sz w:val="20"/>
          <w:szCs w:val="20"/>
        </w:rPr>
        <w:t>ction 4, OECD Publishing, Paris</w:t>
      </w:r>
      <w:r w:rsidR="003E5FC1" w:rsidRPr="00347A80">
        <w:rPr>
          <w:rFonts w:cs="Arial"/>
          <w:sz w:val="20"/>
          <w:szCs w:val="20"/>
        </w:rPr>
        <w:t xml:space="preserve"> </w:t>
      </w:r>
      <w:hyperlink r:id="rId44" w:history="1">
        <w:r w:rsidR="003E5FC1" w:rsidRPr="00D52EAC">
          <w:rPr>
            <w:rStyle w:val="Hyperlink"/>
            <w:rFonts w:cs="Arial"/>
            <w:sz w:val="20"/>
            <w:szCs w:val="20"/>
          </w:rPr>
          <w:t>doi.org/10.1787/9789264070707-en</w:t>
        </w:r>
      </w:hyperlink>
      <w:r w:rsidR="003E5FC1">
        <w:rPr>
          <w:rFonts w:cs="Arial"/>
          <w:sz w:val="20"/>
          <w:szCs w:val="20"/>
        </w:rPr>
        <w:t xml:space="preserve"> </w:t>
      </w:r>
    </w:p>
    <w:p w14:paraId="7BDE4786" w14:textId="57947FF6"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t xml:space="preserve">OECD (2014) </w:t>
      </w:r>
      <w:r w:rsidR="0082520C" w:rsidRPr="00347A80">
        <w:rPr>
          <w:rFonts w:cs="Arial"/>
          <w:sz w:val="20"/>
          <w:szCs w:val="20"/>
        </w:rPr>
        <w:t>Test No. 487: In Vitro Mammalian Cell Micronucleus Test, OECD Guidelines for the Testing of Chemicals, Section 4, OECD Publishing, Paris</w:t>
      </w:r>
      <w:r w:rsidRPr="00347A80">
        <w:rPr>
          <w:rFonts w:cs="Arial"/>
          <w:sz w:val="20"/>
          <w:szCs w:val="20"/>
        </w:rPr>
        <w:t xml:space="preserve"> </w:t>
      </w:r>
      <w:hyperlink r:id="rId45" w:history="1">
        <w:r w:rsidR="0082520C" w:rsidRPr="00D52EAC">
          <w:rPr>
            <w:rStyle w:val="Hyperlink"/>
            <w:rFonts w:cs="Arial"/>
            <w:sz w:val="20"/>
            <w:szCs w:val="20"/>
          </w:rPr>
          <w:t>doi.org/10.1787/9789264264861-en</w:t>
        </w:r>
      </w:hyperlink>
      <w:r w:rsidR="0082520C" w:rsidRPr="0082520C">
        <w:rPr>
          <w:rStyle w:val="Hyperlink"/>
          <w:rFonts w:cs="Arial"/>
          <w:color w:val="auto"/>
          <w:sz w:val="20"/>
          <w:szCs w:val="20"/>
          <w:u w:val="none"/>
        </w:rPr>
        <w:t xml:space="preserve"> (</w:t>
      </w:r>
      <w:r w:rsidR="0082520C">
        <w:rPr>
          <w:rStyle w:val="Hyperlink"/>
          <w:rFonts w:cs="Arial"/>
          <w:color w:val="auto"/>
          <w:sz w:val="20"/>
          <w:szCs w:val="20"/>
          <w:u w:val="none"/>
        </w:rPr>
        <w:t>updated version 2016)</w:t>
      </w:r>
    </w:p>
    <w:p w14:paraId="4B776CD6" w14:textId="2212A1DB" w:rsidR="0019115C" w:rsidRPr="00347A80" w:rsidRDefault="0019115C" w:rsidP="00A24ACB">
      <w:pPr>
        <w:pStyle w:val="CitaviBibliographyEntry"/>
        <w:spacing w:after="120"/>
        <w:ind w:left="0" w:firstLine="0"/>
        <w:rPr>
          <w:sz w:val="20"/>
        </w:rPr>
      </w:pPr>
      <w:r w:rsidRPr="00347A80">
        <w:rPr>
          <w:sz w:val="20"/>
        </w:rPr>
        <w:t>Oliveros E, Ramirez M, Vazquez E, Barranco A, Gruart A, Delgado-Garcia JM, Buck R, Rueda R, Martin MJ (2016) Oral supplementation of 2'-fucosyllactose during lactation improves memory and learning in rats. J Nutr Biochem 31:20-27</w:t>
      </w:r>
    </w:p>
    <w:p w14:paraId="1A12397A" w14:textId="3D889AE7" w:rsidR="00423CC1" w:rsidRPr="00347A80" w:rsidRDefault="00423CC1" w:rsidP="00A24ACB">
      <w:pPr>
        <w:pStyle w:val="CitaviBibliographyEntry"/>
        <w:spacing w:after="120"/>
        <w:ind w:left="0" w:firstLine="0"/>
        <w:rPr>
          <w:sz w:val="20"/>
        </w:rPr>
      </w:pPr>
      <w:r w:rsidRPr="00347A80">
        <w:rPr>
          <w:sz w:val="20"/>
        </w:rPr>
        <w:t xml:space="preserve">Palsson OS, Peery A, Seitzberg D, Amundsen ID, McConnell B, Simrén M (2020) Human Milk Oligosaccharides Support Normal Bowel Function and Improve Symptoms of Irritable Bowel Syndrome: A Multicenter, Open-Label Trial. Clin Transl Gastroenterol </w:t>
      </w:r>
      <w:r w:rsidR="00347A80">
        <w:rPr>
          <w:sz w:val="20"/>
        </w:rPr>
        <w:t>11(12):e00276</w:t>
      </w:r>
    </w:p>
    <w:p w14:paraId="639FF2F6" w14:textId="4931A3F0" w:rsidR="00E97FAB" w:rsidRDefault="00E97FAB" w:rsidP="00A24ACB">
      <w:pPr>
        <w:pStyle w:val="CitaviBibliographyEntry"/>
        <w:spacing w:after="120"/>
        <w:ind w:left="0" w:firstLine="0"/>
        <w:rPr>
          <w:rFonts w:cs="Arial"/>
          <w:sz w:val="20"/>
          <w:szCs w:val="20"/>
        </w:rPr>
      </w:pPr>
      <w:r w:rsidRPr="00347A80">
        <w:rPr>
          <w:rFonts w:cs="Arial"/>
          <w:sz w:val="20"/>
          <w:szCs w:val="20"/>
        </w:rPr>
        <w:t xml:space="preserve">Phipps KR, Lynch B, </w:t>
      </w:r>
      <w:r w:rsidR="00BD229C" w:rsidRPr="00347A80">
        <w:rPr>
          <w:rFonts w:cs="Arial"/>
          <w:sz w:val="20"/>
          <w:szCs w:val="20"/>
        </w:rPr>
        <w:t xml:space="preserve">Stannard DR, </w:t>
      </w:r>
      <w:r w:rsidRPr="00347A80">
        <w:rPr>
          <w:rFonts w:cs="Arial"/>
          <w:sz w:val="20"/>
          <w:szCs w:val="20"/>
        </w:rPr>
        <w:t xml:space="preserve">Gilby B, </w:t>
      </w:r>
      <w:r w:rsidR="00BD229C" w:rsidRPr="00347A80">
        <w:rPr>
          <w:rFonts w:cs="Arial"/>
          <w:sz w:val="20"/>
          <w:szCs w:val="20"/>
        </w:rPr>
        <w:t xml:space="preserve">Baldwin N, </w:t>
      </w:r>
      <w:r w:rsidRPr="00347A80">
        <w:rPr>
          <w:rFonts w:cs="Arial"/>
          <w:sz w:val="20"/>
          <w:szCs w:val="20"/>
        </w:rPr>
        <w:t xml:space="preserve">Mikš MH, </w:t>
      </w:r>
      <w:r w:rsidR="00BD229C" w:rsidRPr="00347A80">
        <w:rPr>
          <w:rFonts w:cs="Arial"/>
          <w:sz w:val="20"/>
          <w:szCs w:val="20"/>
        </w:rPr>
        <w:t xml:space="preserve">Lau A, </w:t>
      </w:r>
      <w:r w:rsidRPr="00347A80">
        <w:rPr>
          <w:rFonts w:cs="Arial"/>
          <w:sz w:val="20"/>
          <w:szCs w:val="20"/>
        </w:rPr>
        <w:t>Röhrig CH (</w:t>
      </w:r>
      <w:r w:rsidR="00BD229C" w:rsidRPr="00347A80">
        <w:rPr>
          <w:rFonts w:cs="Arial"/>
          <w:sz w:val="20"/>
          <w:szCs w:val="20"/>
        </w:rPr>
        <w:t>2020) Genotoxicity and neonatal subchronic toxicity assessment</w:t>
      </w:r>
      <w:r w:rsidRPr="00347A80">
        <w:rPr>
          <w:rFonts w:cs="Arial"/>
          <w:sz w:val="20"/>
          <w:szCs w:val="20"/>
        </w:rPr>
        <w:t xml:space="preserve"> of a </w:t>
      </w:r>
      <w:r w:rsidR="00BD229C" w:rsidRPr="00347A80">
        <w:rPr>
          <w:rFonts w:cs="Arial"/>
          <w:sz w:val="20"/>
          <w:szCs w:val="20"/>
        </w:rPr>
        <w:t xml:space="preserve">novel </w:t>
      </w:r>
      <w:r w:rsidRPr="00347A80">
        <w:rPr>
          <w:rFonts w:cs="Arial"/>
          <w:sz w:val="20"/>
          <w:szCs w:val="20"/>
        </w:rPr>
        <w:t xml:space="preserve">mixture of the human-identical milk oligosaccharides </w:t>
      </w:r>
      <w:r w:rsidR="00BD229C" w:rsidRPr="00347A80">
        <w:rPr>
          <w:rFonts w:cs="Arial"/>
          <w:sz w:val="20"/>
          <w:szCs w:val="20"/>
        </w:rPr>
        <w:t xml:space="preserve">lacto-N-fucopentaose I and </w:t>
      </w:r>
      <w:r w:rsidRPr="00347A80">
        <w:rPr>
          <w:rFonts w:cs="Arial"/>
          <w:sz w:val="20"/>
          <w:szCs w:val="20"/>
        </w:rPr>
        <w:t>2'-fucosyllactose</w:t>
      </w:r>
      <w:r w:rsidR="00BD229C" w:rsidRPr="00347A80">
        <w:rPr>
          <w:rFonts w:cs="Arial"/>
          <w:sz w:val="20"/>
          <w:szCs w:val="20"/>
        </w:rPr>
        <w:t>. J Appl Toxicol 41:632-649</w:t>
      </w:r>
    </w:p>
    <w:p w14:paraId="61515AF6" w14:textId="77777777" w:rsidR="000B513B" w:rsidRDefault="004940D0" w:rsidP="000B513B">
      <w:pPr>
        <w:autoSpaceDE w:val="0"/>
        <w:autoSpaceDN w:val="0"/>
        <w:adjustRightInd w:val="0"/>
        <w:rPr>
          <w:rFonts w:cs="Arial"/>
          <w:sz w:val="20"/>
          <w:szCs w:val="20"/>
        </w:rPr>
      </w:pPr>
      <w:r>
        <w:rPr>
          <w:rFonts w:cs="Arial"/>
          <w:sz w:val="20"/>
          <w:szCs w:val="20"/>
        </w:rPr>
        <w:t>Plows JF, Berger PK, Jones RB, Alderete TL, Yonemitsu C, Najera JA, Khwajazada</w:t>
      </w:r>
      <w:r w:rsidR="005F55A0">
        <w:rPr>
          <w:rFonts w:cs="Arial"/>
          <w:sz w:val="20"/>
          <w:szCs w:val="20"/>
        </w:rPr>
        <w:t xml:space="preserve"> S, Bode L, Goran MI (2021) Longitudinal changes in human m</w:t>
      </w:r>
      <w:r w:rsidR="005F55A0" w:rsidRPr="005F55A0">
        <w:rPr>
          <w:rFonts w:cs="Arial"/>
          <w:sz w:val="20"/>
          <w:szCs w:val="20"/>
        </w:rPr>
        <w:t>ilk</w:t>
      </w:r>
      <w:r w:rsidR="005F55A0">
        <w:rPr>
          <w:rFonts w:cs="Arial"/>
          <w:sz w:val="20"/>
          <w:szCs w:val="20"/>
        </w:rPr>
        <w:t xml:space="preserve"> oligosaccharides (HMOs) over the c</w:t>
      </w:r>
      <w:r w:rsidR="005F55A0" w:rsidRPr="005F55A0">
        <w:rPr>
          <w:rFonts w:cs="Arial"/>
          <w:sz w:val="20"/>
          <w:szCs w:val="20"/>
        </w:rPr>
        <w:t>ourse of</w:t>
      </w:r>
      <w:r w:rsidR="005F55A0">
        <w:rPr>
          <w:rFonts w:cs="Arial"/>
          <w:sz w:val="20"/>
          <w:szCs w:val="20"/>
        </w:rPr>
        <w:t xml:space="preserve"> 24 months of l</w:t>
      </w:r>
      <w:r w:rsidR="005F55A0" w:rsidRPr="005F55A0">
        <w:rPr>
          <w:rFonts w:cs="Arial"/>
          <w:sz w:val="20"/>
          <w:szCs w:val="20"/>
        </w:rPr>
        <w:t>actation</w:t>
      </w:r>
      <w:r w:rsidR="005F55A0">
        <w:rPr>
          <w:rFonts w:cs="Arial"/>
          <w:sz w:val="20"/>
          <w:szCs w:val="20"/>
        </w:rPr>
        <w:t xml:space="preserve">. </w:t>
      </w:r>
      <w:r w:rsidR="005F55A0" w:rsidRPr="005F55A0">
        <w:rPr>
          <w:rFonts w:cs="Arial"/>
          <w:sz w:val="20"/>
          <w:szCs w:val="20"/>
        </w:rPr>
        <w:t>Nutr 2021;151:876–882</w:t>
      </w:r>
    </w:p>
    <w:p w14:paraId="0D0234B0" w14:textId="15F1337F" w:rsidR="002D0910" w:rsidRPr="000B513B" w:rsidRDefault="00E42141" w:rsidP="000B513B">
      <w:pPr>
        <w:autoSpaceDE w:val="0"/>
        <w:autoSpaceDN w:val="0"/>
        <w:adjustRightInd w:val="0"/>
        <w:rPr>
          <w:rFonts w:cs="Arial"/>
          <w:sz w:val="20"/>
          <w:szCs w:val="20"/>
        </w:rPr>
      </w:pPr>
      <w:r w:rsidRPr="00347A80">
        <w:rPr>
          <w:sz w:val="20"/>
          <w:lang w:bidi="ar-SA"/>
        </w:rPr>
        <w:t>Puccio G, Alliet P, Cajozzo C, Janssens E, Corsello G, Sprenger N, Wernimont S, Egli D, Gosoniu L, Steenhout P (2017) Effects of infant formula with human milk oligosacchari</w:t>
      </w:r>
      <w:r w:rsidR="00A65B98" w:rsidRPr="00347A80">
        <w:rPr>
          <w:sz w:val="20"/>
          <w:lang w:bidi="ar-SA"/>
        </w:rPr>
        <w:t>des on growth and morbidity: A randomized multicenter t</w:t>
      </w:r>
      <w:r w:rsidRPr="00347A80">
        <w:rPr>
          <w:sz w:val="20"/>
          <w:lang w:bidi="ar-SA"/>
        </w:rPr>
        <w:t>rial. J Pediatr Gastroenterol Nutr 64:624–631</w:t>
      </w:r>
    </w:p>
    <w:p w14:paraId="53970FF4" w14:textId="349E0DE3" w:rsidR="00926EEF" w:rsidRPr="00347A80" w:rsidRDefault="00926EEF" w:rsidP="00A24ACB">
      <w:pPr>
        <w:pStyle w:val="CitaviBibliographyEntry"/>
        <w:spacing w:after="120"/>
        <w:ind w:left="0" w:firstLine="0"/>
        <w:rPr>
          <w:sz w:val="20"/>
          <w:lang w:bidi="ar-SA"/>
        </w:rPr>
      </w:pPr>
      <w:r w:rsidRPr="00347A80">
        <w:rPr>
          <w:sz w:val="20"/>
          <w:lang w:bidi="ar-SA"/>
        </w:rPr>
        <w:t xml:space="preserve">Ramirez-Farias C, Baggs GE, Marriage BJ (2021) Growth, Tolerance, and Compliance of Infants Fed an Extensively Hydrolyzed Infant Formula with Added </w:t>
      </w:r>
      <w:r w:rsidR="00FD1A13">
        <w:rPr>
          <w:sz w:val="20"/>
          <w:lang w:bidi="ar-SA"/>
        </w:rPr>
        <w:t>2′-FL</w:t>
      </w:r>
      <w:r w:rsidRPr="00347A80">
        <w:rPr>
          <w:sz w:val="20"/>
          <w:lang w:bidi="ar-SA"/>
        </w:rPr>
        <w:t xml:space="preserve"> Fucosyllactose (</w:t>
      </w:r>
      <w:r w:rsidR="00FD1A13">
        <w:rPr>
          <w:sz w:val="20"/>
          <w:lang w:bidi="ar-SA"/>
        </w:rPr>
        <w:t>2′-FL</w:t>
      </w:r>
      <w:r w:rsidRPr="00347A80">
        <w:rPr>
          <w:sz w:val="20"/>
          <w:lang w:bidi="ar-SA"/>
        </w:rPr>
        <w:t>) Human Milk Oligosaccharide</w:t>
      </w:r>
      <w:r w:rsidR="00347A80">
        <w:rPr>
          <w:sz w:val="20"/>
          <w:lang w:bidi="ar-SA"/>
        </w:rPr>
        <w:t>. Nutrients 13:186</w:t>
      </w:r>
    </w:p>
    <w:p w14:paraId="20921D26" w14:textId="53C82DCE" w:rsidR="00E42141" w:rsidRDefault="00E42141" w:rsidP="00A24ACB">
      <w:pPr>
        <w:pStyle w:val="CitaviBibliographyEntry"/>
        <w:spacing w:after="120"/>
        <w:ind w:left="0" w:firstLine="0"/>
        <w:rPr>
          <w:sz w:val="20"/>
          <w:lang w:bidi="ar-SA"/>
        </w:rPr>
      </w:pPr>
      <w:r w:rsidRPr="00347A80">
        <w:rPr>
          <w:sz w:val="20"/>
          <w:lang w:bidi="ar-SA"/>
        </w:rPr>
        <w:t>Reverri EJ, Devitt AA, Kajzer JA, Baggs GE, Borschel MW (2018) Review of the clinical experiences of feeding infants formula containing the human milk oligosaccharide 2'-fucosyllactose. Nutrients 10:e1346</w:t>
      </w:r>
    </w:p>
    <w:p w14:paraId="67907D0C" w14:textId="34ED7D71" w:rsidR="00745EF0" w:rsidRPr="00347A80" w:rsidRDefault="00745EF0" w:rsidP="00132528">
      <w:pPr>
        <w:pStyle w:val="CitaviBibliographyEntry"/>
        <w:spacing w:after="120"/>
        <w:ind w:left="0" w:firstLine="0"/>
        <w:rPr>
          <w:sz w:val="20"/>
          <w:lang w:bidi="ar-SA"/>
        </w:rPr>
      </w:pPr>
      <w:r w:rsidRPr="00745EF0">
        <w:rPr>
          <w:sz w:val="20"/>
          <w:lang w:bidi="ar-SA"/>
        </w:rPr>
        <w:t>Román E, Moreno Villares JM, Domínguez Ortega F, Carmona Martí</w:t>
      </w:r>
      <w:r>
        <w:rPr>
          <w:sz w:val="20"/>
          <w:lang w:bidi="ar-SA"/>
        </w:rPr>
        <w:t xml:space="preserve">nez A, Picó Sirvent L, Santana </w:t>
      </w:r>
      <w:r w:rsidRPr="00745EF0">
        <w:rPr>
          <w:sz w:val="20"/>
          <w:lang w:bidi="ar-SA"/>
        </w:rPr>
        <w:t>Sandoval L, Casas Rivero J, Alshweki A, Cercamondi C, Dahb</w:t>
      </w:r>
      <w:r w:rsidR="00132528">
        <w:rPr>
          <w:sz w:val="20"/>
          <w:lang w:bidi="ar-SA"/>
        </w:rPr>
        <w:t xml:space="preserve">ane S, Vidal Guevara ML (2020) </w:t>
      </w:r>
      <w:r w:rsidRPr="00745EF0">
        <w:rPr>
          <w:sz w:val="20"/>
          <w:lang w:bidi="ar-SA"/>
        </w:rPr>
        <w:t xml:space="preserve">Real-world study in infants fed an infant formula with two human milk oligosaccharides. Nutr Hosp </w:t>
      </w:r>
      <w:r w:rsidR="00132528">
        <w:rPr>
          <w:sz w:val="20"/>
          <w:lang w:bidi="ar-SA"/>
        </w:rPr>
        <w:t>27;37(4):698</w:t>
      </w:r>
      <w:r w:rsidR="00132528" w:rsidRPr="00132528">
        <w:rPr>
          <w:sz w:val="20"/>
          <w:lang w:bidi="ar-SA"/>
        </w:rPr>
        <w:t>–706</w:t>
      </w:r>
    </w:p>
    <w:p w14:paraId="719B5C65" w14:textId="3C8AF609" w:rsidR="004206FE" w:rsidRDefault="00D26ACD" w:rsidP="00A24ACB">
      <w:pPr>
        <w:pStyle w:val="CitaviBibliographyEntry"/>
        <w:spacing w:after="120"/>
        <w:ind w:left="0" w:firstLine="0"/>
        <w:rPr>
          <w:sz w:val="20"/>
        </w:rPr>
      </w:pPr>
      <w:r w:rsidRPr="00347A80">
        <w:rPr>
          <w:sz w:val="20"/>
        </w:rPr>
        <w:lastRenderedPageBreak/>
        <w:t>Ruhaak LR, Lebrilla CB (2012) Advances in analysis of human milk oligosaccharides. Adv Nutr 3: s406–414</w:t>
      </w:r>
    </w:p>
    <w:p w14:paraId="3A0D9DD9" w14:textId="5840FAFE" w:rsidR="004940D0" w:rsidRPr="00347A80" w:rsidRDefault="004940D0" w:rsidP="004940D0">
      <w:pPr>
        <w:pStyle w:val="CitaviBibliographyEntry"/>
        <w:spacing w:after="120"/>
        <w:ind w:left="0" w:firstLine="0"/>
        <w:rPr>
          <w:sz w:val="20"/>
        </w:rPr>
      </w:pPr>
      <w:r>
        <w:rPr>
          <w:sz w:val="20"/>
        </w:rPr>
        <w:t>Saben JL, Abraham A, Bode L, Sims CR, Andres A (2020) Third-trimester glucose homeostasis in h</w:t>
      </w:r>
      <w:r w:rsidRPr="004940D0">
        <w:rPr>
          <w:sz w:val="20"/>
        </w:rPr>
        <w:t>ealthy</w:t>
      </w:r>
      <w:r>
        <w:rPr>
          <w:sz w:val="20"/>
        </w:rPr>
        <w:t xml:space="preserve"> women is d</w:t>
      </w:r>
      <w:r w:rsidRPr="004940D0">
        <w:rPr>
          <w:sz w:val="20"/>
        </w:rPr>
        <w:t>i</w:t>
      </w:r>
      <w:r>
        <w:rPr>
          <w:sz w:val="20"/>
        </w:rPr>
        <w:t>fferentially a</w:t>
      </w:r>
      <w:r w:rsidR="005F55A0">
        <w:rPr>
          <w:sz w:val="20"/>
        </w:rPr>
        <w:t>ssociated with human m</w:t>
      </w:r>
      <w:r w:rsidRPr="004940D0">
        <w:rPr>
          <w:sz w:val="20"/>
        </w:rPr>
        <w:t>ilk</w:t>
      </w:r>
      <w:r>
        <w:rPr>
          <w:sz w:val="20"/>
        </w:rPr>
        <w:t xml:space="preserve"> </w:t>
      </w:r>
      <w:r w:rsidR="005F55A0">
        <w:rPr>
          <w:sz w:val="20"/>
        </w:rPr>
        <w:t>o</w:t>
      </w:r>
      <w:r>
        <w:rPr>
          <w:sz w:val="20"/>
        </w:rPr>
        <w:t>ligosaccharide c</w:t>
      </w:r>
      <w:r w:rsidRPr="004940D0">
        <w:rPr>
          <w:sz w:val="20"/>
        </w:rPr>
        <w:t xml:space="preserve">omposition at 2 </w:t>
      </w:r>
      <w:r>
        <w:rPr>
          <w:sz w:val="20"/>
        </w:rPr>
        <w:t>m</w:t>
      </w:r>
      <w:r w:rsidRPr="004940D0">
        <w:rPr>
          <w:sz w:val="20"/>
        </w:rPr>
        <w:t>onths</w:t>
      </w:r>
      <w:r>
        <w:rPr>
          <w:sz w:val="20"/>
        </w:rPr>
        <w:t xml:space="preserve"> postpartum by secretor p</w:t>
      </w:r>
      <w:r w:rsidRPr="004940D0">
        <w:rPr>
          <w:sz w:val="20"/>
        </w:rPr>
        <w:t>henotype</w:t>
      </w:r>
      <w:r>
        <w:rPr>
          <w:sz w:val="20"/>
        </w:rPr>
        <w:t>. Nutrients 12:2209</w:t>
      </w:r>
    </w:p>
    <w:p w14:paraId="5FFCE724" w14:textId="77777777" w:rsidR="00F83FF4" w:rsidRPr="00347A80" w:rsidRDefault="00F83FF4" w:rsidP="00F83FF4">
      <w:pPr>
        <w:pStyle w:val="CitaviBibliographyEntry"/>
        <w:ind w:left="0" w:firstLine="0"/>
        <w:rPr>
          <w:sz w:val="20"/>
        </w:rPr>
      </w:pPr>
      <w:r w:rsidRPr="00347A80">
        <w:rPr>
          <w:sz w:val="20"/>
        </w:rPr>
        <w:t>Saben JL, Sims CR, Abraham A, Bode L, Andres A (2021) Human Milk Oligosaccharide concentrations and infant intakes are associated with maternal overweight and obesity and predict</w:t>
      </w:r>
    </w:p>
    <w:p w14:paraId="043C4498" w14:textId="77777777" w:rsidR="00F83FF4" w:rsidRPr="00347A80" w:rsidRDefault="00F83FF4" w:rsidP="00F83FF4">
      <w:pPr>
        <w:pStyle w:val="CitaviBibliographyEntry"/>
        <w:spacing w:after="120"/>
        <w:ind w:left="0" w:firstLine="0"/>
        <w:rPr>
          <w:sz w:val="20"/>
        </w:rPr>
      </w:pPr>
      <w:r w:rsidRPr="00347A80">
        <w:rPr>
          <w:sz w:val="20"/>
        </w:rPr>
        <w:t>infant growth. Nutrients 13:446</w:t>
      </w:r>
    </w:p>
    <w:p w14:paraId="289213CE" w14:textId="17CFBEE6" w:rsidR="002C658A" w:rsidRPr="00347A80" w:rsidRDefault="001838F9" w:rsidP="00A24ACB">
      <w:pPr>
        <w:pStyle w:val="CitaviBibliographyEntry"/>
        <w:spacing w:after="120"/>
        <w:ind w:left="0" w:firstLine="0"/>
        <w:rPr>
          <w:sz w:val="20"/>
        </w:rPr>
      </w:pPr>
      <w:r w:rsidRPr="00347A80">
        <w:rPr>
          <w:sz w:val="20"/>
        </w:rPr>
        <w:t>Sprenger N, Le Lee Y, Castro CA de, Steenhout P, Thakkar SK (2017</w:t>
      </w:r>
      <w:r w:rsidR="00775BD4" w:rsidRPr="00347A80">
        <w:rPr>
          <w:sz w:val="20"/>
        </w:rPr>
        <w:t>a</w:t>
      </w:r>
      <w:r w:rsidR="00492953" w:rsidRPr="00347A80">
        <w:rPr>
          <w:sz w:val="20"/>
        </w:rPr>
        <w:t>)</w:t>
      </w:r>
      <w:r w:rsidRPr="00347A80">
        <w:rPr>
          <w:sz w:val="20"/>
        </w:rPr>
        <w:t xml:space="preserve"> Longitudinal change of selected human milk oligosaccharides and association to infants' growth, an observatory, single center, longitudinal cohort study. PLoS ONE 12:e0171814</w:t>
      </w:r>
    </w:p>
    <w:p w14:paraId="569CC305" w14:textId="7E363319" w:rsidR="00775BD4" w:rsidRPr="00347A80" w:rsidRDefault="00775BD4" w:rsidP="00A24ACB">
      <w:pPr>
        <w:pStyle w:val="CitaviBibliographyEntry"/>
        <w:spacing w:after="120"/>
        <w:ind w:left="0" w:firstLine="0"/>
        <w:rPr>
          <w:sz w:val="20"/>
        </w:rPr>
      </w:pPr>
      <w:r w:rsidRPr="00347A80">
        <w:rPr>
          <w:sz w:val="20"/>
        </w:rPr>
        <w:t>Sprenger N, Odenwald H, Kukkonen AK, Kuitunen M, Savilahti E, Kunz C (2017b) FUT2-dependent breast milk oligosaccharides and allergy at 2 and 5 years of age in infants with high hereditary allergy risk. Eur J Nutr 56:1293–1301</w:t>
      </w:r>
    </w:p>
    <w:p w14:paraId="59487DA9" w14:textId="2B90A0D2" w:rsidR="00384537" w:rsidRPr="00347A80" w:rsidRDefault="00384537" w:rsidP="00A24ACB">
      <w:pPr>
        <w:spacing w:after="120"/>
        <w:rPr>
          <w:sz w:val="20"/>
        </w:rPr>
      </w:pPr>
      <w:r w:rsidRPr="00347A80">
        <w:rPr>
          <w:sz w:val="20"/>
        </w:rPr>
        <w:t>Stepans MB, Wilhelm SL, Hertzog M, Rodehorst TK, Blaney S, Clemens B, Polak JJ, Newburg DS (2006) Early consumption of human milk oligosaccharides is inversely related to subsequent risk of respiratory and enteric disease in infants. Breastfeed Med 1(4):207-215</w:t>
      </w:r>
    </w:p>
    <w:p w14:paraId="404CB056" w14:textId="4FF85F66" w:rsidR="00E42141" w:rsidRPr="00347A80" w:rsidRDefault="00E42141" w:rsidP="00A24ACB">
      <w:pPr>
        <w:spacing w:after="120"/>
        <w:rPr>
          <w:sz w:val="20"/>
          <w:lang w:bidi="ar-SA"/>
        </w:rPr>
      </w:pPr>
      <w:r w:rsidRPr="00347A80">
        <w:rPr>
          <w:sz w:val="20"/>
          <w:lang w:bidi="ar-SA"/>
        </w:rPr>
        <w:t xml:space="preserve">Storm HM, Shepard J, Czerkies LM, Kineman B, Cohen SS, Reichert H, Carvalho R (2019) 2'-Fucosyllactose Is well tolerated in a 100% whey, partially hydrolyzed infant formula with </w:t>
      </w:r>
      <w:r w:rsidRPr="00347A80">
        <w:rPr>
          <w:i/>
          <w:sz w:val="20"/>
          <w:lang w:bidi="ar-SA"/>
        </w:rPr>
        <w:t>Bifidobacterium lactis</w:t>
      </w:r>
      <w:r w:rsidRPr="00347A80">
        <w:rPr>
          <w:sz w:val="20"/>
          <w:lang w:bidi="ar-SA"/>
        </w:rPr>
        <w:t>: a randomized controlled trial. Glob Pediatr Health 6:</w:t>
      </w:r>
      <w:r w:rsidR="007C1C88" w:rsidRPr="00347A80">
        <w:rPr>
          <w:sz w:val="20"/>
          <w:lang w:bidi="ar-SA"/>
        </w:rPr>
        <w:t>e</w:t>
      </w:r>
      <w:r w:rsidRPr="00347A80">
        <w:rPr>
          <w:sz w:val="20"/>
          <w:lang w:bidi="ar-SA"/>
        </w:rPr>
        <w:t>2333794X19833995</w:t>
      </w:r>
    </w:p>
    <w:p w14:paraId="2084601D" w14:textId="6F43A34F" w:rsidR="004F4BE5" w:rsidRPr="00347A80" w:rsidRDefault="004F4BE5" w:rsidP="00A24ACB">
      <w:pPr>
        <w:spacing w:after="120"/>
        <w:rPr>
          <w:sz w:val="20"/>
          <w:szCs w:val="20"/>
        </w:rPr>
      </w:pPr>
      <w:r w:rsidRPr="00347A80">
        <w:rPr>
          <w:sz w:val="20"/>
          <w:szCs w:val="20"/>
        </w:rPr>
        <w:t>Studier FW, Moffatt BA (1986) Use of bacteriophage T7 RNA polymerase to direct selective high-level expression of cloned genes. J Mol Biol 189:113-130</w:t>
      </w:r>
    </w:p>
    <w:p w14:paraId="5BA4F773" w14:textId="7ED9B2A6" w:rsidR="004F4BE5" w:rsidRPr="00347A80" w:rsidRDefault="004F4BE5" w:rsidP="00A24ACB">
      <w:pPr>
        <w:spacing w:after="120"/>
        <w:rPr>
          <w:sz w:val="20"/>
          <w:szCs w:val="20"/>
        </w:rPr>
      </w:pPr>
      <w:r w:rsidRPr="00347A80">
        <w:rPr>
          <w:sz w:val="20"/>
          <w:szCs w:val="20"/>
        </w:rPr>
        <w:t xml:space="preserve">Studier FW, Daegelen P, Lenski RE, Maslov S, Kim JF (2009) Understanding the differences between genome sequences of </w:t>
      </w:r>
      <w:r w:rsidRPr="00347A80">
        <w:rPr>
          <w:i/>
          <w:sz w:val="20"/>
          <w:szCs w:val="20"/>
        </w:rPr>
        <w:t>Escherichia coli</w:t>
      </w:r>
      <w:r w:rsidRPr="00347A80">
        <w:rPr>
          <w:sz w:val="20"/>
          <w:szCs w:val="20"/>
        </w:rPr>
        <w:t xml:space="preserve"> B strains REL606 and BL21(DE3) and comparison of the </w:t>
      </w:r>
      <w:r w:rsidR="00A65B98" w:rsidRPr="00347A80">
        <w:rPr>
          <w:i/>
          <w:sz w:val="20"/>
          <w:szCs w:val="20"/>
        </w:rPr>
        <w:t>E. </w:t>
      </w:r>
      <w:r w:rsidRPr="00347A80">
        <w:rPr>
          <w:i/>
          <w:sz w:val="20"/>
          <w:szCs w:val="20"/>
        </w:rPr>
        <w:t>coli</w:t>
      </w:r>
      <w:r w:rsidRPr="00347A80">
        <w:rPr>
          <w:sz w:val="20"/>
          <w:szCs w:val="20"/>
        </w:rPr>
        <w:t xml:space="preserve"> B &amp; K-12 genomes. J Mol Biol 394:653–680</w:t>
      </w:r>
    </w:p>
    <w:p w14:paraId="1FB3B701" w14:textId="674ED5E6" w:rsidR="00D13AF1" w:rsidRPr="00347A80" w:rsidRDefault="00D13AF1" w:rsidP="00A24ACB">
      <w:pPr>
        <w:pStyle w:val="CitaviBibliographyEntry"/>
        <w:spacing w:after="120"/>
        <w:ind w:left="0" w:firstLine="0"/>
        <w:rPr>
          <w:sz w:val="20"/>
        </w:rPr>
      </w:pPr>
      <w:r w:rsidRPr="00347A80">
        <w:rPr>
          <w:sz w:val="20"/>
        </w:rPr>
        <w:t>Thongaram T, Hoeflinger JL, Chow J, Miller MJ (2017) Human milk oligosaccharide consumption by probiotic and human-associated bifidobacteria and lactobacilli. J Dairy Sci 100(10):7825-7833</w:t>
      </w:r>
    </w:p>
    <w:p w14:paraId="2DDDEBE3" w14:textId="2714368C" w:rsidR="00795FBF" w:rsidRPr="00347A80" w:rsidRDefault="00795FBF" w:rsidP="00A24ACB">
      <w:pPr>
        <w:pStyle w:val="CitaviBibliographyEntry"/>
        <w:spacing w:after="120"/>
        <w:ind w:left="0" w:firstLine="0"/>
        <w:rPr>
          <w:sz w:val="20"/>
        </w:rPr>
      </w:pPr>
      <w:r w:rsidRPr="00347A80">
        <w:rPr>
          <w:sz w:val="20"/>
        </w:rPr>
        <w:t>Thurl S, Müller-Werner B, Sawatzki G (1996) Quantification of individual oligosaccharide compounds from human milk using high-pH anion-exchange chromatography. Anal Biochem 235(2):202-206</w:t>
      </w:r>
    </w:p>
    <w:p w14:paraId="3B246E87" w14:textId="567D56B9" w:rsidR="00D56C49" w:rsidRPr="00347A80" w:rsidRDefault="00D56C49" w:rsidP="00A24ACB">
      <w:pPr>
        <w:pStyle w:val="CitaviBibliographyEntry"/>
        <w:spacing w:after="120"/>
        <w:ind w:left="0" w:firstLine="0"/>
        <w:rPr>
          <w:sz w:val="20"/>
        </w:rPr>
      </w:pPr>
      <w:r w:rsidRPr="00347A80">
        <w:rPr>
          <w:sz w:val="20"/>
        </w:rPr>
        <w:t>Tonon KM, Miranda A, Abrao ACFV, de Morais MB, Morais TB (2019</w:t>
      </w:r>
      <w:r w:rsidR="00C82615">
        <w:rPr>
          <w:sz w:val="20"/>
        </w:rPr>
        <w:t>a</w:t>
      </w:r>
      <w:r w:rsidRPr="00347A80">
        <w:rPr>
          <w:sz w:val="20"/>
        </w:rPr>
        <w:t>) Validation and application of a method for the simultaneous absolute quantification of 16 neutral and acidic human milk oligosaccharides by graphitized carbon liquid chromatography – electrospray ionization – mass spectrometry. Food Chem 274:691-697</w:t>
      </w:r>
    </w:p>
    <w:p w14:paraId="07843AC2" w14:textId="283733E5" w:rsidR="00F83FF4" w:rsidRDefault="00F83FF4" w:rsidP="00F83FF4">
      <w:pPr>
        <w:pStyle w:val="CitaviBibliographyEntry"/>
        <w:spacing w:after="120"/>
        <w:ind w:left="0" w:firstLine="0"/>
        <w:rPr>
          <w:sz w:val="20"/>
        </w:rPr>
      </w:pPr>
      <w:r w:rsidRPr="00347A80">
        <w:rPr>
          <w:sz w:val="20"/>
          <w:szCs w:val="20"/>
        </w:rPr>
        <w:t>Tonon KM, de Morais MB, Abrão</w:t>
      </w:r>
      <w:r w:rsidR="005F55A0" w:rsidRPr="005F55A0">
        <w:rPr>
          <w:sz w:val="20"/>
          <w:szCs w:val="20"/>
        </w:rPr>
        <w:t xml:space="preserve"> </w:t>
      </w:r>
      <w:r w:rsidR="005F55A0" w:rsidRPr="00347A80">
        <w:rPr>
          <w:sz w:val="20"/>
          <w:szCs w:val="20"/>
        </w:rPr>
        <w:t>ACFV</w:t>
      </w:r>
      <w:r w:rsidRPr="00347A80">
        <w:rPr>
          <w:sz w:val="20"/>
          <w:szCs w:val="20"/>
        </w:rPr>
        <w:t>, Miranda A, Morais TB (2019</w:t>
      </w:r>
      <w:r w:rsidR="00C82615">
        <w:rPr>
          <w:sz w:val="20"/>
          <w:szCs w:val="20"/>
        </w:rPr>
        <w:t>b</w:t>
      </w:r>
      <w:r w:rsidRPr="00347A80">
        <w:rPr>
          <w:sz w:val="20"/>
        </w:rPr>
        <w:t xml:space="preserve">) Maternal and infant factors associated with Human Milk Oligosaccharides concentrations according to </w:t>
      </w:r>
      <w:r w:rsidR="003C055E">
        <w:rPr>
          <w:sz w:val="20"/>
        </w:rPr>
        <w:t>s</w:t>
      </w:r>
      <w:r w:rsidRPr="00347A80">
        <w:rPr>
          <w:sz w:val="20"/>
        </w:rPr>
        <w:t>ecretor and Lewis phenotypes. Nutrients 11:1358</w:t>
      </w:r>
    </w:p>
    <w:p w14:paraId="2A79A0B8" w14:textId="364B0A2E" w:rsidR="005F55A0" w:rsidRPr="00C82615" w:rsidRDefault="005F55A0" w:rsidP="009A406D">
      <w:pPr>
        <w:autoSpaceDE w:val="0"/>
        <w:autoSpaceDN w:val="0"/>
        <w:adjustRightInd w:val="0"/>
        <w:spacing w:after="120"/>
        <w:rPr>
          <w:sz w:val="20"/>
        </w:rPr>
      </w:pPr>
      <w:r>
        <w:rPr>
          <w:sz w:val="20"/>
        </w:rPr>
        <w:t>Torres</w:t>
      </w:r>
      <w:r w:rsidR="00C82615">
        <w:rPr>
          <w:sz w:val="20"/>
        </w:rPr>
        <w:t xml:space="preserve"> Roldan VD</w:t>
      </w:r>
      <w:r>
        <w:rPr>
          <w:sz w:val="20"/>
        </w:rPr>
        <w:t xml:space="preserve">, Urtecho SM, Gupta J, Yonemitsu C, </w:t>
      </w:r>
      <w:r w:rsidR="00C82615" w:rsidRPr="00C82615">
        <w:rPr>
          <w:sz w:val="20"/>
        </w:rPr>
        <w:t>Cárcamo</w:t>
      </w:r>
      <w:r w:rsidR="00C82615">
        <w:rPr>
          <w:sz w:val="20"/>
        </w:rPr>
        <w:t xml:space="preserve"> CP, Bode L, Ochoa TJ (2020) </w:t>
      </w:r>
      <w:r w:rsidR="00C82615" w:rsidRPr="00C82615">
        <w:rPr>
          <w:sz w:val="20"/>
        </w:rPr>
        <w:t>Human milk oligosaccharides and their association with late-onset</w:t>
      </w:r>
      <w:r w:rsidR="00C82615">
        <w:rPr>
          <w:sz w:val="20"/>
        </w:rPr>
        <w:t xml:space="preserve"> </w:t>
      </w:r>
      <w:r w:rsidR="00C82615" w:rsidRPr="00C82615">
        <w:rPr>
          <w:sz w:val="20"/>
        </w:rPr>
        <w:t>neonatal sepsis in Peruvian very-low-birth-weight infants</w:t>
      </w:r>
      <w:r w:rsidR="00C82615">
        <w:rPr>
          <w:sz w:val="20"/>
        </w:rPr>
        <w:t xml:space="preserve">. </w:t>
      </w:r>
      <w:r w:rsidR="00C82615" w:rsidRPr="00C82615">
        <w:rPr>
          <w:sz w:val="20"/>
        </w:rPr>
        <w:t>Am J Clin Nutr</w:t>
      </w:r>
      <w:r w:rsidR="00C82615">
        <w:rPr>
          <w:sz w:val="20"/>
        </w:rPr>
        <w:t xml:space="preserve"> </w:t>
      </w:r>
      <w:r w:rsidR="00C82615" w:rsidRPr="00C82615">
        <w:rPr>
          <w:sz w:val="20"/>
        </w:rPr>
        <w:t>112:106</w:t>
      </w:r>
      <w:r w:rsidR="00C82615" w:rsidRPr="00C82615">
        <w:rPr>
          <w:rFonts w:hint="eastAsia"/>
          <w:sz w:val="20"/>
        </w:rPr>
        <w:t>–</w:t>
      </w:r>
      <w:r w:rsidR="00C82615" w:rsidRPr="00C82615">
        <w:rPr>
          <w:sz w:val="20"/>
        </w:rPr>
        <w:t>112</w:t>
      </w:r>
    </w:p>
    <w:p w14:paraId="777949D5" w14:textId="74721007" w:rsidR="00385A78" w:rsidRPr="00347A80" w:rsidRDefault="00385A78" w:rsidP="00C82615">
      <w:pPr>
        <w:autoSpaceDE w:val="0"/>
        <w:autoSpaceDN w:val="0"/>
        <w:adjustRightInd w:val="0"/>
        <w:rPr>
          <w:sz w:val="20"/>
        </w:rPr>
      </w:pPr>
      <w:r w:rsidRPr="00347A80">
        <w:rPr>
          <w:sz w:val="20"/>
        </w:rPr>
        <w:lastRenderedPageBreak/>
        <w:t>Totten SM, Zivkovic AM, Wu S, Ngyuen U, Freeman SL, Ruhaak LR, Darboe MK, German JB, Prentice AM, Lebrilla CB (2012) Comprehensive profiles of human milk oligosaccharides yield highly sensitive and specific markers for determining secretor status in lactating mothers. J Proteome Res 11(12):6124-6133</w:t>
      </w:r>
    </w:p>
    <w:p w14:paraId="755A472A" w14:textId="216330FE" w:rsidR="005B28ED" w:rsidRPr="00347A80" w:rsidRDefault="005B28ED" w:rsidP="00A24ACB">
      <w:pPr>
        <w:pStyle w:val="CitaviBibliographyEntry"/>
        <w:spacing w:after="120"/>
        <w:ind w:left="0" w:firstLine="0"/>
        <w:rPr>
          <w:rFonts w:cs="Arial"/>
          <w:sz w:val="20"/>
          <w:szCs w:val="20"/>
        </w:rPr>
      </w:pPr>
      <w:r w:rsidRPr="00347A80">
        <w:rPr>
          <w:rFonts w:cs="Arial"/>
          <w:sz w:val="20"/>
          <w:szCs w:val="20"/>
        </w:rPr>
        <w:t>van den Elsen LWJ, Tims S, Jones AM, Stewart A, Stahl B, Garssen J, Knol J, Forbes-Blom EE, Van't Land B (2019) Prebiotic oligosaccharides in early life alter gut microbiome development in male mice while supporting influenza vaccination responses. Benef Microbes 10(3):279-291</w:t>
      </w:r>
    </w:p>
    <w:p w14:paraId="17B37514" w14:textId="772D78D7" w:rsidR="002D0910" w:rsidRDefault="00C733BB" w:rsidP="00A24ACB">
      <w:pPr>
        <w:pStyle w:val="CitaviBibliographyEntry"/>
        <w:spacing w:after="120"/>
        <w:ind w:left="0" w:firstLine="0"/>
        <w:rPr>
          <w:rFonts w:cs="Arial"/>
          <w:sz w:val="20"/>
          <w:szCs w:val="20"/>
        </w:rPr>
      </w:pPr>
      <w:r w:rsidRPr="00347A80">
        <w:rPr>
          <w:rFonts w:cs="Arial"/>
          <w:sz w:val="20"/>
          <w:szCs w:val="20"/>
        </w:rPr>
        <w:t>Vázquez E, Barranco A, Ramírez M, Gruart A, Delgado-García JM, Martínez-Lara E, Blanco S, Martín MJ, Castanys E, Buck R, Prieto P, Rueda R (2015) Effects of a</w:t>
      </w:r>
      <w:r w:rsidR="00A65B98" w:rsidRPr="00347A80">
        <w:rPr>
          <w:rFonts w:cs="Arial"/>
          <w:sz w:val="20"/>
          <w:szCs w:val="20"/>
        </w:rPr>
        <w:t xml:space="preserve"> human milk oligosaccharide, 2'</w:t>
      </w:r>
      <w:r w:rsidR="00A65B98" w:rsidRPr="00347A80">
        <w:rPr>
          <w:rFonts w:cs="Arial"/>
          <w:sz w:val="20"/>
          <w:szCs w:val="20"/>
        </w:rPr>
        <w:noBreakHyphen/>
      </w:r>
      <w:r w:rsidRPr="00347A80">
        <w:rPr>
          <w:rFonts w:cs="Arial"/>
          <w:sz w:val="20"/>
          <w:szCs w:val="20"/>
        </w:rPr>
        <w:t>fucosyllactose, on hippocampal long-term potentiation and learning capabilities in rodents. J Nutr Biochem 26(5):455-465</w:t>
      </w:r>
    </w:p>
    <w:p w14:paraId="02A3FAB5" w14:textId="27B64CF7" w:rsidR="0061604D" w:rsidRPr="00347A80" w:rsidRDefault="00DD2FFA" w:rsidP="00A24ACB">
      <w:pPr>
        <w:pStyle w:val="CitaviBibliographyEntry"/>
        <w:spacing w:after="120"/>
        <w:ind w:left="0" w:firstLine="0"/>
        <w:rPr>
          <w:rFonts w:cs="Arial"/>
          <w:sz w:val="20"/>
          <w:szCs w:val="20"/>
        </w:rPr>
      </w:pPr>
      <w:r w:rsidRPr="00347A80">
        <w:rPr>
          <w:rFonts w:cs="Arial"/>
          <w:sz w:val="20"/>
          <w:szCs w:val="20"/>
        </w:rPr>
        <w:t>Vázquez</w:t>
      </w:r>
      <w:r w:rsidR="0061604D" w:rsidRPr="00347A80">
        <w:rPr>
          <w:rFonts w:cs="Arial"/>
          <w:sz w:val="20"/>
          <w:szCs w:val="20"/>
        </w:rPr>
        <w:t xml:space="preserve"> E, Barranco A, </w:t>
      </w:r>
      <w:r w:rsidRPr="00347A80">
        <w:rPr>
          <w:rFonts w:cs="Arial"/>
          <w:sz w:val="20"/>
          <w:szCs w:val="20"/>
        </w:rPr>
        <w:t>Ramírez</w:t>
      </w:r>
      <w:r w:rsidR="0061604D" w:rsidRPr="00347A80">
        <w:rPr>
          <w:rFonts w:cs="Arial"/>
          <w:sz w:val="20"/>
          <w:szCs w:val="20"/>
        </w:rPr>
        <w:t xml:space="preserve"> M, Gruart A, Delgado-</w:t>
      </w:r>
      <w:r w:rsidRPr="00347A80">
        <w:rPr>
          <w:rFonts w:cs="Arial"/>
          <w:sz w:val="20"/>
          <w:szCs w:val="20"/>
        </w:rPr>
        <w:t>García</w:t>
      </w:r>
      <w:r w:rsidR="0061604D" w:rsidRPr="00347A80">
        <w:rPr>
          <w:rFonts w:cs="Arial"/>
          <w:sz w:val="20"/>
          <w:szCs w:val="20"/>
        </w:rPr>
        <w:t xml:space="preserve"> JM, Jimenez ML, Buck R, Rueda R (2016) Dietary 2'-fucosyllactose enhances operant conditioning and long-term potentiation via gut-brain communication through the vagus nerve in rodents. PLoS One 11(11):e0166070</w:t>
      </w:r>
    </w:p>
    <w:p w14:paraId="587D9996" w14:textId="10DD4714" w:rsidR="00A66C8C" w:rsidRPr="00347A80" w:rsidRDefault="00A66C8C" w:rsidP="00A24ACB">
      <w:pPr>
        <w:pStyle w:val="CitaviBibliographyEntry"/>
        <w:tabs>
          <w:tab w:val="clear" w:pos="397"/>
        </w:tabs>
        <w:spacing w:after="120"/>
        <w:ind w:left="0" w:firstLine="0"/>
        <w:rPr>
          <w:rFonts w:cs="Arial"/>
          <w:sz w:val="20"/>
          <w:szCs w:val="20"/>
        </w:rPr>
      </w:pPr>
      <w:r w:rsidRPr="00347A80">
        <w:rPr>
          <w:rFonts w:cs="Arial"/>
          <w:sz w:val="20"/>
          <w:szCs w:val="20"/>
        </w:rPr>
        <w:t xml:space="preserve">Weichert S, Jennewein S, Hüfner E, Weiss C, Borkowski J, Putze J, Schroten H (2013) Bioengineered 2'-fucosyllactose and 3-fucosyllactose inhibit the adhesion of </w:t>
      </w:r>
      <w:r w:rsidRPr="00347A80">
        <w:rPr>
          <w:rFonts w:cs="Arial"/>
          <w:i/>
          <w:sz w:val="20"/>
          <w:szCs w:val="20"/>
        </w:rPr>
        <w:t>Pseudomonas aeruginosa</w:t>
      </w:r>
      <w:r w:rsidRPr="00347A80">
        <w:rPr>
          <w:rFonts w:cs="Arial"/>
          <w:sz w:val="20"/>
          <w:szCs w:val="20"/>
        </w:rPr>
        <w:t xml:space="preserve"> and enteric pathogens to human intestinal and respiratory cell lines. Nutr Res 33:831–838</w:t>
      </w:r>
    </w:p>
    <w:p w14:paraId="50E02255" w14:textId="6C332436" w:rsidR="00A66C8C" w:rsidRPr="00347A80" w:rsidRDefault="00A66C8C" w:rsidP="00A24ACB">
      <w:pPr>
        <w:pStyle w:val="CitaviBibliographyEntry"/>
        <w:spacing w:after="120"/>
        <w:ind w:left="0" w:firstLine="0"/>
        <w:rPr>
          <w:rFonts w:cs="Arial"/>
          <w:sz w:val="20"/>
          <w:szCs w:val="20"/>
        </w:rPr>
      </w:pPr>
      <w:r w:rsidRPr="00347A80">
        <w:rPr>
          <w:rFonts w:cs="Arial"/>
          <w:sz w:val="20"/>
          <w:szCs w:val="20"/>
        </w:rPr>
        <w:t>Weichert S, Koromyslova A, Singh BK, Hansman S, Jennewein S, Schroten H, Hansman GS (2016) Structural basis for norovirus inhibition by human milk oligosaccharides. J Virol 90:4843–4848</w:t>
      </w:r>
    </w:p>
    <w:p w14:paraId="20B2386A" w14:textId="3EE0E314" w:rsidR="00F83FF4" w:rsidRPr="00347A80" w:rsidRDefault="00F83FF4" w:rsidP="00F83FF4">
      <w:pPr>
        <w:pStyle w:val="CitaviBibliographyEntry"/>
        <w:spacing w:after="120"/>
        <w:ind w:left="0" w:firstLine="0"/>
        <w:rPr>
          <w:sz w:val="20"/>
        </w:rPr>
      </w:pPr>
      <w:r w:rsidRPr="00347A80">
        <w:rPr>
          <w:sz w:val="20"/>
        </w:rPr>
        <w:t>Wu J, Wu S, Huo J,  Ruan H, Xu X, Hao Z, Wei Y (2020) Systematic characterization and longitudinal study reveal distinguishing features of Human Milk Oligosaccharides in China. Curr Dev Nutr 4: 113</w:t>
      </w:r>
    </w:p>
    <w:p w14:paraId="3C246378" w14:textId="17B18CD2" w:rsidR="005B28ED" w:rsidRPr="00347A80" w:rsidRDefault="005B28ED" w:rsidP="00A24ACB">
      <w:pPr>
        <w:spacing w:after="120"/>
        <w:rPr>
          <w:sz w:val="20"/>
          <w:szCs w:val="20"/>
          <w:lang w:bidi="ar-SA"/>
        </w:rPr>
      </w:pPr>
      <w:r w:rsidRPr="00347A80">
        <w:rPr>
          <w:sz w:val="20"/>
          <w:szCs w:val="20"/>
          <w:lang w:bidi="ar-SA"/>
        </w:rPr>
        <w:t>Xiao L, Leusink-Muis T, Kettelarij N, van Ark I, Blijenberg B, Hesen NA, Stahl B, Overbeek SA, Garssen J, Folkerts G, Van't Land B (2018) Human milk oligosaccharide 2'-fucosyllactose improves innate and adaptive immunity in an influenza-specific murine vaccination model. Front Immunol 9:e452</w:t>
      </w:r>
    </w:p>
    <w:p w14:paraId="700684ED" w14:textId="22D6073D" w:rsidR="0058389E" w:rsidRPr="0058389E" w:rsidRDefault="00D56C49" w:rsidP="0058389E">
      <w:pPr>
        <w:pStyle w:val="CitaviBibliographyEntry"/>
        <w:spacing w:after="120"/>
        <w:ind w:left="0" w:firstLine="0"/>
        <w:rPr>
          <w:sz w:val="20"/>
        </w:rPr>
      </w:pPr>
      <w:r w:rsidRPr="00347A80">
        <w:rPr>
          <w:sz w:val="20"/>
          <w:szCs w:val="20"/>
        </w:rPr>
        <w:t>Xu</w:t>
      </w:r>
      <w:r w:rsidRPr="00347A80">
        <w:rPr>
          <w:sz w:val="20"/>
        </w:rPr>
        <w:t xml:space="preserve"> G, Davis </w:t>
      </w:r>
      <w:r w:rsidR="009C4D25" w:rsidRPr="00347A80">
        <w:rPr>
          <w:sz w:val="20"/>
        </w:rPr>
        <w:t>JC</w:t>
      </w:r>
      <w:r w:rsidRPr="00347A80">
        <w:rPr>
          <w:sz w:val="20"/>
        </w:rPr>
        <w:t>, Goonatilleke E, Smilowitz JT, German JB, Lebrilla CB (2017) Absolute quantitation of human milk oligosaccharides reveals phenotypic variations during l</w:t>
      </w:r>
      <w:r w:rsidR="0058389E">
        <w:rPr>
          <w:sz w:val="20"/>
        </w:rPr>
        <w:t>actation. J Nutr 147(1):117–124</w:t>
      </w:r>
    </w:p>
    <w:sectPr w:rsidR="0058389E" w:rsidRPr="0058389E" w:rsidSect="0062219B">
      <w:headerReference w:type="even" r:id="rId46"/>
      <w:headerReference w:type="default" r:id="rId47"/>
      <w:footerReference w:type="even" r:id="rId48"/>
      <w:footerReference w:type="default" r:id="rId49"/>
      <w:headerReference w:type="first" r:id="rId50"/>
      <w:footerReference w:type="first" r:id="rId5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3C48" w14:textId="77777777" w:rsidR="007C2ECD" w:rsidRDefault="007C2ECD">
      <w:r>
        <w:separator/>
      </w:r>
    </w:p>
  </w:endnote>
  <w:endnote w:type="continuationSeparator" w:id="0">
    <w:p w14:paraId="1FFDB984" w14:textId="77777777" w:rsidR="007C2ECD" w:rsidRDefault="007C2ECD">
      <w:r>
        <w:continuationSeparator/>
      </w:r>
    </w:p>
  </w:endnote>
  <w:endnote w:type="continuationNotice" w:id="1">
    <w:p w14:paraId="42BFF20D" w14:textId="77777777" w:rsidR="007C2ECD" w:rsidRDefault="007C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DDRU+Calibr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05ED" w14:textId="77777777" w:rsidR="007C2ECD" w:rsidRDefault="007C2ECD" w:rsidP="004736F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F8433CF" w14:textId="77777777" w:rsidR="007C2ECD" w:rsidRDefault="007C2ECD" w:rsidP="0047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21969"/>
      <w:docPartObj>
        <w:docPartGallery w:val="Page Numbers (Bottom of Page)"/>
        <w:docPartUnique/>
      </w:docPartObj>
    </w:sdtPr>
    <w:sdtEndPr>
      <w:rPr>
        <w:noProof/>
      </w:rPr>
    </w:sdtEndPr>
    <w:sdtContent>
      <w:p w14:paraId="00357A35" w14:textId="2F766778" w:rsidR="007C2ECD" w:rsidRDefault="007C2ECD">
        <w:pPr>
          <w:pStyle w:val="Footer"/>
          <w:jc w:val="right"/>
        </w:pPr>
        <w:r>
          <w:fldChar w:fldCharType="begin"/>
        </w:r>
        <w:r>
          <w:instrText xml:space="preserve"> PAGE   \* MERGEFORMAT </w:instrText>
        </w:r>
        <w:r>
          <w:fldChar w:fldCharType="separate"/>
        </w:r>
        <w:r w:rsidR="00446FFC">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6826" w14:textId="5CF77E9B" w:rsidR="007C2ECD" w:rsidRDefault="007C2ECD" w:rsidP="00EF131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C303BD2" w14:textId="77777777" w:rsidR="007C2ECD" w:rsidRDefault="007C2ECD" w:rsidP="00CF6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91577"/>
      <w:docPartObj>
        <w:docPartGallery w:val="Page Numbers (Bottom of Page)"/>
        <w:docPartUnique/>
      </w:docPartObj>
    </w:sdtPr>
    <w:sdtEndPr>
      <w:rPr>
        <w:noProof/>
      </w:rPr>
    </w:sdtEndPr>
    <w:sdtContent>
      <w:p w14:paraId="3AECB4D7" w14:textId="2B817E95" w:rsidR="007C2ECD" w:rsidRDefault="007C2ECD">
        <w:pPr>
          <w:pStyle w:val="Footer"/>
        </w:pPr>
        <w:r>
          <w:fldChar w:fldCharType="begin"/>
        </w:r>
        <w:r>
          <w:instrText xml:space="preserve"> PAGE   \* MERGEFORMAT </w:instrText>
        </w:r>
        <w:r>
          <w:fldChar w:fldCharType="separate"/>
        </w:r>
        <w:r w:rsidR="00446FFC">
          <w:rPr>
            <w:noProof/>
          </w:rPr>
          <w:t>21</w:t>
        </w:r>
        <w:r>
          <w:rPr>
            <w:noProof/>
          </w:rPr>
          <w:fldChar w:fldCharType="end"/>
        </w:r>
      </w:p>
    </w:sdtContent>
  </w:sdt>
  <w:p w14:paraId="18C47F88" w14:textId="512CB370" w:rsidR="007C2ECD" w:rsidRDefault="007C2EC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AF8C" w14:textId="054F0B05" w:rsidR="007C2ECD" w:rsidRPr="00CF6575" w:rsidRDefault="007C2ECD" w:rsidP="00CF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CC44" w14:textId="77777777" w:rsidR="007C2ECD" w:rsidRDefault="007C2ECD">
      <w:r>
        <w:separator/>
      </w:r>
    </w:p>
  </w:footnote>
  <w:footnote w:type="continuationSeparator" w:id="0">
    <w:p w14:paraId="045BB395" w14:textId="77777777" w:rsidR="007C2ECD" w:rsidRDefault="007C2ECD">
      <w:r>
        <w:continuationSeparator/>
      </w:r>
    </w:p>
  </w:footnote>
  <w:footnote w:type="continuationNotice" w:id="1">
    <w:p w14:paraId="58B1A396" w14:textId="77777777" w:rsidR="007C2ECD" w:rsidRDefault="007C2ECD"/>
  </w:footnote>
  <w:footnote w:id="2">
    <w:p w14:paraId="06918552" w14:textId="5A2E916D" w:rsidR="007C2ECD" w:rsidRPr="00EC4490" w:rsidRDefault="007C2ECD" w:rsidP="00081D40">
      <w:pPr>
        <w:pStyle w:val="FootnoteText"/>
        <w:ind w:left="142" w:hanging="142"/>
        <w:rPr>
          <w:lang w:val="en-AU"/>
        </w:rPr>
      </w:pPr>
      <w:r>
        <w:rPr>
          <w:rStyle w:val="FootnoteReference"/>
        </w:rPr>
        <w:footnoteRef/>
      </w:r>
      <w:r>
        <w:t xml:space="preserve"> </w:t>
      </w:r>
      <w:r>
        <w:rPr>
          <w:lang w:val="en-AU"/>
        </w:rPr>
        <w:t xml:space="preserve">After receipt of this application from </w:t>
      </w:r>
      <w:r w:rsidRPr="00BB0A34">
        <w:rPr>
          <w:szCs w:val="22"/>
        </w:rPr>
        <w:t>Jennewein Bio</w:t>
      </w:r>
      <w:r>
        <w:rPr>
          <w:szCs w:val="22"/>
        </w:rPr>
        <w:t xml:space="preserve">technologie, Jennewein was acquired by </w:t>
      </w:r>
      <w:r w:rsidRPr="00BB0A34">
        <w:rPr>
          <w:szCs w:val="22"/>
        </w:rPr>
        <w:t xml:space="preserve">Chr. Hansen </w:t>
      </w:r>
      <w:r>
        <w:rPr>
          <w:szCs w:val="22"/>
        </w:rPr>
        <w:t xml:space="preserve">Holding </w:t>
      </w:r>
      <w:r w:rsidRPr="00BB0A34">
        <w:rPr>
          <w:szCs w:val="22"/>
        </w:rPr>
        <w:t>A/S</w:t>
      </w:r>
      <w:r>
        <w:rPr>
          <w:szCs w:val="22"/>
        </w:rPr>
        <w:t xml:space="preserve">. The applicant is now Chr. Hansen. </w:t>
      </w:r>
    </w:p>
  </w:footnote>
  <w:footnote w:id="3">
    <w:p w14:paraId="0529C491" w14:textId="77777777" w:rsidR="007C2ECD" w:rsidRPr="00D11675" w:rsidRDefault="007C2ECD" w:rsidP="00CD59E7">
      <w:pPr>
        <w:pStyle w:val="FootnoteText"/>
        <w:rPr>
          <w:lang w:val="en-AU"/>
        </w:rPr>
      </w:pPr>
      <w:r>
        <w:rPr>
          <w:rStyle w:val="FootnoteReference"/>
        </w:rPr>
        <w:footnoteRef/>
      </w:r>
      <w:r>
        <w:t xml:space="preserve"> </w:t>
      </w:r>
      <w:r w:rsidRPr="00D11675">
        <w:rPr>
          <w:lang w:val="en-AU"/>
        </w:rPr>
        <w:t xml:space="preserve">Human milk </w:t>
      </w:r>
      <w:r>
        <w:rPr>
          <w:lang w:val="en-AU"/>
        </w:rPr>
        <w:t>will be</w:t>
      </w:r>
      <w:r w:rsidRPr="00D11675">
        <w:rPr>
          <w:lang w:val="en-AU"/>
        </w:rPr>
        <w:t xml:space="preserve"> the term used to indicate breastmilk</w:t>
      </w:r>
    </w:p>
  </w:footnote>
  <w:footnote w:id="4">
    <w:p w14:paraId="275790BA" w14:textId="3085CDC4" w:rsidR="007C2ECD" w:rsidRPr="004D15D8" w:rsidRDefault="007C2ECD">
      <w:pPr>
        <w:pStyle w:val="FootnoteText"/>
        <w:rPr>
          <w:lang w:val="en-AU"/>
        </w:rPr>
      </w:pPr>
      <w:r>
        <w:rPr>
          <w:rStyle w:val="FootnoteReference"/>
        </w:rPr>
        <w:footnoteRef/>
      </w:r>
      <w:r>
        <w:t xml:space="preserve"> </w:t>
      </w:r>
      <w:hyperlink r:id="rId1" w:history="1">
        <w:r w:rsidRPr="00E63B55">
          <w:rPr>
            <w:rStyle w:val="Hyperlink"/>
            <w:rFonts w:cs="Arial"/>
          </w:rPr>
          <w:t>efsa.onlinelibrary.wiley.com/doi/epdf/10.2903/j.efsa.2015.4184</w:t>
        </w:r>
      </w:hyperlink>
    </w:p>
  </w:footnote>
  <w:footnote w:id="5">
    <w:p w14:paraId="3B32472B" w14:textId="74DD265C" w:rsidR="007C2ECD" w:rsidRPr="00B71CC8" w:rsidRDefault="007C2ECD">
      <w:pPr>
        <w:pStyle w:val="FootnoteText"/>
        <w:rPr>
          <w:lang w:val="en-AU"/>
        </w:rPr>
      </w:pPr>
      <w:r>
        <w:rPr>
          <w:rStyle w:val="FootnoteReference"/>
        </w:rPr>
        <w:footnoteRef/>
      </w:r>
      <w:r>
        <w:t xml:space="preserve"> </w:t>
      </w:r>
      <w:r w:rsidRPr="00534D8F">
        <w:rPr>
          <w:lang w:val="en-AU"/>
        </w:rPr>
        <w:t xml:space="preserve">Biosafety in Microbiological and Biomedical Laboratories (BMBL) </w:t>
      </w:r>
      <w:hyperlink r:id="rId2" w:history="1">
        <w:r w:rsidRPr="00534D8F">
          <w:rPr>
            <w:rStyle w:val="Hyperlink"/>
            <w:lang w:val="en-AU"/>
          </w:rPr>
          <w:t>www.cdc.gov/labs/BMBL.html</w:t>
        </w:r>
      </w:hyperlink>
      <w:r w:rsidRPr="00534D8F">
        <w:rPr>
          <w:lang w:val="en-AU"/>
        </w:rPr>
        <w:t xml:space="preserve"> </w:t>
      </w:r>
    </w:p>
  </w:footnote>
  <w:footnote w:id="6">
    <w:p w14:paraId="7A741547" w14:textId="27F8D1B2" w:rsidR="007C2ECD" w:rsidRPr="00534D8F" w:rsidRDefault="007C2ECD">
      <w:pPr>
        <w:pStyle w:val="FootnoteText"/>
        <w:rPr>
          <w:lang w:val="en-AU"/>
        </w:rPr>
      </w:pPr>
      <w:r>
        <w:rPr>
          <w:rStyle w:val="FootnoteReference"/>
        </w:rPr>
        <w:footnoteRef/>
      </w:r>
      <w:r>
        <w:rPr>
          <w:szCs w:val="18"/>
          <w:lang w:eastAsia="en-AU" w:bidi="ar-SA"/>
        </w:rPr>
        <w:t xml:space="preserve"> </w:t>
      </w:r>
      <w:r w:rsidRPr="00BD7B77">
        <w:rPr>
          <w:szCs w:val="18"/>
          <w:lang w:eastAsia="en-AU" w:bidi="ar-SA"/>
        </w:rPr>
        <w:t xml:space="preserve">Due to the requirements of </w:t>
      </w:r>
      <w:r>
        <w:rPr>
          <w:szCs w:val="18"/>
          <w:lang w:eastAsia="en-AU" w:bidi="ar-SA"/>
        </w:rPr>
        <w:t>confidential commercial information</w:t>
      </w:r>
      <w:r w:rsidRPr="00BD7B77">
        <w:rPr>
          <w:szCs w:val="18"/>
          <w:lang w:eastAsia="en-AU" w:bidi="ar-SA"/>
        </w:rPr>
        <w:t>, specific</w:t>
      </w:r>
      <w:r>
        <w:rPr>
          <w:szCs w:val="18"/>
          <w:lang w:eastAsia="en-AU" w:bidi="ar-SA"/>
        </w:rPr>
        <w:t xml:space="preserve"> information cannot be provided.</w:t>
      </w:r>
    </w:p>
  </w:footnote>
  <w:footnote w:id="7">
    <w:p w14:paraId="5BFFFE2C" w14:textId="206AA88C" w:rsidR="007C2ECD" w:rsidRPr="00E04CF8" w:rsidRDefault="007C2ECD">
      <w:pPr>
        <w:pStyle w:val="FootnoteText"/>
        <w:rPr>
          <w:lang w:val="en-AU"/>
        </w:rPr>
      </w:pPr>
      <w:r>
        <w:rPr>
          <w:rStyle w:val="FootnoteReference"/>
        </w:rPr>
        <w:footnoteRef/>
      </w:r>
      <w:r>
        <w:t xml:space="preserve"> </w:t>
      </w:r>
      <w:hyperlink r:id="rId3" w:history="1">
        <w:r w:rsidRPr="00F73398">
          <w:rPr>
            <w:rStyle w:val="Hyperlink"/>
          </w:rPr>
          <w:t>www.foodstandards.gov.au/code/applications/Documents/A1155%20Review%20SD1%20Safety%20and%20growth%20.pdf</w:t>
        </w:r>
      </w:hyperlink>
      <w:r>
        <w:t xml:space="preserve"> </w:t>
      </w:r>
    </w:p>
  </w:footnote>
  <w:footnote w:id="8">
    <w:p w14:paraId="353EC2A1" w14:textId="3BC25AA5" w:rsidR="007C2ECD" w:rsidRPr="00BD622F" w:rsidRDefault="007C2ECD" w:rsidP="00741673">
      <w:pPr>
        <w:pStyle w:val="FootnoteText"/>
        <w:rPr>
          <w:lang w:val="en-AU"/>
        </w:rPr>
      </w:pPr>
      <w:r>
        <w:rPr>
          <w:rStyle w:val="FootnoteReference"/>
        </w:rPr>
        <w:footnoteRef/>
      </w:r>
      <w:r>
        <w:t xml:space="preserve"> </w:t>
      </w:r>
      <w:r>
        <w:rPr>
          <w:lang w:val="en-AU"/>
        </w:rPr>
        <w:t xml:space="preserve">GRAS Notice (GRN) 571; </w:t>
      </w:r>
      <w:r w:rsidRPr="00741673">
        <w:rPr>
          <w:vertAlign w:val="superscript"/>
          <w:lang w:val="en-AU"/>
        </w:rPr>
        <w:t>9</w:t>
      </w:r>
      <w:r>
        <w:rPr>
          <w:vertAlign w:val="superscript"/>
          <w:lang w:val="en-AU"/>
        </w:rPr>
        <w:t xml:space="preserve"> </w:t>
      </w:r>
      <w:r>
        <w:rPr>
          <w:lang w:val="en-AU"/>
        </w:rPr>
        <w:t xml:space="preserve">GRN546; </w:t>
      </w:r>
      <w:r w:rsidRPr="00741673">
        <w:rPr>
          <w:vertAlign w:val="superscript"/>
          <w:lang w:val="en-AU"/>
        </w:rPr>
        <w:t>10</w:t>
      </w:r>
      <w:r>
        <w:rPr>
          <w:lang w:val="en-AU"/>
        </w:rPr>
        <w:t xml:space="preserve"> GRN650 (2′-FL) &amp; GRN815 (2′-FL/DFL mixture); </w:t>
      </w:r>
      <w:r w:rsidRPr="00741673">
        <w:rPr>
          <w:vertAlign w:val="superscript"/>
          <w:lang w:val="en-AU"/>
        </w:rPr>
        <w:t>11</w:t>
      </w:r>
      <w:r>
        <w:rPr>
          <w:lang w:val="en-AU"/>
        </w:rPr>
        <w:t xml:space="preserve"> GRN735; </w:t>
      </w:r>
      <w:r w:rsidRPr="00741673">
        <w:rPr>
          <w:vertAlign w:val="superscript"/>
          <w:lang w:val="en-AU"/>
        </w:rPr>
        <w:t>12</w:t>
      </w:r>
      <w:r>
        <w:rPr>
          <w:lang w:val="en-AU"/>
        </w:rPr>
        <w:t xml:space="preserve"> GRN749 and GRN897; </w:t>
      </w:r>
      <w:r w:rsidRPr="00741673">
        <w:rPr>
          <w:vertAlign w:val="superscript"/>
          <w:lang w:val="en-AU"/>
        </w:rPr>
        <w:t>13</w:t>
      </w:r>
      <w:r>
        <w:rPr>
          <w:lang w:val="en-AU"/>
        </w:rPr>
        <w:t xml:space="preserve"> GRN852. For further information about this GRNs, visit the FDA GRAS Notices website </w:t>
      </w:r>
      <w:hyperlink r:id="rId4" w:history="1">
        <w:r w:rsidRPr="009F0942">
          <w:rPr>
            <w:rStyle w:val="Hyperlink"/>
            <w:lang w:val="en-AU"/>
          </w:rPr>
          <w:t>www.cfsanappsexternal.fda.gov/scripts/fdcc/index.cfm?set=GRASNotices</w:t>
        </w:r>
      </w:hyperlink>
      <w:r>
        <w:rPr>
          <w:lang w:val="en-AU"/>
        </w:rPr>
        <w:t xml:space="preserve">. </w:t>
      </w:r>
    </w:p>
    <w:p w14:paraId="7458DF29" w14:textId="3642A323" w:rsidR="007C2ECD" w:rsidRPr="00BD622F" w:rsidRDefault="007C2ECD" w:rsidP="00CD0AAD">
      <w:pPr>
        <w:pStyle w:val="FootnoteText"/>
        <w:rPr>
          <w:lang w:val="en-AU"/>
        </w:rPr>
      </w:pPr>
    </w:p>
  </w:footnote>
  <w:footnote w:id="9">
    <w:p w14:paraId="32FB68B3" w14:textId="30D5B447" w:rsidR="007C2ECD" w:rsidRPr="00443067" w:rsidRDefault="007C2ECD" w:rsidP="00505805">
      <w:pPr>
        <w:pStyle w:val="FootnoteText"/>
        <w:ind w:left="187" w:hanging="187"/>
        <w:rPr>
          <w:lang w:val="en-AU"/>
        </w:rPr>
      </w:pPr>
      <w:r>
        <w:rPr>
          <w:rStyle w:val="FootnoteReference"/>
        </w:rPr>
        <w:footnoteRef/>
      </w:r>
      <w:r>
        <w:t xml:space="preserve"> </w:t>
      </w:r>
      <w:hyperlink r:id="rId5" w:history="1">
        <w:r w:rsidRPr="00B123BF">
          <w:rPr>
            <w:rStyle w:val="Hyperlink"/>
            <w:szCs w:val="18"/>
          </w:rPr>
          <w:t>foodregulation.gov.au/internet/fr/publishing.nsf/Content/publication-Policy-Guideline-on-Infant-Formula-Products</w:t>
        </w:r>
      </w:hyperlink>
    </w:p>
  </w:footnote>
  <w:footnote w:id="10">
    <w:p w14:paraId="686B8A77" w14:textId="19B51C38" w:rsidR="007C2ECD" w:rsidRPr="00CF2D25" w:rsidRDefault="007C2ECD">
      <w:pPr>
        <w:pStyle w:val="FootnoteText"/>
        <w:rPr>
          <w:lang w:val="en-AU"/>
        </w:rPr>
      </w:pPr>
      <w:r>
        <w:rPr>
          <w:rStyle w:val="FootnoteReference"/>
        </w:rPr>
        <w:footnoteRef/>
      </w:r>
      <w:r>
        <w:t xml:space="preserve"> </w:t>
      </w:r>
      <w:hyperlink r:id="rId6" w:history="1">
        <w:r w:rsidRPr="002D69A0">
          <w:rPr>
            <w:rStyle w:val="Hyperlink"/>
          </w:rPr>
          <w:t>www.foodstandards.gov.au/code/applications/Pages/A1155.aspx</w:t>
        </w:r>
      </w:hyperlink>
      <w:r>
        <w:t xml:space="preserve">  </w:t>
      </w:r>
    </w:p>
  </w:footnote>
  <w:footnote w:id="11">
    <w:p w14:paraId="4BB5C953" w14:textId="2E9D2F1A" w:rsidR="007C2ECD" w:rsidRPr="00B123BF" w:rsidRDefault="007C2ECD">
      <w:pPr>
        <w:pStyle w:val="FootnoteText"/>
        <w:rPr>
          <w:lang w:val="en-AU"/>
        </w:rPr>
      </w:pPr>
      <w:r>
        <w:rPr>
          <w:rStyle w:val="FootnoteReference"/>
        </w:rPr>
        <w:footnoteRef/>
      </w:r>
      <w:r>
        <w:t xml:space="preserve"> </w:t>
      </w:r>
      <w:r>
        <w:rPr>
          <w:rStyle w:val="Hyperlink"/>
        </w:rPr>
        <w:t xml:space="preserve"> </w:t>
      </w:r>
      <w:r w:rsidRPr="00B123BF">
        <w:rPr>
          <w:rStyle w:val="Hyperlink"/>
        </w:rPr>
        <w:t>www.foodstandards.gov.au/code/applications/Documents/A1155%20Review%20SD2%20Beneficial%20effects.pdf</w:t>
      </w:r>
    </w:p>
  </w:footnote>
  <w:footnote w:id="12">
    <w:p w14:paraId="1AFC4FED" w14:textId="38481009" w:rsidR="007C2ECD" w:rsidRPr="002B449E" w:rsidRDefault="007C2ECD">
      <w:pPr>
        <w:pStyle w:val="FootnoteText"/>
        <w:rPr>
          <w:lang w:val="en-AU"/>
        </w:rPr>
      </w:pPr>
      <w:r>
        <w:rPr>
          <w:rStyle w:val="FootnoteReference"/>
        </w:rPr>
        <w:footnoteRef/>
      </w:r>
      <w:r>
        <w:t xml:space="preserve"> </w:t>
      </w:r>
      <w:hyperlink r:id="rId7" w:history="1">
        <w:r w:rsidRPr="002D69A0">
          <w:rPr>
            <w:rStyle w:val="Hyperlink"/>
          </w:rPr>
          <w:t>www.foodstandards.gov.au/code/applications/Documents/A1155%20Review%20SD4%20IEAG%20Summary%20of%20Conclusions.docx.pdf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DF9F" w14:textId="77777777" w:rsidR="007C2ECD" w:rsidRDefault="007C2ECD">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2CB9" w14:textId="16396CD8" w:rsidR="007C2ECD" w:rsidRPr="00CF6575" w:rsidRDefault="007C2ECD" w:rsidP="00CF6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3834" w14:textId="1494F318" w:rsidR="007C2ECD" w:rsidRPr="00CF6575" w:rsidRDefault="007C2ECD" w:rsidP="00CF65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DAF1" w14:textId="77777777" w:rsidR="007C2ECD" w:rsidRDefault="007C2EC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C865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68779A"/>
    <w:multiLevelType w:val="hybridMultilevel"/>
    <w:tmpl w:val="3AF8A696"/>
    <w:lvl w:ilvl="0" w:tplc="D648084C">
      <w:start w:val="1"/>
      <w:numFmt w:val="bullet"/>
      <w:lvlText w:val=""/>
      <w:lvlJc w:val="left"/>
      <w:pPr>
        <w:ind w:left="567" w:hanging="283"/>
      </w:pPr>
      <w:rPr>
        <w:rFonts w:ascii="Symbol" w:hAnsi="Symbol" w:hint="default"/>
      </w:rPr>
    </w:lvl>
    <w:lvl w:ilvl="1" w:tplc="1C0A2120">
      <w:numFmt w:val="bullet"/>
      <w:lvlText w:val="•"/>
      <w:lvlJc w:val="left"/>
      <w:pPr>
        <w:ind w:left="1134" w:hanging="283"/>
      </w:pPr>
      <w:rPr>
        <w:rFonts w:ascii="Arial" w:eastAsiaTheme="minorHAnsi"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B35DF"/>
    <w:multiLevelType w:val="hybridMultilevel"/>
    <w:tmpl w:val="C398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30C3"/>
    <w:multiLevelType w:val="hybridMultilevel"/>
    <w:tmpl w:val="F954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928E1"/>
    <w:multiLevelType w:val="hybridMultilevel"/>
    <w:tmpl w:val="8AD8FFA0"/>
    <w:lvl w:ilvl="0" w:tplc="47E69A6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717F2"/>
    <w:multiLevelType w:val="hybridMultilevel"/>
    <w:tmpl w:val="8BB41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54271"/>
    <w:multiLevelType w:val="hybridMultilevel"/>
    <w:tmpl w:val="CC288F3E"/>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77188"/>
    <w:multiLevelType w:val="hybridMultilevel"/>
    <w:tmpl w:val="9BA4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A6A8B"/>
    <w:multiLevelType w:val="hybridMultilevel"/>
    <w:tmpl w:val="462200E6"/>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B7B65"/>
    <w:multiLevelType w:val="hybridMultilevel"/>
    <w:tmpl w:val="2AB0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47DBE"/>
    <w:multiLevelType w:val="multilevel"/>
    <w:tmpl w:val="E3DE7C94"/>
    <w:lvl w:ilvl="0">
      <w:start w:val="1"/>
      <w:numFmt w:val="lowerRoman"/>
      <w:lvlText w:val="(%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C204A73"/>
    <w:multiLevelType w:val="hybridMultilevel"/>
    <w:tmpl w:val="DE52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141B4D"/>
    <w:multiLevelType w:val="hybridMultilevel"/>
    <w:tmpl w:val="3828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63172"/>
    <w:multiLevelType w:val="hybridMultilevel"/>
    <w:tmpl w:val="2F72B7F4"/>
    <w:lvl w:ilvl="0" w:tplc="F88A7D1E">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C43EF"/>
    <w:multiLevelType w:val="hybridMultilevel"/>
    <w:tmpl w:val="DE52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8DB40DD"/>
    <w:multiLevelType w:val="hybridMultilevel"/>
    <w:tmpl w:val="B5E0CFF8"/>
    <w:lvl w:ilvl="0" w:tplc="D648084C">
      <w:start w:val="1"/>
      <w:numFmt w:val="bullet"/>
      <w:lvlText w:val=""/>
      <w:lvlJc w:val="left"/>
      <w:pPr>
        <w:ind w:left="567" w:hanging="283"/>
      </w:pPr>
      <w:rPr>
        <w:rFonts w:ascii="Symbol" w:hAnsi="Symbol" w:hint="default"/>
      </w:rPr>
    </w:lvl>
    <w:lvl w:ilvl="1" w:tplc="1B060382">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15223"/>
    <w:multiLevelType w:val="hybridMultilevel"/>
    <w:tmpl w:val="E2C43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E1F2E"/>
    <w:multiLevelType w:val="hybridMultilevel"/>
    <w:tmpl w:val="CA44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40389"/>
    <w:multiLevelType w:val="hybridMultilevel"/>
    <w:tmpl w:val="E2009AFE"/>
    <w:lvl w:ilvl="0" w:tplc="7EA272F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B3BED"/>
    <w:multiLevelType w:val="hybridMultilevel"/>
    <w:tmpl w:val="5EE6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36A1A"/>
    <w:multiLevelType w:val="hybridMultilevel"/>
    <w:tmpl w:val="89DE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B0E39"/>
    <w:multiLevelType w:val="hybridMultilevel"/>
    <w:tmpl w:val="B1C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B166C"/>
    <w:multiLevelType w:val="hybridMultilevel"/>
    <w:tmpl w:val="D0D2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57A5B"/>
    <w:multiLevelType w:val="hybridMultilevel"/>
    <w:tmpl w:val="9F9A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F96"/>
    <w:multiLevelType w:val="hybridMultilevel"/>
    <w:tmpl w:val="E7AC4A08"/>
    <w:lvl w:ilvl="0" w:tplc="64F2FBA0">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E6F97"/>
    <w:multiLevelType w:val="hybridMultilevel"/>
    <w:tmpl w:val="ABA6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15:restartNumberingAfterBreak="0">
    <w:nsid w:val="732231BF"/>
    <w:multiLevelType w:val="hybridMultilevel"/>
    <w:tmpl w:val="44D0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8068A"/>
    <w:multiLevelType w:val="hybridMultilevel"/>
    <w:tmpl w:val="25DCEC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19"/>
  </w:num>
  <w:num w:numId="5">
    <w:abstractNumId w:val="6"/>
  </w:num>
  <w:num w:numId="6">
    <w:abstractNumId w:val="1"/>
  </w:num>
  <w:num w:numId="7">
    <w:abstractNumId w:val="12"/>
  </w:num>
  <w:num w:numId="8">
    <w:abstractNumId w:val="29"/>
  </w:num>
  <w:num w:numId="9">
    <w:abstractNumId w:val="31"/>
  </w:num>
  <w:num w:numId="10">
    <w:abstractNumId w:val="7"/>
  </w:num>
  <w:num w:numId="11">
    <w:abstractNumId w:val="11"/>
  </w:num>
  <w:num w:numId="12">
    <w:abstractNumId w:val="0"/>
  </w:num>
  <w:num w:numId="13">
    <w:abstractNumId w:val="30"/>
  </w:num>
  <w:num w:numId="14">
    <w:abstractNumId w:val="28"/>
  </w:num>
  <w:num w:numId="15">
    <w:abstractNumId w:val="13"/>
  </w:num>
  <w:num w:numId="16">
    <w:abstractNumId w:val="16"/>
  </w:num>
  <w:num w:numId="17">
    <w:abstractNumId w:val="18"/>
  </w:num>
  <w:num w:numId="18">
    <w:abstractNumId w:val="3"/>
  </w:num>
  <w:num w:numId="19">
    <w:abstractNumId w:val="5"/>
  </w:num>
  <w:num w:numId="20">
    <w:abstractNumId w:val="23"/>
  </w:num>
  <w:num w:numId="21">
    <w:abstractNumId w:val="25"/>
  </w:num>
  <w:num w:numId="22">
    <w:abstractNumId w:val="26"/>
  </w:num>
  <w:num w:numId="23">
    <w:abstractNumId w:val="9"/>
  </w:num>
  <w:num w:numId="24">
    <w:abstractNumId w:val="22"/>
  </w:num>
  <w:num w:numId="25">
    <w:abstractNumId w:val="20"/>
  </w:num>
  <w:num w:numId="26">
    <w:abstractNumId w:val="15"/>
  </w:num>
  <w:num w:numId="27">
    <w:abstractNumId w:val="27"/>
  </w:num>
  <w:num w:numId="28">
    <w:abstractNumId w:val="21"/>
  </w:num>
  <w:num w:numId="29">
    <w:abstractNumId w:val="24"/>
  </w:num>
  <w:num w:numId="30">
    <w:abstractNumId w:val="10"/>
  </w:num>
  <w:num w:numId="31">
    <w:abstractNumId w:val="4"/>
  </w:num>
  <w:num w:numId="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EB6"/>
    <w:rsid w:val="00001ACD"/>
    <w:rsid w:val="00001CF2"/>
    <w:rsid w:val="0000247B"/>
    <w:rsid w:val="0000291B"/>
    <w:rsid w:val="00003EE0"/>
    <w:rsid w:val="0000469B"/>
    <w:rsid w:val="00004D8B"/>
    <w:rsid w:val="00006267"/>
    <w:rsid w:val="000105AE"/>
    <w:rsid w:val="00010AF2"/>
    <w:rsid w:val="0001204D"/>
    <w:rsid w:val="00016BA1"/>
    <w:rsid w:val="000171A4"/>
    <w:rsid w:val="0001760E"/>
    <w:rsid w:val="00017CAC"/>
    <w:rsid w:val="000219F4"/>
    <w:rsid w:val="0002310C"/>
    <w:rsid w:val="0002337D"/>
    <w:rsid w:val="00025247"/>
    <w:rsid w:val="000254AB"/>
    <w:rsid w:val="00026C9A"/>
    <w:rsid w:val="00027204"/>
    <w:rsid w:val="00032D09"/>
    <w:rsid w:val="00032F4D"/>
    <w:rsid w:val="000340BA"/>
    <w:rsid w:val="00035E55"/>
    <w:rsid w:val="00035FF3"/>
    <w:rsid w:val="0003672D"/>
    <w:rsid w:val="000368F6"/>
    <w:rsid w:val="00040172"/>
    <w:rsid w:val="000404F0"/>
    <w:rsid w:val="00040745"/>
    <w:rsid w:val="000416A9"/>
    <w:rsid w:val="00041A6A"/>
    <w:rsid w:val="0004249E"/>
    <w:rsid w:val="000424E3"/>
    <w:rsid w:val="0004306B"/>
    <w:rsid w:val="000440B9"/>
    <w:rsid w:val="00046982"/>
    <w:rsid w:val="00050226"/>
    <w:rsid w:val="00051021"/>
    <w:rsid w:val="0005140A"/>
    <w:rsid w:val="00051ED9"/>
    <w:rsid w:val="00053BC4"/>
    <w:rsid w:val="00053C19"/>
    <w:rsid w:val="00055710"/>
    <w:rsid w:val="00056FD8"/>
    <w:rsid w:val="00057181"/>
    <w:rsid w:val="00063EA4"/>
    <w:rsid w:val="0006473A"/>
    <w:rsid w:val="00064B2D"/>
    <w:rsid w:val="00065642"/>
    <w:rsid w:val="00065F1F"/>
    <w:rsid w:val="000665B9"/>
    <w:rsid w:val="000667C6"/>
    <w:rsid w:val="00070384"/>
    <w:rsid w:val="00071C4A"/>
    <w:rsid w:val="00072EDB"/>
    <w:rsid w:val="00076A2E"/>
    <w:rsid w:val="00076D33"/>
    <w:rsid w:val="000805D7"/>
    <w:rsid w:val="00080D36"/>
    <w:rsid w:val="00081D40"/>
    <w:rsid w:val="0008218F"/>
    <w:rsid w:val="000822B7"/>
    <w:rsid w:val="00083A00"/>
    <w:rsid w:val="00084627"/>
    <w:rsid w:val="000866F2"/>
    <w:rsid w:val="0008769D"/>
    <w:rsid w:val="00092698"/>
    <w:rsid w:val="00092CDA"/>
    <w:rsid w:val="00093B4A"/>
    <w:rsid w:val="000942D4"/>
    <w:rsid w:val="00094AC2"/>
    <w:rsid w:val="00094D92"/>
    <w:rsid w:val="00095AA2"/>
    <w:rsid w:val="00095AD5"/>
    <w:rsid w:val="0009795C"/>
    <w:rsid w:val="000A13B7"/>
    <w:rsid w:val="000A27E9"/>
    <w:rsid w:val="000A3D8B"/>
    <w:rsid w:val="000A3FF9"/>
    <w:rsid w:val="000A40E2"/>
    <w:rsid w:val="000A4405"/>
    <w:rsid w:val="000A44B1"/>
    <w:rsid w:val="000A5DF8"/>
    <w:rsid w:val="000A6B99"/>
    <w:rsid w:val="000A6E20"/>
    <w:rsid w:val="000A79B6"/>
    <w:rsid w:val="000B45D5"/>
    <w:rsid w:val="000B4D17"/>
    <w:rsid w:val="000B513B"/>
    <w:rsid w:val="000B5E4B"/>
    <w:rsid w:val="000B6AF2"/>
    <w:rsid w:val="000C0E90"/>
    <w:rsid w:val="000C1DFF"/>
    <w:rsid w:val="000C23FB"/>
    <w:rsid w:val="000C2589"/>
    <w:rsid w:val="000C3E7B"/>
    <w:rsid w:val="000C40CE"/>
    <w:rsid w:val="000C4CF2"/>
    <w:rsid w:val="000C6911"/>
    <w:rsid w:val="000C6C03"/>
    <w:rsid w:val="000C76FD"/>
    <w:rsid w:val="000C7A34"/>
    <w:rsid w:val="000D0F72"/>
    <w:rsid w:val="000D1A31"/>
    <w:rsid w:val="000D32FF"/>
    <w:rsid w:val="000D593B"/>
    <w:rsid w:val="000D6889"/>
    <w:rsid w:val="000D6AAB"/>
    <w:rsid w:val="000D6FD4"/>
    <w:rsid w:val="000D72C4"/>
    <w:rsid w:val="000D7599"/>
    <w:rsid w:val="000E0AE4"/>
    <w:rsid w:val="000E23FC"/>
    <w:rsid w:val="000E3D8F"/>
    <w:rsid w:val="000E3DBC"/>
    <w:rsid w:val="000E7FBA"/>
    <w:rsid w:val="000F1743"/>
    <w:rsid w:val="000F2BD5"/>
    <w:rsid w:val="000F6CF0"/>
    <w:rsid w:val="00101DA4"/>
    <w:rsid w:val="00102904"/>
    <w:rsid w:val="00102C63"/>
    <w:rsid w:val="0010310E"/>
    <w:rsid w:val="001033BD"/>
    <w:rsid w:val="00106658"/>
    <w:rsid w:val="001068A0"/>
    <w:rsid w:val="00107AA7"/>
    <w:rsid w:val="0011064E"/>
    <w:rsid w:val="00110FF7"/>
    <w:rsid w:val="00111241"/>
    <w:rsid w:val="00112B10"/>
    <w:rsid w:val="0011395F"/>
    <w:rsid w:val="00113CE3"/>
    <w:rsid w:val="00113FDA"/>
    <w:rsid w:val="00117522"/>
    <w:rsid w:val="00120ED4"/>
    <w:rsid w:val="00124D0A"/>
    <w:rsid w:val="001255CF"/>
    <w:rsid w:val="001301A8"/>
    <w:rsid w:val="00130525"/>
    <w:rsid w:val="001317C8"/>
    <w:rsid w:val="00132528"/>
    <w:rsid w:val="00132D64"/>
    <w:rsid w:val="0013307E"/>
    <w:rsid w:val="00133CF4"/>
    <w:rsid w:val="001354F4"/>
    <w:rsid w:val="00135F07"/>
    <w:rsid w:val="00136096"/>
    <w:rsid w:val="001362D2"/>
    <w:rsid w:val="00136D15"/>
    <w:rsid w:val="00137EFE"/>
    <w:rsid w:val="0014086B"/>
    <w:rsid w:val="001409A4"/>
    <w:rsid w:val="001430DF"/>
    <w:rsid w:val="001436C7"/>
    <w:rsid w:val="00143FE2"/>
    <w:rsid w:val="00144076"/>
    <w:rsid w:val="00147EA3"/>
    <w:rsid w:val="001542D8"/>
    <w:rsid w:val="0015588A"/>
    <w:rsid w:val="00156B44"/>
    <w:rsid w:val="00156BFB"/>
    <w:rsid w:val="0015791B"/>
    <w:rsid w:val="0016055C"/>
    <w:rsid w:val="00164E06"/>
    <w:rsid w:val="001661F0"/>
    <w:rsid w:val="001700EB"/>
    <w:rsid w:val="001709E7"/>
    <w:rsid w:val="00173656"/>
    <w:rsid w:val="001763CF"/>
    <w:rsid w:val="00176CBB"/>
    <w:rsid w:val="00180C41"/>
    <w:rsid w:val="00181F01"/>
    <w:rsid w:val="00182C4C"/>
    <w:rsid w:val="001833AD"/>
    <w:rsid w:val="001838F9"/>
    <w:rsid w:val="00185C33"/>
    <w:rsid w:val="00186062"/>
    <w:rsid w:val="00186809"/>
    <w:rsid w:val="00186ACA"/>
    <w:rsid w:val="00187DEB"/>
    <w:rsid w:val="001909EF"/>
    <w:rsid w:val="0019115C"/>
    <w:rsid w:val="00192CBF"/>
    <w:rsid w:val="00193B24"/>
    <w:rsid w:val="001945FB"/>
    <w:rsid w:val="00194EAA"/>
    <w:rsid w:val="001969B4"/>
    <w:rsid w:val="00197D8D"/>
    <w:rsid w:val="00197F36"/>
    <w:rsid w:val="001A15BB"/>
    <w:rsid w:val="001A1A75"/>
    <w:rsid w:val="001A2288"/>
    <w:rsid w:val="001A2DBA"/>
    <w:rsid w:val="001A3064"/>
    <w:rsid w:val="001A3C4D"/>
    <w:rsid w:val="001A627C"/>
    <w:rsid w:val="001A7E9A"/>
    <w:rsid w:val="001B0AB5"/>
    <w:rsid w:val="001B2ACA"/>
    <w:rsid w:val="001B379F"/>
    <w:rsid w:val="001B6BA8"/>
    <w:rsid w:val="001C014D"/>
    <w:rsid w:val="001C098E"/>
    <w:rsid w:val="001C178F"/>
    <w:rsid w:val="001C1FC5"/>
    <w:rsid w:val="001C27A3"/>
    <w:rsid w:val="001C3971"/>
    <w:rsid w:val="001C3ECA"/>
    <w:rsid w:val="001C3ECF"/>
    <w:rsid w:val="001C5295"/>
    <w:rsid w:val="001C6427"/>
    <w:rsid w:val="001C7428"/>
    <w:rsid w:val="001C74EF"/>
    <w:rsid w:val="001D0784"/>
    <w:rsid w:val="001D09C2"/>
    <w:rsid w:val="001D2BC8"/>
    <w:rsid w:val="001D3945"/>
    <w:rsid w:val="001D3CC4"/>
    <w:rsid w:val="001D3DFB"/>
    <w:rsid w:val="001E09FA"/>
    <w:rsid w:val="001E0D2C"/>
    <w:rsid w:val="001E156D"/>
    <w:rsid w:val="001E1CB5"/>
    <w:rsid w:val="001E371E"/>
    <w:rsid w:val="001E43BE"/>
    <w:rsid w:val="001E5398"/>
    <w:rsid w:val="001E598F"/>
    <w:rsid w:val="001E735F"/>
    <w:rsid w:val="001E74E1"/>
    <w:rsid w:val="001F034A"/>
    <w:rsid w:val="001F0891"/>
    <w:rsid w:val="001F28CB"/>
    <w:rsid w:val="001F2F16"/>
    <w:rsid w:val="001F3CD2"/>
    <w:rsid w:val="001F4338"/>
    <w:rsid w:val="001F4557"/>
    <w:rsid w:val="001F4EF0"/>
    <w:rsid w:val="001F6525"/>
    <w:rsid w:val="001F7A1C"/>
    <w:rsid w:val="002029F9"/>
    <w:rsid w:val="00202C13"/>
    <w:rsid w:val="00203316"/>
    <w:rsid w:val="00203540"/>
    <w:rsid w:val="0020588B"/>
    <w:rsid w:val="0021121F"/>
    <w:rsid w:val="002120B9"/>
    <w:rsid w:val="00212F48"/>
    <w:rsid w:val="00214FF7"/>
    <w:rsid w:val="002150C6"/>
    <w:rsid w:val="0021612B"/>
    <w:rsid w:val="0022083A"/>
    <w:rsid w:val="00221D07"/>
    <w:rsid w:val="0022343F"/>
    <w:rsid w:val="00224CE5"/>
    <w:rsid w:val="002279F1"/>
    <w:rsid w:val="00227E4A"/>
    <w:rsid w:val="00236FBF"/>
    <w:rsid w:val="00240673"/>
    <w:rsid w:val="002412EB"/>
    <w:rsid w:val="002413D6"/>
    <w:rsid w:val="00241F35"/>
    <w:rsid w:val="00242DDA"/>
    <w:rsid w:val="00242E82"/>
    <w:rsid w:val="0024582E"/>
    <w:rsid w:val="00245C56"/>
    <w:rsid w:val="00246C4A"/>
    <w:rsid w:val="00252417"/>
    <w:rsid w:val="002547EF"/>
    <w:rsid w:val="00256A55"/>
    <w:rsid w:val="00256D65"/>
    <w:rsid w:val="0026000A"/>
    <w:rsid w:val="0026017D"/>
    <w:rsid w:val="002615EA"/>
    <w:rsid w:val="002679AE"/>
    <w:rsid w:val="00271F00"/>
    <w:rsid w:val="0027355E"/>
    <w:rsid w:val="00273A80"/>
    <w:rsid w:val="00273E18"/>
    <w:rsid w:val="002761D3"/>
    <w:rsid w:val="00280117"/>
    <w:rsid w:val="00284BE3"/>
    <w:rsid w:val="002870FB"/>
    <w:rsid w:val="0028762C"/>
    <w:rsid w:val="00287E38"/>
    <w:rsid w:val="0029204E"/>
    <w:rsid w:val="0029343A"/>
    <w:rsid w:val="002937E2"/>
    <w:rsid w:val="00294342"/>
    <w:rsid w:val="00294FD8"/>
    <w:rsid w:val="0029631C"/>
    <w:rsid w:val="002A0194"/>
    <w:rsid w:val="002A0439"/>
    <w:rsid w:val="002A08B2"/>
    <w:rsid w:val="002A0E0C"/>
    <w:rsid w:val="002A156C"/>
    <w:rsid w:val="002A1D29"/>
    <w:rsid w:val="002A2929"/>
    <w:rsid w:val="002A3314"/>
    <w:rsid w:val="002A5F8B"/>
    <w:rsid w:val="002A7D03"/>
    <w:rsid w:val="002A7F6C"/>
    <w:rsid w:val="002B09E5"/>
    <w:rsid w:val="002B0CD9"/>
    <w:rsid w:val="002B449E"/>
    <w:rsid w:val="002C0DDE"/>
    <w:rsid w:val="002C658A"/>
    <w:rsid w:val="002D0910"/>
    <w:rsid w:val="002D1CC1"/>
    <w:rsid w:val="002D34D6"/>
    <w:rsid w:val="002D5EB1"/>
    <w:rsid w:val="002D6809"/>
    <w:rsid w:val="002D6E8D"/>
    <w:rsid w:val="002D728D"/>
    <w:rsid w:val="002D76E9"/>
    <w:rsid w:val="002D7B71"/>
    <w:rsid w:val="002E0AFF"/>
    <w:rsid w:val="002E24F2"/>
    <w:rsid w:val="002E276A"/>
    <w:rsid w:val="002E447B"/>
    <w:rsid w:val="002E6F8B"/>
    <w:rsid w:val="002F1DFA"/>
    <w:rsid w:val="002F24A9"/>
    <w:rsid w:val="002F36E6"/>
    <w:rsid w:val="002F3AB9"/>
    <w:rsid w:val="002F4C4E"/>
    <w:rsid w:val="002F631C"/>
    <w:rsid w:val="002F6488"/>
    <w:rsid w:val="003012AB"/>
    <w:rsid w:val="00302928"/>
    <w:rsid w:val="00303327"/>
    <w:rsid w:val="00307759"/>
    <w:rsid w:val="0031071B"/>
    <w:rsid w:val="00312E83"/>
    <w:rsid w:val="003146B6"/>
    <w:rsid w:val="003149B4"/>
    <w:rsid w:val="00315004"/>
    <w:rsid w:val="00320839"/>
    <w:rsid w:val="003213F9"/>
    <w:rsid w:val="00323DBF"/>
    <w:rsid w:val="003240EF"/>
    <w:rsid w:val="00326D85"/>
    <w:rsid w:val="0032737D"/>
    <w:rsid w:val="00327A83"/>
    <w:rsid w:val="003309A8"/>
    <w:rsid w:val="00332B12"/>
    <w:rsid w:val="0033665E"/>
    <w:rsid w:val="00337A74"/>
    <w:rsid w:val="00342C21"/>
    <w:rsid w:val="00346660"/>
    <w:rsid w:val="00346823"/>
    <w:rsid w:val="003470C3"/>
    <w:rsid w:val="00347A80"/>
    <w:rsid w:val="00350C09"/>
    <w:rsid w:val="003517BA"/>
    <w:rsid w:val="00351B07"/>
    <w:rsid w:val="0035224A"/>
    <w:rsid w:val="00352CF2"/>
    <w:rsid w:val="00353C9A"/>
    <w:rsid w:val="00356597"/>
    <w:rsid w:val="00356E3A"/>
    <w:rsid w:val="00357EF4"/>
    <w:rsid w:val="00360C17"/>
    <w:rsid w:val="00362706"/>
    <w:rsid w:val="0036439C"/>
    <w:rsid w:val="0036459D"/>
    <w:rsid w:val="00364841"/>
    <w:rsid w:val="00367475"/>
    <w:rsid w:val="00371B29"/>
    <w:rsid w:val="003720AA"/>
    <w:rsid w:val="003721F8"/>
    <w:rsid w:val="00373619"/>
    <w:rsid w:val="00373BD9"/>
    <w:rsid w:val="00373FB7"/>
    <w:rsid w:val="003754F1"/>
    <w:rsid w:val="0037656B"/>
    <w:rsid w:val="00376BDE"/>
    <w:rsid w:val="00382A68"/>
    <w:rsid w:val="0038332C"/>
    <w:rsid w:val="00383805"/>
    <w:rsid w:val="00384537"/>
    <w:rsid w:val="00385905"/>
    <w:rsid w:val="00385A78"/>
    <w:rsid w:val="003868A5"/>
    <w:rsid w:val="0038722E"/>
    <w:rsid w:val="00391769"/>
    <w:rsid w:val="003953E1"/>
    <w:rsid w:val="003956B3"/>
    <w:rsid w:val="003976D4"/>
    <w:rsid w:val="003A1AD9"/>
    <w:rsid w:val="003A1CD5"/>
    <w:rsid w:val="003A2A04"/>
    <w:rsid w:val="003A68BE"/>
    <w:rsid w:val="003A6F0F"/>
    <w:rsid w:val="003B0609"/>
    <w:rsid w:val="003B1805"/>
    <w:rsid w:val="003B1AE2"/>
    <w:rsid w:val="003B3C9D"/>
    <w:rsid w:val="003B3FE8"/>
    <w:rsid w:val="003B4C17"/>
    <w:rsid w:val="003B4F9E"/>
    <w:rsid w:val="003B6B10"/>
    <w:rsid w:val="003B71C1"/>
    <w:rsid w:val="003B78E0"/>
    <w:rsid w:val="003C055E"/>
    <w:rsid w:val="003C0736"/>
    <w:rsid w:val="003C34DA"/>
    <w:rsid w:val="003C35F3"/>
    <w:rsid w:val="003C4969"/>
    <w:rsid w:val="003D07BB"/>
    <w:rsid w:val="003D4D90"/>
    <w:rsid w:val="003D4DA2"/>
    <w:rsid w:val="003D4EC4"/>
    <w:rsid w:val="003D5C79"/>
    <w:rsid w:val="003D7B4E"/>
    <w:rsid w:val="003E41D5"/>
    <w:rsid w:val="003E46BA"/>
    <w:rsid w:val="003E55B5"/>
    <w:rsid w:val="003E5DDB"/>
    <w:rsid w:val="003E5FC1"/>
    <w:rsid w:val="003E7D22"/>
    <w:rsid w:val="003F01A3"/>
    <w:rsid w:val="003F26C3"/>
    <w:rsid w:val="003F2C34"/>
    <w:rsid w:val="003F31BD"/>
    <w:rsid w:val="003F3444"/>
    <w:rsid w:val="003F50E4"/>
    <w:rsid w:val="003F610F"/>
    <w:rsid w:val="003F74C1"/>
    <w:rsid w:val="00400948"/>
    <w:rsid w:val="004039C5"/>
    <w:rsid w:val="00405B1A"/>
    <w:rsid w:val="00407BA8"/>
    <w:rsid w:val="0041020A"/>
    <w:rsid w:val="004102B0"/>
    <w:rsid w:val="00410C76"/>
    <w:rsid w:val="00410F1D"/>
    <w:rsid w:val="00411907"/>
    <w:rsid w:val="00412310"/>
    <w:rsid w:val="004130CB"/>
    <w:rsid w:val="00413CA8"/>
    <w:rsid w:val="00415203"/>
    <w:rsid w:val="0041587B"/>
    <w:rsid w:val="00415B7B"/>
    <w:rsid w:val="00417EE3"/>
    <w:rsid w:val="00420208"/>
    <w:rsid w:val="00420341"/>
    <w:rsid w:val="004206FE"/>
    <w:rsid w:val="004207EB"/>
    <w:rsid w:val="00423231"/>
    <w:rsid w:val="00423719"/>
    <w:rsid w:val="00423CC1"/>
    <w:rsid w:val="0042777D"/>
    <w:rsid w:val="00427BDB"/>
    <w:rsid w:val="00430D48"/>
    <w:rsid w:val="0043278C"/>
    <w:rsid w:val="00434A72"/>
    <w:rsid w:val="00435213"/>
    <w:rsid w:val="00435DFA"/>
    <w:rsid w:val="00436DE3"/>
    <w:rsid w:val="00436F85"/>
    <w:rsid w:val="0043717C"/>
    <w:rsid w:val="00437276"/>
    <w:rsid w:val="004425E4"/>
    <w:rsid w:val="00443067"/>
    <w:rsid w:val="0044469B"/>
    <w:rsid w:val="004454E7"/>
    <w:rsid w:val="0044668F"/>
    <w:rsid w:val="00446CF7"/>
    <w:rsid w:val="00446FFC"/>
    <w:rsid w:val="0045315F"/>
    <w:rsid w:val="00453482"/>
    <w:rsid w:val="004540C6"/>
    <w:rsid w:val="00455F3D"/>
    <w:rsid w:val="00456B54"/>
    <w:rsid w:val="00456C19"/>
    <w:rsid w:val="004604B0"/>
    <w:rsid w:val="004607F4"/>
    <w:rsid w:val="00462851"/>
    <w:rsid w:val="0046344A"/>
    <w:rsid w:val="00463C66"/>
    <w:rsid w:val="00464643"/>
    <w:rsid w:val="00466676"/>
    <w:rsid w:val="00466ACC"/>
    <w:rsid w:val="00472453"/>
    <w:rsid w:val="004736F4"/>
    <w:rsid w:val="0047465A"/>
    <w:rsid w:val="00474BEE"/>
    <w:rsid w:val="0047550F"/>
    <w:rsid w:val="004757B1"/>
    <w:rsid w:val="004759EB"/>
    <w:rsid w:val="00476705"/>
    <w:rsid w:val="0047762E"/>
    <w:rsid w:val="004777D4"/>
    <w:rsid w:val="0048242F"/>
    <w:rsid w:val="00483E09"/>
    <w:rsid w:val="00486793"/>
    <w:rsid w:val="00487D6D"/>
    <w:rsid w:val="00490536"/>
    <w:rsid w:val="00492953"/>
    <w:rsid w:val="00493EDF"/>
    <w:rsid w:val="004940D0"/>
    <w:rsid w:val="004966AF"/>
    <w:rsid w:val="00496D10"/>
    <w:rsid w:val="004A2037"/>
    <w:rsid w:val="004A4A56"/>
    <w:rsid w:val="004A4EF8"/>
    <w:rsid w:val="004A5596"/>
    <w:rsid w:val="004A5960"/>
    <w:rsid w:val="004A6430"/>
    <w:rsid w:val="004A667D"/>
    <w:rsid w:val="004A6891"/>
    <w:rsid w:val="004B0911"/>
    <w:rsid w:val="004B0D27"/>
    <w:rsid w:val="004B22A5"/>
    <w:rsid w:val="004B2B25"/>
    <w:rsid w:val="004B33F7"/>
    <w:rsid w:val="004B5305"/>
    <w:rsid w:val="004B6C19"/>
    <w:rsid w:val="004C02C7"/>
    <w:rsid w:val="004C0A88"/>
    <w:rsid w:val="004C0E54"/>
    <w:rsid w:val="004C160D"/>
    <w:rsid w:val="004C2CE7"/>
    <w:rsid w:val="004C2DEC"/>
    <w:rsid w:val="004C3A0D"/>
    <w:rsid w:val="004C3FDF"/>
    <w:rsid w:val="004C437B"/>
    <w:rsid w:val="004C45E0"/>
    <w:rsid w:val="004C4958"/>
    <w:rsid w:val="004C58D0"/>
    <w:rsid w:val="004C6CD7"/>
    <w:rsid w:val="004C744E"/>
    <w:rsid w:val="004C7BF1"/>
    <w:rsid w:val="004D15D8"/>
    <w:rsid w:val="004D1ABF"/>
    <w:rsid w:val="004D2489"/>
    <w:rsid w:val="004D2891"/>
    <w:rsid w:val="004D2AB3"/>
    <w:rsid w:val="004D2B49"/>
    <w:rsid w:val="004D5727"/>
    <w:rsid w:val="004D666A"/>
    <w:rsid w:val="004D7718"/>
    <w:rsid w:val="004D7BCB"/>
    <w:rsid w:val="004D7F96"/>
    <w:rsid w:val="004E0354"/>
    <w:rsid w:val="004E0899"/>
    <w:rsid w:val="004E3A51"/>
    <w:rsid w:val="004E3B3D"/>
    <w:rsid w:val="004E6A63"/>
    <w:rsid w:val="004E7CFC"/>
    <w:rsid w:val="004F0D41"/>
    <w:rsid w:val="004F4BE5"/>
    <w:rsid w:val="004F4F98"/>
    <w:rsid w:val="004F69F6"/>
    <w:rsid w:val="004F79AC"/>
    <w:rsid w:val="004F7EA0"/>
    <w:rsid w:val="00500BA9"/>
    <w:rsid w:val="005017CF"/>
    <w:rsid w:val="00502C80"/>
    <w:rsid w:val="00502D1E"/>
    <w:rsid w:val="00504558"/>
    <w:rsid w:val="00505805"/>
    <w:rsid w:val="0050623B"/>
    <w:rsid w:val="00506459"/>
    <w:rsid w:val="00507042"/>
    <w:rsid w:val="00512378"/>
    <w:rsid w:val="00514377"/>
    <w:rsid w:val="005146C6"/>
    <w:rsid w:val="00515194"/>
    <w:rsid w:val="005155A8"/>
    <w:rsid w:val="00515ECE"/>
    <w:rsid w:val="00516761"/>
    <w:rsid w:val="00517710"/>
    <w:rsid w:val="005207D8"/>
    <w:rsid w:val="00520E42"/>
    <w:rsid w:val="005229BB"/>
    <w:rsid w:val="005250A1"/>
    <w:rsid w:val="00525D02"/>
    <w:rsid w:val="005261BE"/>
    <w:rsid w:val="00527780"/>
    <w:rsid w:val="005326E8"/>
    <w:rsid w:val="00532ABD"/>
    <w:rsid w:val="00533733"/>
    <w:rsid w:val="00534318"/>
    <w:rsid w:val="0053464E"/>
    <w:rsid w:val="00534D8F"/>
    <w:rsid w:val="0053620F"/>
    <w:rsid w:val="00536AAD"/>
    <w:rsid w:val="005371CA"/>
    <w:rsid w:val="005371CB"/>
    <w:rsid w:val="00537705"/>
    <w:rsid w:val="00537A47"/>
    <w:rsid w:val="00541FBC"/>
    <w:rsid w:val="00541FC9"/>
    <w:rsid w:val="00542528"/>
    <w:rsid w:val="0054272D"/>
    <w:rsid w:val="0054371D"/>
    <w:rsid w:val="00543853"/>
    <w:rsid w:val="00543BAE"/>
    <w:rsid w:val="00544855"/>
    <w:rsid w:val="005449F9"/>
    <w:rsid w:val="00545C36"/>
    <w:rsid w:val="005469AA"/>
    <w:rsid w:val="00547800"/>
    <w:rsid w:val="005518B5"/>
    <w:rsid w:val="0055283E"/>
    <w:rsid w:val="005547C6"/>
    <w:rsid w:val="00555277"/>
    <w:rsid w:val="00555473"/>
    <w:rsid w:val="0056234A"/>
    <w:rsid w:val="00562917"/>
    <w:rsid w:val="00563FB7"/>
    <w:rsid w:val="00567589"/>
    <w:rsid w:val="00567AD3"/>
    <w:rsid w:val="0057136B"/>
    <w:rsid w:val="005714DC"/>
    <w:rsid w:val="00572293"/>
    <w:rsid w:val="0057268E"/>
    <w:rsid w:val="00575CEE"/>
    <w:rsid w:val="00575EB0"/>
    <w:rsid w:val="00575FD6"/>
    <w:rsid w:val="0057615C"/>
    <w:rsid w:val="005774F6"/>
    <w:rsid w:val="00580B77"/>
    <w:rsid w:val="00582688"/>
    <w:rsid w:val="0058389E"/>
    <w:rsid w:val="005844FE"/>
    <w:rsid w:val="00586228"/>
    <w:rsid w:val="005868CA"/>
    <w:rsid w:val="00594AAE"/>
    <w:rsid w:val="00595AC2"/>
    <w:rsid w:val="005971B2"/>
    <w:rsid w:val="0059720C"/>
    <w:rsid w:val="005A1D97"/>
    <w:rsid w:val="005A58F3"/>
    <w:rsid w:val="005A6AE4"/>
    <w:rsid w:val="005A7CCD"/>
    <w:rsid w:val="005B004F"/>
    <w:rsid w:val="005B28ED"/>
    <w:rsid w:val="005B31CE"/>
    <w:rsid w:val="005B3EDC"/>
    <w:rsid w:val="005B5AE9"/>
    <w:rsid w:val="005B5D48"/>
    <w:rsid w:val="005B6AF4"/>
    <w:rsid w:val="005B6F9B"/>
    <w:rsid w:val="005B7543"/>
    <w:rsid w:val="005B7A73"/>
    <w:rsid w:val="005C04CB"/>
    <w:rsid w:val="005C1AA5"/>
    <w:rsid w:val="005C2A45"/>
    <w:rsid w:val="005C6184"/>
    <w:rsid w:val="005D16AD"/>
    <w:rsid w:val="005D26C5"/>
    <w:rsid w:val="005D3C62"/>
    <w:rsid w:val="005D469C"/>
    <w:rsid w:val="005D4E08"/>
    <w:rsid w:val="005D72E1"/>
    <w:rsid w:val="005E05CB"/>
    <w:rsid w:val="005E1519"/>
    <w:rsid w:val="005E18DE"/>
    <w:rsid w:val="005E214D"/>
    <w:rsid w:val="005E2585"/>
    <w:rsid w:val="005E2BA4"/>
    <w:rsid w:val="005E374C"/>
    <w:rsid w:val="005E5D7C"/>
    <w:rsid w:val="005E6E16"/>
    <w:rsid w:val="005F0EA9"/>
    <w:rsid w:val="005F0EF6"/>
    <w:rsid w:val="005F400E"/>
    <w:rsid w:val="005F55A0"/>
    <w:rsid w:val="005F57AD"/>
    <w:rsid w:val="005F5DD1"/>
    <w:rsid w:val="005F6139"/>
    <w:rsid w:val="005F6677"/>
    <w:rsid w:val="005F7342"/>
    <w:rsid w:val="005F74DA"/>
    <w:rsid w:val="00600773"/>
    <w:rsid w:val="00603A08"/>
    <w:rsid w:val="00606CC3"/>
    <w:rsid w:val="00606F6D"/>
    <w:rsid w:val="006075A8"/>
    <w:rsid w:val="0061067B"/>
    <w:rsid w:val="00610A3C"/>
    <w:rsid w:val="00610CC3"/>
    <w:rsid w:val="0061156A"/>
    <w:rsid w:val="0061483E"/>
    <w:rsid w:val="0061604D"/>
    <w:rsid w:val="00616564"/>
    <w:rsid w:val="00616E8E"/>
    <w:rsid w:val="0062219B"/>
    <w:rsid w:val="00622845"/>
    <w:rsid w:val="0062672F"/>
    <w:rsid w:val="00627BD9"/>
    <w:rsid w:val="00627F48"/>
    <w:rsid w:val="00630C23"/>
    <w:rsid w:val="00631C1C"/>
    <w:rsid w:val="00634E20"/>
    <w:rsid w:val="00635584"/>
    <w:rsid w:val="00636A02"/>
    <w:rsid w:val="00640498"/>
    <w:rsid w:val="006421E7"/>
    <w:rsid w:val="0064361D"/>
    <w:rsid w:val="006460AB"/>
    <w:rsid w:val="00652E12"/>
    <w:rsid w:val="00653A6B"/>
    <w:rsid w:val="006576CA"/>
    <w:rsid w:val="00661E73"/>
    <w:rsid w:val="006630BB"/>
    <w:rsid w:val="00663E78"/>
    <w:rsid w:val="00663FCF"/>
    <w:rsid w:val="0066464A"/>
    <w:rsid w:val="006652A2"/>
    <w:rsid w:val="00674CAC"/>
    <w:rsid w:val="006758A9"/>
    <w:rsid w:val="00676CFC"/>
    <w:rsid w:val="00676F58"/>
    <w:rsid w:val="0068034A"/>
    <w:rsid w:val="006821F6"/>
    <w:rsid w:val="006827F1"/>
    <w:rsid w:val="00682B56"/>
    <w:rsid w:val="00683878"/>
    <w:rsid w:val="00683C97"/>
    <w:rsid w:val="006849D7"/>
    <w:rsid w:val="00686594"/>
    <w:rsid w:val="00690206"/>
    <w:rsid w:val="00690E85"/>
    <w:rsid w:val="0069111A"/>
    <w:rsid w:val="00692EB9"/>
    <w:rsid w:val="006937FF"/>
    <w:rsid w:val="00693928"/>
    <w:rsid w:val="00694127"/>
    <w:rsid w:val="0069622E"/>
    <w:rsid w:val="006A00B9"/>
    <w:rsid w:val="006A1DD3"/>
    <w:rsid w:val="006A3D2A"/>
    <w:rsid w:val="006A48A7"/>
    <w:rsid w:val="006A64CF"/>
    <w:rsid w:val="006A6CCB"/>
    <w:rsid w:val="006A7547"/>
    <w:rsid w:val="006B0318"/>
    <w:rsid w:val="006B2530"/>
    <w:rsid w:val="006B2BDE"/>
    <w:rsid w:val="006B3BC8"/>
    <w:rsid w:val="006B4BA1"/>
    <w:rsid w:val="006B5EBE"/>
    <w:rsid w:val="006B66E8"/>
    <w:rsid w:val="006B71C4"/>
    <w:rsid w:val="006B73D7"/>
    <w:rsid w:val="006C33F3"/>
    <w:rsid w:val="006C3B7B"/>
    <w:rsid w:val="006C3C1F"/>
    <w:rsid w:val="006C3CBB"/>
    <w:rsid w:val="006C5CF5"/>
    <w:rsid w:val="006C6E2A"/>
    <w:rsid w:val="006D28EA"/>
    <w:rsid w:val="006D29F1"/>
    <w:rsid w:val="006E1133"/>
    <w:rsid w:val="006E13A4"/>
    <w:rsid w:val="006E1630"/>
    <w:rsid w:val="006E17F7"/>
    <w:rsid w:val="006E241C"/>
    <w:rsid w:val="006E4107"/>
    <w:rsid w:val="006E55E2"/>
    <w:rsid w:val="006E68AA"/>
    <w:rsid w:val="006F187C"/>
    <w:rsid w:val="006F2093"/>
    <w:rsid w:val="006F30B7"/>
    <w:rsid w:val="006F44D2"/>
    <w:rsid w:val="006F46F6"/>
    <w:rsid w:val="006F4A82"/>
    <w:rsid w:val="006F5488"/>
    <w:rsid w:val="006F675C"/>
    <w:rsid w:val="006F6B8F"/>
    <w:rsid w:val="0070159A"/>
    <w:rsid w:val="007020CD"/>
    <w:rsid w:val="0070283A"/>
    <w:rsid w:val="007033A6"/>
    <w:rsid w:val="0070373B"/>
    <w:rsid w:val="007047F5"/>
    <w:rsid w:val="007051A6"/>
    <w:rsid w:val="00706CA3"/>
    <w:rsid w:val="007102BD"/>
    <w:rsid w:val="00710F66"/>
    <w:rsid w:val="0071177D"/>
    <w:rsid w:val="007135BC"/>
    <w:rsid w:val="00717600"/>
    <w:rsid w:val="00717D5C"/>
    <w:rsid w:val="00720E34"/>
    <w:rsid w:val="007244B0"/>
    <w:rsid w:val="00724FA4"/>
    <w:rsid w:val="00726E86"/>
    <w:rsid w:val="00730800"/>
    <w:rsid w:val="00730BF1"/>
    <w:rsid w:val="00732030"/>
    <w:rsid w:val="00733148"/>
    <w:rsid w:val="00737C4D"/>
    <w:rsid w:val="00741626"/>
    <w:rsid w:val="00741673"/>
    <w:rsid w:val="00745E5A"/>
    <w:rsid w:val="00745EF0"/>
    <w:rsid w:val="0074633B"/>
    <w:rsid w:val="007505CD"/>
    <w:rsid w:val="00750B60"/>
    <w:rsid w:val="00750DF4"/>
    <w:rsid w:val="007522F2"/>
    <w:rsid w:val="00753090"/>
    <w:rsid w:val="007530DB"/>
    <w:rsid w:val="00753695"/>
    <w:rsid w:val="00753B2D"/>
    <w:rsid w:val="0075687E"/>
    <w:rsid w:val="0076003F"/>
    <w:rsid w:val="007602AA"/>
    <w:rsid w:val="007652EF"/>
    <w:rsid w:val="007654D4"/>
    <w:rsid w:val="00765BCB"/>
    <w:rsid w:val="00772BDC"/>
    <w:rsid w:val="00775BD4"/>
    <w:rsid w:val="00780536"/>
    <w:rsid w:val="00780792"/>
    <w:rsid w:val="00781A7A"/>
    <w:rsid w:val="00783D53"/>
    <w:rsid w:val="00783E03"/>
    <w:rsid w:val="00785725"/>
    <w:rsid w:val="0079209A"/>
    <w:rsid w:val="00793DAD"/>
    <w:rsid w:val="00794D6D"/>
    <w:rsid w:val="00794FE8"/>
    <w:rsid w:val="00795FBF"/>
    <w:rsid w:val="00796344"/>
    <w:rsid w:val="00796562"/>
    <w:rsid w:val="00797DDD"/>
    <w:rsid w:val="007A10E8"/>
    <w:rsid w:val="007A1C0C"/>
    <w:rsid w:val="007A44B4"/>
    <w:rsid w:val="007A7D3D"/>
    <w:rsid w:val="007B1DA5"/>
    <w:rsid w:val="007B1FC2"/>
    <w:rsid w:val="007B225D"/>
    <w:rsid w:val="007B2B59"/>
    <w:rsid w:val="007B2FF0"/>
    <w:rsid w:val="007B6992"/>
    <w:rsid w:val="007C0DA6"/>
    <w:rsid w:val="007C174F"/>
    <w:rsid w:val="007C1C64"/>
    <w:rsid w:val="007C1C88"/>
    <w:rsid w:val="007C2ECD"/>
    <w:rsid w:val="007C43CF"/>
    <w:rsid w:val="007C777E"/>
    <w:rsid w:val="007D03EA"/>
    <w:rsid w:val="007D15BE"/>
    <w:rsid w:val="007D29B2"/>
    <w:rsid w:val="007D3782"/>
    <w:rsid w:val="007D4487"/>
    <w:rsid w:val="007D47BD"/>
    <w:rsid w:val="007D6C82"/>
    <w:rsid w:val="007D6CBB"/>
    <w:rsid w:val="007E09D7"/>
    <w:rsid w:val="007E26BE"/>
    <w:rsid w:val="007E48BC"/>
    <w:rsid w:val="007E4D74"/>
    <w:rsid w:val="007E7849"/>
    <w:rsid w:val="007E79F7"/>
    <w:rsid w:val="007E7D1C"/>
    <w:rsid w:val="007F1667"/>
    <w:rsid w:val="007F3630"/>
    <w:rsid w:val="007F4D52"/>
    <w:rsid w:val="007F55A6"/>
    <w:rsid w:val="007F58E0"/>
    <w:rsid w:val="00800FB6"/>
    <w:rsid w:val="00801BF1"/>
    <w:rsid w:val="00802394"/>
    <w:rsid w:val="00803A46"/>
    <w:rsid w:val="00803E07"/>
    <w:rsid w:val="00807559"/>
    <w:rsid w:val="00810618"/>
    <w:rsid w:val="00811997"/>
    <w:rsid w:val="00812176"/>
    <w:rsid w:val="008133E2"/>
    <w:rsid w:val="0081374E"/>
    <w:rsid w:val="00817535"/>
    <w:rsid w:val="0082095E"/>
    <w:rsid w:val="00820A2C"/>
    <w:rsid w:val="00821B6D"/>
    <w:rsid w:val="0082358D"/>
    <w:rsid w:val="0082446C"/>
    <w:rsid w:val="00824B25"/>
    <w:rsid w:val="0082520C"/>
    <w:rsid w:val="00826D87"/>
    <w:rsid w:val="0083104D"/>
    <w:rsid w:val="00831501"/>
    <w:rsid w:val="008319E9"/>
    <w:rsid w:val="00835EF9"/>
    <w:rsid w:val="0083634B"/>
    <w:rsid w:val="00836565"/>
    <w:rsid w:val="008369D9"/>
    <w:rsid w:val="00836EB8"/>
    <w:rsid w:val="0084097F"/>
    <w:rsid w:val="00840B53"/>
    <w:rsid w:val="00840C20"/>
    <w:rsid w:val="00844B12"/>
    <w:rsid w:val="008450BC"/>
    <w:rsid w:val="00845BFB"/>
    <w:rsid w:val="00850EFD"/>
    <w:rsid w:val="00851CF7"/>
    <w:rsid w:val="0085334B"/>
    <w:rsid w:val="00856015"/>
    <w:rsid w:val="00857A87"/>
    <w:rsid w:val="00861A51"/>
    <w:rsid w:val="00863BEE"/>
    <w:rsid w:val="00864BBB"/>
    <w:rsid w:val="008666F8"/>
    <w:rsid w:val="00866C60"/>
    <w:rsid w:val="008679C0"/>
    <w:rsid w:val="00870214"/>
    <w:rsid w:val="00871004"/>
    <w:rsid w:val="00872B79"/>
    <w:rsid w:val="008733BC"/>
    <w:rsid w:val="008753A7"/>
    <w:rsid w:val="008766B2"/>
    <w:rsid w:val="00881B89"/>
    <w:rsid w:val="00882455"/>
    <w:rsid w:val="00883FBB"/>
    <w:rsid w:val="0088564F"/>
    <w:rsid w:val="00885C51"/>
    <w:rsid w:val="00885EB0"/>
    <w:rsid w:val="008902DF"/>
    <w:rsid w:val="00891175"/>
    <w:rsid w:val="00891784"/>
    <w:rsid w:val="00891F4B"/>
    <w:rsid w:val="0089264A"/>
    <w:rsid w:val="00893A21"/>
    <w:rsid w:val="008968D3"/>
    <w:rsid w:val="00896B85"/>
    <w:rsid w:val="00897BD3"/>
    <w:rsid w:val="008A22BE"/>
    <w:rsid w:val="008A2508"/>
    <w:rsid w:val="008A3175"/>
    <w:rsid w:val="008A62E0"/>
    <w:rsid w:val="008B532C"/>
    <w:rsid w:val="008B5C46"/>
    <w:rsid w:val="008B649B"/>
    <w:rsid w:val="008B6756"/>
    <w:rsid w:val="008B70A5"/>
    <w:rsid w:val="008B7337"/>
    <w:rsid w:val="008C1021"/>
    <w:rsid w:val="008C15E1"/>
    <w:rsid w:val="008C1B36"/>
    <w:rsid w:val="008C4451"/>
    <w:rsid w:val="008C4E39"/>
    <w:rsid w:val="008C7934"/>
    <w:rsid w:val="008D06C6"/>
    <w:rsid w:val="008D4CB9"/>
    <w:rsid w:val="008D7851"/>
    <w:rsid w:val="008E15C2"/>
    <w:rsid w:val="008E1FBA"/>
    <w:rsid w:val="008E38C8"/>
    <w:rsid w:val="008E6250"/>
    <w:rsid w:val="008E65AD"/>
    <w:rsid w:val="008E7379"/>
    <w:rsid w:val="008F1119"/>
    <w:rsid w:val="008F1B47"/>
    <w:rsid w:val="008F4E79"/>
    <w:rsid w:val="008F7371"/>
    <w:rsid w:val="008F7D36"/>
    <w:rsid w:val="009001D7"/>
    <w:rsid w:val="009006A4"/>
    <w:rsid w:val="00901242"/>
    <w:rsid w:val="00902AF6"/>
    <w:rsid w:val="00902FFE"/>
    <w:rsid w:val="00905A42"/>
    <w:rsid w:val="00912A41"/>
    <w:rsid w:val="0091308E"/>
    <w:rsid w:val="00913C90"/>
    <w:rsid w:val="00915778"/>
    <w:rsid w:val="00917711"/>
    <w:rsid w:val="00920249"/>
    <w:rsid w:val="00921444"/>
    <w:rsid w:val="009214AB"/>
    <w:rsid w:val="00923B4C"/>
    <w:rsid w:val="00924C80"/>
    <w:rsid w:val="0092558B"/>
    <w:rsid w:val="0092581C"/>
    <w:rsid w:val="00926EEF"/>
    <w:rsid w:val="0092706A"/>
    <w:rsid w:val="0093012C"/>
    <w:rsid w:val="00932447"/>
    <w:rsid w:val="00932F14"/>
    <w:rsid w:val="009417F5"/>
    <w:rsid w:val="0094247F"/>
    <w:rsid w:val="00942D60"/>
    <w:rsid w:val="0094470D"/>
    <w:rsid w:val="00953254"/>
    <w:rsid w:val="00956448"/>
    <w:rsid w:val="00961EDF"/>
    <w:rsid w:val="00962BD1"/>
    <w:rsid w:val="0096482C"/>
    <w:rsid w:val="0096523B"/>
    <w:rsid w:val="00965992"/>
    <w:rsid w:val="00966EE3"/>
    <w:rsid w:val="00971A21"/>
    <w:rsid w:val="00972713"/>
    <w:rsid w:val="0097291E"/>
    <w:rsid w:val="00972D06"/>
    <w:rsid w:val="00973588"/>
    <w:rsid w:val="00975071"/>
    <w:rsid w:val="009763AF"/>
    <w:rsid w:val="009765EF"/>
    <w:rsid w:val="00982613"/>
    <w:rsid w:val="009843EC"/>
    <w:rsid w:val="00985937"/>
    <w:rsid w:val="00985C0D"/>
    <w:rsid w:val="009874E7"/>
    <w:rsid w:val="009904DB"/>
    <w:rsid w:val="00990C8B"/>
    <w:rsid w:val="00991B8F"/>
    <w:rsid w:val="009937BC"/>
    <w:rsid w:val="00994C81"/>
    <w:rsid w:val="009A1380"/>
    <w:rsid w:val="009A391C"/>
    <w:rsid w:val="009A406D"/>
    <w:rsid w:val="009A4A05"/>
    <w:rsid w:val="009A50F2"/>
    <w:rsid w:val="009A6044"/>
    <w:rsid w:val="009A62E7"/>
    <w:rsid w:val="009A7649"/>
    <w:rsid w:val="009A7DB3"/>
    <w:rsid w:val="009B1701"/>
    <w:rsid w:val="009B28DE"/>
    <w:rsid w:val="009B3BB4"/>
    <w:rsid w:val="009B6D15"/>
    <w:rsid w:val="009C002D"/>
    <w:rsid w:val="009C0F19"/>
    <w:rsid w:val="009C3B0F"/>
    <w:rsid w:val="009C4C71"/>
    <w:rsid w:val="009C4D25"/>
    <w:rsid w:val="009C4F6D"/>
    <w:rsid w:val="009C5231"/>
    <w:rsid w:val="009C576D"/>
    <w:rsid w:val="009C6235"/>
    <w:rsid w:val="009D0016"/>
    <w:rsid w:val="009D068B"/>
    <w:rsid w:val="009D499C"/>
    <w:rsid w:val="009D6115"/>
    <w:rsid w:val="009E07EE"/>
    <w:rsid w:val="009E0A61"/>
    <w:rsid w:val="009E3010"/>
    <w:rsid w:val="009E3466"/>
    <w:rsid w:val="009E56E0"/>
    <w:rsid w:val="009E612D"/>
    <w:rsid w:val="009F007E"/>
    <w:rsid w:val="009F3AAE"/>
    <w:rsid w:val="009F7065"/>
    <w:rsid w:val="009F7FE1"/>
    <w:rsid w:val="00A00403"/>
    <w:rsid w:val="00A01A36"/>
    <w:rsid w:val="00A025CC"/>
    <w:rsid w:val="00A0497A"/>
    <w:rsid w:val="00A060CC"/>
    <w:rsid w:val="00A07EFA"/>
    <w:rsid w:val="00A11A64"/>
    <w:rsid w:val="00A13C6B"/>
    <w:rsid w:val="00A140CB"/>
    <w:rsid w:val="00A14680"/>
    <w:rsid w:val="00A16059"/>
    <w:rsid w:val="00A17054"/>
    <w:rsid w:val="00A1782D"/>
    <w:rsid w:val="00A17F6F"/>
    <w:rsid w:val="00A2163D"/>
    <w:rsid w:val="00A24ACB"/>
    <w:rsid w:val="00A2573C"/>
    <w:rsid w:val="00A3189A"/>
    <w:rsid w:val="00A31C48"/>
    <w:rsid w:val="00A328D9"/>
    <w:rsid w:val="00A32D41"/>
    <w:rsid w:val="00A3546E"/>
    <w:rsid w:val="00A363BE"/>
    <w:rsid w:val="00A4175D"/>
    <w:rsid w:val="00A426EB"/>
    <w:rsid w:val="00A43EEA"/>
    <w:rsid w:val="00A44F37"/>
    <w:rsid w:val="00A470D4"/>
    <w:rsid w:val="00A514C2"/>
    <w:rsid w:val="00A51AA8"/>
    <w:rsid w:val="00A51BAD"/>
    <w:rsid w:val="00A52800"/>
    <w:rsid w:val="00A53569"/>
    <w:rsid w:val="00A54AE0"/>
    <w:rsid w:val="00A56380"/>
    <w:rsid w:val="00A563AF"/>
    <w:rsid w:val="00A5682B"/>
    <w:rsid w:val="00A56DC7"/>
    <w:rsid w:val="00A60DDD"/>
    <w:rsid w:val="00A61140"/>
    <w:rsid w:val="00A65B98"/>
    <w:rsid w:val="00A66C8C"/>
    <w:rsid w:val="00A73314"/>
    <w:rsid w:val="00A735F2"/>
    <w:rsid w:val="00A739F8"/>
    <w:rsid w:val="00A74FD1"/>
    <w:rsid w:val="00A76D63"/>
    <w:rsid w:val="00A76FD4"/>
    <w:rsid w:val="00A77BFA"/>
    <w:rsid w:val="00A806CA"/>
    <w:rsid w:val="00A84431"/>
    <w:rsid w:val="00A84A58"/>
    <w:rsid w:val="00A85E04"/>
    <w:rsid w:val="00A86472"/>
    <w:rsid w:val="00A86A87"/>
    <w:rsid w:val="00A901B0"/>
    <w:rsid w:val="00A9179B"/>
    <w:rsid w:val="00AA0BE6"/>
    <w:rsid w:val="00AA1E0F"/>
    <w:rsid w:val="00AA2EF4"/>
    <w:rsid w:val="00AA45B0"/>
    <w:rsid w:val="00AA58C9"/>
    <w:rsid w:val="00AA7B55"/>
    <w:rsid w:val="00AB0497"/>
    <w:rsid w:val="00AB0AF8"/>
    <w:rsid w:val="00AB0C6D"/>
    <w:rsid w:val="00AB2823"/>
    <w:rsid w:val="00AB5E3E"/>
    <w:rsid w:val="00AB6CBE"/>
    <w:rsid w:val="00AC301C"/>
    <w:rsid w:val="00AC339E"/>
    <w:rsid w:val="00AC5C84"/>
    <w:rsid w:val="00AC6108"/>
    <w:rsid w:val="00AD2C02"/>
    <w:rsid w:val="00AD37BC"/>
    <w:rsid w:val="00AD4037"/>
    <w:rsid w:val="00AD49D4"/>
    <w:rsid w:val="00AD4BB2"/>
    <w:rsid w:val="00AD7F78"/>
    <w:rsid w:val="00AE05AF"/>
    <w:rsid w:val="00AE3848"/>
    <w:rsid w:val="00AE4B7D"/>
    <w:rsid w:val="00AE6594"/>
    <w:rsid w:val="00AE760A"/>
    <w:rsid w:val="00AE79A3"/>
    <w:rsid w:val="00AF06FC"/>
    <w:rsid w:val="00AF3391"/>
    <w:rsid w:val="00AF387F"/>
    <w:rsid w:val="00AF5259"/>
    <w:rsid w:val="00AF72E2"/>
    <w:rsid w:val="00B00D3D"/>
    <w:rsid w:val="00B00E7F"/>
    <w:rsid w:val="00B04105"/>
    <w:rsid w:val="00B05D5F"/>
    <w:rsid w:val="00B07647"/>
    <w:rsid w:val="00B103AE"/>
    <w:rsid w:val="00B1216E"/>
    <w:rsid w:val="00B123BF"/>
    <w:rsid w:val="00B12E96"/>
    <w:rsid w:val="00B12F1E"/>
    <w:rsid w:val="00B15510"/>
    <w:rsid w:val="00B15598"/>
    <w:rsid w:val="00B173DA"/>
    <w:rsid w:val="00B21DCC"/>
    <w:rsid w:val="00B25F37"/>
    <w:rsid w:val="00B262D7"/>
    <w:rsid w:val="00B27EF6"/>
    <w:rsid w:val="00B304EB"/>
    <w:rsid w:val="00B3098F"/>
    <w:rsid w:val="00B330B8"/>
    <w:rsid w:val="00B3315B"/>
    <w:rsid w:val="00B337A1"/>
    <w:rsid w:val="00B34227"/>
    <w:rsid w:val="00B348B8"/>
    <w:rsid w:val="00B353F3"/>
    <w:rsid w:val="00B37BF0"/>
    <w:rsid w:val="00B41261"/>
    <w:rsid w:val="00B4198B"/>
    <w:rsid w:val="00B41E54"/>
    <w:rsid w:val="00B43818"/>
    <w:rsid w:val="00B44422"/>
    <w:rsid w:val="00B46EA0"/>
    <w:rsid w:val="00B46FB6"/>
    <w:rsid w:val="00B50D1F"/>
    <w:rsid w:val="00B512C1"/>
    <w:rsid w:val="00B55404"/>
    <w:rsid w:val="00B56265"/>
    <w:rsid w:val="00B56E38"/>
    <w:rsid w:val="00B60262"/>
    <w:rsid w:val="00B61279"/>
    <w:rsid w:val="00B61BF1"/>
    <w:rsid w:val="00B62B63"/>
    <w:rsid w:val="00B63903"/>
    <w:rsid w:val="00B63FE9"/>
    <w:rsid w:val="00B64FF0"/>
    <w:rsid w:val="00B650A9"/>
    <w:rsid w:val="00B65170"/>
    <w:rsid w:val="00B6568A"/>
    <w:rsid w:val="00B65F94"/>
    <w:rsid w:val="00B701B0"/>
    <w:rsid w:val="00B71CC8"/>
    <w:rsid w:val="00B72FC6"/>
    <w:rsid w:val="00B731D3"/>
    <w:rsid w:val="00B80DA8"/>
    <w:rsid w:val="00B80EA7"/>
    <w:rsid w:val="00B8113A"/>
    <w:rsid w:val="00B839A3"/>
    <w:rsid w:val="00B857B1"/>
    <w:rsid w:val="00B85ADF"/>
    <w:rsid w:val="00B902BD"/>
    <w:rsid w:val="00B90604"/>
    <w:rsid w:val="00B92FA4"/>
    <w:rsid w:val="00B93413"/>
    <w:rsid w:val="00B93E04"/>
    <w:rsid w:val="00B948CC"/>
    <w:rsid w:val="00B95230"/>
    <w:rsid w:val="00B9530D"/>
    <w:rsid w:val="00B95A79"/>
    <w:rsid w:val="00B95F92"/>
    <w:rsid w:val="00BA0773"/>
    <w:rsid w:val="00BA24E2"/>
    <w:rsid w:val="00BA79B6"/>
    <w:rsid w:val="00BB0DC4"/>
    <w:rsid w:val="00BB2926"/>
    <w:rsid w:val="00BB2ED9"/>
    <w:rsid w:val="00BB5034"/>
    <w:rsid w:val="00BB50AA"/>
    <w:rsid w:val="00BC7C1C"/>
    <w:rsid w:val="00BD229C"/>
    <w:rsid w:val="00BD2A39"/>
    <w:rsid w:val="00BD2E80"/>
    <w:rsid w:val="00BD4951"/>
    <w:rsid w:val="00BD4CA2"/>
    <w:rsid w:val="00BD5899"/>
    <w:rsid w:val="00BD5B2A"/>
    <w:rsid w:val="00BE0E58"/>
    <w:rsid w:val="00BE11B8"/>
    <w:rsid w:val="00BE15DD"/>
    <w:rsid w:val="00BE1FF8"/>
    <w:rsid w:val="00BE2C6D"/>
    <w:rsid w:val="00BE2E1D"/>
    <w:rsid w:val="00BE447B"/>
    <w:rsid w:val="00BE61A9"/>
    <w:rsid w:val="00BE6526"/>
    <w:rsid w:val="00BF3C30"/>
    <w:rsid w:val="00BF6C78"/>
    <w:rsid w:val="00BF7FF0"/>
    <w:rsid w:val="00C00BC7"/>
    <w:rsid w:val="00C01F43"/>
    <w:rsid w:val="00C03A82"/>
    <w:rsid w:val="00C0417D"/>
    <w:rsid w:val="00C04BC7"/>
    <w:rsid w:val="00C052B7"/>
    <w:rsid w:val="00C057F4"/>
    <w:rsid w:val="00C117C4"/>
    <w:rsid w:val="00C11AC6"/>
    <w:rsid w:val="00C12502"/>
    <w:rsid w:val="00C13900"/>
    <w:rsid w:val="00C141B9"/>
    <w:rsid w:val="00C14BBC"/>
    <w:rsid w:val="00C14F72"/>
    <w:rsid w:val="00C15D46"/>
    <w:rsid w:val="00C17558"/>
    <w:rsid w:val="00C17990"/>
    <w:rsid w:val="00C2223A"/>
    <w:rsid w:val="00C263E7"/>
    <w:rsid w:val="00C265E8"/>
    <w:rsid w:val="00C26F51"/>
    <w:rsid w:val="00C2734C"/>
    <w:rsid w:val="00C2766D"/>
    <w:rsid w:val="00C305F0"/>
    <w:rsid w:val="00C3096A"/>
    <w:rsid w:val="00C3500B"/>
    <w:rsid w:val="00C36578"/>
    <w:rsid w:val="00C37B66"/>
    <w:rsid w:val="00C402F5"/>
    <w:rsid w:val="00C40AA5"/>
    <w:rsid w:val="00C43735"/>
    <w:rsid w:val="00C43A68"/>
    <w:rsid w:val="00C461E2"/>
    <w:rsid w:val="00C46F70"/>
    <w:rsid w:val="00C476D0"/>
    <w:rsid w:val="00C47EC9"/>
    <w:rsid w:val="00C50BAD"/>
    <w:rsid w:val="00C51A8C"/>
    <w:rsid w:val="00C52781"/>
    <w:rsid w:val="00C52BB3"/>
    <w:rsid w:val="00C54E98"/>
    <w:rsid w:val="00C5517A"/>
    <w:rsid w:val="00C56746"/>
    <w:rsid w:val="00C61AC1"/>
    <w:rsid w:val="00C628FD"/>
    <w:rsid w:val="00C6335B"/>
    <w:rsid w:val="00C63EEE"/>
    <w:rsid w:val="00C704BC"/>
    <w:rsid w:val="00C71E4B"/>
    <w:rsid w:val="00C72A9F"/>
    <w:rsid w:val="00C72F21"/>
    <w:rsid w:val="00C733BB"/>
    <w:rsid w:val="00C7408B"/>
    <w:rsid w:val="00C75C1F"/>
    <w:rsid w:val="00C765D3"/>
    <w:rsid w:val="00C766C6"/>
    <w:rsid w:val="00C769D6"/>
    <w:rsid w:val="00C807BD"/>
    <w:rsid w:val="00C8227C"/>
    <w:rsid w:val="00C82615"/>
    <w:rsid w:val="00C82688"/>
    <w:rsid w:val="00C836E3"/>
    <w:rsid w:val="00C84C3B"/>
    <w:rsid w:val="00C85064"/>
    <w:rsid w:val="00C86577"/>
    <w:rsid w:val="00C92E07"/>
    <w:rsid w:val="00C944EA"/>
    <w:rsid w:val="00C95E15"/>
    <w:rsid w:val="00C961AC"/>
    <w:rsid w:val="00C96868"/>
    <w:rsid w:val="00CA0416"/>
    <w:rsid w:val="00CA423A"/>
    <w:rsid w:val="00CA47D5"/>
    <w:rsid w:val="00CA641D"/>
    <w:rsid w:val="00CA6EA4"/>
    <w:rsid w:val="00CA7DA4"/>
    <w:rsid w:val="00CB0510"/>
    <w:rsid w:val="00CB336A"/>
    <w:rsid w:val="00CB5753"/>
    <w:rsid w:val="00CC0F6D"/>
    <w:rsid w:val="00CC3013"/>
    <w:rsid w:val="00CC3FD9"/>
    <w:rsid w:val="00CC560B"/>
    <w:rsid w:val="00CC590A"/>
    <w:rsid w:val="00CC68A2"/>
    <w:rsid w:val="00CC737F"/>
    <w:rsid w:val="00CC75E2"/>
    <w:rsid w:val="00CD0A2C"/>
    <w:rsid w:val="00CD0AAD"/>
    <w:rsid w:val="00CD2F70"/>
    <w:rsid w:val="00CD3E4F"/>
    <w:rsid w:val="00CD46EB"/>
    <w:rsid w:val="00CD4C25"/>
    <w:rsid w:val="00CD59E7"/>
    <w:rsid w:val="00CD5AE3"/>
    <w:rsid w:val="00CD7EBF"/>
    <w:rsid w:val="00CE1635"/>
    <w:rsid w:val="00CE2DFD"/>
    <w:rsid w:val="00CE632A"/>
    <w:rsid w:val="00CF0CA5"/>
    <w:rsid w:val="00CF0F64"/>
    <w:rsid w:val="00CF15AF"/>
    <w:rsid w:val="00CF1CDA"/>
    <w:rsid w:val="00CF23D1"/>
    <w:rsid w:val="00CF2D25"/>
    <w:rsid w:val="00CF49D3"/>
    <w:rsid w:val="00CF6575"/>
    <w:rsid w:val="00D01A35"/>
    <w:rsid w:val="00D055F0"/>
    <w:rsid w:val="00D056F1"/>
    <w:rsid w:val="00D11171"/>
    <w:rsid w:val="00D11675"/>
    <w:rsid w:val="00D13AF1"/>
    <w:rsid w:val="00D1691F"/>
    <w:rsid w:val="00D17D16"/>
    <w:rsid w:val="00D20130"/>
    <w:rsid w:val="00D22F3C"/>
    <w:rsid w:val="00D23DB6"/>
    <w:rsid w:val="00D241A4"/>
    <w:rsid w:val="00D2452E"/>
    <w:rsid w:val="00D26ACD"/>
    <w:rsid w:val="00D420CF"/>
    <w:rsid w:val="00D43B9C"/>
    <w:rsid w:val="00D43FE6"/>
    <w:rsid w:val="00D47C02"/>
    <w:rsid w:val="00D50DE9"/>
    <w:rsid w:val="00D5132B"/>
    <w:rsid w:val="00D51A95"/>
    <w:rsid w:val="00D5255E"/>
    <w:rsid w:val="00D53D36"/>
    <w:rsid w:val="00D55014"/>
    <w:rsid w:val="00D563F1"/>
    <w:rsid w:val="00D56C49"/>
    <w:rsid w:val="00D601F9"/>
    <w:rsid w:val="00D603F1"/>
    <w:rsid w:val="00D60540"/>
    <w:rsid w:val="00D60568"/>
    <w:rsid w:val="00D62447"/>
    <w:rsid w:val="00D62B18"/>
    <w:rsid w:val="00D62D6F"/>
    <w:rsid w:val="00D64FFF"/>
    <w:rsid w:val="00D70114"/>
    <w:rsid w:val="00D707D5"/>
    <w:rsid w:val="00D70C7A"/>
    <w:rsid w:val="00D710F5"/>
    <w:rsid w:val="00D71C30"/>
    <w:rsid w:val="00D752DE"/>
    <w:rsid w:val="00D8041C"/>
    <w:rsid w:val="00D81D38"/>
    <w:rsid w:val="00D83309"/>
    <w:rsid w:val="00D84493"/>
    <w:rsid w:val="00D87F1A"/>
    <w:rsid w:val="00D902EB"/>
    <w:rsid w:val="00D90765"/>
    <w:rsid w:val="00D90FEA"/>
    <w:rsid w:val="00D92EF0"/>
    <w:rsid w:val="00D94396"/>
    <w:rsid w:val="00D943B5"/>
    <w:rsid w:val="00D9620E"/>
    <w:rsid w:val="00D97A4D"/>
    <w:rsid w:val="00D97CA8"/>
    <w:rsid w:val="00DA10A8"/>
    <w:rsid w:val="00DA284A"/>
    <w:rsid w:val="00DA3111"/>
    <w:rsid w:val="00DA3423"/>
    <w:rsid w:val="00DA6062"/>
    <w:rsid w:val="00DA7461"/>
    <w:rsid w:val="00DA7E25"/>
    <w:rsid w:val="00DB1E08"/>
    <w:rsid w:val="00DB2973"/>
    <w:rsid w:val="00DB29B4"/>
    <w:rsid w:val="00DB5C65"/>
    <w:rsid w:val="00DB6698"/>
    <w:rsid w:val="00DB7252"/>
    <w:rsid w:val="00DB79A2"/>
    <w:rsid w:val="00DB7EB6"/>
    <w:rsid w:val="00DC0915"/>
    <w:rsid w:val="00DC0F2C"/>
    <w:rsid w:val="00DC1B56"/>
    <w:rsid w:val="00DC2129"/>
    <w:rsid w:val="00DC2B78"/>
    <w:rsid w:val="00DC3A73"/>
    <w:rsid w:val="00DC45A3"/>
    <w:rsid w:val="00DC4BE8"/>
    <w:rsid w:val="00DC6570"/>
    <w:rsid w:val="00DC66C5"/>
    <w:rsid w:val="00DC6ABD"/>
    <w:rsid w:val="00DD1174"/>
    <w:rsid w:val="00DD1E8A"/>
    <w:rsid w:val="00DD2E08"/>
    <w:rsid w:val="00DD2FFA"/>
    <w:rsid w:val="00DD3C5E"/>
    <w:rsid w:val="00DD6D3F"/>
    <w:rsid w:val="00DE599F"/>
    <w:rsid w:val="00DE5AD6"/>
    <w:rsid w:val="00DE71CE"/>
    <w:rsid w:val="00DE7EBF"/>
    <w:rsid w:val="00DF117D"/>
    <w:rsid w:val="00DF25C3"/>
    <w:rsid w:val="00DF442C"/>
    <w:rsid w:val="00DF579E"/>
    <w:rsid w:val="00DF59C1"/>
    <w:rsid w:val="00DF6034"/>
    <w:rsid w:val="00DF63BE"/>
    <w:rsid w:val="00E01922"/>
    <w:rsid w:val="00E020AF"/>
    <w:rsid w:val="00E026B1"/>
    <w:rsid w:val="00E04062"/>
    <w:rsid w:val="00E04CF8"/>
    <w:rsid w:val="00E05E09"/>
    <w:rsid w:val="00E063C6"/>
    <w:rsid w:val="00E066BA"/>
    <w:rsid w:val="00E06E78"/>
    <w:rsid w:val="00E06FDF"/>
    <w:rsid w:val="00E12E9A"/>
    <w:rsid w:val="00E1489B"/>
    <w:rsid w:val="00E167CA"/>
    <w:rsid w:val="00E17424"/>
    <w:rsid w:val="00E2003B"/>
    <w:rsid w:val="00E203C2"/>
    <w:rsid w:val="00E20C67"/>
    <w:rsid w:val="00E22D8E"/>
    <w:rsid w:val="00E22F13"/>
    <w:rsid w:val="00E2402B"/>
    <w:rsid w:val="00E26231"/>
    <w:rsid w:val="00E269F4"/>
    <w:rsid w:val="00E279D8"/>
    <w:rsid w:val="00E27B9E"/>
    <w:rsid w:val="00E3143E"/>
    <w:rsid w:val="00E319B1"/>
    <w:rsid w:val="00E32772"/>
    <w:rsid w:val="00E36B24"/>
    <w:rsid w:val="00E40B5B"/>
    <w:rsid w:val="00E42141"/>
    <w:rsid w:val="00E42FA0"/>
    <w:rsid w:val="00E438D5"/>
    <w:rsid w:val="00E44E0D"/>
    <w:rsid w:val="00E44EEA"/>
    <w:rsid w:val="00E452FA"/>
    <w:rsid w:val="00E470C4"/>
    <w:rsid w:val="00E51AF6"/>
    <w:rsid w:val="00E5492F"/>
    <w:rsid w:val="00E61709"/>
    <w:rsid w:val="00E626BD"/>
    <w:rsid w:val="00E62DEF"/>
    <w:rsid w:val="00E63172"/>
    <w:rsid w:val="00E63B55"/>
    <w:rsid w:val="00E65856"/>
    <w:rsid w:val="00E70A86"/>
    <w:rsid w:val="00E75A0C"/>
    <w:rsid w:val="00E770A3"/>
    <w:rsid w:val="00E777EC"/>
    <w:rsid w:val="00E80FCD"/>
    <w:rsid w:val="00E813AD"/>
    <w:rsid w:val="00E828D3"/>
    <w:rsid w:val="00E83B12"/>
    <w:rsid w:val="00E85604"/>
    <w:rsid w:val="00E868C4"/>
    <w:rsid w:val="00E878CE"/>
    <w:rsid w:val="00E87F62"/>
    <w:rsid w:val="00E90332"/>
    <w:rsid w:val="00E90E92"/>
    <w:rsid w:val="00E90EA3"/>
    <w:rsid w:val="00E92097"/>
    <w:rsid w:val="00E9227E"/>
    <w:rsid w:val="00E95E1F"/>
    <w:rsid w:val="00E97945"/>
    <w:rsid w:val="00E97FAB"/>
    <w:rsid w:val="00EA2A22"/>
    <w:rsid w:val="00EA5CE4"/>
    <w:rsid w:val="00EA5D10"/>
    <w:rsid w:val="00EA7F2F"/>
    <w:rsid w:val="00EB0EC3"/>
    <w:rsid w:val="00EB2F77"/>
    <w:rsid w:val="00EB4BE9"/>
    <w:rsid w:val="00EB6882"/>
    <w:rsid w:val="00EB7E82"/>
    <w:rsid w:val="00EC00DE"/>
    <w:rsid w:val="00EC0FAD"/>
    <w:rsid w:val="00EC30E1"/>
    <w:rsid w:val="00EC3B90"/>
    <w:rsid w:val="00EC4490"/>
    <w:rsid w:val="00EC4D9B"/>
    <w:rsid w:val="00ED090A"/>
    <w:rsid w:val="00ED172A"/>
    <w:rsid w:val="00ED34C4"/>
    <w:rsid w:val="00ED43AF"/>
    <w:rsid w:val="00ED5C06"/>
    <w:rsid w:val="00EE1CC3"/>
    <w:rsid w:val="00EE41E1"/>
    <w:rsid w:val="00EE4783"/>
    <w:rsid w:val="00EE66F3"/>
    <w:rsid w:val="00EF0429"/>
    <w:rsid w:val="00EF131A"/>
    <w:rsid w:val="00EF2277"/>
    <w:rsid w:val="00EF47C4"/>
    <w:rsid w:val="00EF4D64"/>
    <w:rsid w:val="00EF50DD"/>
    <w:rsid w:val="00EF7F7F"/>
    <w:rsid w:val="00F03F7D"/>
    <w:rsid w:val="00F11F6C"/>
    <w:rsid w:val="00F14487"/>
    <w:rsid w:val="00F14BEC"/>
    <w:rsid w:val="00F150A3"/>
    <w:rsid w:val="00F162BF"/>
    <w:rsid w:val="00F20A11"/>
    <w:rsid w:val="00F225C5"/>
    <w:rsid w:val="00F22B6E"/>
    <w:rsid w:val="00F22F83"/>
    <w:rsid w:val="00F23F8C"/>
    <w:rsid w:val="00F2587A"/>
    <w:rsid w:val="00F25E51"/>
    <w:rsid w:val="00F26118"/>
    <w:rsid w:val="00F27889"/>
    <w:rsid w:val="00F31517"/>
    <w:rsid w:val="00F31940"/>
    <w:rsid w:val="00F32D81"/>
    <w:rsid w:val="00F32FFF"/>
    <w:rsid w:val="00F341C4"/>
    <w:rsid w:val="00F3448F"/>
    <w:rsid w:val="00F35BD3"/>
    <w:rsid w:val="00F36723"/>
    <w:rsid w:val="00F3715D"/>
    <w:rsid w:val="00F37A5E"/>
    <w:rsid w:val="00F40817"/>
    <w:rsid w:val="00F4161E"/>
    <w:rsid w:val="00F420C8"/>
    <w:rsid w:val="00F42A4C"/>
    <w:rsid w:val="00F430A2"/>
    <w:rsid w:val="00F44518"/>
    <w:rsid w:val="00F4560E"/>
    <w:rsid w:val="00F4648A"/>
    <w:rsid w:val="00F46964"/>
    <w:rsid w:val="00F47A69"/>
    <w:rsid w:val="00F50D5D"/>
    <w:rsid w:val="00F519D4"/>
    <w:rsid w:val="00F52098"/>
    <w:rsid w:val="00F52F05"/>
    <w:rsid w:val="00F570A4"/>
    <w:rsid w:val="00F5780F"/>
    <w:rsid w:val="00F604DE"/>
    <w:rsid w:val="00F607A3"/>
    <w:rsid w:val="00F61183"/>
    <w:rsid w:val="00F61AA4"/>
    <w:rsid w:val="00F61FBF"/>
    <w:rsid w:val="00F65354"/>
    <w:rsid w:val="00F6601B"/>
    <w:rsid w:val="00F70749"/>
    <w:rsid w:val="00F70F72"/>
    <w:rsid w:val="00F728AB"/>
    <w:rsid w:val="00F74267"/>
    <w:rsid w:val="00F76C34"/>
    <w:rsid w:val="00F77AAC"/>
    <w:rsid w:val="00F77CD4"/>
    <w:rsid w:val="00F82046"/>
    <w:rsid w:val="00F83A20"/>
    <w:rsid w:val="00F83FF4"/>
    <w:rsid w:val="00F84ACA"/>
    <w:rsid w:val="00F87180"/>
    <w:rsid w:val="00F878B3"/>
    <w:rsid w:val="00F90495"/>
    <w:rsid w:val="00F9393B"/>
    <w:rsid w:val="00F97701"/>
    <w:rsid w:val="00FA01B2"/>
    <w:rsid w:val="00FA3F73"/>
    <w:rsid w:val="00FB0CB9"/>
    <w:rsid w:val="00FB1BA4"/>
    <w:rsid w:val="00FB2DD8"/>
    <w:rsid w:val="00FB3962"/>
    <w:rsid w:val="00FB3EDD"/>
    <w:rsid w:val="00FB478C"/>
    <w:rsid w:val="00FB484E"/>
    <w:rsid w:val="00FB5382"/>
    <w:rsid w:val="00FB7211"/>
    <w:rsid w:val="00FB7512"/>
    <w:rsid w:val="00FC0301"/>
    <w:rsid w:val="00FC0586"/>
    <w:rsid w:val="00FC17BE"/>
    <w:rsid w:val="00FD1A13"/>
    <w:rsid w:val="00FD2018"/>
    <w:rsid w:val="00FD225F"/>
    <w:rsid w:val="00FD41B2"/>
    <w:rsid w:val="00FD72BF"/>
    <w:rsid w:val="00FD7547"/>
    <w:rsid w:val="00FD7566"/>
    <w:rsid w:val="00FE1787"/>
    <w:rsid w:val="00FE3926"/>
    <w:rsid w:val="00FE4781"/>
    <w:rsid w:val="00FE5F20"/>
    <w:rsid w:val="00FE7F68"/>
    <w:rsid w:val="00FF0D27"/>
    <w:rsid w:val="00FF47DD"/>
    <w:rsid w:val="00FF56BA"/>
    <w:rsid w:val="00FF5D86"/>
    <w:rsid w:val="00FF5F5C"/>
    <w:rsid w:val="00FF7195"/>
    <w:rsid w:val="00FF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452E9F72"/>
  <w15:docId w15:val="{18308EC3-959F-4387-A404-05C8C35C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33"/>
    <w:pPr>
      <w:spacing w:before="240" w:after="24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after="60"/>
      <w:outlineLvl w:val="6"/>
    </w:pPr>
  </w:style>
  <w:style w:type="paragraph" w:styleId="Heading8">
    <w:name w:val="heading 8"/>
    <w:basedOn w:val="Normal"/>
    <w:next w:val="Normal"/>
    <w:link w:val="Heading8Char"/>
    <w:uiPriority w:val="9"/>
    <w:unhideWhenUsed/>
    <w:rsid w:val="00B731D3"/>
    <w:pPr>
      <w:spacing w:after="60"/>
      <w:outlineLvl w:val="7"/>
    </w:pPr>
    <w:rPr>
      <w:i/>
      <w:iCs/>
    </w:rPr>
  </w:style>
  <w:style w:type="paragraph" w:styleId="Heading9">
    <w:name w:val="heading 9"/>
    <w:basedOn w:val="Normal"/>
    <w:next w:val="Normal"/>
    <w:link w:val="Heading9Char"/>
    <w:uiPriority w:val="9"/>
    <w:unhideWhenUsed/>
    <w:rsid w:val="00B731D3"/>
    <w:pPr>
      <w:spacing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093B4A"/>
    <w:pPr>
      <w:spacing w:before="120" w:after="120"/>
    </w:pPr>
    <w:rPr>
      <w:rFonts w:ascii="Arial Bold" w:hAnsi="Arial Bold"/>
      <w:b/>
      <w:bCs/>
      <w:caps/>
      <w:sz w:val="20"/>
      <w:szCs w:val="20"/>
    </w:rPr>
  </w:style>
  <w:style w:type="paragraph" w:styleId="TOC2">
    <w:name w:val="toc 2"/>
    <w:basedOn w:val="Normal"/>
    <w:next w:val="Normal"/>
    <w:autoRedefine/>
    <w:uiPriority w:val="39"/>
    <w:rsid w:val="005E05CB"/>
    <w:pPr>
      <w:tabs>
        <w:tab w:val="left" w:pos="567"/>
        <w:tab w:val="right" w:leader="dot" w:pos="9060"/>
      </w:tabs>
      <w:ind w:left="220"/>
    </w:pPr>
    <w:rPr>
      <w:rFonts w:asciiTheme="minorHAnsi" w:hAnsiTheme="minorHAnsi"/>
      <w:smallCaps/>
      <w:sz w:val="20"/>
      <w:szCs w:val="20"/>
    </w:rPr>
  </w:style>
  <w:style w:type="paragraph" w:styleId="Footer">
    <w:name w:val="footer"/>
    <w:aliases w:val="FS Footnote,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sid w:val="0005140A"/>
    <w:rPr>
      <w:sz w:val="18"/>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0254AB"/>
    <w:pPr>
      <w:numPr>
        <w:numId w:val="1"/>
      </w:numPr>
      <w:spacing w:before="120" w:after="120"/>
      <w:ind w:left="499" w:hanging="357"/>
    </w:pPr>
    <w:rPr>
      <w:rFonts w:cs="Arial"/>
      <w:lang w:bidi="ar-SA"/>
    </w:rPr>
  </w:style>
  <w:style w:type="character" w:customStyle="1" w:styleId="FSBullet1Char">
    <w:name w:val="FSBullet 1 Char"/>
    <w:link w:val="FSBullet1"/>
    <w:rsid w:val="000254AB"/>
    <w:rPr>
      <w:rFonts w:ascii="Arial" w:hAnsi="Arial" w:cs="Arial"/>
      <w:sz w:val="22"/>
      <w:szCs w:val="24"/>
      <w:lang w:eastAsia="en-US"/>
    </w:rPr>
  </w:style>
  <w:style w:type="paragraph" w:customStyle="1" w:styleId="FSBullet2">
    <w:name w:val="FSBullet 2"/>
    <w:basedOn w:val="Normal"/>
    <w:qFormat/>
    <w:rsid w:val="000254AB"/>
    <w:pPr>
      <w:numPr>
        <w:numId w:val="2"/>
      </w:numPr>
      <w:spacing w:before="120" w:after="120"/>
      <w:ind w:left="1134" w:hanging="567"/>
    </w:pPr>
    <w:rPr>
      <w:rFonts w:eastAsia="Calibri"/>
      <w:szCs w:val="22"/>
      <w:lang w:bidi="ar-SA"/>
    </w:rPr>
  </w:style>
  <w:style w:type="paragraph" w:customStyle="1" w:styleId="FSBullet3">
    <w:name w:val="FSBullet 3"/>
    <w:basedOn w:val="Normal"/>
    <w:qFormat/>
    <w:rsid w:val="0029631C"/>
    <w:pPr>
      <w:keepNext/>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856015"/>
    <w:rPr>
      <w:rFonts w:ascii="Arial" w:hAnsi="Arial"/>
      <w:sz w:val="18"/>
      <w:lang w:eastAsia="en-US" w:bidi="en-US"/>
    </w:rPr>
  </w:style>
  <w:style w:type="paragraph" w:customStyle="1" w:styleId="FSTableFigureHeading">
    <w:name w:val="FSTable/Figure Heading"/>
    <w:basedOn w:val="Normal"/>
    <w:uiPriority w:val="7"/>
    <w:qFormat/>
    <w:locked/>
    <w:rsid w:val="00856015"/>
    <w:pPr>
      <w:spacing w:before="120" w:after="120"/>
      <w:ind w:left="1134" w:hanging="1134"/>
    </w:pPr>
    <w:rPr>
      <w:rFonts w:eastAsiaTheme="minorHAnsi" w:cstheme="minorBidi"/>
      <w:b/>
      <w:i/>
      <w:szCs w:val="22"/>
      <w:lang w:bidi="ar-SA"/>
    </w:rPr>
  </w:style>
  <w:style w:type="table" w:customStyle="1" w:styleId="Table">
    <w:name w:val="Table"/>
    <w:basedOn w:val="TableNormal"/>
    <w:uiPriority w:val="99"/>
    <w:rsid w:val="00856015"/>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ListParagraph">
    <w:name w:val="List Paragraph"/>
    <w:basedOn w:val="Normal"/>
    <w:uiPriority w:val="34"/>
    <w:qFormat/>
    <w:rsid w:val="00863BEE"/>
    <w:pPr>
      <w:ind w:left="720"/>
      <w:contextualSpacing/>
    </w:pPr>
  </w:style>
  <w:style w:type="character" w:styleId="LineNumber">
    <w:name w:val="line number"/>
    <w:basedOn w:val="DefaultParagraphFont"/>
    <w:semiHidden/>
    <w:unhideWhenUsed/>
    <w:rsid w:val="00863BEE"/>
  </w:style>
  <w:style w:type="character" w:customStyle="1" w:styleId="FooterChar">
    <w:name w:val="Footer Char"/>
    <w:aliases w:val="FS Footnote Char,FSFooter Char"/>
    <w:basedOn w:val="DefaultParagraphFont"/>
    <w:link w:val="Footer"/>
    <w:uiPriority w:val="99"/>
    <w:rsid w:val="00CF6575"/>
    <w:rPr>
      <w:rFonts w:ascii="Arial" w:hAnsi="Arial"/>
      <w:szCs w:val="24"/>
      <w:lang w:eastAsia="en-US" w:bidi="en-US"/>
    </w:rPr>
  </w:style>
  <w:style w:type="paragraph" w:customStyle="1" w:styleId="CitaviBibliographyEntry">
    <w:name w:val="Citavi Bibliography Entry"/>
    <w:basedOn w:val="Normal"/>
    <w:link w:val="CitaviBibliographyEntryChar"/>
    <w:rsid w:val="001838F9"/>
    <w:pPr>
      <w:tabs>
        <w:tab w:val="left" w:pos="397"/>
      </w:tabs>
      <w:ind w:left="397" w:hanging="397"/>
    </w:pPr>
  </w:style>
  <w:style w:type="character" w:customStyle="1" w:styleId="CitaviBibliographyEntryChar">
    <w:name w:val="Citavi Bibliography Entry Char"/>
    <w:basedOn w:val="DefaultParagraphFont"/>
    <w:link w:val="CitaviBibliographyEntry"/>
    <w:rsid w:val="001838F9"/>
    <w:rPr>
      <w:rFonts w:ascii="Arial" w:hAnsi="Arial"/>
      <w:sz w:val="22"/>
      <w:szCs w:val="24"/>
      <w:lang w:eastAsia="en-US" w:bidi="en-US"/>
    </w:rPr>
  </w:style>
  <w:style w:type="paragraph" w:styleId="CommentSubject">
    <w:name w:val="annotation subject"/>
    <w:basedOn w:val="CommentText"/>
    <w:next w:val="CommentText"/>
    <w:link w:val="CommentSubjectChar"/>
    <w:semiHidden/>
    <w:unhideWhenUsed/>
    <w:rsid w:val="002C658A"/>
    <w:rPr>
      <w:b/>
      <w:bCs/>
    </w:rPr>
  </w:style>
  <w:style w:type="character" w:customStyle="1" w:styleId="CommentSubjectChar">
    <w:name w:val="Comment Subject Char"/>
    <w:basedOn w:val="CommentTextChar"/>
    <w:link w:val="CommentSubject"/>
    <w:semiHidden/>
    <w:rsid w:val="002C658A"/>
    <w:rPr>
      <w:rFonts w:ascii="Arial" w:hAnsi="Arial"/>
      <w:b/>
      <w:bCs/>
      <w:lang w:eastAsia="en-US" w:bidi="en-US"/>
    </w:rPr>
  </w:style>
  <w:style w:type="paragraph" w:customStyle="1" w:styleId="FSBullet">
    <w:name w:val="FS Bullet"/>
    <w:basedOn w:val="Normal"/>
    <w:next w:val="Normal"/>
    <w:link w:val="FSBulletChar"/>
    <w:qFormat/>
    <w:rsid w:val="009C5231"/>
    <w:pPr>
      <w:ind w:left="567" w:hanging="567"/>
    </w:pPr>
    <w:rPr>
      <w:rFonts w:cs="Arial"/>
    </w:rPr>
  </w:style>
  <w:style w:type="character" w:customStyle="1" w:styleId="FSBulletChar">
    <w:name w:val="FS Bullet Char"/>
    <w:basedOn w:val="DefaultParagraphFont"/>
    <w:link w:val="FSBullet"/>
    <w:rsid w:val="009C5231"/>
    <w:rPr>
      <w:rFonts w:ascii="Arial" w:hAnsi="Arial" w:cs="Arial"/>
      <w:sz w:val="22"/>
      <w:szCs w:val="24"/>
      <w:lang w:eastAsia="en-US" w:bidi="en-US"/>
    </w:rPr>
  </w:style>
  <w:style w:type="paragraph" w:styleId="NoSpacing">
    <w:name w:val="No Spacing"/>
    <w:uiPriority w:val="20"/>
    <w:rsid w:val="00D55014"/>
    <w:pPr>
      <w:widowControl w:val="0"/>
    </w:pPr>
    <w:rPr>
      <w:rFonts w:ascii="Arial" w:hAnsi="Arial"/>
      <w:sz w:val="22"/>
      <w:szCs w:val="24"/>
      <w:lang w:eastAsia="en-US" w:bidi="en-US"/>
    </w:rPr>
  </w:style>
  <w:style w:type="paragraph" w:customStyle="1" w:styleId="Table1">
    <w:name w:val="Table 1"/>
    <w:basedOn w:val="Normal"/>
    <w:uiPriority w:val="20"/>
    <w:qFormat/>
    <w:rsid w:val="000368F6"/>
    <w:pPr>
      <w:keepNext/>
      <w:spacing w:after="120"/>
      <w:jc w:val="center"/>
    </w:pPr>
    <w:rPr>
      <w:b/>
      <w:bCs/>
      <w:sz w:val="18"/>
      <w:szCs w:val="20"/>
      <w:lang w:bidi="ar-SA"/>
    </w:rPr>
  </w:style>
  <w:style w:type="table" w:styleId="GridTable6Colorful">
    <w:name w:val="Grid Table 6 Colorful"/>
    <w:basedOn w:val="TableNormal"/>
    <w:uiPriority w:val="51"/>
    <w:rsid w:val="000368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nhideWhenUsed/>
    <w:rsid w:val="00CD0AAD"/>
    <w:pPr>
      <w:spacing w:after="200"/>
    </w:pPr>
    <w:rPr>
      <w:i/>
      <w:iCs/>
      <w:color w:val="1F497D" w:themeColor="text2"/>
      <w:sz w:val="18"/>
      <w:szCs w:val="18"/>
    </w:rPr>
  </w:style>
  <w:style w:type="paragraph" w:styleId="ListBullet">
    <w:name w:val="List Bullet"/>
    <w:basedOn w:val="Normal"/>
    <w:unhideWhenUsed/>
    <w:rsid w:val="00CD0AAD"/>
    <w:pPr>
      <w:numPr>
        <w:numId w:val="12"/>
      </w:numPr>
      <w:contextualSpacing/>
    </w:pPr>
  </w:style>
  <w:style w:type="paragraph" w:customStyle="1" w:styleId="Default">
    <w:name w:val="Default"/>
    <w:rsid w:val="00CD0A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626BD"/>
    <w:rPr>
      <w:rFonts w:ascii="Arial" w:hAnsi="Arial"/>
      <w:sz w:val="22"/>
      <w:szCs w:val="24"/>
      <w:lang w:eastAsia="en-US" w:bidi="en-US"/>
    </w:rPr>
  </w:style>
  <w:style w:type="character" w:styleId="IntenseEmphasis">
    <w:name w:val="Intense Emphasis"/>
    <w:basedOn w:val="DefaultParagraphFont"/>
    <w:uiPriority w:val="21"/>
    <w:rsid w:val="00214FF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4715">
      <w:bodyDiv w:val="1"/>
      <w:marLeft w:val="0"/>
      <w:marRight w:val="0"/>
      <w:marTop w:val="0"/>
      <w:marBottom w:val="0"/>
      <w:divBdr>
        <w:top w:val="none" w:sz="0" w:space="0" w:color="auto"/>
        <w:left w:val="none" w:sz="0" w:space="0" w:color="auto"/>
        <w:bottom w:val="none" w:sz="0" w:space="0" w:color="auto"/>
        <w:right w:val="none" w:sz="0" w:space="0" w:color="auto"/>
      </w:divBdr>
    </w:div>
    <w:div w:id="22545740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31120210">
      <w:bodyDiv w:val="1"/>
      <w:marLeft w:val="0"/>
      <w:marRight w:val="0"/>
      <w:marTop w:val="0"/>
      <w:marBottom w:val="0"/>
      <w:divBdr>
        <w:top w:val="none" w:sz="0" w:space="0" w:color="auto"/>
        <w:left w:val="none" w:sz="0" w:space="0" w:color="auto"/>
        <w:bottom w:val="none" w:sz="0" w:space="0" w:color="auto"/>
        <w:right w:val="none" w:sz="0" w:space="0" w:color="auto"/>
      </w:divBdr>
    </w:div>
    <w:div w:id="1022978833">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342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www.foodstandards.gov.au/code/applications/Documents/A1155%20Review%20SD1%20Safety%20and%20growth%20.pdf" TargetMode="External"/><Relationship Id="rId39" Type="http://schemas.openxmlformats.org/officeDocument/2006/relationships/hyperlink" Target="http://www.fda.gov/media/142982/download" TargetMode="External"/><Relationship Id="rId21" Type="http://schemas.openxmlformats.org/officeDocument/2006/relationships/hyperlink" Target="https://www.foodstandards.gov.au/code/applications/Documents/A1155%20Review%20SD1%20Safety%20and%20growth%20.pdf" TargetMode="External"/><Relationship Id="rId34" Type="http://schemas.openxmlformats.org/officeDocument/2006/relationships/hyperlink" Target="http://www.foodstandards.gov.au/code/applications/Documents/A1155%20Review%20SD2%20Beneficial%20effects.pdf" TargetMode="External"/><Relationship Id="rId42" Type="http://schemas.openxmlformats.org/officeDocument/2006/relationships/hyperlink" Target="https://apps.who.int/iris/handle/10665/39255" TargetMode="Externa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foodstandards.gov.au/code/applications/Documents/A1155%20Review%20SD2%20Beneficial%20effects.pdf" TargetMode="External"/><Relationship Id="rId11" Type="http://schemas.openxmlformats.org/officeDocument/2006/relationships/webSettings" Target="webSettings.xml"/><Relationship Id="rId24" Type="http://schemas.openxmlformats.org/officeDocument/2006/relationships/hyperlink" Target="http://www.foodstandards.gov.au/code/applications/Documents/A1155%20Review%20SD1%20Safety%20and%20growth%20.pdf" TargetMode="External"/><Relationship Id="rId32" Type="http://schemas.openxmlformats.org/officeDocument/2006/relationships/hyperlink" Target="https://www.foodstandards.gov.au/code/applications/Documents/A1155%20Review%20SD4%20IEAG%20Summary%20of%20Conclusions.docx.pdf" TargetMode="External"/><Relationship Id="rId37" Type="http://schemas.openxmlformats.org/officeDocument/2006/relationships/hyperlink" Target="http://www.efsa.europa.eu/en/efsajournal/pub/4184" TargetMode="External"/><Relationship Id="rId40" Type="http://schemas.openxmlformats.org/officeDocument/2006/relationships/hyperlink" Target="http://www.fsai.ie/uploadedFiles/Science_and_Health/Novel_Foods/Notifications/2016%20Glycom%20Fermented%202'FL.pdf" TargetMode="External"/><Relationship Id="rId45" Type="http://schemas.openxmlformats.org/officeDocument/2006/relationships/hyperlink" Target="https://doi.org/10.1787/9789264264861-en"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oodstandards.gov.au/code/applications/Documents/A1155%20Review%20SD1%20Safety%20and%20growth%20.pdf" TargetMode="External"/><Relationship Id="rId28" Type="http://schemas.openxmlformats.org/officeDocument/2006/relationships/hyperlink" Target="http://www.foodstandards.gov.au/code/applications/Pages/A1155.aspx" TargetMode="External"/><Relationship Id="rId36" Type="http://schemas.openxmlformats.org/officeDocument/2006/relationships/hyperlink" Target="http://www.foodstandards.gov.au/code/applications/Documents/A1155%20Review%20SD2%20Beneficial%20effects.pdf" TargetMode="External"/><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s://efsa.onlinelibrary.wiley.com/doi/epdf/10.2903/j.efsa.2015.4184" TargetMode="External"/><Relationship Id="rId31" Type="http://schemas.openxmlformats.org/officeDocument/2006/relationships/hyperlink" Target="http://www.foodstandards.gov.au/code/applications/Documents/A1155%20Review%20SD2%20Beneficial%20effects.pdf" TargetMode="External"/><Relationship Id="rId44" Type="http://schemas.openxmlformats.org/officeDocument/2006/relationships/hyperlink" Target="https://doi.org/10.1787/9789264070707-e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standards.gov.au/code/applications/Documents/A1155%20Review%20SD1%20Safety%20and%20growth%20.pdf" TargetMode="External"/><Relationship Id="rId27" Type="http://schemas.openxmlformats.org/officeDocument/2006/relationships/hyperlink" Target="http://fsanzapps/applications/A1190/Shared%20Documents/Working%20Folder/01_Assessment/foodregulation.gov.au/internet/fr/publishing.nsf/Content/publication-Policy-Guideline-on-Infant-Formula-Products" TargetMode="External"/><Relationship Id="rId30" Type="http://schemas.openxmlformats.org/officeDocument/2006/relationships/hyperlink" Target="https://www.foodstandards.gov.au/code/applications/Documents/A1155%20Review%20SD4%20IEAG%20Summary%20of%20Conclusions.docx.pdf" TargetMode="External"/><Relationship Id="rId35" Type="http://schemas.openxmlformats.org/officeDocument/2006/relationships/hyperlink" Target="http://www.foodstandards.gov.au/code/applications/Documents/A1155%20Review%20SD2%20Beneficial%20effects.pdf" TargetMode="External"/><Relationship Id="rId43" Type="http://schemas.openxmlformats.org/officeDocument/2006/relationships/hyperlink" Target="https://doi.org/10.1787/9789264071247-en" TargetMode="Externa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tandards.gov.au/code/applications/Documents/A1155%20Review%20SD1%20Safety%20and%20growth%20.pdf" TargetMode="External"/><Relationship Id="rId33" Type="http://schemas.openxmlformats.org/officeDocument/2006/relationships/hyperlink" Target="http://www.foodstandards.gov.au/code/applications/Documents/A1155%20Review%20SD2%20Beneficial%20effects.pdf" TargetMode="External"/><Relationship Id="rId38" Type="http://schemas.openxmlformats.org/officeDocument/2006/relationships/hyperlink" Target="http://www.ema.europa.eu/documents/scientific-guideline/guideline-need-non-clinical-testing-juvenile-animals-pharmaceuticals-paediatric-indications_en.pdf" TargetMode="External"/><Relationship Id="rId46" Type="http://schemas.openxmlformats.org/officeDocument/2006/relationships/header" Target="header2.xml"/><Relationship Id="rId20" Type="http://schemas.openxmlformats.org/officeDocument/2006/relationships/image" Target="media/image3.png"/><Relationship Id="rId41" Type="http://schemas.openxmlformats.org/officeDocument/2006/relationships/hyperlink" Target="http://www.foodstandards.gov.au/code/applications/Documents/A1155%20SD1%20at%20approv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Documents/A1155%20Review%20SD1%20Safety%20and%20growth%20.pdf" TargetMode="External"/><Relationship Id="rId7" Type="http://schemas.openxmlformats.org/officeDocument/2006/relationships/hyperlink" Target="http://www.foodstandards.gov.au/code/applications/Documents/A1155%20Review%20SD4%20IEAG%20Summary%20of%20Conclusions.docx.pdf" TargetMode="External"/><Relationship Id="rId2" Type="http://schemas.openxmlformats.org/officeDocument/2006/relationships/hyperlink" Target="http://www.cdc.gov/labs/BMBL.html" TargetMode="External"/><Relationship Id="rId1" Type="http://schemas.openxmlformats.org/officeDocument/2006/relationships/hyperlink" Target="https://efsa.onlinelibrary.wiley.com/doi/epdf/10.2903/j.efsa.2015.4184" TargetMode="External"/><Relationship Id="rId6" Type="http://schemas.openxmlformats.org/officeDocument/2006/relationships/hyperlink" Target="http://www.foodstandards.gov.au/code/applications/Pages/A1155.aspx" TargetMode="External"/><Relationship Id="rId5" Type="http://schemas.openxmlformats.org/officeDocument/2006/relationships/hyperlink" Target="https://foodregulation.gov.au/internet/fr/publishing.nsf/Content/publication-Policy-Guideline-on-Infant-Formula-Products" TargetMode="External"/><Relationship Id="rId4" Type="http://schemas.openxmlformats.org/officeDocument/2006/relationships/hyperlink" Target="http://www.cfsanappsexternal.fda.gov/scripts/fdcc/index.cfm?set=GRAS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WYJEUTFRV6AA-1639348005-590</_dlc_DocId>
    <_dlc_DocIdUrl xmlns="7e329c68-5cbf-4e54-96e5-e53e71021bd2">
      <Url>http://fsanzapps/applications/A1190/_layouts/15/DocIdRedir.aspx?ID=WYJEUTFRV6AA-1639348005-590</Url>
      <Description>WYJEUTFRV6AA-1639348005-590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6BE3-3B10-40F3-9A03-98C482077120}">
  <ds:schemaRefs>
    <ds:schemaRef ds:uri="http://purl.org/dc/elements/1.1/"/>
    <ds:schemaRef ds:uri="7e329c68-5cbf-4e54-96e5-e53e71021bd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c50576e-4a27-4780-a1e1-e59563bc70b8"/>
    <ds:schemaRef ds:uri="http://schemas.microsoft.com/office/2006/metadata/properties"/>
  </ds:schemaRefs>
</ds:datastoreItem>
</file>

<file path=customXml/itemProps2.xml><?xml version="1.0" encoding="utf-8"?>
<ds:datastoreItem xmlns:ds="http://schemas.openxmlformats.org/officeDocument/2006/customXml" ds:itemID="{BAAE4731-7A72-4103-89D1-4B07DBDA6AA1}"/>
</file>

<file path=customXml/itemProps3.xml><?xml version="1.0" encoding="utf-8"?>
<ds:datastoreItem xmlns:ds="http://schemas.openxmlformats.org/officeDocument/2006/customXml" ds:itemID="{BC230468-0961-4108-B968-B264728D9D32}"/>
</file>

<file path=customXml/itemProps4.xml><?xml version="1.0" encoding="utf-8"?>
<ds:datastoreItem xmlns:ds="http://schemas.openxmlformats.org/officeDocument/2006/customXml" ds:itemID="{15087CDC-B8CF-4107-A811-65F355522E78}"/>
</file>

<file path=customXml/itemProps5.xml><?xml version="1.0" encoding="utf-8"?>
<ds:datastoreItem xmlns:ds="http://schemas.openxmlformats.org/officeDocument/2006/customXml" ds:itemID="{3D466BE3-3B10-40F3-9A03-98C482077120}"/>
</file>

<file path=customXml/itemProps6.xml><?xml version="1.0" encoding="utf-8"?>
<ds:datastoreItem xmlns:ds="http://schemas.openxmlformats.org/officeDocument/2006/customXml" ds:itemID="{15087CDC-B8CF-4107-A811-65F355522E78}">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ADBA0A8-B675-416E-9AAA-566E32EAC6F3}"/>
</file>

<file path=docProps/app.xml><?xml version="1.0" encoding="utf-8"?>
<Properties xmlns="http://schemas.openxmlformats.org/officeDocument/2006/extended-properties" xmlns:vt="http://schemas.openxmlformats.org/officeDocument/2006/docPropsVTypes">
  <Template>Normal</Template>
  <TotalTime>0</TotalTime>
  <Pages>43</Pages>
  <Words>18358</Words>
  <Characters>104645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122758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2</cp:revision>
  <cp:lastPrinted>2021-07-21T23:01:00Z</cp:lastPrinted>
  <dcterms:created xsi:type="dcterms:W3CDTF">2021-07-21T23:01:00Z</dcterms:created>
  <dcterms:modified xsi:type="dcterms:W3CDTF">2021-07-21T23:01:00Z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af5fec9c-2ee5-498b-bf1b-03bb7409c1ae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65d4ec93-f001-4257-8ae1-fabcd67bc263</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