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396E" w14:textId="17A19CE1" w:rsidR="00E203C2" w:rsidRDefault="00E203C2" w:rsidP="00E203C2">
      <w:r>
        <w:rPr>
          <w:noProof/>
          <w:lang w:eastAsia="en-GB" w:bidi="ar-SA"/>
        </w:rPr>
        <w:drawing>
          <wp:inline distT="0" distB="0" distL="0" distR="0" wp14:anchorId="361BF5CE" wp14:editId="2E0C313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F58F393" w14:textId="77777777" w:rsidR="00E203C2" w:rsidRDefault="00E203C2" w:rsidP="00E203C2"/>
    <w:p w14:paraId="3285143D" w14:textId="484FC7A0" w:rsidR="00BA24E2" w:rsidRPr="004A0434" w:rsidRDefault="004A0434" w:rsidP="00BA24E2">
      <w:pPr>
        <w:rPr>
          <w:b/>
          <w:sz w:val="28"/>
          <w:szCs w:val="28"/>
        </w:rPr>
      </w:pPr>
      <w:r w:rsidRPr="004A0434">
        <w:rPr>
          <w:b/>
          <w:sz w:val="28"/>
          <w:szCs w:val="28"/>
        </w:rPr>
        <w:t>16 March</w:t>
      </w:r>
      <w:r w:rsidR="00BA24E2" w:rsidRPr="004A0434">
        <w:rPr>
          <w:b/>
          <w:sz w:val="28"/>
          <w:szCs w:val="28"/>
        </w:rPr>
        <w:t xml:space="preserve"> </w:t>
      </w:r>
      <w:r w:rsidR="00887615" w:rsidRPr="004A0434">
        <w:rPr>
          <w:b/>
          <w:sz w:val="28"/>
          <w:szCs w:val="28"/>
        </w:rPr>
        <w:t>2022</w:t>
      </w:r>
    </w:p>
    <w:p w14:paraId="366626BA" w14:textId="1614B2E1" w:rsidR="00BA24E2" w:rsidRPr="004A0434" w:rsidRDefault="004A0434" w:rsidP="00BA24E2">
      <w:pPr>
        <w:rPr>
          <w:b/>
          <w:sz w:val="28"/>
          <w:szCs w:val="28"/>
        </w:rPr>
      </w:pPr>
      <w:r w:rsidRPr="004A0434">
        <w:rPr>
          <w:b/>
          <w:sz w:val="28"/>
          <w:szCs w:val="28"/>
        </w:rPr>
        <w:t>193-22</w:t>
      </w:r>
      <w:bookmarkStart w:id="0" w:name="_GoBack"/>
      <w:bookmarkEnd w:id="0"/>
    </w:p>
    <w:p w14:paraId="07E87AC0" w14:textId="77777777" w:rsidR="00BA24E2" w:rsidRDefault="00BA24E2" w:rsidP="00E203C2"/>
    <w:p w14:paraId="7CB9CEAB" w14:textId="46618C62" w:rsidR="00D056F1" w:rsidRPr="00B01FE9"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01FE9">
        <w:rPr>
          <w:b/>
        </w:rPr>
        <w:t>A</w:t>
      </w:r>
      <w:r w:rsidR="00A91DF1" w:rsidRPr="00B01FE9">
        <w:rPr>
          <w:b/>
        </w:rPr>
        <w:t>pplication</w:t>
      </w:r>
      <w:r w:rsidR="00B01FE9" w:rsidRPr="00B01FE9">
        <w:rPr>
          <w:b/>
        </w:rPr>
        <w:t xml:space="preserve"> A1215</w:t>
      </w:r>
    </w:p>
    <w:p w14:paraId="7F3A7BCA" w14:textId="77777777" w:rsidR="00E203C2" w:rsidRPr="00B01FE9" w:rsidRDefault="00E203C2" w:rsidP="00E203C2"/>
    <w:p w14:paraId="01ABF663" w14:textId="7B9E0F8D" w:rsidR="00D056F1" w:rsidRPr="00B01FE9" w:rsidRDefault="00B01FE9" w:rsidP="002432EE">
      <w:pPr>
        <w:pStyle w:val="FSTitle"/>
      </w:pPr>
      <w:r w:rsidRPr="00B01FE9">
        <w:t xml:space="preserve">Cetylpyridinium chloride (CPC) as a </w:t>
      </w:r>
      <w:r w:rsidRPr="00281786">
        <w:t>processing aid</w:t>
      </w:r>
    </w:p>
    <w:p w14:paraId="3D17ED23" w14:textId="77777777" w:rsidR="00E203C2" w:rsidRPr="00B01FE9" w:rsidRDefault="00E203C2" w:rsidP="00E203C2">
      <w:pPr>
        <w:pBdr>
          <w:bottom w:val="single" w:sz="12" w:space="1" w:color="auto"/>
        </w:pBdr>
        <w:spacing w:line="280" w:lineRule="exact"/>
        <w:rPr>
          <w:rFonts w:cs="Arial"/>
          <w:bCs/>
        </w:rPr>
      </w:pPr>
    </w:p>
    <w:p w14:paraId="59F121E5" w14:textId="77777777" w:rsidR="00E203C2" w:rsidRPr="00E81F6E" w:rsidRDefault="00E203C2" w:rsidP="00E203C2"/>
    <w:p w14:paraId="12AE384B" w14:textId="5DB7E491" w:rsidR="00E063C6" w:rsidRPr="00FF507A" w:rsidRDefault="00E063C6" w:rsidP="00E203C2">
      <w:pPr>
        <w:rPr>
          <w:sz w:val="20"/>
          <w:szCs w:val="20"/>
        </w:rPr>
      </w:pPr>
      <w:r w:rsidRPr="00FF507A">
        <w:rPr>
          <w:sz w:val="20"/>
          <w:szCs w:val="20"/>
        </w:rPr>
        <w:t xml:space="preserve">FSANZ </w:t>
      </w:r>
      <w:r w:rsidR="00D81D38" w:rsidRPr="00FF507A">
        <w:rPr>
          <w:sz w:val="20"/>
          <w:szCs w:val="20"/>
        </w:rPr>
        <w:t xml:space="preserve">has assessed an </w:t>
      </w:r>
      <w:r w:rsidR="00DB16AA">
        <w:rPr>
          <w:sz w:val="20"/>
          <w:szCs w:val="20"/>
        </w:rPr>
        <w:t>a</w:t>
      </w:r>
      <w:r w:rsidR="00FF507A" w:rsidRPr="00FF507A">
        <w:rPr>
          <w:sz w:val="20"/>
          <w:szCs w:val="20"/>
        </w:rPr>
        <w:t xml:space="preserve">pplication made by Safe Foods Corporation </w:t>
      </w:r>
      <w:r w:rsidR="007C174F" w:rsidRPr="00FF507A">
        <w:rPr>
          <w:sz w:val="20"/>
          <w:szCs w:val="20"/>
        </w:rPr>
        <w:t>to</w:t>
      </w:r>
      <w:r w:rsidR="00FF507A" w:rsidRPr="00FF507A">
        <w:rPr>
          <w:sz w:val="20"/>
          <w:szCs w:val="20"/>
        </w:rPr>
        <w:t xml:space="preserve"> permit the use of </w:t>
      </w:r>
      <w:r w:rsidR="00281786">
        <w:rPr>
          <w:sz w:val="20"/>
          <w:szCs w:val="20"/>
        </w:rPr>
        <w:t>c</w:t>
      </w:r>
      <w:r w:rsidR="00FF507A" w:rsidRPr="00FF507A">
        <w:rPr>
          <w:sz w:val="20"/>
          <w:szCs w:val="20"/>
        </w:rPr>
        <w:t>etylpyridinium chloride (CPC) as a processing aid</w:t>
      </w:r>
      <w:r w:rsidR="009C755B">
        <w:rPr>
          <w:sz w:val="20"/>
          <w:szCs w:val="20"/>
        </w:rPr>
        <w:t xml:space="preserve"> </w:t>
      </w:r>
      <w:r w:rsidR="005858F8">
        <w:rPr>
          <w:sz w:val="20"/>
          <w:szCs w:val="20"/>
        </w:rPr>
        <w:t>(</w:t>
      </w:r>
      <w:r w:rsidR="00FF507A" w:rsidRPr="00FF507A">
        <w:rPr>
          <w:sz w:val="20"/>
          <w:szCs w:val="20"/>
        </w:rPr>
        <w:t>antimicrobial treatment</w:t>
      </w:r>
      <w:r w:rsidR="005858F8">
        <w:rPr>
          <w:sz w:val="20"/>
          <w:szCs w:val="20"/>
        </w:rPr>
        <w:t>)</w:t>
      </w:r>
      <w:r w:rsidR="00FF507A" w:rsidRPr="00FF507A">
        <w:rPr>
          <w:sz w:val="20"/>
          <w:szCs w:val="20"/>
        </w:rPr>
        <w:t xml:space="preserve"> </w:t>
      </w:r>
      <w:r w:rsidR="009C755B">
        <w:rPr>
          <w:sz w:val="20"/>
          <w:szCs w:val="20"/>
        </w:rPr>
        <w:t>for</w:t>
      </w:r>
      <w:r w:rsidR="00FF507A" w:rsidRPr="00FF507A">
        <w:rPr>
          <w:sz w:val="20"/>
          <w:szCs w:val="20"/>
        </w:rPr>
        <w:t xml:space="preserve"> raw poultry</w:t>
      </w:r>
      <w:r w:rsidR="00435C78">
        <w:rPr>
          <w:sz w:val="20"/>
          <w:szCs w:val="20"/>
        </w:rPr>
        <w:t xml:space="preserve"> and has </w:t>
      </w:r>
      <w:r w:rsidR="00413CA8" w:rsidRPr="00FF507A">
        <w:rPr>
          <w:sz w:val="20"/>
          <w:szCs w:val="20"/>
        </w:rPr>
        <w:t xml:space="preserve">prepared a draft </w:t>
      </w:r>
      <w:r w:rsidR="00D8470F" w:rsidRPr="00FF507A">
        <w:rPr>
          <w:sz w:val="20"/>
          <w:szCs w:val="20"/>
        </w:rPr>
        <w:t>food regulatory measure</w:t>
      </w:r>
      <w:r w:rsidR="00351B07" w:rsidRPr="00FF507A">
        <w:rPr>
          <w:sz w:val="20"/>
          <w:szCs w:val="20"/>
        </w:rPr>
        <w:t xml:space="preserve">. </w:t>
      </w:r>
      <w:r w:rsidR="00D22F3C" w:rsidRPr="00FF507A">
        <w:rPr>
          <w:sz w:val="20"/>
          <w:szCs w:val="20"/>
        </w:rPr>
        <w:t xml:space="preserve">Pursuant to section 31 of the </w:t>
      </w:r>
      <w:r w:rsidR="00D22F3C" w:rsidRPr="00FF507A">
        <w:rPr>
          <w:i/>
          <w:sz w:val="20"/>
          <w:szCs w:val="20"/>
        </w:rPr>
        <w:t>Food Standard</w:t>
      </w:r>
      <w:r w:rsidR="00E203C2" w:rsidRPr="00FF507A">
        <w:rPr>
          <w:i/>
          <w:sz w:val="20"/>
          <w:szCs w:val="20"/>
        </w:rPr>
        <w:t>s Australia New Zealand Act 1991</w:t>
      </w:r>
      <w:r w:rsidR="00D22F3C" w:rsidRPr="00FF507A">
        <w:rPr>
          <w:i/>
          <w:sz w:val="20"/>
          <w:szCs w:val="20"/>
        </w:rPr>
        <w:t xml:space="preserve"> </w:t>
      </w:r>
      <w:r w:rsidR="00E203C2" w:rsidRPr="00FF507A">
        <w:rPr>
          <w:sz w:val="20"/>
          <w:szCs w:val="20"/>
        </w:rPr>
        <w:t>(</w:t>
      </w:r>
      <w:r w:rsidR="00D22F3C" w:rsidRPr="00FF507A">
        <w:rPr>
          <w:sz w:val="20"/>
          <w:szCs w:val="20"/>
        </w:rPr>
        <w:t>FSANZ Act), FSANZ now c</w:t>
      </w:r>
      <w:r w:rsidR="00E203C2" w:rsidRPr="00FF507A">
        <w:rPr>
          <w:sz w:val="20"/>
          <w:szCs w:val="20"/>
        </w:rPr>
        <w:t xml:space="preserve">alls for submissions to assist consideration of the </w:t>
      </w:r>
      <w:r w:rsidR="00413CA8" w:rsidRPr="00FF507A">
        <w:rPr>
          <w:sz w:val="20"/>
          <w:szCs w:val="20"/>
        </w:rPr>
        <w:t xml:space="preserve">draft </w:t>
      </w:r>
      <w:r w:rsidR="00D8470F" w:rsidRPr="00FF507A">
        <w:rPr>
          <w:sz w:val="20"/>
          <w:szCs w:val="20"/>
        </w:rPr>
        <w:t>food regulatory measure</w:t>
      </w:r>
      <w:r w:rsidR="00D22F3C" w:rsidRPr="00FF507A">
        <w:rPr>
          <w:sz w:val="20"/>
          <w:szCs w:val="20"/>
        </w:rPr>
        <w:t>.</w:t>
      </w:r>
    </w:p>
    <w:p w14:paraId="6D223FC1" w14:textId="043DDCB4" w:rsidR="00413CA8" w:rsidRDefault="00413CA8" w:rsidP="00413CA8">
      <w:pPr>
        <w:rPr>
          <w:sz w:val="20"/>
          <w:szCs w:val="20"/>
        </w:rPr>
      </w:pPr>
    </w:p>
    <w:p w14:paraId="571CCCFE" w14:textId="5B4ABD32" w:rsidR="00435C78" w:rsidRDefault="00435C78" w:rsidP="00435C78">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sidR="00E9648E">
        <w:rPr>
          <w:sz w:val="20"/>
          <w:szCs w:val="20"/>
        </w:rPr>
        <w:t xml:space="preserve"> </w:t>
      </w:r>
      <w:hyperlink r:id="rId15" w:history="1">
        <w:r w:rsidR="00E9648E" w:rsidRPr="00F41DA5">
          <w:rPr>
            <w:rStyle w:val="Hyperlink"/>
            <w:sz w:val="20"/>
            <w:szCs w:val="20"/>
            <w:lang w:val="en-AU"/>
          </w:rPr>
          <w:t>current calls for public comment and how to make a submission</w:t>
        </w:r>
      </w:hyperlink>
      <w:r w:rsidRPr="007C174F">
        <w:rPr>
          <w:sz w:val="20"/>
          <w:szCs w:val="20"/>
        </w:rPr>
        <w:t>.</w:t>
      </w:r>
    </w:p>
    <w:p w14:paraId="06F10CA3" w14:textId="77777777" w:rsidR="00435C78" w:rsidRPr="00276026" w:rsidRDefault="00435C78" w:rsidP="00435C78">
      <w:pPr>
        <w:rPr>
          <w:sz w:val="20"/>
          <w:szCs w:val="20"/>
        </w:rPr>
      </w:pPr>
    </w:p>
    <w:p w14:paraId="687E6CF4" w14:textId="77777777" w:rsidR="00435C78" w:rsidRDefault="00435C78" w:rsidP="00435C78">
      <w:pPr>
        <w:ind w:right="-428"/>
        <w:rPr>
          <w:sz w:val="20"/>
          <w:szCs w:val="20"/>
        </w:rPr>
      </w:pPr>
      <w:r w:rsidRPr="00276026">
        <w:rPr>
          <w:sz w:val="20"/>
          <w:szCs w:val="20"/>
        </w:rPr>
        <w:t xml:space="preserve">All submissions on applications and proposals will be published on our website. We will not publish material that </w:t>
      </w:r>
      <w:r>
        <w:rPr>
          <w:sz w:val="20"/>
          <w:szCs w:val="20"/>
        </w:rPr>
        <w:t xml:space="preserve">we accept as confidential. </w:t>
      </w:r>
      <w:r w:rsidRPr="00276026">
        <w:rPr>
          <w:sz w:val="20"/>
          <w:szCs w:val="20"/>
        </w:rPr>
        <w:t xml:space="preserve">In-confidence submissions may be subject to release under the provisions of the </w:t>
      </w:r>
      <w:r w:rsidRPr="00276026">
        <w:rPr>
          <w:i/>
          <w:iCs/>
          <w:sz w:val="20"/>
          <w:szCs w:val="20"/>
        </w:rPr>
        <w:t>Freedom of Information Act 19</w:t>
      </w:r>
      <w:r>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Pr>
          <w:sz w:val="20"/>
          <w:szCs w:val="20"/>
        </w:rPr>
        <w:t>submission</w:t>
      </w:r>
      <w:r w:rsidRPr="00276026">
        <w:rPr>
          <w:sz w:val="20"/>
          <w:szCs w:val="20"/>
        </w:rPr>
        <w:t xml:space="preserve"> period. </w:t>
      </w:r>
    </w:p>
    <w:p w14:paraId="5526BF21" w14:textId="77777777" w:rsidR="00435C78" w:rsidRPr="00760317" w:rsidRDefault="00435C78" w:rsidP="00435C78">
      <w:pPr>
        <w:ind w:right="-428"/>
        <w:rPr>
          <w:color w:val="000000"/>
          <w:sz w:val="20"/>
          <w:szCs w:val="20"/>
          <w:lang w:val="en-AU"/>
        </w:rPr>
      </w:pPr>
    </w:p>
    <w:p w14:paraId="4A7F43CF" w14:textId="0FBB8167" w:rsidR="00435C78" w:rsidRDefault="00435C78" w:rsidP="00435C78">
      <w:pPr>
        <w:rPr>
          <w:color w:val="000000"/>
          <w:sz w:val="20"/>
          <w:szCs w:val="20"/>
          <w:lang w:val="en-AU"/>
        </w:rPr>
      </w:pPr>
      <w:r w:rsidRPr="00760317">
        <w:rPr>
          <w:color w:val="000000"/>
          <w:sz w:val="20"/>
          <w:szCs w:val="20"/>
          <w:lang w:val="en-AU"/>
        </w:rPr>
        <w:t>Under section 114 of the FSANZ Act, some information provided to FSANZ cannot be disclosed. More information about the disclosure of confidential commercial information is available on the FSANZ website at</w:t>
      </w:r>
      <w:r w:rsidR="00E9648E">
        <w:rPr>
          <w:color w:val="000000"/>
          <w:sz w:val="20"/>
          <w:szCs w:val="20"/>
          <w:lang w:val="en-AU"/>
        </w:rPr>
        <w:t xml:space="preserve"> </w:t>
      </w:r>
      <w:hyperlink r:id="rId16" w:history="1">
        <w:r w:rsidR="00090AF5">
          <w:rPr>
            <w:rStyle w:val="Hyperlink"/>
            <w:sz w:val="20"/>
            <w:szCs w:val="20"/>
            <w:lang w:val="en-AU"/>
          </w:rPr>
          <w:t xml:space="preserve">information for </w:t>
        </w:r>
        <w:r w:rsidR="00090AF5" w:rsidRPr="00F41DA5">
          <w:rPr>
            <w:rStyle w:val="Hyperlink"/>
            <w:sz w:val="20"/>
            <w:szCs w:val="20"/>
            <w:lang w:val="en-AU"/>
          </w:rPr>
          <w:t>submi</w:t>
        </w:r>
        <w:r w:rsidR="00090AF5">
          <w:rPr>
            <w:rStyle w:val="Hyperlink"/>
            <w:sz w:val="20"/>
            <w:szCs w:val="20"/>
            <w:lang w:val="en-AU"/>
          </w:rPr>
          <w:t>tters</w:t>
        </w:r>
      </w:hyperlink>
      <w:r w:rsidR="00090AF5">
        <w:rPr>
          <w:rStyle w:val="Hyperlink"/>
          <w:sz w:val="20"/>
          <w:szCs w:val="20"/>
          <w:lang w:val="en-AU"/>
        </w:rPr>
        <w:t xml:space="preserve">. </w:t>
      </w:r>
    </w:p>
    <w:p w14:paraId="0F59287B" w14:textId="77777777" w:rsidR="00435C78" w:rsidRDefault="00435C78" w:rsidP="00435C78">
      <w:pPr>
        <w:rPr>
          <w:color w:val="000000"/>
          <w:sz w:val="20"/>
          <w:szCs w:val="20"/>
          <w:lang w:val="en-AU"/>
        </w:rPr>
      </w:pPr>
    </w:p>
    <w:p w14:paraId="6A72A6B6" w14:textId="77777777" w:rsidR="00435C78" w:rsidRPr="00760317" w:rsidRDefault="00435C78" w:rsidP="00435C78">
      <w:pPr>
        <w:rPr>
          <w:sz w:val="20"/>
          <w:szCs w:val="20"/>
        </w:rPr>
      </w:pPr>
      <w:r w:rsidRPr="00760317">
        <w:rPr>
          <w:sz w:val="20"/>
          <w:szCs w:val="20"/>
        </w:rPr>
        <w:t xml:space="preserve">For information on how FSANZ manages personal information when you make a submission, see </w:t>
      </w:r>
      <w:r>
        <w:rPr>
          <w:sz w:val="20"/>
          <w:szCs w:val="20"/>
        </w:rPr>
        <w:t>FSANZ’s</w:t>
      </w:r>
      <w:r w:rsidRPr="00760317">
        <w:rPr>
          <w:sz w:val="20"/>
          <w:szCs w:val="20"/>
        </w:rPr>
        <w:t xml:space="preserve"> </w:t>
      </w:r>
      <w:hyperlink r:id="rId17" w:history="1">
        <w:r>
          <w:rPr>
            <w:rStyle w:val="Hyperlink"/>
            <w:sz w:val="20"/>
            <w:szCs w:val="20"/>
          </w:rPr>
          <w:t>Privacy Policy.</w:t>
        </w:r>
      </w:hyperlink>
    </w:p>
    <w:p w14:paraId="4B727E84" w14:textId="77777777" w:rsidR="00435C78" w:rsidRPr="007C174F" w:rsidRDefault="00435C78" w:rsidP="00435C78">
      <w:pPr>
        <w:rPr>
          <w:color w:val="000000"/>
          <w:sz w:val="20"/>
          <w:szCs w:val="20"/>
          <w:lang w:val="en-AU"/>
        </w:rPr>
      </w:pPr>
    </w:p>
    <w:p w14:paraId="026C6519" w14:textId="0BC19C81" w:rsidR="00435C78" w:rsidRPr="007C174F" w:rsidRDefault="00435C78" w:rsidP="00435C78">
      <w:pPr>
        <w:rPr>
          <w:color w:val="000000"/>
          <w:sz w:val="20"/>
          <w:szCs w:val="20"/>
          <w:lang w:val="en-AU"/>
        </w:rPr>
      </w:pPr>
      <w:r w:rsidRPr="007C174F">
        <w:rPr>
          <w:color w:val="000000"/>
          <w:sz w:val="20"/>
          <w:szCs w:val="20"/>
          <w:lang w:val="en-AU"/>
        </w:rPr>
        <w:t xml:space="preserve">Submissions should be made in writing; be marked clearly with the word </w:t>
      </w:r>
      <w:r>
        <w:rPr>
          <w:color w:val="000000"/>
          <w:sz w:val="20"/>
          <w:szCs w:val="20"/>
          <w:lang w:val="en-AU"/>
        </w:rPr>
        <w:t>‘S</w:t>
      </w:r>
      <w:r w:rsidRPr="007C174F">
        <w:rPr>
          <w:color w:val="000000"/>
          <w:sz w:val="20"/>
          <w:szCs w:val="20"/>
          <w:lang w:val="en-AU"/>
        </w:rPr>
        <w:t>ubmission</w:t>
      </w:r>
      <w:r>
        <w:rPr>
          <w:color w:val="000000"/>
          <w:sz w:val="20"/>
          <w:szCs w:val="20"/>
          <w:lang w:val="en-AU"/>
        </w:rPr>
        <w:t>’. You also need to include the correct application or proposal number</w:t>
      </w:r>
      <w:r w:rsidRPr="007C174F">
        <w:rPr>
          <w:color w:val="000000"/>
          <w:sz w:val="20"/>
          <w:szCs w:val="20"/>
          <w:lang w:val="en-AU"/>
        </w:rPr>
        <w:t xml:space="preserve"> and name</w:t>
      </w:r>
      <w:r>
        <w:rPr>
          <w:color w:val="000000"/>
          <w:sz w:val="20"/>
          <w:szCs w:val="20"/>
          <w:lang w:val="en-AU"/>
        </w:rPr>
        <w:t xml:space="preserve">. Electronic </w:t>
      </w:r>
      <w:r w:rsidRPr="007C174F">
        <w:rPr>
          <w:color w:val="000000"/>
          <w:sz w:val="20"/>
          <w:szCs w:val="20"/>
          <w:lang w:val="en-AU"/>
        </w:rPr>
        <w:t xml:space="preserve">submissions </w:t>
      </w:r>
      <w:r>
        <w:rPr>
          <w:color w:val="000000"/>
          <w:sz w:val="20"/>
          <w:szCs w:val="20"/>
          <w:lang w:val="en-AU"/>
        </w:rPr>
        <w:t xml:space="preserve">can be made </w:t>
      </w:r>
      <w:r w:rsidRPr="007C174F">
        <w:rPr>
          <w:color w:val="000000"/>
          <w:sz w:val="20"/>
          <w:szCs w:val="20"/>
          <w:lang w:val="en-AU"/>
        </w:rPr>
        <w:t xml:space="preserve">through the FSANZ website </w:t>
      </w:r>
      <w:r w:rsidR="00E9648E">
        <w:rPr>
          <w:color w:val="000000"/>
          <w:sz w:val="20"/>
          <w:szCs w:val="20"/>
          <w:lang w:val="en-AU"/>
        </w:rPr>
        <w:t>at</w:t>
      </w:r>
      <w:r w:rsidR="00090AF5">
        <w:rPr>
          <w:color w:val="000000"/>
          <w:sz w:val="20"/>
          <w:szCs w:val="20"/>
          <w:lang w:val="en-AU"/>
        </w:rPr>
        <w:t xml:space="preserve"> </w:t>
      </w:r>
      <w:hyperlink r:id="rId18" w:history="1">
        <w:r w:rsidR="00090AF5" w:rsidRPr="00F41DA5">
          <w:rPr>
            <w:rStyle w:val="Hyperlink"/>
            <w:sz w:val="20"/>
            <w:szCs w:val="20"/>
            <w:lang w:val="en-AU"/>
          </w:rPr>
          <w:t>how to make a submission</w:t>
        </w:r>
      </w:hyperlink>
      <w:r w:rsidR="00090AF5">
        <w:rPr>
          <w:rStyle w:val="Hyperlink"/>
          <w:sz w:val="20"/>
          <w:szCs w:val="20"/>
          <w:lang w:val="en-AU"/>
        </w:rPr>
        <w:t>.</w:t>
      </w:r>
      <w:r w:rsidRPr="008C0E7A">
        <w:rPr>
          <w:color w:val="000000"/>
          <w:sz w:val="20"/>
          <w:szCs w:val="20"/>
          <w:lang w:val="en-AU"/>
        </w:rPr>
        <w:t xml:space="preserve"> </w:t>
      </w:r>
      <w:r>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Pr>
          <w:color w:val="000000"/>
          <w:sz w:val="20"/>
          <w:szCs w:val="20"/>
          <w:lang w:val="en-AU"/>
        </w:rPr>
        <w:t xml:space="preserve">. </w:t>
      </w:r>
      <w:r w:rsidRPr="007C174F">
        <w:rPr>
          <w:color w:val="000000"/>
          <w:sz w:val="20"/>
          <w:szCs w:val="20"/>
          <w:lang w:val="en-AU"/>
        </w:rPr>
        <w:t xml:space="preserve">FSANZ </w:t>
      </w:r>
      <w:r>
        <w:rPr>
          <w:color w:val="000000"/>
          <w:sz w:val="20"/>
          <w:szCs w:val="20"/>
          <w:lang w:val="en-AU"/>
        </w:rPr>
        <w:t xml:space="preserve">also </w:t>
      </w:r>
      <w:r w:rsidRPr="007C174F">
        <w:rPr>
          <w:color w:val="000000"/>
          <w:sz w:val="20"/>
          <w:szCs w:val="20"/>
          <w:lang w:val="en-AU"/>
        </w:rPr>
        <w:t xml:space="preserve">accepts submissions in hard copy to our </w:t>
      </w:r>
      <w:r>
        <w:rPr>
          <w:color w:val="000000"/>
          <w:sz w:val="20"/>
          <w:szCs w:val="20"/>
          <w:lang w:val="en-AU"/>
        </w:rPr>
        <w:t xml:space="preserve">Australia and/or New Zealand </w:t>
      </w:r>
      <w:r w:rsidRPr="007C174F">
        <w:rPr>
          <w:color w:val="000000"/>
          <w:sz w:val="20"/>
          <w:szCs w:val="20"/>
          <w:lang w:val="en-AU"/>
        </w:rPr>
        <w:t>offices</w:t>
      </w:r>
      <w:r>
        <w:rPr>
          <w:color w:val="000000"/>
          <w:sz w:val="20"/>
          <w:szCs w:val="20"/>
          <w:lang w:val="en-AU"/>
        </w:rPr>
        <w:t>.</w:t>
      </w:r>
    </w:p>
    <w:p w14:paraId="136F2D14" w14:textId="77777777" w:rsidR="00435C78" w:rsidRPr="007C174F" w:rsidRDefault="00435C78" w:rsidP="00435C78">
      <w:pPr>
        <w:rPr>
          <w:color w:val="000000"/>
          <w:sz w:val="20"/>
          <w:szCs w:val="20"/>
          <w:lang w:val="en-AU"/>
        </w:rPr>
      </w:pPr>
    </w:p>
    <w:p w14:paraId="2B210633" w14:textId="77777777" w:rsidR="00435C78" w:rsidRPr="007C174F" w:rsidRDefault="00435C78" w:rsidP="00435C78">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CF7AA45" w14:textId="77777777" w:rsidR="00435C78" w:rsidRPr="00D676CF" w:rsidRDefault="00435C78" w:rsidP="00435C78">
      <w:pPr>
        <w:rPr>
          <w:color w:val="000000"/>
          <w:sz w:val="20"/>
          <w:lang w:val="en-AU"/>
        </w:rPr>
      </w:pPr>
    </w:p>
    <w:p w14:paraId="344BE771" w14:textId="2811647E" w:rsidR="00435C78" w:rsidRPr="004A0434" w:rsidRDefault="00435C78" w:rsidP="00435C7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A0434" w:rsidRPr="004A0434">
        <w:rPr>
          <w:rFonts w:cs="Arial"/>
          <w:b/>
          <w:bCs/>
          <w:sz w:val="24"/>
        </w:rPr>
        <w:t>13 April 2022</w:t>
      </w:r>
    </w:p>
    <w:p w14:paraId="5EFAB3BD" w14:textId="77777777" w:rsidR="00435C78" w:rsidRPr="007C174F" w:rsidRDefault="00435C78" w:rsidP="00435C78">
      <w:pPr>
        <w:rPr>
          <w:sz w:val="20"/>
          <w:szCs w:val="20"/>
          <w:lang w:val="en-AU"/>
        </w:rPr>
      </w:pPr>
    </w:p>
    <w:p w14:paraId="52CE43C2" w14:textId="77777777" w:rsidR="00435C78" w:rsidRDefault="00435C78" w:rsidP="00435C78">
      <w:pPr>
        <w:rPr>
          <w:sz w:val="20"/>
          <w:szCs w:val="20"/>
          <w:lang w:val="en-AU"/>
        </w:rPr>
      </w:pPr>
      <w:r w:rsidRPr="007C174F">
        <w:rPr>
          <w:sz w:val="20"/>
          <w:szCs w:val="20"/>
          <w:lang w:val="en-AU"/>
        </w:rPr>
        <w:t>Submissions received after this date will not be considered unless</w:t>
      </w:r>
      <w:r>
        <w:rPr>
          <w:sz w:val="20"/>
          <w:szCs w:val="20"/>
          <w:lang w:val="en-AU"/>
        </w:rPr>
        <w:t xml:space="preserve"> </w:t>
      </w:r>
      <w:r w:rsidRPr="007C174F">
        <w:rPr>
          <w:sz w:val="20"/>
          <w:szCs w:val="20"/>
          <w:lang w:val="en-AU"/>
        </w:rPr>
        <w:t xml:space="preserve">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14:paraId="13EA99EF" w14:textId="77777777" w:rsidR="001C7B26" w:rsidRPr="007C174F" w:rsidRDefault="001C7B26" w:rsidP="00435C78">
      <w:pPr>
        <w:rPr>
          <w:sz w:val="20"/>
          <w:szCs w:val="20"/>
          <w:lang w:val="en-AU"/>
        </w:rPr>
      </w:pPr>
    </w:p>
    <w:p w14:paraId="4E0A4B1C" w14:textId="77777777" w:rsidR="00435C78" w:rsidRPr="007C174F" w:rsidRDefault="00435C78" w:rsidP="00435C78">
      <w:pPr>
        <w:rPr>
          <w:bCs/>
          <w:sz w:val="20"/>
          <w:szCs w:val="20"/>
          <w:lang w:val="en-AU"/>
        </w:rPr>
      </w:pPr>
      <w:r>
        <w:rPr>
          <w:sz w:val="20"/>
          <w:szCs w:val="20"/>
          <w:lang w:val="en-AU"/>
        </w:rPr>
        <w:t>Questions about</w:t>
      </w:r>
      <w:r w:rsidRPr="007C174F">
        <w:rPr>
          <w:sz w:val="20"/>
          <w:szCs w:val="20"/>
          <w:lang w:val="en-AU"/>
        </w:rPr>
        <w:t xml:space="preserve"> making </w:t>
      </w:r>
      <w:r>
        <w:rPr>
          <w:sz w:val="20"/>
          <w:szCs w:val="20"/>
          <w:lang w:val="en-AU"/>
        </w:rPr>
        <w:t xml:space="preserve">a </w:t>
      </w:r>
      <w:r w:rsidRPr="007C174F">
        <w:rPr>
          <w:sz w:val="20"/>
          <w:szCs w:val="20"/>
          <w:lang w:val="en-AU"/>
        </w:rPr>
        <w:t xml:space="preserve">submission or application </w:t>
      </w:r>
      <w:r>
        <w:rPr>
          <w:sz w:val="20"/>
          <w:szCs w:val="20"/>
          <w:lang w:val="en-AU"/>
        </w:rPr>
        <w:t xml:space="preserve">and proposal </w:t>
      </w:r>
      <w:r w:rsidRPr="007C174F">
        <w:rPr>
          <w:sz w:val="20"/>
          <w:szCs w:val="20"/>
          <w:lang w:val="en-AU"/>
        </w:rPr>
        <w:t>process</w:t>
      </w:r>
      <w:r>
        <w:rPr>
          <w:sz w:val="20"/>
          <w:szCs w:val="20"/>
          <w:lang w:val="en-AU"/>
        </w:rPr>
        <w:t>es</w:t>
      </w:r>
      <w:r w:rsidRPr="007C174F">
        <w:rPr>
          <w:sz w:val="20"/>
          <w:szCs w:val="20"/>
          <w:lang w:val="en-AU"/>
        </w:rPr>
        <w:t xml:space="preserve"> can be </w:t>
      </w:r>
      <w:r>
        <w:rPr>
          <w:sz w:val="20"/>
          <w:szCs w:val="20"/>
          <w:lang w:val="en-AU"/>
        </w:rPr>
        <w:t>sent to</w:t>
      </w:r>
      <w:r w:rsidRPr="007C174F">
        <w:rPr>
          <w:sz w:val="20"/>
          <w:szCs w:val="20"/>
          <w:lang w:val="en-AU"/>
        </w:rPr>
        <w:t xml:space="preserve"> </w:t>
      </w:r>
      <w:hyperlink r:id="rId20"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7BF03EA5" w14:textId="77777777" w:rsidR="00435C78" w:rsidRPr="003A7725" w:rsidRDefault="00435C78" w:rsidP="00435C78">
      <w:pPr>
        <w:rPr>
          <w:sz w:val="20"/>
          <w:lang w:val="en-AU"/>
        </w:rPr>
      </w:pPr>
    </w:p>
    <w:p w14:paraId="61B2D098" w14:textId="77777777" w:rsidR="00435C78" w:rsidRDefault="00435C78">
      <w:pPr>
        <w:widowControl/>
        <w:rPr>
          <w:sz w:val="20"/>
          <w:szCs w:val="20"/>
          <w:lang w:val="en-AU"/>
        </w:rPr>
      </w:pPr>
      <w:r>
        <w:rPr>
          <w:sz w:val="20"/>
          <w:szCs w:val="20"/>
          <w:lang w:val="en-AU"/>
        </w:rPr>
        <w:br w:type="page"/>
      </w:r>
    </w:p>
    <w:p w14:paraId="4AA0391A" w14:textId="6604D02A" w:rsidR="00435C78" w:rsidRPr="007C174F" w:rsidRDefault="00435C78" w:rsidP="00435C78">
      <w:pPr>
        <w:rPr>
          <w:sz w:val="20"/>
          <w:szCs w:val="20"/>
          <w:lang w:val="en-AU"/>
        </w:rPr>
      </w:pPr>
      <w:r>
        <w:rPr>
          <w:sz w:val="20"/>
          <w:szCs w:val="20"/>
          <w:lang w:val="en-AU"/>
        </w:rPr>
        <w:lastRenderedPageBreak/>
        <w:t>S</w:t>
      </w:r>
      <w:r w:rsidRPr="007C174F">
        <w:rPr>
          <w:sz w:val="20"/>
          <w:szCs w:val="20"/>
          <w:lang w:val="en-AU"/>
        </w:rPr>
        <w:t xml:space="preserve">ubmissions </w:t>
      </w:r>
      <w:r>
        <w:rPr>
          <w:sz w:val="20"/>
          <w:szCs w:val="20"/>
          <w:lang w:val="en-AU"/>
        </w:rPr>
        <w:t xml:space="preserve">in hard copy </w:t>
      </w:r>
      <w:r w:rsidRPr="007C174F">
        <w:rPr>
          <w:sz w:val="20"/>
          <w:szCs w:val="20"/>
          <w:lang w:val="en-AU"/>
        </w:rPr>
        <w:t>may be sent to the following addresses:</w:t>
      </w:r>
    </w:p>
    <w:p w14:paraId="7FBB6957" w14:textId="77777777" w:rsidR="00435C78" w:rsidRPr="007C174F" w:rsidRDefault="00435C78" w:rsidP="00435C78">
      <w:pPr>
        <w:rPr>
          <w:sz w:val="20"/>
          <w:szCs w:val="20"/>
          <w:lang w:val="en-AU"/>
        </w:rPr>
      </w:pPr>
    </w:p>
    <w:p w14:paraId="53C53912" w14:textId="77777777" w:rsidR="00435C78" w:rsidRPr="007C174F" w:rsidRDefault="00435C78" w:rsidP="00435C78">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02B5B27" w14:textId="77777777" w:rsidR="00435C78" w:rsidRPr="007C174F" w:rsidRDefault="00435C78" w:rsidP="00435C78">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2A54CB6C" w14:textId="77777777" w:rsidR="00435C78" w:rsidRPr="007C174F" w:rsidRDefault="00435C78" w:rsidP="00435C78">
      <w:pPr>
        <w:tabs>
          <w:tab w:val="left" w:pos="4536"/>
        </w:tabs>
        <w:rPr>
          <w:sz w:val="20"/>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WELLINGTON 614</w:t>
      </w:r>
      <w:r>
        <w:rPr>
          <w:sz w:val="20"/>
          <w:szCs w:val="20"/>
        </w:rPr>
        <w:t>0</w:t>
      </w:r>
    </w:p>
    <w:p w14:paraId="120CC96D" w14:textId="77777777" w:rsidR="00435C78" w:rsidRPr="007C174F" w:rsidRDefault="00435C78" w:rsidP="00435C78">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F981040" w14:textId="77777777" w:rsidR="00435C78" w:rsidRDefault="00435C78" w:rsidP="00435C78">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54488D54" w14:textId="741546A7" w:rsidR="00435C78" w:rsidRDefault="00435C78" w:rsidP="00413CA8">
      <w:pPr>
        <w:rPr>
          <w:sz w:val="20"/>
          <w:szCs w:val="20"/>
        </w:rPr>
      </w:pPr>
    </w:p>
    <w:p w14:paraId="650D6D28" w14:textId="6DFD4B2D" w:rsidR="00413CA8" w:rsidRDefault="00413CA8" w:rsidP="003970A5">
      <w:pPr>
        <w:spacing w:line="280" w:lineRule="exact"/>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4F218BAB"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4F80DCA" w14:textId="77777777" w:rsidR="00562917" w:rsidRPr="00AE766D" w:rsidRDefault="00562917" w:rsidP="00051ED9">
      <w:pPr>
        <w:rPr>
          <w:rFonts w:cs="Arial"/>
        </w:rPr>
      </w:pPr>
    </w:p>
    <w:p w14:paraId="5F90BE7C" w14:textId="571FCCBF" w:rsidR="00B96A1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94800117" w:history="1">
        <w:r w:rsidR="00B96A17" w:rsidRPr="00CD046F">
          <w:rPr>
            <w:rStyle w:val="Hyperlink"/>
            <w:noProof/>
          </w:rPr>
          <w:t>Executive summary</w:t>
        </w:r>
        <w:r w:rsidR="00B96A17">
          <w:rPr>
            <w:noProof/>
            <w:webHidden/>
          </w:rPr>
          <w:tab/>
        </w:r>
        <w:r w:rsidR="00B96A17">
          <w:rPr>
            <w:noProof/>
            <w:webHidden/>
          </w:rPr>
          <w:fldChar w:fldCharType="begin"/>
        </w:r>
        <w:r w:rsidR="00B96A17">
          <w:rPr>
            <w:noProof/>
            <w:webHidden/>
          </w:rPr>
          <w:instrText xml:space="preserve"> PAGEREF _Toc94800117 \h </w:instrText>
        </w:r>
        <w:r w:rsidR="00B96A17">
          <w:rPr>
            <w:noProof/>
            <w:webHidden/>
          </w:rPr>
        </w:r>
        <w:r w:rsidR="00B96A17">
          <w:rPr>
            <w:noProof/>
            <w:webHidden/>
          </w:rPr>
          <w:fldChar w:fldCharType="separate"/>
        </w:r>
        <w:r w:rsidR="001366B4">
          <w:rPr>
            <w:noProof/>
            <w:webHidden/>
          </w:rPr>
          <w:t>2</w:t>
        </w:r>
        <w:r w:rsidR="00B96A17">
          <w:rPr>
            <w:noProof/>
            <w:webHidden/>
          </w:rPr>
          <w:fldChar w:fldCharType="end"/>
        </w:r>
      </w:hyperlink>
    </w:p>
    <w:p w14:paraId="4EE87D94" w14:textId="731F1959" w:rsidR="00B96A17" w:rsidRDefault="008728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800118" w:history="1">
        <w:r w:rsidR="00B96A17" w:rsidRPr="00CD046F">
          <w:rPr>
            <w:rStyle w:val="Hyperlink"/>
            <w:noProof/>
          </w:rPr>
          <w:t>1</w:t>
        </w:r>
        <w:r w:rsidR="00B96A17">
          <w:rPr>
            <w:rFonts w:eastAsiaTheme="minorEastAsia" w:cstheme="minorBidi"/>
            <w:b w:val="0"/>
            <w:bCs w:val="0"/>
            <w:caps w:val="0"/>
            <w:noProof/>
            <w:sz w:val="22"/>
            <w:szCs w:val="22"/>
            <w:lang w:eastAsia="en-GB" w:bidi="ar-SA"/>
          </w:rPr>
          <w:tab/>
        </w:r>
        <w:r w:rsidR="00B96A17" w:rsidRPr="00CD046F">
          <w:rPr>
            <w:rStyle w:val="Hyperlink"/>
            <w:noProof/>
          </w:rPr>
          <w:t>Introduction</w:t>
        </w:r>
        <w:r w:rsidR="00B96A17">
          <w:rPr>
            <w:noProof/>
            <w:webHidden/>
          </w:rPr>
          <w:tab/>
        </w:r>
        <w:r w:rsidR="00B96A17">
          <w:rPr>
            <w:noProof/>
            <w:webHidden/>
          </w:rPr>
          <w:fldChar w:fldCharType="begin"/>
        </w:r>
        <w:r w:rsidR="00B96A17">
          <w:rPr>
            <w:noProof/>
            <w:webHidden/>
          </w:rPr>
          <w:instrText xml:space="preserve"> PAGEREF _Toc94800118 \h </w:instrText>
        </w:r>
        <w:r w:rsidR="00B96A17">
          <w:rPr>
            <w:noProof/>
            <w:webHidden/>
          </w:rPr>
        </w:r>
        <w:r w:rsidR="00B96A17">
          <w:rPr>
            <w:noProof/>
            <w:webHidden/>
          </w:rPr>
          <w:fldChar w:fldCharType="separate"/>
        </w:r>
        <w:r w:rsidR="001366B4">
          <w:rPr>
            <w:noProof/>
            <w:webHidden/>
          </w:rPr>
          <w:t>4</w:t>
        </w:r>
        <w:r w:rsidR="00B96A17">
          <w:rPr>
            <w:noProof/>
            <w:webHidden/>
          </w:rPr>
          <w:fldChar w:fldCharType="end"/>
        </w:r>
      </w:hyperlink>
    </w:p>
    <w:p w14:paraId="48266B22" w14:textId="5CE3121A"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19" w:history="1">
        <w:r w:rsidR="00B96A17" w:rsidRPr="00CD046F">
          <w:rPr>
            <w:rStyle w:val="Hyperlink"/>
            <w:noProof/>
          </w:rPr>
          <w:t>1.1</w:t>
        </w:r>
        <w:r w:rsidR="00B96A17">
          <w:rPr>
            <w:rFonts w:eastAsiaTheme="minorEastAsia" w:cstheme="minorBidi"/>
            <w:smallCaps w:val="0"/>
            <w:noProof/>
            <w:sz w:val="22"/>
            <w:szCs w:val="22"/>
            <w:lang w:eastAsia="en-GB" w:bidi="ar-SA"/>
          </w:rPr>
          <w:tab/>
        </w:r>
        <w:r w:rsidR="00B96A17" w:rsidRPr="00CD046F">
          <w:rPr>
            <w:rStyle w:val="Hyperlink"/>
            <w:noProof/>
          </w:rPr>
          <w:t>Safe Foods</w:t>
        </w:r>
        <w:r w:rsidR="00B96A17">
          <w:rPr>
            <w:noProof/>
            <w:webHidden/>
          </w:rPr>
          <w:tab/>
        </w:r>
        <w:r w:rsidR="00B96A17">
          <w:rPr>
            <w:noProof/>
            <w:webHidden/>
          </w:rPr>
          <w:fldChar w:fldCharType="begin"/>
        </w:r>
        <w:r w:rsidR="00B96A17">
          <w:rPr>
            <w:noProof/>
            <w:webHidden/>
          </w:rPr>
          <w:instrText xml:space="preserve"> PAGEREF _Toc94800119 \h </w:instrText>
        </w:r>
        <w:r w:rsidR="00B96A17">
          <w:rPr>
            <w:noProof/>
            <w:webHidden/>
          </w:rPr>
        </w:r>
        <w:r w:rsidR="00B96A17">
          <w:rPr>
            <w:noProof/>
            <w:webHidden/>
          </w:rPr>
          <w:fldChar w:fldCharType="separate"/>
        </w:r>
        <w:r w:rsidR="001366B4">
          <w:rPr>
            <w:noProof/>
            <w:webHidden/>
          </w:rPr>
          <w:t>4</w:t>
        </w:r>
        <w:r w:rsidR="00B96A17">
          <w:rPr>
            <w:noProof/>
            <w:webHidden/>
          </w:rPr>
          <w:fldChar w:fldCharType="end"/>
        </w:r>
      </w:hyperlink>
    </w:p>
    <w:p w14:paraId="04E8E56D" w14:textId="7144B735"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20" w:history="1">
        <w:r w:rsidR="00B96A17" w:rsidRPr="00CD046F">
          <w:rPr>
            <w:rStyle w:val="Hyperlink"/>
            <w:noProof/>
          </w:rPr>
          <w:t>1.2</w:t>
        </w:r>
        <w:r w:rsidR="00B96A17">
          <w:rPr>
            <w:rFonts w:eastAsiaTheme="minorEastAsia" w:cstheme="minorBidi"/>
            <w:smallCaps w:val="0"/>
            <w:noProof/>
            <w:sz w:val="22"/>
            <w:szCs w:val="22"/>
            <w:lang w:eastAsia="en-GB" w:bidi="ar-SA"/>
          </w:rPr>
          <w:tab/>
        </w:r>
        <w:r w:rsidR="00B96A17" w:rsidRPr="00CD046F">
          <w:rPr>
            <w:rStyle w:val="Hyperlink"/>
            <w:noProof/>
          </w:rPr>
          <w:t>The Application</w:t>
        </w:r>
        <w:r w:rsidR="00B96A17">
          <w:rPr>
            <w:noProof/>
            <w:webHidden/>
          </w:rPr>
          <w:tab/>
        </w:r>
        <w:r w:rsidR="00B96A17">
          <w:rPr>
            <w:noProof/>
            <w:webHidden/>
          </w:rPr>
          <w:fldChar w:fldCharType="begin"/>
        </w:r>
        <w:r w:rsidR="00B96A17">
          <w:rPr>
            <w:noProof/>
            <w:webHidden/>
          </w:rPr>
          <w:instrText xml:space="preserve"> PAGEREF _Toc94800120 \h </w:instrText>
        </w:r>
        <w:r w:rsidR="00B96A17">
          <w:rPr>
            <w:noProof/>
            <w:webHidden/>
          </w:rPr>
        </w:r>
        <w:r w:rsidR="00B96A17">
          <w:rPr>
            <w:noProof/>
            <w:webHidden/>
          </w:rPr>
          <w:fldChar w:fldCharType="separate"/>
        </w:r>
        <w:r w:rsidR="001366B4">
          <w:rPr>
            <w:noProof/>
            <w:webHidden/>
          </w:rPr>
          <w:t>4</w:t>
        </w:r>
        <w:r w:rsidR="00B96A17">
          <w:rPr>
            <w:noProof/>
            <w:webHidden/>
          </w:rPr>
          <w:fldChar w:fldCharType="end"/>
        </w:r>
      </w:hyperlink>
    </w:p>
    <w:p w14:paraId="75B6338D" w14:textId="4154ED41"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21" w:history="1">
        <w:r w:rsidR="00B96A17" w:rsidRPr="00CD046F">
          <w:rPr>
            <w:rStyle w:val="Hyperlink"/>
            <w:noProof/>
          </w:rPr>
          <w:t>1.3</w:t>
        </w:r>
        <w:r w:rsidR="00B96A17">
          <w:rPr>
            <w:rFonts w:eastAsiaTheme="minorEastAsia" w:cstheme="minorBidi"/>
            <w:smallCaps w:val="0"/>
            <w:noProof/>
            <w:sz w:val="22"/>
            <w:szCs w:val="22"/>
            <w:lang w:eastAsia="en-GB" w:bidi="ar-SA"/>
          </w:rPr>
          <w:tab/>
        </w:r>
        <w:r w:rsidR="00B96A17" w:rsidRPr="00CD046F">
          <w:rPr>
            <w:rStyle w:val="Hyperlink"/>
            <w:noProof/>
          </w:rPr>
          <w:t>The current Code requirements</w:t>
        </w:r>
        <w:r w:rsidR="00B96A17">
          <w:rPr>
            <w:noProof/>
            <w:webHidden/>
          </w:rPr>
          <w:tab/>
        </w:r>
        <w:r w:rsidR="00B96A17">
          <w:rPr>
            <w:noProof/>
            <w:webHidden/>
          </w:rPr>
          <w:fldChar w:fldCharType="begin"/>
        </w:r>
        <w:r w:rsidR="00B96A17">
          <w:rPr>
            <w:noProof/>
            <w:webHidden/>
          </w:rPr>
          <w:instrText xml:space="preserve"> PAGEREF _Toc94800121 \h </w:instrText>
        </w:r>
        <w:r w:rsidR="00B96A17">
          <w:rPr>
            <w:noProof/>
            <w:webHidden/>
          </w:rPr>
        </w:r>
        <w:r w:rsidR="00B96A17">
          <w:rPr>
            <w:noProof/>
            <w:webHidden/>
          </w:rPr>
          <w:fldChar w:fldCharType="separate"/>
        </w:r>
        <w:r w:rsidR="001366B4">
          <w:rPr>
            <w:noProof/>
            <w:webHidden/>
          </w:rPr>
          <w:t>4</w:t>
        </w:r>
        <w:r w:rsidR="00B96A17">
          <w:rPr>
            <w:noProof/>
            <w:webHidden/>
          </w:rPr>
          <w:fldChar w:fldCharType="end"/>
        </w:r>
      </w:hyperlink>
    </w:p>
    <w:p w14:paraId="69E4A7D3" w14:textId="1BF73FC0"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2" w:history="1">
        <w:r w:rsidR="00B96A17" w:rsidRPr="00CD046F">
          <w:rPr>
            <w:rStyle w:val="Hyperlink"/>
            <w:noProof/>
          </w:rPr>
          <w:t>1.3.1</w:t>
        </w:r>
        <w:r w:rsidR="00B96A17">
          <w:rPr>
            <w:rFonts w:eastAsiaTheme="minorEastAsia" w:cstheme="minorBidi"/>
            <w:i w:val="0"/>
            <w:iCs w:val="0"/>
            <w:noProof/>
            <w:sz w:val="22"/>
            <w:szCs w:val="22"/>
            <w:lang w:eastAsia="en-GB" w:bidi="ar-SA"/>
          </w:rPr>
          <w:tab/>
        </w:r>
        <w:r w:rsidR="00B96A17" w:rsidRPr="00CD046F">
          <w:rPr>
            <w:rStyle w:val="Hyperlink"/>
            <w:noProof/>
          </w:rPr>
          <w:t>Permitted use</w:t>
        </w:r>
        <w:r w:rsidR="00B96A17">
          <w:rPr>
            <w:noProof/>
            <w:webHidden/>
          </w:rPr>
          <w:tab/>
        </w:r>
        <w:r w:rsidR="00B96A17">
          <w:rPr>
            <w:noProof/>
            <w:webHidden/>
          </w:rPr>
          <w:fldChar w:fldCharType="begin"/>
        </w:r>
        <w:r w:rsidR="00B96A17">
          <w:rPr>
            <w:noProof/>
            <w:webHidden/>
          </w:rPr>
          <w:instrText xml:space="preserve"> PAGEREF _Toc94800122 \h </w:instrText>
        </w:r>
        <w:r w:rsidR="00B96A17">
          <w:rPr>
            <w:noProof/>
            <w:webHidden/>
          </w:rPr>
        </w:r>
        <w:r w:rsidR="00B96A17">
          <w:rPr>
            <w:noProof/>
            <w:webHidden/>
          </w:rPr>
          <w:fldChar w:fldCharType="separate"/>
        </w:r>
        <w:r w:rsidR="001366B4">
          <w:rPr>
            <w:noProof/>
            <w:webHidden/>
          </w:rPr>
          <w:t>4</w:t>
        </w:r>
        <w:r w:rsidR="00B96A17">
          <w:rPr>
            <w:noProof/>
            <w:webHidden/>
          </w:rPr>
          <w:fldChar w:fldCharType="end"/>
        </w:r>
      </w:hyperlink>
    </w:p>
    <w:p w14:paraId="04073062" w14:textId="21DF61D0"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3" w:history="1">
        <w:r w:rsidR="00B96A17" w:rsidRPr="00CD046F">
          <w:rPr>
            <w:rStyle w:val="Hyperlink"/>
            <w:noProof/>
          </w:rPr>
          <w:t>1.3.2</w:t>
        </w:r>
        <w:r w:rsidR="00B96A17">
          <w:rPr>
            <w:rFonts w:eastAsiaTheme="minorEastAsia" w:cstheme="minorBidi"/>
            <w:i w:val="0"/>
            <w:iCs w:val="0"/>
            <w:noProof/>
            <w:sz w:val="22"/>
            <w:szCs w:val="22"/>
            <w:lang w:eastAsia="en-GB" w:bidi="ar-SA"/>
          </w:rPr>
          <w:tab/>
        </w:r>
        <w:r w:rsidR="00B96A17" w:rsidRPr="00CD046F">
          <w:rPr>
            <w:rStyle w:val="Hyperlink"/>
            <w:noProof/>
          </w:rPr>
          <w:t>Identity and purity requirements</w:t>
        </w:r>
        <w:r w:rsidR="00B96A17">
          <w:rPr>
            <w:noProof/>
            <w:webHidden/>
          </w:rPr>
          <w:tab/>
        </w:r>
        <w:r w:rsidR="00B96A17">
          <w:rPr>
            <w:noProof/>
            <w:webHidden/>
          </w:rPr>
          <w:fldChar w:fldCharType="begin"/>
        </w:r>
        <w:r w:rsidR="00B96A17">
          <w:rPr>
            <w:noProof/>
            <w:webHidden/>
          </w:rPr>
          <w:instrText xml:space="preserve"> PAGEREF _Toc94800123 \h </w:instrText>
        </w:r>
        <w:r w:rsidR="00B96A17">
          <w:rPr>
            <w:noProof/>
            <w:webHidden/>
          </w:rPr>
        </w:r>
        <w:r w:rsidR="00B96A17">
          <w:rPr>
            <w:noProof/>
            <w:webHidden/>
          </w:rPr>
          <w:fldChar w:fldCharType="separate"/>
        </w:r>
        <w:r w:rsidR="001366B4">
          <w:rPr>
            <w:noProof/>
            <w:webHidden/>
          </w:rPr>
          <w:t>5</w:t>
        </w:r>
        <w:r w:rsidR="00B96A17">
          <w:rPr>
            <w:noProof/>
            <w:webHidden/>
          </w:rPr>
          <w:fldChar w:fldCharType="end"/>
        </w:r>
      </w:hyperlink>
    </w:p>
    <w:p w14:paraId="22D7D434" w14:textId="60886CC0"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4" w:history="1">
        <w:r w:rsidR="00B96A17" w:rsidRPr="00CD046F">
          <w:rPr>
            <w:rStyle w:val="Hyperlink"/>
            <w:noProof/>
          </w:rPr>
          <w:t>1.3.3</w:t>
        </w:r>
        <w:r w:rsidR="00B96A17">
          <w:rPr>
            <w:rFonts w:eastAsiaTheme="minorEastAsia" w:cstheme="minorBidi"/>
            <w:i w:val="0"/>
            <w:iCs w:val="0"/>
            <w:noProof/>
            <w:sz w:val="22"/>
            <w:szCs w:val="22"/>
            <w:lang w:eastAsia="en-GB" w:bidi="ar-SA"/>
          </w:rPr>
          <w:tab/>
        </w:r>
        <w:r w:rsidR="00B96A17" w:rsidRPr="00CD046F">
          <w:rPr>
            <w:rStyle w:val="Hyperlink"/>
            <w:noProof/>
          </w:rPr>
          <w:t>Labelling requirements</w:t>
        </w:r>
        <w:r w:rsidR="00B96A17">
          <w:rPr>
            <w:noProof/>
            <w:webHidden/>
          </w:rPr>
          <w:tab/>
        </w:r>
        <w:r w:rsidR="00B96A17">
          <w:rPr>
            <w:noProof/>
            <w:webHidden/>
          </w:rPr>
          <w:fldChar w:fldCharType="begin"/>
        </w:r>
        <w:r w:rsidR="00B96A17">
          <w:rPr>
            <w:noProof/>
            <w:webHidden/>
          </w:rPr>
          <w:instrText xml:space="preserve"> PAGEREF _Toc94800124 \h </w:instrText>
        </w:r>
        <w:r w:rsidR="00B96A17">
          <w:rPr>
            <w:noProof/>
            <w:webHidden/>
          </w:rPr>
        </w:r>
        <w:r w:rsidR="00B96A17">
          <w:rPr>
            <w:noProof/>
            <w:webHidden/>
          </w:rPr>
          <w:fldChar w:fldCharType="separate"/>
        </w:r>
        <w:r w:rsidR="001366B4">
          <w:rPr>
            <w:noProof/>
            <w:webHidden/>
          </w:rPr>
          <w:t>5</w:t>
        </w:r>
        <w:r w:rsidR="00B96A17">
          <w:rPr>
            <w:noProof/>
            <w:webHidden/>
          </w:rPr>
          <w:fldChar w:fldCharType="end"/>
        </w:r>
      </w:hyperlink>
    </w:p>
    <w:p w14:paraId="4CF495FF" w14:textId="3F13B1C0"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25" w:history="1">
        <w:r w:rsidR="00B96A17" w:rsidRPr="00CD046F">
          <w:rPr>
            <w:rStyle w:val="Hyperlink"/>
            <w:noProof/>
          </w:rPr>
          <w:t>1.4</w:t>
        </w:r>
        <w:r w:rsidR="00B96A17">
          <w:rPr>
            <w:rFonts w:eastAsiaTheme="minorEastAsia" w:cstheme="minorBidi"/>
            <w:smallCaps w:val="0"/>
            <w:noProof/>
            <w:sz w:val="22"/>
            <w:szCs w:val="22"/>
            <w:lang w:eastAsia="en-GB" w:bidi="ar-SA"/>
          </w:rPr>
          <w:tab/>
        </w:r>
        <w:r w:rsidR="00B96A17" w:rsidRPr="00CD046F">
          <w:rPr>
            <w:rStyle w:val="Hyperlink"/>
            <w:noProof/>
          </w:rPr>
          <w:t>Overseas approvals</w:t>
        </w:r>
        <w:r w:rsidR="00B96A17">
          <w:rPr>
            <w:noProof/>
            <w:webHidden/>
          </w:rPr>
          <w:tab/>
        </w:r>
        <w:r w:rsidR="00B96A17">
          <w:rPr>
            <w:noProof/>
            <w:webHidden/>
          </w:rPr>
          <w:fldChar w:fldCharType="begin"/>
        </w:r>
        <w:r w:rsidR="00B96A17">
          <w:rPr>
            <w:noProof/>
            <w:webHidden/>
          </w:rPr>
          <w:instrText xml:space="preserve"> PAGEREF _Toc94800125 \h </w:instrText>
        </w:r>
        <w:r w:rsidR="00B96A17">
          <w:rPr>
            <w:noProof/>
            <w:webHidden/>
          </w:rPr>
        </w:r>
        <w:r w:rsidR="00B96A17">
          <w:rPr>
            <w:noProof/>
            <w:webHidden/>
          </w:rPr>
          <w:fldChar w:fldCharType="separate"/>
        </w:r>
        <w:r w:rsidR="001366B4">
          <w:rPr>
            <w:noProof/>
            <w:webHidden/>
          </w:rPr>
          <w:t>5</w:t>
        </w:r>
        <w:r w:rsidR="00B96A17">
          <w:rPr>
            <w:noProof/>
            <w:webHidden/>
          </w:rPr>
          <w:fldChar w:fldCharType="end"/>
        </w:r>
      </w:hyperlink>
    </w:p>
    <w:p w14:paraId="5E2B3FEF" w14:textId="4552B649"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6" w:history="1">
        <w:r w:rsidR="00B96A17" w:rsidRPr="00CD046F">
          <w:rPr>
            <w:rStyle w:val="Hyperlink"/>
            <w:noProof/>
          </w:rPr>
          <w:t>1.4.1</w:t>
        </w:r>
        <w:r w:rsidR="00B96A17">
          <w:rPr>
            <w:rFonts w:eastAsiaTheme="minorEastAsia" w:cstheme="minorBidi"/>
            <w:i w:val="0"/>
            <w:iCs w:val="0"/>
            <w:noProof/>
            <w:sz w:val="22"/>
            <w:szCs w:val="22"/>
            <w:lang w:eastAsia="en-GB" w:bidi="ar-SA"/>
          </w:rPr>
          <w:tab/>
        </w:r>
        <w:r w:rsidR="00B96A17" w:rsidRPr="00CD046F">
          <w:rPr>
            <w:rStyle w:val="Hyperlink"/>
            <w:noProof/>
          </w:rPr>
          <w:t>United States of America</w:t>
        </w:r>
        <w:r w:rsidR="00B96A17">
          <w:rPr>
            <w:noProof/>
            <w:webHidden/>
          </w:rPr>
          <w:tab/>
        </w:r>
        <w:r w:rsidR="00B96A17">
          <w:rPr>
            <w:noProof/>
            <w:webHidden/>
          </w:rPr>
          <w:fldChar w:fldCharType="begin"/>
        </w:r>
        <w:r w:rsidR="00B96A17">
          <w:rPr>
            <w:noProof/>
            <w:webHidden/>
          </w:rPr>
          <w:instrText xml:space="preserve"> PAGEREF _Toc94800126 \h </w:instrText>
        </w:r>
        <w:r w:rsidR="00B96A17">
          <w:rPr>
            <w:noProof/>
            <w:webHidden/>
          </w:rPr>
        </w:r>
        <w:r w:rsidR="00B96A17">
          <w:rPr>
            <w:noProof/>
            <w:webHidden/>
          </w:rPr>
          <w:fldChar w:fldCharType="separate"/>
        </w:r>
        <w:r w:rsidR="001366B4">
          <w:rPr>
            <w:noProof/>
            <w:webHidden/>
          </w:rPr>
          <w:t>5</w:t>
        </w:r>
        <w:r w:rsidR="00B96A17">
          <w:rPr>
            <w:noProof/>
            <w:webHidden/>
          </w:rPr>
          <w:fldChar w:fldCharType="end"/>
        </w:r>
      </w:hyperlink>
    </w:p>
    <w:p w14:paraId="3C40AE08" w14:textId="458DC620"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7" w:history="1">
        <w:r w:rsidR="00B96A17" w:rsidRPr="00CD046F">
          <w:rPr>
            <w:rStyle w:val="Hyperlink"/>
            <w:noProof/>
          </w:rPr>
          <w:t>1.4.2</w:t>
        </w:r>
        <w:r w:rsidR="00B96A17">
          <w:rPr>
            <w:rFonts w:eastAsiaTheme="minorEastAsia" w:cstheme="minorBidi"/>
            <w:i w:val="0"/>
            <w:iCs w:val="0"/>
            <w:noProof/>
            <w:sz w:val="22"/>
            <w:szCs w:val="22"/>
            <w:lang w:eastAsia="en-GB" w:bidi="ar-SA"/>
          </w:rPr>
          <w:tab/>
        </w:r>
        <w:r w:rsidR="00B96A17" w:rsidRPr="00CD046F">
          <w:rPr>
            <w:rStyle w:val="Hyperlink"/>
            <w:noProof/>
          </w:rPr>
          <w:t>Canada</w:t>
        </w:r>
        <w:r w:rsidR="00B96A17">
          <w:rPr>
            <w:noProof/>
            <w:webHidden/>
          </w:rPr>
          <w:tab/>
        </w:r>
        <w:r w:rsidR="00B96A17">
          <w:rPr>
            <w:noProof/>
            <w:webHidden/>
          </w:rPr>
          <w:fldChar w:fldCharType="begin"/>
        </w:r>
        <w:r w:rsidR="00B96A17">
          <w:rPr>
            <w:noProof/>
            <w:webHidden/>
          </w:rPr>
          <w:instrText xml:space="preserve"> PAGEREF _Toc94800127 \h </w:instrText>
        </w:r>
        <w:r w:rsidR="00B96A17">
          <w:rPr>
            <w:noProof/>
            <w:webHidden/>
          </w:rPr>
        </w:r>
        <w:r w:rsidR="00B96A17">
          <w:rPr>
            <w:noProof/>
            <w:webHidden/>
          </w:rPr>
          <w:fldChar w:fldCharType="separate"/>
        </w:r>
        <w:r w:rsidR="001366B4">
          <w:rPr>
            <w:noProof/>
            <w:webHidden/>
          </w:rPr>
          <w:t>6</w:t>
        </w:r>
        <w:r w:rsidR="00B96A17">
          <w:rPr>
            <w:noProof/>
            <w:webHidden/>
          </w:rPr>
          <w:fldChar w:fldCharType="end"/>
        </w:r>
      </w:hyperlink>
    </w:p>
    <w:p w14:paraId="18614C90" w14:textId="1016D2D2"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8" w:history="1">
        <w:r w:rsidR="00B96A17" w:rsidRPr="00CD046F">
          <w:rPr>
            <w:rStyle w:val="Hyperlink"/>
            <w:noProof/>
          </w:rPr>
          <w:t>1.4.3</w:t>
        </w:r>
        <w:r w:rsidR="00B96A17">
          <w:rPr>
            <w:rFonts w:eastAsiaTheme="minorEastAsia" w:cstheme="minorBidi"/>
            <w:i w:val="0"/>
            <w:iCs w:val="0"/>
            <w:noProof/>
            <w:sz w:val="22"/>
            <w:szCs w:val="22"/>
            <w:lang w:eastAsia="en-GB" w:bidi="ar-SA"/>
          </w:rPr>
          <w:tab/>
        </w:r>
        <w:r w:rsidR="00B96A17" w:rsidRPr="00CD046F">
          <w:rPr>
            <w:rStyle w:val="Hyperlink"/>
            <w:noProof/>
          </w:rPr>
          <w:t>Europe</w:t>
        </w:r>
        <w:r w:rsidR="00B96A17">
          <w:rPr>
            <w:noProof/>
            <w:webHidden/>
          </w:rPr>
          <w:tab/>
        </w:r>
        <w:r w:rsidR="00B96A17">
          <w:rPr>
            <w:noProof/>
            <w:webHidden/>
          </w:rPr>
          <w:fldChar w:fldCharType="begin"/>
        </w:r>
        <w:r w:rsidR="00B96A17">
          <w:rPr>
            <w:noProof/>
            <w:webHidden/>
          </w:rPr>
          <w:instrText xml:space="preserve"> PAGEREF _Toc94800128 \h </w:instrText>
        </w:r>
        <w:r w:rsidR="00B96A17">
          <w:rPr>
            <w:noProof/>
            <w:webHidden/>
          </w:rPr>
        </w:r>
        <w:r w:rsidR="00B96A17">
          <w:rPr>
            <w:noProof/>
            <w:webHidden/>
          </w:rPr>
          <w:fldChar w:fldCharType="separate"/>
        </w:r>
        <w:r w:rsidR="001366B4">
          <w:rPr>
            <w:noProof/>
            <w:webHidden/>
          </w:rPr>
          <w:t>6</w:t>
        </w:r>
        <w:r w:rsidR="00B96A17">
          <w:rPr>
            <w:noProof/>
            <w:webHidden/>
          </w:rPr>
          <w:fldChar w:fldCharType="end"/>
        </w:r>
      </w:hyperlink>
    </w:p>
    <w:p w14:paraId="67C2FA1D" w14:textId="31F42D38"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29" w:history="1">
        <w:r w:rsidR="00B96A17" w:rsidRPr="00CD046F">
          <w:rPr>
            <w:rStyle w:val="Hyperlink"/>
            <w:noProof/>
          </w:rPr>
          <w:t>1.4.4</w:t>
        </w:r>
        <w:r w:rsidR="00B96A17">
          <w:rPr>
            <w:rFonts w:eastAsiaTheme="minorEastAsia" w:cstheme="minorBidi"/>
            <w:i w:val="0"/>
            <w:iCs w:val="0"/>
            <w:noProof/>
            <w:sz w:val="22"/>
            <w:szCs w:val="22"/>
            <w:lang w:eastAsia="en-GB" w:bidi="ar-SA"/>
          </w:rPr>
          <w:tab/>
        </w:r>
        <w:r w:rsidR="00B96A17" w:rsidRPr="00CD046F">
          <w:rPr>
            <w:rStyle w:val="Hyperlink"/>
            <w:noProof/>
          </w:rPr>
          <w:t>Other countries</w:t>
        </w:r>
        <w:r w:rsidR="00B96A17">
          <w:rPr>
            <w:noProof/>
            <w:webHidden/>
          </w:rPr>
          <w:tab/>
        </w:r>
        <w:r w:rsidR="00B96A17">
          <w:rPr>
            <w:noProof/>
            <w:webHidden/>
          </w:rPr>
          <w:fldChar w:fldCharType="begin"/>
        </w:r>
        <w:r w:rsidR="00B96A17">
          <w:rPr>
            <w:noProof/>
            <w:webHidden/>
          </w:rPr>
          <w:instrText xml:space="preserve"> PAGEREF _Toc94800129 \h </w:instrText>
        </w:r>
        <w:r w:rsidR="00B96A17">
          <w:rPr>
            <w:noProof/>
            <w:webHidden/>
          </w:rPr>
        </w:r>
        <w:r w:rsidR="00B96A17">
          <w:rPr>
            <w:noProof/>
            <w:webHidden/>
          </w:rPr>
          <w:fldChar w:fldCharType="separate"/>
        </w:r>
        <w:r w:rsidR="001366B4">
          <w:rPr>
            <w:noProof/>
            <w:webHidden/>
          </w:rPr>
          <w:t>6</w:t>
        </w:r>
        <w:r w:rsidR="00B96A17">
          <w:rPr>
            <w:noProof/>
            <w:webHidden/>
          </w:rPr>
          <w:fldChar w:fldCharType="end"/>
        </w:r>
      </w:hyperlink>
    </w:p>
    <w:p w14:paraId="3E022784" w14:textId="2AA1EFBB"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30" w:history="1">
        <w:r w:rsidR="00B96A17" w:rsidRPr="00CD046F">
          <w:rPr>
            <w:rStyle w:val="Hyperlink"/>
            <w:noProof/>
            <w:u w:color="FFFF00"/>
          </w:rPr>
          <w:t>1.5</w:t>
        </w:r>
        <w:r w:rsidR="00B96A17">
          <w:rPr>
            <w:rFonts w:eastAsiaTheme="minorEastAsia" w:cstheme="minorBidi"/>
            <w:smallCaps w:val="0"/>
            <w:noProof/>
            <w:sz w:val="22"/>
            <w:szCs w:val="22"/>
            <w:lang w:eastAsia="en-GB" w:bidi="ar-SA"/>
          </w:rPr>
          <w:tab/>
        </w:r>
        <w:r w:rsidR="00B96A17" w:rsidRPr="00CD046F">
          <w:rPr>
            <w:rStyle w:val="Hyperlink"/>
            <w:noProof/>
            <w:u w:color="FFFF00"/>
          </w:rPr>
          <w:t>Reasons for accepting the application</w:t>
        </w:r>
        <w:r w:rsidR="00B96A17">
          <w:rPr>
            <w:noProof/>
            <w:webHidden/>
          </w:rPr>
          <w:tab/>
        </w:r>
        <w:r w:rsidR="00B96A17">
          <w:rPr>
            <w:noProof/>
            <w:webHidden/>
          </w:rPr>
          <w:fldChar w:fldCharType="begin"/>
        </w:r>
        <w:r w:rsidR="00B96A17">
          <w:rPr>
            <w:noProof/>
            <w:webHidden/>
          </w:rPr>
          <w:instrText xml:space="preserve"> PAGEREF _Toc94800130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73B2CBE4" w14:textId="5DD85417"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31" w:history="1">
        <w:r w:rsidR="00B96A17" w:rsidRPr="00CD046F">
          <w:rPr>
            <w:rStyle w:val="Hyperlink"/>
            <w:noProof/>
          </w:rPr>
          <w:t>1.6</w:t>
        </w:r>
        <w:r w:rsidR="00B96A17">
          <w:rPr>
            <w:rFonts w:eastAsiaTheme="minorEastAsia" w:cstheme="minorBidi"/>
            <w:smallCaps w:val="0"/>
            <w:noProof/>
            <w:sz w:val="22"/>
            <w:szCs w:val="22"/>
            <w:lang w:eastAsia="en-GB" w:bidi="ar-SA"/>
          </w:rPr>
          <w:tab/>
        </w:r>
        <w:r w:rsidR="00B96A17" w:rsidRPr="00CD046F">
          <w:rPr>
            <w:rStyle w:val="Hyperlink"/>
            <w:noProof/>
          </w:rPr>
          <w:t>Procedure for assessment</w:t>
        </w:r>
        <w:r w:rsidR="00B96A17">
          <w:rPr>
            <w:noProof/>
            <w:webHidden/>
          </w:rPr>
          <w:tab/>
        </w:r>
        <w:r w:rsidR="00B96A17">
          <w:rPr>
            <w:noProof/>
            <w:webHidden/>
          </w:rPr>
          <w:fldChar w:fldCharType="begin"/>
        </w:r>
        <w:r w:rsidR="00B96A17">
          <w:rPr>
            <w:noProof/>
            <w:webHidden/>
          </w:rPr>
          <w:instrText xml:space="preserve"> PAGEREF _Toc94800131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2D44DAF9" w14:textId="6BCFA3B7" w:rsidR="00B96A17" w:rsidRDefault="008728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800132" w:history="1">
        <w:r w:rsidR="00B96A17" w:rsidRPr="00CD046F">
          <w:rPr>
            <w:rStyle w:val="Hyperlink"/>
            <w:noProof/>
          </w:rPr>
          <w:t>2</w:t>
        </w:r>
        <w:r w:rsidR="00B96A17">
          <w:rPr>
            <w:rFonts w:eastAsiaTheme="minorEastAsia" w:cstheme="minorBidi"/>
            <w:b w:val="0"/>
            <w:bCs w:val="0"/>
            <w:caps w:val="0"/>
            <w:noProof/>
            <w:sz w:val="22"/>
            <w:szCs w:val="22"/>
            <w:lang w:eastAsia="en-GB" w:bidi="ar-SA"/>
          </w:rPr>
          <w:tab/>
        </w:r>
        <w:r w:rsidR="00B96A17" w:rsidRPr="00CD046F">
          <w:rPr>
            <w:rStyle w:val="Hyperlink"/>
            <w:noProof/>
          </w:rPr>
          <w:t>Summary of the assessment</w:t>
        </w:r>
        <w:r w:rsidR="00B96A17">
          <w:rPr>
            <w:noProof/>
            <w:webHidden/>
          </w:rPr>
          <w:tab/>
        </w:r>
        <w:r w:rsidR="00B96A17">
          <w:rPr>
            <w:noProof/>
            <w:webHidden/>
          </w:rPr>
          <w:fldChar w:fldCharType="begin"/>
        </w:r>
        <w:r w:rsidR="00B96A17">
          <w:rPr>
            <w:noProof/>
            <w:webHidden/>
          </w:rPr>
          <w:instrText xml:space="preserve"> PAGEREF _Toc94800132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459140B9" w14:textId="02B2F693" w:rsidR="00B96A17" w:rsidRDefault="008728D3">
      <w:pPr>
        <w:pStyle w:val="TOC2"/>
        <w:tabs>
          <w:tab w:val="right" w:leader="dot" w:pos="9060"/>
        </w:tabs>
        <w:rPr>
          <w:rFonts w:eastAsiaTheme="minorEastAsia" w:cstheme="minorBidi"/>
          <w:smallCaps w:val="0"/>
          <w:noProof/>
          <w:sz w:val="22"/>
          <w:szCs w:val="22"/>
          <w:lang w:eastAsia="en-GB" w:bidi="ar-SA"/>
        </w:rPr>
      </w:pPr>
      <w:hyperlink w:anchor="_Toc94800133" w:history="1">
        <w:r w:rsidR="00B96A17" w:rsidRPr="00CD046F">
          <w:rPr>
            <w:rStyle w:val="Hyperlink"/>
            <w:noProof/>
          </w:rPr>
          <w:t>2.1 Food technology and risk assessment</w:t>
        </w:r>
        <w:r w:rsidR="00B96A17">
          <w:rPr>
            <w:noProof/>
            <w:webHidden/>
          </w:rPr>
          <w:tab/>
        </w:r>
        <w:r w:rsidR="00B96A17">
          <w:rPr>
            <w:noProof/>
            <w:webHidden/>
          </w:rPr>
          <w:fldChar w:fldCharType="begin"/>
        </w:r>
        <w:r w:rsidR="00B96A17">
          <w:rPr>
            <w:noProof/>
            <w:webHidden/>
          </w:rPr>
          <w:instrText xml:space="preserve"> PAGEREF _Toc94800133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706CD0DF" w14:textId="640DFDFE"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34" w:history="1">
        <w:r w:rsidR="00B96A17" w:rsidRPr="00CD046F">
          <w:rPr>
            <w:rStyle w:val="Hyperlink"/>
            <w:noProof/>
          </w:rPr>
          <w:t>2.1.1</w:t>
        </w:r>
        <w:r w:rsidR="00B96A17">
          <w:rPr>
            <w:rFonts w:eastAsiaTheme="minorEastAsia" w:cstheme="minorBidi"/>
            <w:i w:val="0"/>
            <w:iCs w:val="0"/>
            <w:noProof/>
            <w:sz w:val="22"/>
            <w:szCs w:val="22"/>
            <w:lang w:eastAsia="en-GB" w:bidi="ar-SA"/>
          </w:rPr>
          <w:tab/>
        </w:r>
        <w:r w:rsidR="00B96A17" w:rsidRPr="00CD046F">
          <w:rPr>
            <w:rStyle w:val="Hyperlink"/>
            <w:noProof/>
          </w:rPr>
          <w:t>Technical assessment</w:t>
        </w:r>
        <w:r w:rsidR="00B96A17">
          <w:rPr>
            <w:noProof/>
            <w:webHidden/>
          </w:rPr>
          <w:tab/>
        </w:r>
        <w:r w:rsidR="00B96A17">
          <w:rPr>
            <w:noProof/>
            <w:webHidden/>
          </w:rPr>
          <w:fldChar w:fldCharType="begin"/>
        </w:r>
        <w:r w:rsidR="00B96A17">
          <w:rPr>
            <w:noProof/>
            <w:webHidden/>
          </w:rPr>
          <w:instrText xml:space="preserve"> PAGEREF _Toc94800134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1995E8C9" w14:textId="32F3BB7B"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35" w:history="1">
        <w:r w:rsidR="00B96A17" w:rsidRPr="00CD046F">
          <w:rPr>
            <w:rStyle w:val="Hyperlink"/>
            <w:noProof/>
          </w:rPr>
          <w:t>2.1.2</w:t>
        </w:r>
        <w:r w:rsidR="00B96A17">
          <w:rPr>
            <w:rFonts w:eastAsiaTheme="minorEastAsia" w:cstheme="minorBidi"/>
            <w:i w:val="0"/>
            <w:iCs w:val="0"/>
            <w:noProof/>
            <w:sz w:val="22"/>
            <w:szCs w:val="22"/>
            <w:lang w:eastAsia="en-GB" w:bidi="ar-SA"/>
          </w:rPr>
          <w:tab/>
        </w:r>
        <w:r w:rsidR="00B96A17" w:rsidRPr="00CD046F">
          <w:rPr>
            <w:rStyle w:val="Hyperlink"/>
            <w:noProof/>
          </w:rPr>
          <w:t>Risk assessment</w:t>
        </w:r>
        <w:r w:rsidR="00B96A17">
          <w:rPr>
            <w:noProof/>
            <w:webHidden/>
          </w:rPr>
          <w:tab/>
        </w:r>
        <w:r w:rsidR="00B96A17">
          <w:rPr>
            <w:noProof/>
            <w:webHidden/>
          </w:rPr>
          <w:fldChar w:fldCharType="begin"/>
        </w:r>
        <w:r w:rsidR="00B96A17">
          <w:rPr>
            <w:noProof/>
            <w:webHidden/>
          </w:rPr>
          <w:instrText xml:space="preserve"> PAGEREF _Toc94800135 \h </w:instrText>
        </w:r>
        <w:r w:rsidR="00B96A17">
          <w:rPr>
            <w:noProof/>
            <w:webHidden/>
          </w:rPr>
        </w:r>
        <w:r w:rsidR="00B96A17">
          <w:rPr>
            <w:noProof/>
            <w:webHidden/>
          </w:rPr>
          <w:fldChar w:fldCharType="separate"/>
        </w:r>
        <w:r w:rsidR="001366B4">
          <w:rPr>
            <w:noProof/>
            <w:webHidden/>
          </w:rPr>
          <w:t>7</w:t>
        </w:r>
        <w:r w:rsidR="00B96A17">
          <w:rPr>
            <w:noProof/>
            <w:webHidden/>
          </w:rPr>
          <w:fldChar w:fldCharType="end"/>
        </w:r>
      </w:hyperlink>
    </w:p>
    <w:p w14:paraId="27101E8B" w14:textId="1144A53C"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36" w:history="1">
        <w:r w:rsidR="00B96A17" w:rsidRPr="00CD046F">
          <w:rPr>
            <w:rStyle w:val="Hyperlink"/>
            <w:noProof/>
          </w:rPr>
          <w:t>2.2</w:t>
        </w:r>
        <w:r w:rsidR="00B96A17">
          <w:rPr>
            <w:rFonts w:eastAsiaTheme="minorEastAsia" w:cstheme="minorBidi"/>
            <w:smallCaps w:val="0"/>
            <w:noProof/>
            <w:sz w:val="22"/>
            <w:szCs w:val="22"/>
            <w:lang w:eastAsia="en-GB" w:bidi="ar-SA"/>
          </w:rPr>
          <w:tab/>
        </w:r>
        <w:r w:rsidR="00B96A17" w:rsidRPr="00CD046F">
          <w:rPr>
            <w:rStyle w:val="Hyperlink"/>
            <w:noProof/>
          </w:rPr>
          <w:t>Risk management</w:t>
        </w:r>
        <w:r w:rsidR="00B96A17">
          <w:rPr>
            <w:noProof/>
            <w:webHidden/>
          </w:rPr>
          <w:tab/>
        </w:r>
        <w:r w:rsidR="00B96A17">
          <w:rPr>
            <w:noProof/>
            <w:webHidden/>
          </w:rPr>
          <w:fldChar w:fldCharType="begin"/>
        </w:r>
        <w:r w:rsidR="00B96A17">
          <w:rPr>
            <w:noProof/>
            <w:webHidden/>
          </w:rPr>
          <w:instrText xml:space="preserve"> PAGEREF _Toc94800136 \h </w:instrText>
        </w:r>
        <w:r w:rsidR="00B96A17">
          <w:rPr>
            <w:noProof/>
            <w:webHidden/>
          </w:rPr>
        </w:r>
        <w:r w:rsidR="00B96A17">
          <w:rPr>
            <w:noProof/>
            <w:webHidden/>
          </w:rPr>
          <w:fldChar w:fldCharType="separate"/>
        </w:r>
        <w:r w:rsidR="001366B4">
          <w:rPr>
            <w:noProof/>
            <w:webHidden/>
          </w:rPr>
          <w:t>9</w:t>
        </w:r>
        <w:r w:rsidR="00B96A17">
          <w:rPr>
            <w:noProof/>
            <w:webHidden/>
          </w:rPr>
          <w:fldChar w:fldCharType="end"/>
        </w:r>
      </w:hyperlink>
    </w:p>
    <w:p w14:paraId="307084D4" w14:textId="032B9B23"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37" w:history="1">
        <w:r w:rsidR="00B96A17" w:rsidRPr="00CD046F">
          <w:rPr>
            <w:rStyle w:val="Hyperlink"/>
            <w:noProof/>
          </w:rPr>
          <w:t>2.2.1</w:t>
        </w:r>
        <w:r w:rsidR="00B96A17">
          <w:rPr>
            <w:rFonts w:eastAsiaTheme="minorEastAsia" w:cstheme="minorBidi"/>
            <w:i w:val="0"/>
            <w:iCs w:val="0"/>
            <w:noProof/>
            <w:sz w:val="22"/>
            <w:szCs w:val="22"/>
            <w:lang w:eastAsia="en-GB" w:bidi="ar-SA"/>
          </w:rPr>
          <w:tab/>
        </w:r>
        <w:r w:rsidR="00B96A17" w:rsidRPr="00CD046F">
          <w:rPr>
            <w:rStyle w:val="Hyperlink"/>
            <w:noProof/>
          </w:rPr>
          <w:t>Nomenclature and specifications</w:t>
        </w:r>
        <w:r w:rsidR="00B96A17">
          <w:rPr>
            <w:noProof/>
            <w:webHidden/>
          </w:rPr>
          <w:tab/>
        </w:r>
        <w:r w:rsidR="00B96A17">
          <w:rPr>
            <w:noProof/>
            <w:webHidden/>
          </w:rPr>
          <w:fldChar w:fldCharType="begin"/>
        </w:r>
        <w:r w:rsidR="00B96A17">
          <w:rPr>
            <w:noProof/>
            <w:webHidden/>
          </w:rPr>
          <w:instrText xml:space="preserve"> PAGEREF _Toc94800137 \h </w:instrText>
        </w:r>
        <w:r w:rsidR="00B96A17">
          <w:rPr>
            <w:noProof/>
            <w:webHidden/>
          </w:rPr>
        </w:r>
        <w:r w:rsidR="00B96A17">
          <w:rPr>
            <w:noProof/>
            <w:webHidden/>
          </w:rPr>
          <w:fldChar w:fldCharType="separate"/>
        </w:r>
        <w:r w:rsidR="001366B4">
          <w:rPr>
            <w:noProof/>
            <w:webHidden/>
          </w:rPr>
          <w:t>9</w:t>
        </w:r>
        <w:r w:rsidR="00B96A17">
          <w:rPr>
            <w:noProof/>
            <w:webHidden/>
          </w:rPr>
          <w:fldChar w:fldCharType="end"/>
        </w:r>
      </w:hyperlink>
    </w:p>
    <w:p w14:paraId="67A473AF" w14:textId="7069ECDE"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38" w:history="1">
        <w:r w:rsidR="00B96A17" w:rsidRPr="00CD046F">
          <w:rPr>
            <w:rStyle w:val="Hyperlink"/>
            <w:noProof/>
          </w:rPr>
          <w:t>2.2.2</w:t>
        </w:r>
        <w:r w:rsidR="00B96A17">
          <w:rPr>
            <w:rFonts w:eastAsiaTheme="minorEastAsia" w:cstheme="minorBidi"/>
            <w:i w:val="0"/>
            <w:iCs w:val="0"/>
            <w:noProof/>
            <w:sz w:val="22"/>
            <w:szCs w:val="22"/>
            <w:lang w:eastAsia="en-GB" w:bidi="ar-SA"/>
          </w:rPr>
          <w:tab/>
        </w:r>
        <w:r w:rsidR="00B96A17" w:rsidRPr="00CD046F">
          <w:rPr>
            <w:rStyle w:val="Hyperlink"/>
            <w:noProof/>
          </w:rPr>
          <w:t>Food permitted to be treated</w:t>
        </w:r>
        <w:r w:rsidR="00B96A17">
          <w:rPr>
            <w:noProof/>
            <w:webHidden/>
          </w:rPr>
          <w:tab/>
        </w:r>
        <w:r w:rsidR="00B96A17">
          <w:rPr>
            <w:noProof/>
            <w:webHidden/>
          </w:rPr>
          <w:fldChar w:fldCharType="begin"/>
        </w:r>
        <w:r w:rsidR="00B96A17">
          <w:rPr>
            <w:noProof/>
            <w:webHidden/>
          </w:rPr>
          <w:instrText xml:space="preserve"> PAGEREF _Toc94800138 \h </w:instrText>
        </w:r>
        <w:r w:rsidR="00B96A17">
          <w:rPr>
            <w:noProof/>
            <w:webHidden/>
          </w:rPr>
        </w:r>
        <w:r w:rsidR="00B96A17">
          <w:rPr>
            <w:noProof/>
            <w:webHidden/>
          </w:rPr>
          <w:fldChar w:fldCharType="separate"/>
        </w:r>
        <w:r w:rsidR="001366B4">
          <w:rPr>
            <w:noProof/>
            <w:webHidden/>
          </w:rPr>
          <w:t>9</w:t>
        </w:r>
        <w:r w:rsidR="00B96A17">
          <w:rPr>
            <w:noProof/>
            <w:webHidden/>
          </w:rPr>
          <w:fldChar w:fldCharType="end"/>
        </w:r>
      </w:hyperlink>
    </w:p>
    <w:p w14:paraId="2AF6E308" w14:textId="5F8F4A26"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39" w:history="1">
        <w:r w:rsidR="00B96A17" w:rsidRPr="00CD046F">
          <w:rPr>
            <w:rStyle w:val="Hyperlink"/>
            <w:noProof/>
          </w:rPr>
          <w:t>2.2.3</w:t>
        </w:r>
        <w:r w:rsidR="00B96A17">
          <w:rPr>
            <w:rFonts w:eastAsiaTheme="minorEastAsia" w:cstheme="minorBidi"/>
            <w:i w:val="0"/>
            <w:iCs w:val="0"/>
            <w:noProof/>
            <w:sz w:val="22"/>
            <w:szCs w:val="22"/>
            <w:lang w:eastAsia="en-GB" w:bidi="ar-SA"/>
          </w:rPr>
          <w:tab/>
        </w:r>
        <w:r w:rsidR="00B96A17" w:rsidRPr="00CD046F">
          <w:rPr>
            <w:rStyle w:val="Hyperlink"/>
            <w:noProof/>
          </w:rPr>
          <w:t>Maximum permitted level (MPL)</w:t>
        </w:r>
        <w:r w:rsidR="00B96A17">
          <w:rPr>
            <w:noProof/>
            <w:webHidden/>
          </w:rPr>
          <w:tab/>
        </w:r>
        <w:r w:rsidR="00B96A17">
          <w:rPr>
            <w:noProof/>
            <w:webHidden/>
          </w:rPr>
          <w:fldChar w:fldCharType="begin"/>
        </w:r>
        <w:r w:rsidR="00B96A17">
          <w:rPr>
            <w:noProof/>
            <w:webHidden/>
          </w:rPr>
          <w:instrText xml:space="preserve"> PAGEREF _Toc94800139 \h </w:instrText>
        </w:r>
        <w:r w:rsidR="00B96A17">
          <w:rPr>
            <w:noProof/>
            <w:webHidden/>
          </w:rPr>
        </w:r>
        <w:r w:rsidR="00B96A17">
          <w:rPr>
            <w:noProof/>
            <w:webHidden/>
          </w:rPr>
          <w:fldChar w:fldCharType="separate"/>
        </w:r>
        <w:r w:rsidR="001366B4">
          <w:rPr>
            <w:noProof/>
            <w:webHidden/>
          </w:rPr>
          <w:t>9</w:t>
        </w:r>
        <w:r w:rsidR="00B96A17">
          <w:rPr>
            <w:noProof/>
            <w:webHidden/>
          </w:rPr>
          <w:fldChar w:fldCharType="end"/>
        </w:r>
      </w:hyperlink>
    </w:p>
    <w:p w14:paraId="5C70774E" w14:textId="3D7E0CE0"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0" w:history="1">
        <w:r w:rsidR="00B96A17" w:rsidRPr="00CD046F">
          <w:rPr>
            <w:rStyle w:val="Hyperlink"/>
            <w:noProof/>
          </w:rPr>
          <w:t>2.2.4</w:t>
        </w:r>
        <w:r w:rsidR="00B96A17">
          <w:rPr>
            <w:rFonts w:eastAsiaTheme="minorEastAsia" w:cstheme="minorBidi"/>
            <w:i w:val="0"/>
            <w:iCs w:val="0"/>
            <w:noProof/>
            <w:sz w:val="22"/>
            <w:szCs w:val="22"/>
            <w:lang w:eastAsia="en-GB" w:bidi="ar-SA"/>
          </w:rPr>
          <w:tab/>
        </w:r>
        <w:r w:rsidR="00B96A17" w:rsidRPr="00CD046F">
          <w:rPr>
            <w:rStyle w:val="Hyperlink"/>
            <w:noProof/>
          </w:rPr>
          <w:t>Permitted concentration of CPC in wash solution and rinse step</w:t>
        </w:r>
        <w:r w:rsidR="00B96A17">
          <w:rPr>
            <w:noProof/>
            <w:webHidden/>
          </w:rPr>
          <w:tab/>
        </w:r>
        <w:r w:rsidR="00B96A17">
          <w:rPr>
            <w:noProof/>
            <w:webHidden/>
          </w:rPr>
          <w:fldChar w:fldCharType="begin"/>
        </w:r>
        <w:r w:rsidR="00B96A17">
          <w:rPr>
            <w:noProof/>
            <w:webHidden/>
          </w:rPr>
          <w:instrText xml:space="preserve"> PAGEREF _Toc94800140 \h </w:instrText>
        </w:r>
        <w:r w:rsidR="00B96A17">
          <w:rPr>
            <w:noProof/>
            <w:webHidden/>
          </w:rPr>
        </w:r>
        <w:r w:rsidR="00B96A17">
          <w:rPr>
            <w:noProof/>
            <w:webHidden/>
          </w:rPr>
          <w:fldChar w:fldCharType="separate"/>
        </w:r>
        <w:r w:rsidR="001366B4">
          <w:rPr>
            <w:noProof/>
            <w:webHidden/>
          </w:rPr>
          <w:t>9</w:t>
        </w:r>
        <w:r w:rsidR="00B96A17">
          <w:rPr>
            <w:noProof/>
            <w:webHidden/>
          </w:rPr>
          <w:fldChar w:fldCharType="end"/>
        </w:r>
      </w:hyperlink>
    </w:p>
    <w:p w14:paraId="619DDD86" w14:textId="27DE4F38"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1" w:history="1">
        <w:r w:rsidR="00B96A17" w:rsidRPr="00CD046F">
          <w:rPr>
            <w:rStyle w:val="Hyperlink"/>
            <w:noProof/>
          </w:rPr>
          <w:t>2.2.5</w:t>
        </w:r>
        <w:r w:rsidR="00B96A17">
          <w:rPr>
            <w:rFonts w:eastAsiaTheme="minorEastAsia" w:cstheme="minorBidi"/>
            <w:i w:val="0"/>
            <w:iCs w:val="0"/>
            <w:noProof/>
            <w:sz w:val="22"/>
            <w:szCs w:val="22"/>
            <w:lang w:eastAsia="en-GB" w:bidi="ar-SA"/>
          </w:rPr>
          <w:tab/>
        </w:r>
        <w:r w:rsidR="00B96A17" w:rsidRPr="00CD046F">
          <w:rPr>
            <w:rStyle w:val="Hyperlink"/>
            <w:noProof/>
          </w:rPr>
          <w:t>Other considerations</w:t>
        </w:r>
        <w:r w:rsidR="00B96A17">
          <w:rPr>
            <w:noProof/>
            <w:webHidden/>
          </w:rPr>
          <w:tab/>
        </w:r>
        <w:r w:rsidR="00B96A17">
          <w:rPr>
            <w:noProof/>
            <w:webHidden/>
          </w:rPr>
          <w:fldChar w:fldCharType="begin"/>
        </w:r>
        <w:r w:rsidR="00B96A17">
          <w:rPr>
            <w:noProof/>
            <w:webHidden/>
          </w:rPr>
          <w:instrText xml:space="preserve"> PAGEREF _Toc94800141 \h </w:instrText>
        </w:r>
        <w:r w:rsidR="00B96A17">
          <w:rPr>
            <w:noProof/>
            <w:webHidden/>
          </w:rPr>
        </w:r>
        <w:r w:rsidR="00B96A17">
          <w:rPr>
            <w:noProof/>
            <w:webHidden/>
          </w:rPr>
          <w:fldChar w:fldCharType="separate"/>
        </w:r>
        <w:r w:rsidR="001366B4">
          <w:rPr>
            <w:noProof/>
            <w:webHidden/>
          </w:rPr>
          <w:t>10</w:t>
        </w:r>
        <w:r w:rsidR="00B96A17">
          <w:rPr>
            <w:noProof/>
            <w:webHidden/>
          </w:rPr>
          <w:fldChar w:fldCharType="end"/>
        </w:r>
      </w:hyperlink>
    </w:p>
    <w:p w14:paraId="004856FE" w14:textId="7283476F"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2" w:history="1">
        <w:r w:rsidR="00B96A17" w:rsidRPr="00CD046F">
          <w:rPr>
            <w:rStyle w:val="Hyperlink"/>
            <w:noProof/>
          </w:rPr>
          <w:t>2.2.6</w:t>
        </w:r>
        <w:r w:rsidR="00B96A17">
          <w:rPr>
            <w:rFonts w:eastAsiaTheme="minorEastAsia" w:cstheme="minorBidi"/>
            <w:i w:val="0"/>
            <w:iCs w:val="0"/>
            <w:noProof/>
            <w:sz w:val="22"/>
            <w:szCs w:val="22"/>
            <w:lang w:eastAsia="en-GB" w:bidi="ar-SA"/>
          </w:rPr>
          <w:tab/>
        </w:r>
        <w:r w:rsidR="00B96A17" w:rsidRPr="00CD046F">
          <w:rPr>
            <w:rStyle w:val="Hyperlink"/>
            <w:noProof/>
          </w:rPr>
          <w:t>Propylene glycol</w:t>
        </w:r>
        <w:r w:rsidR="00B96A17">
          <w:rPr>
            <w:noProof/>
            <w:webHidden/>
          </w:rPr>
          <w:tab/>
        </w:r>
        <w:r w:rsidR="00B96A17">
          <w:rPr>
            <w:noProof/>
            <w:webHidden/>
          </w:rPr>
          <w:fldChar w:fldCharType="begin"/>
        </w:r>
        <w:r w:rsidR="00B96A17">
          <w:rPr>
            <w:noProof/>
            <w:webHidden/>
          </w:rPr>
          <w:instrText xml:space="preserve"> PAGEREF _Toc94800142 \h </w:instrText>
        </w:r>
        <w:r w:rsidR="00B96A17">
          <w:rPr>
            <w:noProof/>
            <w:webHidden/>
          </w:rPr>
        </w:r>
        <w:r w:rsidR="00B96A17">
          <w:rPr>
            <w:noProof/>
            <w:webHidden/>
          </w:rPr>
          <w:fldChar w:fldCharType="separate"/>
        </w:r>
        <w:r w:rsidR="001366B4">
          <w:rPr>
            <w:noProof/>
            <w:webHidden/>
          </w:rPr>
          <w:t>10</w:t>
        </w:r>
        <w:r w:rsidR="00B96A17">
          <w:rPr>
            <w:noProof/>
            <w:webHidden/>
          </w:rPr>
          <w:fldChar w:fldCharType="end"/>
        </w:r>
      </w:hyperlink>
    </w:p>
    <w:p w14:paraId="723E04AB" w14:textId="23FF38CD"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3" w:history="1">
        <w:r w:rsidR="00B96A17" w:rsidRPr="00CD046F">
          <w:rPr>
            <w:rStyle w:val="Hyperlink"/>
            <w:noProof/>
          </w:rPr>
          <w:t>2.2.7</w:t>
        </w:r>
        <w:r w:rsidR="00B96A17">
          <w:rPr>
            <w:rFonts w:eastAsiaTheme="minorEastAsia" w:cstheme="minorBidi"/>
            <w:i w:val="0"/>
            <w:iCs w:val="0"/>
            <w:noProof/>
            <w:sz w:val="22"/>
            <w:szCs w:val="22"/>
            <w:lang w:eastAsia="en-GB" w:bidi="ar-SA"/>
          </w:rPr>
          <w:tab/>
        </w:r>
        <w:r w:rsidR="00B96A17" w:rsidRPr="00CD046F">
          <w:rPr>
            <w:rStyle w:val="Hyperlink"/>
            <w:noProof/>
          </w:rPr>
          <w:t>Labelling</w:t>
        </w:r>
        <w:r w:rsidR="00B96A17">
          <w:rPr>
            <w:noProof/>
            <w:webHidden/>
          </w:rPr>
          <w:tab/>
        </w:r>
        <w:r w:rsidR="00B96A17">
          <w:rPr>
            <w:noProof/>
            <w:webHidden/>
          </w:rPr>
          <w:fldChar w:fldCharType="begin"/>
        </w:r>
        <w:r w:rsidR="00B96A17">
          <w:rPr>
            <w:noProof/>
            <w:webHidden/>
          </w:rPr>
          <w:instrText xml:space="preserve"> PAGEREF _Toc94800143 \h </w:instrText>
        </w:r>
        <w:r w:rsidR="00B96A17">
          <w:rPr>
            <w:noProof/>
            <w:webHidden/>
          </w:rPr>
        </w:r>
        <w:r w:rsidR="00B96A17">
          <w:rPr>
            <w:noProof/>
            <w:webHidden/>
          </w:rPr>
          <w:fldChar w:fldCharType="separate"/>
        </w:r>
        <w:r w:rsidR="001366B4">
          <w:rPr>
            <w:noProof/>
            <w:webHidden/>
          </w:rPr>
          <w:t>11</w:t>
        </w:r>
        <w:r w:rsidR="00B96A17">
          <w:rPr>
            <w:noProof/>
            <w:webHidden/>
          </w:rPr>
          <w:fldChar w:fldCharType="end"/>
        </w:r>
      </w:hyperlink>
    </w:p>
    <w:p w14:paraId="50460F61" w14:textId="65FE1724"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4" w:history="1">
        <w:r w:rsidR="00B96A17" w:rsidRPr="00CD046F">
          <w:rPr>
            <w:rStyle w:val="Hyperlink"/>
            <w:noProof/>
          </w:rPr>
          <w:t>2.2.8</w:t>
        </w:r>
        <w:r w:rsidR="00B96A17">
          <w:rPr>
            <w:rFonts w:eastAsiaTheme="minorEastAsia" w:cstheme="minorBidi"/>
            <w:i w:val="0"/>
            <w:iCs w:val="0"/>
            <w:noProof/>
            <w:sz w:val="22"/>
            <w:szCs w:val="22"/>
            <w:lang w:eastAsia="en-GB" w:bidi="ar-SA"/>
          </w:rPr>
          <w:tab/>
        </w:r>
        <w:r w:rsidR="00B96A17" w:rsidRPr="00CD046F">
          <w:rPr>
            <w:rStyle w:val="Hyperlink"/>
            <w:noProof/>
          </w:rPr>
          <w:t>Conclusion</w:t>
        </w:r>
        <w:r w:rsidR="00B96A17">
          <w:rPr>
            <w:noProof/>
            <w:webHidden/>
          </w:rPr>
          <w:tab/>
        </w:r>
        <w:r w:rsidR="00B96A17">
          <w:rPr>
            <w:noProof/>
            <w:webHidden/>
          </w:rPr>
          <w:fldChar w:fldCharType="begin"/>
        </w:r>
        <w:r w:rsidR="00B96A17">
          <w:rPr>
            <w:noProof/>
            <w:webHidden/>
          </w:rPr>
          <w:instrText xml:space="preserve"> PAGEREF _Toc94800144 \h </w:instrText>
        </w:r>
        <w:r w:rsidR="00B96A17">
          <w:rPr>
            <w:noProof/>
            <w:webHidden/>
          </w:rPr>
        </w:r>
        <w:r w:rsidR="00B96A17">
          <w:rPr>
            <w:noProof/>
            <w:webHidden/>
          </w:rPr>
          <w:fldChar w:fldCharType="separate"/>
        </w:r>
        <w:r w:rsidR="001366B4">
          <w:rPr>
            <w:noProof/>
            <w:webHidden/>
          </w:rPr>
          <w:t>11</w:t>
        </w:r>
        <w:r w:rsidR="00B96A17">
          <w:rPr>
            <w:noProof/>
            <w:webHidden/>
          </w:rPr>
          <w:fldChar w:fldCharType="end"/>
        </w:r>
      </w:hyperlink>
    </w:p>
    <w:p w14:paraId="2AC8DCD3" w14:textId="7FA142F0"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45" w:history="1">
        <w:r w:rsidR="00B96A17" w:rsidRPr="00CD046F">
          <w:rPr>
            <w:rStyle w:val="Hyperlink"/>
            <w:noProof/>
          </w:rPr>
          <w:t>2.3</w:t>
        </w:r>
        <w:r w:rsidR="00B96A17">
          <w:rPr>
            <w:rFonts w:eastAsiaTheme="minorEastAsia" w:cstheme="minorBidi"/>
            <w:smallCaps w:val="0"/>
            <w:noProof/>
            <w:sz w:val="22"/>
            <w:szCs w:val="22"/>
            <w:lang w:eastAsia="en-GB" w:bidi="ar-SA"/>
          </w:rPr>
          <w:tab/>
        </w:r>
        <w:r w:rsidR="00B96A17" w:rsidRPr="00CD046F">
          <w:rPr>
            <w:rStyle w:val="Hyperlink"/>
            <w:noProof/>
          </w:rPr>
          <w:t>Risk communication</w:t>
        </w:r>
        <w:r w:rsidR="00B96A17">
          <w:rPr>
            <w:noProof/>
            <w:webHidden/>
          </w:rPr>
          <w:tab/>
        </w:r>
        <w:r w:rsidR="00B96A17">
          <w:rPr>
            <w:noProof/>
            <w:webHidden/>
          </w:rPr>
          <w:fldChar w:fldCharType="begin"/>
        </w:r>
        <w:r w:rsidR="00B96A17">
          <w:rPr>
            <w:noProof/>
            <w:webHidden/>
          </w:rPr>
          <w:instrText xml:space="preserve"> PAGEREF _Toc94800145 \h </w:instrText>
        </w:r>
        <w:r w:rsidR="00B96A17">
          <w:rPr>
            <w:noProof/>
            <w:webHidden/>
          </w:rPr>
        </w:r>
        <w:r w:rsidR="00B96A17">
          <w:rPr>
            <w:noProof/>
            <w:webHidden/>
          </w:rPr>
          <w:fldChar w:fldCharType="separate"/>
        </w:r>
        <w:r w:rsidR="001366B4">
          <w:rPr>
            <w:noProof/>
            <w:webHidden/>
          </w:rPr>
          <w:t>11</w:t>
        </w:r>
        <w:r w:rsidR="00B96A17">
          <w:rPr>
            <w:noProof/>
            <w:webHidden/>
          </w:rPr>
          <w:fldChar w:fldCharType="end"/>
        </w:r>
      </w:hyperlink>
    </w:p>
    <w:p w14:paraId="76CC434C" w14:textId="414E0201"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6" w:history="1">
        <w:r w:rsidR="00B96A17" w:rsidRPr="00CD046F">
          <w:rPr>
            <w:rStyle w:val="Hyperlink"/>
            <w:noProof/>
          </w:rPr>
          <w:t>2.3.1</w:t>
        </w:r>
        <w:r w:rsidR="00B96A17">
          <w:rPr>
            <w:rFonts w:eastAsiaTheme="minorEastAsia" w:cstheme="minorBidi"/>
            <w:i w:val="0"/>
            <w:iCs w:val="0"/>
            <w:noProof/>
            <w:sz w:val="22"/>
            <w:szCs w:val="22"/>
            <w:lang w:eastAsia="en-GB" w:bidi="ar-SA"/>
          </w:rPr>
          <w:tab/>
        </w:r>
        <w:r w:rsidR="00B96A17" w:rsidRPr="00CD046F">
          <w:rPr>
            <w:rStyle w:val="Hyperlink"/>
            <w:noProof/>
          </w:rPr>
          <w:t>Consultation</w:t>
        </w:r>
        <w:r w:rsidR="00B96A17">
          <w:rPr>
            <w:noProof/>
            <w:webHidden/>
          </w:rPr>
          <w:tab/>
        </w:r>
        <w:r w:rsidR="00B96A17">
          <w:rPr>
            <w:noProof/>
            <w:webHidden/>
          </w:rPr>
          <w:fldChar w:fldCharType="begin"/>
        </w:r>
        <w:r w:rsidR="00B96A17">
          <w:rPr>
            <w:noProof/>
            <w:webHidden/>
          </w:rPr>
          <w:instrText xml:space="preserve"> PAGEREF _Toc94800146 \h </w:instrText>
        </w:r>
        <w:r w:rsidR="00B96A17">
          <w:rPr>
            <w:noProof/>
            <w:webHidden/>
          </w:rPr>
        </w:r>
        <w:r w:rsidR="00B96A17">
          <w:rPr>
            <w:noProof/>
            <w:webHidden/>
          </w:rPr>
          <w:fldChar w:fldCharType="separate"/>
        </w:r>
        <w:r w:rsidR="001366B4">
          <w:rPr>
            <w:noProof/>
            <w:webHidden/>
          </w:rPr>
          <w:t>11</w:t>
        </w:r>
        <w:r w:rsidR="00B96A17">
          <w:rPr>
            <w:noProof/>
            <w:webHidden/>
          </w:rPr>
          <w:fldChar w:fldCharType="end"/>
        </w:r>
      </w:hyperlink>
    </w:p>
    <w:p w14:paraId="153EA0BD" w14:textId="38C94B97"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7" w:history="1">
        <w:r w:rsidR="00B96A17" w:rsidRPr="00CD046F">
          <w:rPr>
            <w:rStyle w:val="Hyperlink"/>
            <w:noProof/>
          </w:rPr>
          <w:t>2.3.2</w:t>
        </w:r>
        <w:r w:rsidR="00B96A17">
          <w:rPr>
            <w:rFonts w:eastAsiaTheme="minorEastAsia" w:cstheme="minorBidi"/>
            <w:i w:val="0"/>
            <w:iCs w:val="0"/>
            <w:noProof/>
            <w:sz w:val="22"/>
            <w:szCs w:val="22"/>
            <w:lang w:eastAsia="en-GB" w:bidi="ar-SA"/>
          </w:rPr>
          <w:tab/>
        </w:r>
        <w:r w:rsidR="00B96A17" w:rsidRPr="00CD046F">
          <w:rPr>
            <w:rStyle w:val="Hyperlink"/>
            <w:noProof/>
          </w:rPr>
          <w:t>World Trade Organization (WTO)</w:t>
        </w:r>
        <w:r w:rsidR="00B96A17">
          <w:rPr>
            <w:noProof/>
            <w:webHidden/>
          </w:rPr>
          <w:tab/>
        </w:r>
        <w:r w:rsidR="00B96A17">
          <w:rPr>
            <w:noProof/>
            <w:webHidden/>
          </w:rPr>
          <w:fldChar w:fldCharType="begin"/>
        </w:r>
        <w:r w:rsidR="00B96A17">
          <w:rPr>
            <w:noProof/>
            <w:webHidden/>
          </w:rPr>
          <w:instrText xml:space="preserve"> PAGEREF _Toc94800147 \h </w:instrText>
        </w:r>
        <w:r w:rsidR="00B96A17">
          <w:rPr>
            <w:noProof/>
            <w:webHidden/>
          </w:rPr>
        </w:r>
        <w:r w:rsidR="00B96A17">
          <w:rPr>
            <w:noProof/>
            <w:webHidden/>
          </w:rPr>
          <w:fldChar w:fldCharType="separate"/>
        </w:r>
        <w:r w:rsidR="001366B4">
          <w:rPr>
            <w:noProof/>
            <w:webHidden/>
          </w:rPr>
          <w:t>12</w:t>
        </w:r>
        <w:r w:rsidR="00B96A17">
          <w:rPr>
            <w:noProof/>
            <w:webHidden/>
          </w:rPr>
          <w:fldChar w:fldCharType="end"/>
        </w:r>
      </w:hyperlink>
    </w:p>
    <w:p w14:paraId="1EA93C51" w14:textId="5FCBB347" w:rsidR="00B96A17" w:rsidRDefault="008728D3">
      <w:pPr>
        <w:pStyle w:val="TOC2"/>
        <w:tabs>
          <w:tab w:val="left" w:pos="880"/>
          <w:tab w:val="right" w:leader="dot" w:pos="9060"/>
        </w:tabs>
        <w:rPr>
          <w:rFonts w:eastAsiaTheme="minorEastAsia" w:cstheme="minorBidi"/>
          <w:smallCaps w:val="0"/>
          <w:noProof/>
          <w:sz w:val="22"/>
          <w:szCs w:val="22"/>
          <w:lang w:eastAsia="en-GB" w:bidi="ar-SA"/>
        </w:rPr>
      </w:pPr>
      <w:hyperlink w:anchor="_Toc94800148" w:history="1">
        <w:r w:rsidR="00B96A17" w:rsidRPr="00CD046F">
          <w:rPr>
            <w:rStyle w:val="Hyperlink"/>
            <w:noProof/>
          </w:rPr>
          <w:t>2.4</w:t>
        </w:r>
        <w:r w:rsidR="00B96A17">
          <w:rPr>
            <w:rFonts w:eastAsiaTheme="minorEastAsia" w:cstheme="minorBidi"/>
            <w:smallCaps w:val="0"/>
            <w:noProof/>
            <w:sz w:val="22"/>
            <w:szCs w:val="22"/>
            <w:lang w:eastAsia="en-GB" w:bidi="ar-SA"/>
          </w:rPr>
          <w:tab/>
        </w:r>
        <w:r w:rsidR="00B96A17" w:rsidRPr="00CD046F">
          <w:rPr>
            <w:rStyle w:val="Hyperlink"/>
            <w:noProof/>
          </w:rPr>
          <w:t>FSANZ Act assessment requirements</w:t>
        </w:r>
        <w:r w:rsidR="00B96A17">
          <w:rPr>
            <w:noProof/>
            <w:webHidden/>
          </w:rPr>
          <w:tab/>
        </w:r>
        <w:r w:rsidR="00B96A17">
          <w:rPr>
            <w:noProof/>
            <w:webHidden/>
          </w:rPr>
          <w:fldChar w:fldCharType="begin"/>
        </w:r>
        <w:r w:rsidR="00B96A17">
          <w:rPr>
            <w:noProof/>
            <w:webHidden/>
          </w:rPr>
          <w:instrText xml:space="preserve"> PAGEREF _Toc94800148 \h </w:instrText>
        </w:r>
        <w:r w:rsidR="00B96A17">
          <w:rPr>
            <w:noProof/>
            <w:webHidden/>
          </w:rPr>
        </w:r>
        <w:r w:rsidR="00B96A17">
          <w:rPr>
            <w:noProof/>
            <w:webHidden/>
          </w:rPr>
          <w:fldChar w:fldCharType="separate"/>
        </w:r>
        <w:r w:rsidR="001366B4">
          <w:rPr>
            <w:noProof/>
            <w:webHidden/>
          </w:rPr>
          <w:t>12</w:t>
        </w:r>
        <w:r w:rsidR="00B96A17">
          <w:rPr>
            <w:noProof/>
            <w:webHidden/>
          </w:rPr>
          <w:fldChar w:fldCharType="end"/>
        </w:r>
      </w:hyperlink>
    </w:p>
    <w:p w14:paraId="5D7BB81B" w14:textId="195189FF"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49" w:history="1">
        <w:r w:rsidR="00B96A17" w:rsidRPr="00CD046F">
          <w:rPr>
            <w:rStyle w:val="Hyperlink"/>
            <w:noProof/>
          </w:rPr>
          <w:t>2.4.1</w:t>
        </w:r>
        <w:r w:rsidR="00B96A17">
          <w:rPr>
            <w:rFonts w:eastAsiaTheme="minorEastAsia" w:cstheme="minorBidi"/>
            <w:i w:val="0"/>
            <w:iCs w:val="0"/>
            <w:noProof/>
            <w:sz w:val="22"/>
            <w:szCs w:val="22"/>
            <w:lang w:eastAsia="en-GB" w:bidi="ar-SA"/>
          </w:rPr>
          <w:tab/>
        </w:r>
        <w:r w:rsidR="00B96A17" w:rsidRPr="00CD046F">
          <w:rPr>
            <w:rStyle w:val="Hyperlink"/>
            <w:noProof/>
          </w:rPr>
          <w:t>Section 29</w:t>
        </w:r>
        <w:r w:rsidR="00B96A17">
          <w:rPr>
            <w:noProof/>
            <w:webHidden/>
          </w:rPr>
          <w:tab/>
        </w:r>
        <w:r w:rsidR="00B96A17">
          <w:rPr>
            <w:noProof/>
            <w:webHidden/>
          </w:rPr>
          <w:fldChar w:fldCharType="begin"/>
        </w:r>
        <w:r w:rsidR="00B96A17">
          <w:rPr>
            <w:noProof/>
            <w:webHidden/>
          </w:rPr>
          <w:instrText xml:space="preserve"> PAGEREF _Toc94800149 \h </w:instrText>
        </w:r>
        <w:r w:rsidR="00B96A17">
          <w:rPr>
            <w:noProof/>
            <w:webHidden/>
          </w:rPr>
        </w:r>
        <w:r w:rsidR="00B96A17">
          <w:rPr>
            <w:noProof/>
            <w:webHidden/>
          </w:rPr>
          <w:fldChar w:fldCharType="separate"/>
        </w:r>
        <w:r w:rsidR="001366B4">
          <w:rPr>
            <w:noProof/>
            <w:webHidden/>
          </w:rPr>
          <w:t>12</w:t>
        </w:r>
        <w:r w:rsidR="00B96A17">
          <w:rPr>
            <w:noProof/>
            <w:webHidden/>
          </w:rPr>
          <w:fldChar w:fldCharType="end"/>
        </w:r>
      </w:hyperlink>
    </w:p>
    <w:p w14:paraId="6E52C4FD" w14:textId="573908E7"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50" w:history="1">
        <w:r w:rsidR="00B96A17" w:rsidRPr="00CD046F">
          <w:rPr>
            <w:rStyle w:val="Hyperlink"/>
            <w:noProof/>
          </w:rPr>
          <w:t>2.4.2</w:t>
        </w:r>
        <w:r w:rsidR="00B96A17">
          <w:rPr>
            <w:rFonts w:eastAsiaTheme="minorEastAsia" w:cstheme="minorBidi"/>
            <w:i w:val="0"/>
            <w:iCs w:val="0"/>
            <w:noProof/>
            <w:sz w:val="22"/>
            <w:szCs w:val="22"/>
            <w:lang w:eastAsia="en-GB" w:bidi="ar-SA"/>
          </w:rPr>
          <w:tab/>
        </w:r>
        <w:r w:rsidR="00B96A17" w:rsidRPr="00CD046F">
          <w:rPr>
            <w:rStyle w:val="Hyperlink"/>
            <w:noProof/>
          </w:rPr>
          <w:t>Subsection 18(1)</w:t>
        </w:r>
        <w:r w:rsidR="00B96A17">
          <w:rPr>
            <w:noProof/>
            <w:webHidden/>
          </w:rPr>
          <w:tab/>
        </w:r>
        <w:r w:rsidR="00B96A17">
          <w:rPr>
            <w:noProof/>
            <w:webHidden/>
          </w:rPr>
          <w:fldChar w:fldCharType="begin"/>
        </w:r>
        <w:r w:rsidR="00B96A17">
          <w:rPr>
            <w:noProof/>
            <w:webHidden/>
          </w:rPr>
          <w:instrText xml:space="preserve"> PAGEREF _Toc94800150 \h </w:instrText>
        </w:r>
        <w:r w:rsidR="00B96A17">
          <w:rPr>
            <w:noProof/>
            <w:webHidden/>
          </w:rPr>
        </w:r>
        <w:r w:rsidR="00B96A17">
          <w:rPr>
            <w:noProof/>
            <w:webHidden/>
          </w:rPr>
          <w:fldChar w:fldCharType="separate"/>
        </w:r>
        <w:r w:rsidR="001366B4">
          <w:rPr>
            <w:noProof/>
            <w:webHidden/>
          </w:rPr>
          <w:t>13</w:t>
        </w:r>
        <w:r w:rsidR="00B96A17">
          <w:rPr>
            <w:noProof/>
            <w:webHidden/>
          </w:rPr>
          <w:fldChar w:fldCharType="end"/>
        </w:r>
      </w:hyperlink>
    </w:p>
    <w:p w14:paraId="785C0E4D" w14:textId="16767F01" w:rsidR="00B96A17" w:rsidRDefault="008728D3">
      <w:pPr>
        <w:pStyle w:val="TOC3"/>
        <w:tabs>
          <w:tab w:val="left" w:pos="1100"/>
          <w:tab w:val="right" w:leader="dot" w:pos="9060"/>
        </w:tabs>
        <w:rPr>
          <w:rFonts w:eastAsiaTheme="minorEastAsia" w:cstheme="minorBidi"/>
          <w:i w:val="0"/>
          <w:iCs w:val="0"/>
          <w:noProof/>
          <w:sz w:val="22"/>
          <w:szCs w:val="22"/>
          <w:lang w:eastAsia="en-GB" w:bidi="ar-SA"/>
        </w:rPr>
      </w:pPr>
      <w:hyperlink w:anchor="_Toc94800151" w:history="1">
        <w:r w:rsidR="00B96A17" w:rsidRPr="00CD046F">
          <w:rPr>
            <w:rStyle w:val="Hyperlink"/>
            <w:noProof/>
          </w:rPr>
          <w:t>2.4.3</w:t>
        </w:r>
        <w:r w:rsidR="00B96A17">
          <w:rPr>
            <w:rFonts w:eastAsiaTheme="minorEastAsia" w:cstheme="minorBidi"/>
            <w:i w:val="0"/>
            <w:iCs w:val="0"/>
            <w:noProof/>
            <w:sz w:val="22"/>
            <w:szCs w:val="22"/>
            <w:lang w:eastAsia="en-GB" w:bidi="ar-SA"/>
          </w:rPr>
          <w:tab/>
        </w:r>
        <w:r w:rsidR="00B96A17" w:rsidRPr="00CD046F">
          <w:rPr>
            <w:rStyle w:val="Hyperlink"/>
            <w:noProof/>
          </w:rPr>
          <w:t>Subsection 18(2) considerations</w:t>
        </w:r>
        <w:r w:rsidR="00B96A17">
          <w:rPr>
            <w:noProof/>
            <w:webHidden/>
          </w:rPr>
          <w:tab/>
        </w:r>
        <w:r w:rsidR="00B96A17">
          <w:rPr>
            <w:noProof/>
            <w:webHidden/>
          </w:rPr>
          <w:fldChar w:fldCharType="begin"/>
        </w:r>
        <w:r w:rsidR="00B96A17">
          <w:rPr>
            <w:noProof/>
            <w:webHidden/>
          </w:rPr>
          <w:instrText xml:space="preserve"> PAGEREF _Toc94800151 \h </w:instrText>
        </w:r>
        <w:r w:rsidR="00B96A17">
          <w:rPr>
            <w:noProof/>
            <w:webHidden/>
          </w:rPr>
        </w:r>
        <w:r w:rsidR="00B96A17">
          <w:rPr>
            <w:noProof/>
            <w:webHidden/>
          </w:rPr>
          <w:fldChar w:fldCharType="separate"/>
        </w:r>
        <w:r w:rsidR="001366B4">
          <w:rPr>
            <w:noProof/>
            <w:webHidden/>
          </w:rPr>
          <w:t>14</w:t>
        </w:r>
        <w:r w:rsidR="00B96A17">
          <w:rPr>
            <w:noProof/>
            <w:webHidden/>
          </w:rPr>
          <w:fldChar w:fldCharType="end"/>
        </w:r>
      </w:hyperlink>
    </w:p>
    <w:p w14:paraId="7E9D8B7E" w14:textId="381F672A" w:rsidR="00B96A17" w:rsidRDefault="008728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800152" w:history="1">
        <w:r w:rsidR="00B96A17" w:rsidRPr="00CD046F">
          <w:rPr>
            <w:rStyle w:val="Hyperlink"/>
            <w:noProof/>
          </w:rPr>
          <w:t>3</w:t>
        </w:r>
        <w:r w:rsidR="00B96A17">
          <w:rPr>
            <w:rFonts w:eastAsiaTheme="minorEastAsia" w:cstheme="minorBidi"/>
            <w:b w:val="0"/>
            <w:bCs w:val="0"/>
            <w:caps w:val="0"/>
            <w:noProof/>
            <w:sz w:val="22"/>
            <w:szCs w:val="22"/>
            <w:lang w:eastAsia="en-GB" w:bidi="ar-SA"/>
          </w:rPr>
          <w:tab/>
        </w:r>
        <w:r w:rsidR="00B96A17" w:rsidRPr="00CD046F">
          <w:rPr>
            <w:rStyle w:val="Hyperlink"/>
            <w:noProof/>
          </w:rPr>
          <w:t>Draft variation</w:t>
        </w:r>
        <w:r w:rsidR="00B96A17">
          <w:rPr>
            <w:noProof/>
            <w:webHidden/>
          </w:rPr>
          <w:tab/>
        </w:r>
        <w:r w:rsidR="00B96A17">
          <w:rPr>
            <w:noProof/>
            <w:webHidden/>
          </w:rPr>
          <w:fldChar w:fldCharType="begin"/>
        </w:r>
        <w:r w:rsidR="00B96A17">
          <w:rPr>
            <w:noProof/>
            <w:webHidden/>
          </w:rPr>
          <w:instrText xml:space="preserve"> PAGEREF _Toc94800152 \h </w:instrText>
        </w:r>
        <w:r w:rsidR="00B96A17">
          <w:rPr>
            <w:noProof/>
            <w:webHidden/>
          </w:rPr>
        </w:r>
        <w:r w:rsidR="00B96A17">
          <w:rPr>
            <w:noProof/>
            <w:webHidden/>
          </w:rPr>
          <w:fldChar w:fldCharType="separate"/>
        </w:r>
        <w:r w:rsidR="001366B4">
          <w:rPr>
            <w:noProof/>
            <w:webHidden/>
          </w:rPr>
          <w:t>15</w:t>
        </w:r>
        <w:r w:rsidR="00B96A17">
          <w:rPr>
            <w:noProof/>
            <w:webHidden/>
          </w:rPr>
          <w:fldChar w:fldCharType="end"/>
        </w:r>
      </w:hyperlink>
    </w:p>
    <w:p w14:paraId="7CFD53C9" w14:textId="60588AB6" w:rsidR="00B96A17" w:rsidRDefault="008728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800153" w:history="1">
        <w:r w:rsidR="00B96A17" w:rsidRPr="00CD046F">
          <w:rPr>
            <w:rStyle w:val="Hyperlink"/>
            <w:noProof/>
          </w:rPr>
          <w:t>4</w:t>
        </w:r>
        <w:r w:rsidR="00B96A17">
          <w:rPr>
            <w:rFonts w:eastAsiaTheme="minorEastAsia" w:cstheme="minorBidi"/>
            <w:b w:val="0"/>
            <w:bCs w:val="0"/>
            <w:caps w:val="0"/>
            <w:noProof/>
            <w:sz w:val="22"/>
            <w:szCs w:val="22"/>
            <w:lang w:eastAsia="en-GB" w:bidi="ar-SA"/>
          </w:rPr>
          <w:tab/>
        </w:r>
        <w:r w:rsidR="00B96A17" w:rsidRPr="00CD046F">
          <w:rPr>
            <w:rStyle w:val="Hyperlink"/>
            <w:noProof/>
          </w:rPr>
          <w:t>References</w:t>
        </w:r>
        <w:r w:rsidR="00B96A17">
          <w:rPr>
            <w:noProof/>
            <w:webHidden/>
          </w:rPr>
          <w:tab/>
        </w:r>
        <w:r w:rsidR="00B96A17">
          <w:rPr>
            <w:noProof/>
            <w:webHidden/>
          </w:rPr>
          <w:fldChar w:fldCharType="begin"/>
        </w:r>
        <w:r w:rsidR="00B96A17">
          <w:rPr>
            <w:noProof/>
            <w:webHidden/>
          </w:rPr>
          <w:instrText xml:space="preserve"> PAGEREF _Toc94800153 \h </w:instrText>
        </w:r>
        <w:r w:rsidR="00B96A17">
          <w:rPr>
            <w:noProof/>
            <w:webHidden/>
          </w:rPr>
        </w:r>
        <w:r w:rsidR="00B96A17">
          <w:rPr>
            <w:noProof/>
            <w:webHidden/>
          </w:rPr>
          <w:fldChar w:fldCharType="separate"/>
        </w:r>
        <w:r w:rsidR="001366B4">
          <w:rPr>
            <w:noProof/>
            <w:webHidden/>
          </w:rPr>
          <w:t>16</w:t>
        </w:r>
        <w:r w:rsidR="00B96A17">
          <w:rPr>
            <w:noProof/>
            <w:webHidden/>
          </w:rPr>
          <w:fldChar w:fldCharType="end"/>
        </w:r>
      </w:hyperlink>
    </w:p>
    <w:p w14:paraId="1D843F55" w14:textId="68437479" w:rsidR="00B96A17" w:rsidRDefault="008728D3">
      <w:pPr>
        <w:pStyle w:val="TOC2"/>
        <w:tabs>
          <w:tab w:val="right" w:leader="dot" w:pos="9060"/>
        </w:tabs>
        <w:rPr>
          <w:rFonts w:eastAsiaTheme="minorEastAsia" w:cstheme="minorBidi"/>
          <w:smallCaps w:val="0"/>
          <w:noProof/>
          <w:sz w:val="22"/>
          <w:szCs w:val="22"/>
          <w:lang w:eastAsia="en-GB" w:bidi="ar-SA"/>
        </w:rPr>
      </w:pPr>
      <w:hyperlink w:anchor="_Toc94800154" w:history="1">
        <w:r w:rsidR="00B96A17" w:rsidRPr="00CD046F">
          <w:rPr>
            <w:rStyle w:val="Hyperlink"/>
            <w:noProof/>
          </w:rPr>
          <w:t>Attachment A – Draft variation to the Australia New Zealand Food Standards Code</w:t>
        </w:r>
        <w:r w:rsidR="00B96A17">
          <w:rPr>
            <w:noProof/>
            <w:webHidden/>
          </w:rPr>
          <w:tab/>
        </w:r>
        <w:r w:rsidR="00B96A17">
          <w:rPr>
            <w:noProof/>
            <w:webHidden/>
          </w:rPr>
          <w:fldChar w:fldCharType="begin"/>
        </w:r>
        <w:r w:rsidR="00B96A17">
          <w:rPr>
            <w:noProof/>
            <w:webHidden/>
          </w:rPr>
          <w:instrText xml:space="preserve"> PAGEREF _Toc94800154 \h </w:instrText>
        </w:r>
        <w:r w:rsidR="00B96A17">
          <w:rPr>
            <w:noProof/>
            <w:webHidden/>
          </w:rPr>
        </w:r>
        <w:r w:rsidR="00B96A17">
          <w:rPr>
            <w:noProof/>
            <w:webHidden/>
          </w:rPr>
          <w:fldChar w:fldCharType="separate"/>
        </w:r>
        <w:r w:rsidR="001366B4">
          <w:rPr>
            <w:noProof/>
            <w:webHidden/>
          </w:rPr>
          <w:t>18</w:t>
        </w:r>
        <w:r w:rsidR="00B96A17">
          <w:rPr>
            <w:noProof/>
            <w:webHidden/>
          </w:rPr>
          <w:fldChar w:fldCharType="end"/>
        </w:r>
      </w:hyperlink>
    </w:p>
    <w:p w14:paraId="757E5659" w14:textId="4850985A" w:rsidR="00B96A17" w:rsidRDefault="008728D3">
      <w:pPr>
        <w:pStyle w:val="TOC2"/>
        <w:tabs>
          <w:tab w:val="right" w:leader="dot" w:pos="9060"/>
        </w:tabs>
        <w:rPr>
          <w:rFonts w:eastAsiaTheme="minorEastAsia" w:cstheme="minorBidi"/>
          <w:smallCaps w:val="0"/>
          <w:noProof/>
          <w:sz w:val="22"/>
          <w:szCs w:val="22"/>
          <w:lang w:eastAsia="en-GB" w:bidi="ar-SA"/>
        </w:rPr>
      </w:pPr>
      <w:hyperlink w:anchor="_Toc94800155" w:history="1">
        <w:r w:rsidR="00B96A17" w:rsidRPr="00CD046F">
          <w:rPr>
            <w:rStyle w:val="Hyperlink"/>
            <w:noProof/>
          </w:rPr>
          <w:t>Attachment B – Draft Explanatory Statement</w:t>
        </w:r>
        <w:r w:rsidR="00B96A17">
          <w:rPr>
            <w:noProof/>
            <w:webHidden/>
          </w:rPr>
          <w:tab/>
        </w:r>
        <w:r w:rsidR="00B96A17">
          <w:rPr>
            <w:noProof/>
            <w:webHidden/>
          </w:rPr>
          <w:fldChar w:fldCharType="begin"/>
        </w:r>
        <w:r w:rsidR="00B96A17">
          <w:rPr>
            <w:noProof/>
            <w:webHidden/>
          </w:rPr>
          <w:instrText xml:space="preserve"> PAGEREF _Toc94800155 \h </w:instrText>
        </w:r>
        <w:r w:rsidR="00B96A17">
          <w:rPr>
            <w:noProof/>
            <w:webHidden/>
          </w:rPr>
        </w:r>
        <w:r w:rsidR="00B96A17">
          <w:rPr>
            <w:noProof/>
            <w:webHidden/>
          </w:rPr>
          <w:fldChar w:fldCharType="separate"/>
        </w:r>
        <w:r w:rsidR="001366B4">
          <w:rPr>
            <w:noProof/>
            <w:webHidden/>
          </w:rPr>
          <w:t>21</w:t>
        </w:r>
        <w:r w:rsidR="00B96A17">
          <w:rPr>
            <w:noProof/>
            <w:webHidden/>
          </w:rPr>
          <w:fldChar w:fldCharType="end"/>
        </w:r>
      </w:hyperlink>
    </w:p>
    <w:p w14:paraId="03BA97CF" w14:textId="4A7E04F3" w:rsidR="00051ED9" w:rsidRPr="0059227F" w:rsidRDefault="00051ED9" w:rsidP="00051ED9">
      <w:pPr>
        <w:rPr>
          <w:rFonts w:cs="Arial"/>
        </w:rPr>
      </w:pPr>
      <w:r w:rsidRPr="002C4A91">
        <w:rPr>
          <w:rFonts w:cs="Arial"/>
          <w:sz w:val="20"/>
          <w:szCs w:val="20"/>
        </w:rPr>
        <w:fldChar w:fldCharType="end"/>
      </w:r>
    </w:p>
    <w:p w14:paraId="285E831E" w14:textId="77777777" w:rsidR="00D73931" w:rsidRPr="00E203C2" w:rsidRDefault="00D73931" w:rsidP="00051ED9"/>
    <w:p w14:paraId="4CD8E21A" w14:textId="439E629F" w:rsidR="0037520F" w:rsidRPr="008844E4" w:rsidRDefault="0037520F" w:rsidP="0037520F">
      <w:pPr>
        <w:rPr>
          <w:b/>
          <w:szCs w:val="22"/>
        </w:rPr>
      </w:pPr>
      <w:r w:rsidRPr="008844E4">
        <w:rPr>
          <w:b/>
          <w:szCs w:val="22"/>
        </w:rPr>
        <w:t>Supporting document</w:t>
      </w:r>
    </w:p>
    <w:p w14:paraId="3766CEDF" w14:textId="77777777" w:rsidR="0037520F" w:rsidRPr="0089264A" w:rsidRDefault="0037520F" w:rsidP="0037520F">
      <w:pPr>
        <w:rPr>
          <w:szCs w:val="22"/>
        </w:rPr>
      </w:pPr>
    </w:p>
    <w:p w14:paraId="7E1B092A" w14:textId="28142E57" w:rsidR="0037520F" w:rsidRPr="0063678C" w:rsidRDefault="0037520F" w:rsidP="0037520F">
      <w:pPr>
        <w:rPr>
          <w:szCs w:val="22"/>
        </w:rPr>
      </w:pPr>
      <w:r w:rsidRPr="0089264A">
        <w:rPr>
          <w:szCs w:val="22"/>
        </w:rPr>
        <w:t xml:space="preserve">The </w:t>
      </w:r>
      <w:hyperlink r:id="rId24" w:history="1">
        <w:r w:rsidR="0063678C">
          <w:rPr>
            <w:color w:val="0000FF"/>
            <w:u w:val="single"/>
          </w:rPr>
          <w:t xml:space="preserve">following document </w:t>
        </w:r>
      </w:hyperlink>
      <w:r w:rsidR="00681754" w:rsidRPr="003970A5">
        <w:rPr>
          <w:szCs w:val="22"/>
        </w:rPr>
        <w:t xml:space="preserve">which informed the assessment of this </w:t>
      </w:r>
      <w:r w:rsidR="003970A5" w:rsidRPr="003970A5">
        <w:rPr>
          <w:szCs w:val="22"/>
        </w:rPr>
        <w:t>a</w:t>
      </w:r>
      <w:r w:rsidR="00681754" w:rsidRPr="003970A5">
        <w:rPr>
          <w:szCs w:val="22"/>
        </w:rPr>
        <w:t>pplication</w:t>
      </w:r>
      <w:r w:rsidRPr="003970A5">
        <w:rPr>
          <w:szCs w:val="22"/>
        </w:rPr>
        <w:t xml:space="preserve"> </w:t>
      </w:r>
      <w:r w:rsidR="00DB6DA8">
        <w:rPr>
          <w:szCs w:val="22"/>
        </w:rPr>
        <w:t>is</w:t>
      </w:r>
      <w:r w:rsidR="00DB6DA8" w:rsidRPr="0089264A">
        <w:rPr>
          <w:szCs w:val="22"/>
        </w:rPr>
        <w:t xml:space="preserve"> </w:t>
      </w:r>
      <w:r w:rsidRPr="0089264A">
        <w:rPr>
          <w:szCs w:val="22"/>
        </w:rPr>
        <w:t xml:space="preserve">available on the FSANZ </w:t>
      </w:r>
      <w:r w:rsidRPr="0063678C">
        <w:rPr>
          <w:szCs w:val="22"/>
        </w:rPr>
        <w:t>website</w:t>
      </w:r>
      <w:r w:rsidR="00820535" w:rsidRPr="0063678C">
        <w:rPr>
          <w:szCs w:val="22"/>
        </w:rPr>
        <w:t>:</w:t>
      </w:r>
    </w:p>
    <w:p w14:paraId="6E3B8D63" w14:textId="77777777" w:rsidR="0089264A" w:rsidRPr="0089264A" w:rsidRDefault="0089264A" w:rsidP="0089264A">
      <w:pPr>
        <w:rPr>
          <w:szCs w:val="22"/>
        </w:rPr>
      </w:pPr>
    </w:p>
    <w:p w14:paraId="4908E1D2" w14:textId="6C072839" w:rsidR="00051ED9" w:rsidRDefault="0089264A" w:rsidP="0029737F">
      <w:pPr>
        <w:ind w:left="1134" w:hanging="1134"/>
      </w:pPr>
      <w:r w:rsidRPr="0029737F">
        <w:t>SD1</w:t>
      </w:r>
      <w:r w:rsidRPr="003A7725">
        <w:rPr>
          <w:color w:val="FF0000"/>
        </w:rPr>
        <w:tab/>
      </w:r>
      <w:r w:rsidR="00014657">
        <w:t>R</w:t>
      </w:r>
      <w:r w:rsidR="009C755B">
        <w:t>isk</w:t>
      </w:r>
      <w:r w:rsidR="0029737F" w:rsidRPr="005F7323">
        <w:t xml:space="preserve"> assessment </w:t>
      </w:r>
      <w:r w:rsidR="00014657">
        <w:t>and Technical Assessment Report</w:t>
      </w:r>
      <w:r w:rsidR="00562917" w:rsidRPr="00E203C2">
        <w:br w:type="page"/>
      </w:r>
    </w:p>
    <w:p w14:paraId="74CC1951" w14:textId="77777777" w:rsidR="00E063C6" w:rsidRDefault="00F33BB8" w:rsidP="000A5DF8">
      <w:pPr>
        <w:pStyle w:val="Heading1"/>
      </w:pPr>
      <w:bookmarkStart w:id="1" w:name="_Toc286391001"/>
      <w:bookmarkStart w:id="2" w:name="_Toc300933414"/>
      <w:bookmarkStart w:id="3" w:name="_Toc9480011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FAA5B04" w14:textId="508341FD" w:rsidR="007679D8" w:rsidRDefault="009F0C69" w:rsidP="009871F4">
      <w:r>
        <w:rPr>
          <w:lang w:bidi="ar-SA"/>
        </w:rPr>
        <w:t>F</w:t>
      </w:r>
      <w:r w:rsidR="001C592C">
        <w:rPr>
          <w:lang w:bidi="ar-SA"/>
        </w:rPr>
        <w:t>ood Standards Australia New Zealand (F</w:t>
      </w:r>
      <w:r>
        <w:rPr>
          <w:lang w:bidi="ar-SA"/>
        </w:rPr>
        <w:t>SANZ</w:t>
      </w:r>
      <w:r w:rsidR="001C592C">
        <w:rPr>
          <w:lang w:bidi="ar-SA"/>
        </w:rPr>
        <w:t>)</w:t>
      </w:r>
      <w:r>
        <w:rPr>
          <w:lang w:bidi="ar-SA"/>
        </w:rPr>
        <w:t xml:space="preserve"> has assessed an application from </w:t>
      </w:r>
      <w:r>
        <w:t xml:space="preserve">Safe Foods Corporation </w:t>
      </w:r>
      <w:r w:rsidR="00DA2470">
        <w:t xml:space="preserve">(Safe Foods) </w:t>
      </w:r>
      <w:r>
        <w:t xml:space="preserve">to amend the Australia New Zealand Food Standards Code (the Code) to permit the use of </w:t>
      </w:r>
      <w:r w:rsidR="00281786">
        <w:t>c</w:t>
      </w:r>
      <w:r w:rsidRPr="00FF507A">
        <w:t>etylpyridinium chloride (CPC) as a processing aid</w:t>
      </w:r>
      <w:r w:rsidR="00AD4FC3">
        <w:t xml:space="preserve"> </w:t>
      </w:r>
      <w:r w:rsidR="00DB16AA">
        <w:t xml:space="preserve">for </w:t>
      </w:r>
      <w:r w:rsidR="005858F8">
        <w:t>the</w:t>
      </w:r>
      <w:r w:rsidR="00AD4FC3" w:rsidRPr="00FF507A">
        <w:t xml:space="preserve"> </w:t>
      </w:r>
      <w:r w:rsidR="00AC6D18">
        <w:t>antimicrobial</w:t>
      </w:r>
      <w:r w:rsidR="00AD4FC3" w:rsidRPr="00FF507A">
        <w:t xml:space="preserve"> treatment </w:t>
      </w:r>
      <w:r w:rsidR="005858F8" w:rsidRPr="00FF507A">
        <w:t>o</w:t>
      </w:r>
      <w:r w:rsidR="005858F8">
        <w:t>f</w:t>
      </w:r>
      <w:r w:rsidR="005858F8" w:rsidRPr="00FF507A">
        <w:t xml:space="preserve"> </w:t>
      </w:r>
      <w:r w:rsidR="00AD4FC3" w:rsidRPr="00FF507A">
        <w:t>raw poultry</w:t>
      </w:r>
      <w:r w:rsidR="00AD4FC3">
        <w:t xml:space="preserve">. </w:t>
      </w:r>
    </w:p>
    <w:p w14:paraId="5EF63557" w14:textId="77777777" w:rsidR="007679D8" w:rsidRDefault="007679D8" w:rsidP="009871F4"/>
    <w:p w14:paraId="2F59D6C6" w14:textId="08006AEB" w:rsidR="002F1144" w:rsidRDefault="002F1144" w:rsidP="002F1144">
      <w:bookmarkStart w:id="9" w:name="_Toc286391003"/>
      <w:r>
        <w:rPr>
          <w:lang w:bidi="ar-SA"/>
        </w:rPr>
        <w:t xml:space="preserve">Safe Foods </w:t>
      </w:r>
      <w:r w:rsidR="00E43512">
        <w:rPr>
          <w:lang w:bidi="ar-SA"/>
        </w:rPr>
        <w:t>markets</w:t>
      </w:r>
      <w:r w:rsidR="00E43512" w:rsidRPr="009503B3">
        <w:rPr>
          <w:lang w:bidi="ar-SA"/>
        </w:rPr>
        <w:t xml:space="preserve"> </w:t>
      </w:r>
      <w:r w:rsidRPr="009503B3">
        <w:rPr>
          <w:lang w:bidi="ar-SA"/>
        </w:rPr>
        <w:t xml:space="preserve">an aqueous solution containing CPC (as the active </w:t>
      </w:r>
      <w:r w:rsidR="00AB66AD">
        <w:rPr>
          <w:lang w:bidi="ar-SA"/>
        </w:rPr>
        <w:t>constituent</w:t>
      </w:r>
      <w:r w:rsidRPr="009503B3">
        <w:rPr>
          <w:lang w:bidi="ar-SA"/>
        </w:rPr>
        <w:t xml:space="preserve">) and propylene glycol under the proprietary name Cecure (referred to hereafter as the CPC preparation). The CPC preparation </w:t>
      </w:r>
      <w:r w:rsidR="001B1130">
        <w:rPr>
          <w:lang w:bidi="ar-SA"/>
        </w:rPr>
        <w:t>is</w:t>
      </w:r>
      <w:r w:rsidRPr="009503B3">
        <w:rPr>
          <w:lang w:bidi="ar-SA"/>
        </w:rPr>
        <w:t xml:space="preserve"> diluted with water </w:t>
      </w:r>
      <w:r w:rsidR="00E06247" w:rsidRPr="00E06247">
        <w:rPr>
          <w:lang w:bidi="ar-SA"/>
        </w:rPr>
        <w:t xml:space="preserve">to achieve a </w:t>
      </w:r>
      <w:r w:rsidR="00E06247">
        <w:rPr>
          <w:lang w:bidi="ar-SA"/>
        </w:rPr>
        <w:t xml:space="preserve">wash </w:t>
      </w:r>
      <w:r w:rsidR="00E06247" w:rsidRPr="00E06247">
        <w:rPr>
          <w:lang w:bidi="ar-SA"/>
        </w:rPr>
        <w:t xml:space="preserve">solution with a concentration of up to </w:t>
      </w:r>
      <w:r w:rsidR="00CB40D3">
        <w:rPr>
          <w:lang w:bidi="ar-SA"/>
        </w:rPr>
        <w:t>1% (w/v</w:t>
      </w:r>
      <w:r w:rsidR="00CB40D3">
        <w:rPr>
          <w:rStyle w:val="FootnoteReference"/>
          <w:lang w:bidi="ar-SA"/>
        </w:rPr>
        <w:footnoteReference w:id="2"/>
      </w:r>
      <w:r w:rsidR="00CB40D3">
        <w:rPr>
          <w:lang w:bidi="ar-SA"/>
        </w:rPr>
        <w:t>)</w:t>
      </w:r>
      <w:r w:rsidR="00E06247" w:rsidRPr="00E06247">
        <w:rPr>
          <w:lang w:bidi="ar-SA"/>
        </w:rPr>
        <w:t xml:space="preserve"> CPC </w:t>
      </w:r>
      <w:r w:rsidRPr="009503B3">
        <w:rPr>
          <w:lang w:bidi="ar-SA"/>
        </w:rPr>
        <w:t xml:space="preserve">for use as an </w:t>
      </w:r>
      <w:r w:rsidR="00AC6D18">
        <w:rPr>
          <w:lang w:bidi="ar-SA"/>
        </w:rPr>
        <w:t>antimicrobial</w:t>
      </w:r>
      <w:r w:rsidRPr="009503B3">
        <w:rPr>
          <w:lang w:bidi="ar-SA"/>
        </w:rPr>
        <w:t xml:space="preserve"> </w:t>
      </w:r>
      <w:r w:rsidR="001B1130">
        <w:rPr>
          <w:lang w:bidi="ar-SA"/>
        </w:rPr>
        <w:t xml:space="preserve">agent to </w:t>
      </w:r>
      <w:r w:rsidRPr="009503B3">
        <w:rPr>
          <w:lang w:bidi="ar-SA"/>
        </w:rPr>
        <w:t>treat</w:t>
      </w:r>
      <w:r w:rsidR="001B1130">
        <w:rPr>
          <w:lang w:bidi="ar-SA"/>
        </w:rPr>
        <w:t xml:space="preserve"> the inner </w:t>
      </w:r>
      <w:r w:rsidR="000C21AD">
        <w:rPr>
          <w:lang w:bidi="ar-SA"/>
        </w:rPr>
        <w:t xml:space="preserve">(cavity) </w:t>
      </w:r>
      <w:r w:rsidR="001B1130">
        <w:rPr>
          <w:lang w:bidi="ar-SA"/>
        </w:rPr>
        <w:t xml:space="preserve">and outer surfaces of </w:t>
      </w:r>
      <w:r w:rsidRPr="009503B3">
        <w:rPr>
          <w:lang w:bidi="ar-SA"/>
        </w:rPr>
        <w:t xml:space="preserve">raw poultry carcasses and </w:t>
      </w:r>
      <w:r w:rsidR="00247248">
        <w:rPr>
          <w:lang w:bidi="ar-SA"/>
        </w:rPr>
        <w:t>pieces</w:t>
      </w:r>
      <w:r w:rsidRPr="009503B3">
        <w:rPr>
          <w:lang w:bidi="ar-SA"/>
        </w:rPr>
        <w:t xml:space="preserve">. </w:t>
      </w:r>
    </w:p>
    <w:p w14:paraId="24912E31" w14:textId="77777777" w:rsidR="002F1144" w:rsidRDefault="002F1144" w:rsidP="002F1144"/>
    <w:p w14:paraId="65D2EF9B" w14:textId="3DB30229" w:rsidR="001B1130" w:rsidRDefault="001B1130" w:rsidP="001B1130">
      <w:pPr>
        <w:rPr>
          <w:lang w:bidi="ar-SA"/>
        </w:rPr>
      </w:pPr>
      <w:r>
        <w:t xml:space="preserve">FSANZ has undertaken an assessment to determine whether CPC achieves the technological purpose, as a processing aid, of an antimicrobial treatment for raw poultry and to identify any potential public health and safety concerns associated with its use. </w:t>
      </w:r>
      <w:r>
        <w:rPr>
          <w:lang w:bidi="ar-SA"/>
        </w:rPr>
        <w:t xml:space="preserve"> </w:t>
      </w:r>
    </w:p>
    <w:p w14:paraId="683EE8B8" w14:textId="77777777" w:rsidR="001B1130" w:rsidRDefault="001B1130" w:rsidP="001B1130">
      <w:pPr>
        <w:rPr>
          <w:lang w:bidi="ar-SA"/>
        </w:rPr>
      </w:pPr>
    </w:p>
    <w:p w14:paraId="5072CBC3" w14:textId="769C7F1B" w:rsidR="001B1130" w:rsidRDefault="001B1130" w:rsidP="001B1130">
      <w:r w:rsidRPr="00CD0D12">
        <w:rPr>
          <w:lang w:bidi="ar-SA"/>
        </w:rPr>
        <w:t xml:space="preserve">As </w:t>
      </w:r>
      <w:r w:rsidR="00186E70" w:rsidRPr="00CD0D12">
        <w:rPr>
          <w:lang w:bidi="ar-SA"/>
        </w:rPr>
        <w:t xml:space="preserve">propylene glycol </w:t>
      </w:r>
      <w:r w:rsidR="00186E70">
        <w:rPr>
          <w:lang w:bidi="ar-SA"/>
        </w:rPr>
        <w:t xml:space="preserve">is listed as a food additive </w:t>
      </w:r>
      <w:r w:rsidR="00CD5553">
        <w:rPr>
          <w:lang w:bidi="ar-SA"/>
        </w:rPr>
        <w:t xml:space="preserve">permitted at GMP (good manufacturing practice) </w:t>
      </w:r>
      <w:r w:rsidR="00186E70">
        <w:rPr>
          <w:lang w:bidi="ar-SA"/>
        </w:rPr>
        <w:t xml:space="preserve">in the Code and </w:t>
      </w:r>
      <w:r w:rsidRPr="00CD0D12">
        <w:rPr>
          <w:lang w:bidi="ar-SA"/>
        </w:rPr>
        <w:t xml:space="preserve">an acceptable daily intake (ADI) for propylene glycol has been established by the Joint FAO/WHO Expert Committee on Food Additives (JECFA), an assessment of potential public and safety concerns in relation to propylene glycol from the use of </w:t>
      </w:r>
      <w:r w:rsidR="00DA2470">
        <w:rPr>
          <w:lang w:bidi="ar-SA"/>
        </w:rPr>
        <w:t>Safe Foods’</w:t>
      </w:r>
      <w:r w:rsidRPr="00CD0D12">
        <w:rPr>
          <w:lang w:bidi="ar-SA"/>
        </w:rPr>
        <w:t xml:space="preserve"> CPC preparation was also undertaken</w:t>
      </w:r>
      <w:r w:rsidRPr="00CD0D12">
        <w:t>.</w:t>
      </w:r>
    </w:p>
    <w:p w14:paraId="15DC0A89" w14:textId="77777777" w:rsidR="001B1130" w:rsidRDefault="001B1130" w:rsidP="002F1144"/>
    <w:p w14:paraId="673CDA01" w14:textId="655B9ECD" w:rsidR="002F1144" w:rsidRDefault="002F1144" w:rsidP="002F1144">
      <w:pPr>
        <w:rPr>
          <w:lang w:eastAsia="en-AU" w:bidi="ar-SA"/>
        </w:rPr>
      </w:pPr>
      <w:r w:rsidRPr="00C37810">
        <w:rPr>
          <w:lang w:eastAsia="en-AU" w:bidi="ar-SA"/>
        </w:rPr>
        <w:t xml:space="preserve">Raw poultry may </w:t>
      </w:r>
      <w:r w:rsidR="00C56933">
        <w:rPr>
          <w:lang w:eastAsia="en-AU" w:bidi="ar-SA"/>
        </w:rPr>
        <w:t xml:space="preserve">inherently </w:t>
      </w:r>
      <w:r w:rsidRPr="00C37810">
        <w:rPr>
          <w:lang w:eastAsia="en-AU" w:bidi="ar-SA"/>
        </w:rPr>
        <w:t xml:space="preserve">carry a wide range of microorganisms, some of which are potential human pathogens. </w:t>
      </w:r>
      <w:r w:rsidR="001B1130">
        <w:rPr>
          <w:lang w:eastAsia="en-AU" w:bidi="ar-SA"/>
        </w:rPr>
        <w:t>T</w:t>
      </w:r>
      <w:r>
        <w:rPr>
          <w:lang w:eastAsia="en-AU" w:bidi="ar-SA"/>
        </w:rPr>
        <w:t xml:space="preserve">he application of CPC </w:t>
      </w:r>
      <w:r w:rsidR="001B1130">
        <w:rPr>
          <w:lang w:eastAsia="en-AU" w:bidi="ar-SA"/>
        </w:rPr>
        <w:t xml:space="preserve">to the surface of skin-on raw poultry carcasses and pieces </w:t>
      </w:r>
      <w:r>
        <w:rPr>
          <w:lang w:eastAsia="en-AU" w:bidi="ar-SA"/>
        </w:rPr>
        <w:t>at</w:t>
      </w:r>
      <w:r w:rsidRPr="005F597D">
        <w:t xml:space="preserve"> </w:t>
      </w:r>
      <w:r w:rsidRPr="005F597D">
        <w:rPr>
          <w:lang w:eastAsia="en-AU" w:bidi="ar-SA"/>
        </w:rPr>
        <w:t xml:space="preserve">levels ranging from 0.1 to </w:t>
      </w:r>
      <w:r w:rsidR="00CB40D3">
        <w:rPr>
          <w:lang w:eastAsia="en-AU" w:bidi="ar-SA"/>
        </w:rPr>
        <w:t>1% (w/v)</w:t>
      </w:r>
      <w:r>
        <w:rPr>
          <w:lang w:eastAsia="en-AU" w:bidi="ar-SA"/>
        </w:rPr>
        <w:t xml:space="preserve"> </w:t>
      </w:r>
      <w:r w:rsidR="001B1130">
        <w:rPr>
          <w:lang w:eastAsia="en-AU" w:bidi="ar-SA"/>
        </w:rPr>
        <w:t xml:space="preserve">concentration in the wash solution was demonstrated to </w:t>
      </w:r>
      <w:r>
        <w:rPr>
          <w:lang w:eastAsia="en-AU" w:bidi="ar-SA"/>
        </w:rPr>
        <w:t xml:space="preserve">effectively reduce </w:t>
      </w:r>
      <w:r w:rsidR="001F7871">
        <w:rPr>
          <w:lang w:eastAsia="en-AU" w:bidi="ar-SA"/>
        </w:rPr>
        <w:t>the prevalence and levels</w:t>
      </w:r>
      <w:r>
        <w:rPr>
          <w:lang w:eastAsia="en-AU" w:bidi="ar-SA"/>
        </w:rPr>
        <w:t xml:space="preserve"> of</w:t>
      </w:r>
      <w:r w:rsidR="001F7871">
        <w:rPr>
          <w:lang w:eastAsia="en-AU" w:bidi="ar-SA"/>
        </w:rPr>
        <w:t xml:space="preserve"> </w:t>
      </w:r>
      <w:r w:rsidR="001F7871" w:rsidRPr="001F7871">
        <w:rPr>
          <w:lang w:eastAsia="en-AU" w:bidi="ar-SA"/>
        </w:rPr>
        <w:t>microorganisms</w:t>
      </w:r>
      <w:r w:rsidR="001F7871">
        <w:rPr>
          <w:lang w:eastAsia="en-AU" w:bidi="ar-SA"/>
        </w:rPr>
        <w:t>, including relevant</w:t>
      </w:r>
      <w:r>
        <w:rPr>
          <w:lang w:eastAsia="en-AU" w:bidi="ar-SA"/>
        </w:rPr>
        <w:t xml:space="preserve"> </w:t>
      </w:r>
      <w:r w:rsidR="00081B57">
        <w:rPr>
          <w:lang w:eastAsia="en-AU" w:bidi="ar-SA"/>
        </w:rPr>
        <w:t>pathogens</w:t>
      </w:r>
      <w:r>
        <w:rPr>
          <w:lang w:eastAsia="en-AU" w:bidi="ar-SA"/>
        </w:rPr>
        <w:t xml:space="preserve">. FSANZ therefore concludes that the proposed use of CPC as an </w:t>
      </w:r>
      <w:r w:rsidR="00AC6D18">
        <w:rPr>
          <w:lang w:eastAsia="en-AU" w:bidi="ar-SA"/>
        </w:rPr>
        <w:t>antimicrobial</w:t>
      </w:r>
      <w:r>
        <w:rPr>
          <w:lang w:eastAsia="en-AU" w:bidi="ar-SA"/>
        </w:rPr>
        <w:t xml:space="preserve"> agent for </w:t>
      </w:r>
      <w:r w:rsidR="009A1E08">
        <w:rPr>
          <w:lang w:eastAsia="en-AU" w:bidi="ar-SA"/>
        </w:rPr>
        <w:t xml:space="preserve">skin-on </w:t>
      </w:r>
      <w:r>
        <w:rPr>
          <w:lang w:eastAsia="en-AU" w:bidi="ar-SA"/>
        </w:rPr>
        <w:t>raw poultry is technologically justified.</w:t>
      </w:r>
    </w:p>
    <w:p w14:paraId="24845858" w14:textId="77777777" w:rsidR="002F1144" w:rsidRDefault="002F1144" w:rsidP="002F1144">
      <w:pPr>
        <w:rPr>
          <w:lang w:eastAsia="en-AU" w:bidi="ar-SA"/>
        </w:rPr>
      </w:pPr>
    </w:p>
    <w:p w14:paraId="043DF320" w14:textId="0BBD7B25" w:rsidR="002F1144" w:rsidRDefault="002F1144" w:rsidP="002F1144">
      <w:pPr>
        <w:rPr>
          <w:lang w:eastAsia="en-AU" w:bidi="ar-SA"/>
        </w:rPr>
      </w:pPr>
      <w:r w:rsidRPr="00795D70">
        <w:rPr>
          <w:lang w:eastAsia="en-AU" w:bidi="ar-SA"/>
        </w:rPr>
        <w:t xml:space="preserve">As CPC performs </w:t>
      </w:r>
      <w:r>
        <w:rPr>
          <w:lang w:eastAsia="en-AU" w:bidi="ar-SA"/>
        </w:rPr>
        <w:t xml:space="preserve">the </w:t>
      </w:r>
      <w:r w:rsidR="00AC6D18">
        <w:rPr>
          <w:lang w:eastAsia="en-AU" w:bidi="ar-SA"/>
        </w:rPr>
        <w:t>antimicrobial</w:t>
      </w:r>
      <w:r>
        <w:rPr>
          <w:lang w:eastAsia="en-AU" w:bidi="ar-SA"/>
        </w:rPr>
        <w:t xml:space="preserve"> </w:t>
      </w:r>
      <w:r w:rsidRPr="00795D70">
        <w:rPr>
          <w:lang w:eastAsia="en-AU" w:bidi="ar-SA"/>
        </w:rPr>
        <w:t xml:space="preserve">function </w:t>
      </w:r>
      <w:r>
        <w:rPr>
          <w:lang w:eastAsia="en-AU" w:bidi="ar-SA"/>
        </w:rPr>
        <w:t>at the time of treatment (during</w:t>
      </w:r>
      <w:r w:rsidRPr="00795D70">
        <w:rPr>
          <w:lang w:eastAsia="en-AU" w:bidi="ar-SA"/>
        </w:rPr>
        <w:t xml:space="preserve"> the processing of poultry</w:t>
      </w:r>
      <w:r>
        <w:rPr>
          <w:lang w:eastAsia="en-AU" w:bidi="ar-SA"/>
        </w:rPr>
        <w:t>)</w:t>
      </w:r>
      <w:r w:rsidRPr="00795D70">
        <w:rPr>
          <w:lang w:eastAsia="en-AU" w:bidi="ar-SA"/>
        </w:rPr>
        <w:t xml:space="preserve"> and does not perform a technological </w:t>
      </w:r>
      <w:r w:rsidRPr="00C37810">
        <w:rPr>
          <w:lang w:eastAsia="en-AU" w:bidi="ar-SA"/>
        </w:rPr>
        <w:t>purpose in the food for sale, it</w:t>
      </w:r>
      <w:r w:rsidRPr="00795D70">
        <w:rPr>
          <w:lang w:eastAsia="en-AU" w:bidi="ar-SA"/>
        </w:rPr>
        <w:t xml:space="preserve"> functions as a processing aid as defined in the Code.</w:t>
      </w:r>
    </w:p>
    <w:p w14:paraId="57A4CD38" w14:textId="77777777" w:rsidR="002F1144" w:rsidRDefault="002F1144" w:rsidP="002F1144">
      <w:pPr>
        <w:rPr>
          <w:lang w:eastAsia="en-AU" w:bidi="ar-SA"/>
        </w:rPr>
      </w:pPr>
    </w:p>
    <w:p w14:paraId="4CDF3754" w14:textId="1A328093" w:rsidR="00DB16AA" w:rsidRDefault="002F1144" w:rsidP="002F1144">
      <w:pPr>
        <w:rPr>
          <w:lang w:bidi="ar-SA"/>
        </w:rPr>
      </w:pPr>
      <w:r>
        <w:rPr>
          <w:lang w:bidi="ar-SA"/>
        </w:rPr>
        <w:t xml:space="preserve">There is a relevant specification for CPC </w:t>
      </w:r>
      <w:r w:rsidR="00844BED">
        <w:rPr>
          <w:lang w:bidi="ar-SA"/>
        </w:rPr>
        <w:t>in the Food Chemicals Codex (United States Pharmacopeial Convention</w:t>
      </w:r>
      <w:r w:rsidR="00DF3CDD">
        <w:rPr>
          <w:lang w:bidi="ar-SA"/>
        </w:rPr>
        <w:t>,</w:t>
      </w:r>
      <w:r>
        <w:rPr>
          <w:lang w:bidi="ar-SA"/>
        </w:rPr>
        <w:t xml:space="preserve"> </w:t>
      </w:r>
      <w:r w:rsidR="00CD0D12">
        <w:rPr>
          <w:lang w:bidi="ar-SA"/>
        </w:rPr>
        <w:t>2020</w:t>
      </w:r>
      <w:r>
        <w:rPr>
          <w:lang w:bidi="ar-SA"/>
        </w:rPr>
        <w:t>), a primary source of specifications listed in Schedule 3 of the Code.</w:t>
      </w:r>
    </w:p>
    <w:p w14:paraId="1E25358D" w14:textId="40BB1765" w:rsidR="001B1130" w:rsidRDefault="001B1130" w:rsidP="002F1144">
      <w:pPr>
        <w:rPr>
          <w:lang w:bidi="ar-SA"/>
        </w:rPr>
      </w:pPr>
    </w:p>
    <w:p w14:paraId="653A518C" w14:textId="30FA8910" w:rsidR="00A04FBD" w:rsidRDefault="00A04FBD" w:rsidP="00A04FBD">
      <w:pPr>
        <w:rPr>
          <w:i/>
          <w:lang w:bidi="ar-SA"/>
        </w:rPr>
      </w:pPr>
      <w:r w:rsidRPr="00081B57">
        <w:rPr>
          <w:lang w:bidi="ar-SA"/>
        </w:rPr>
        <w:t xml:space="preserve">Studies on the potential for the proposed use of CPC to engender resistance to the compound or cross resistance to </w:t>
      </w:r>
      <w:r>
        <w:rPr>
          <w:lang w:bidi="ar-SA"/>
        </w:rPr>
        <w:t>antimicrobial</w:t>
      </w:r>
      <w:r w:rsidRPr="00081B57">
        <w:rPr>
          <w:lang w:bidi="ar-SA"/>
        </w:rPr>
        <w:t xml:space="preserve"> compounds of importance to human health demonstrate that the proposed use of CPC does not introduce an unacceptable risk of the development of </w:t>
      </w:r>
      <w:r>
        <w:rPr>
          <w:lang w:bidi="ar-SA"/>
        </w:rPr>
        <w:t>antimicrobial</w:t>
      </w:r>
      <w:r w:rsidRPr="00081B57">
        <w:rPr>
          <w:lang w:bidi="ar-SA"/>
        </w:rPr>
        <w:t xml:space="preserve"> resistance in the six pathogens tested: </w:t>
      </w:r>
      <w:r w:rsidRPr="00081B57">
        <w:rPr>
          <w:i/>
          <w:lang w:bidi="ar-SA"/>
        </w:rPr>
        <w:t xml:space="preserve">Salmonella </w:t>
      </w:r>
      <w:r w:rsidRPr="00693103">
        <w:rPr>
          <w:lang w:bidi="ar-SA"/>
        </w:rPr>
        <w:t>Typhimurium,</w:t>
      </w:r>
      <w:r w:rsidRPr="00081B57">
        <w:rPr>
          <w:i/>
          <w:lang w:bidi="ar-SA"/>
        </w:rPr>
        <w:t xml:space="preserve"> Staphylococcus aureus, Escherichia coli, Pseudomonas aeruginosa, Listeria monocytogenes</w:t>
      </w:r>
      <w:r w:rsidRPr="00081B57">
        <w:rPr>
          <w:lang w:bidi="ar-SA"/>
        </w:rPr>
        <w:t xml:space="preserve"> and</w:t>
      </w:r>
      <w:r w:rsidRPr="00081B57">
        <w:rPr>
          <w:i/>
          <w:lang w:bidi="ar-SA"/>
        </w:rPr>
        <w:t xml:space="preserve"> Campylobacter jejuni.</w:t>
      </w:r>
    </w:p>
    <w:p w14:paraId="1668FB70" w14:textId="77777777" w:rsidR="00A04FBD" w:rsidRDefault="00A04FBD" w:rsidP="00A04FBD">
      <w:pPr>
        <w:rPr>
          <w:lang w:bidi="ar-SA"/>
        </w:rPr>
      </w:pPr>
    </w:p>
    <w:p w14:paraId="647D45D8" w14:textId="52648D5C" w:rsidR="001B1130" w:rsidRDefault="001B1130" w:rsidP="002F1144">
      <w:pPr>
        <w:rPr>
          <w:lang w:bidi="ar-SA"/>
        </w:rPr>
      </w:pPr>
      <w:r w:rsidRPr="001B1130">
        <w:rPr>
          <w:lang w:bidi="ar-SA"/>
        </w:rPr>
        <w:t xml:space="preserve">Propylene glycol is </w:t>
      </w:r>
      <w:r w:rsidR="00993E8D">
        <w:rPr>
          <w:lang w:bidi="ar-SA"/>
        </w:rPr>
        <w:t>added to</w:t>
      </w:r>
      <w:r w:rsidRPr="001B1130">
        <w:rPr>
          <w:lang w:bidi="ar-SA"/>
        </w:rPr>
        <w:t xml:space="preserve"> Safe Foods</w:t>
      </w:r>
      <w:r w:rsidR="00DA2470">
        <w:rPr>
          <w:lang w:bidi="ar-SA"/>
        </w:rPr>
        <w:t>’ C</w:t>
      </w:r>
      <w:r w:rsidRPr="001B1130">
        <w:rPr>
          <w:lang w:bidi="ar-SA"/>
        </w:rPr>
        <w:t xml:space="preserve">PC preparation </w:t>
      </w:r>
      <w:r w:rsidR="00993E8D">
        <w:t xml:space="preserve">to act as a </w:t>
      </w:r>
      <w:r w:rsidR="00993E8D" w:rsidRPr="00D80D71">
        <w:t>wetting agent or humectant</w:t>
      </w:r>
      <w:r w:rsidR="00993E8D">
        <w:t>,</w:t>
      </w:r>
      <w:r w:rsidR="00993E8D" w:rsidRPr="00D80D71">
        <w:t xml:space="preserve"> and to maintain solubility and stability</w:t>
      </w:r>
      <w:r w:rsidR="00993E8D">
        <w:t xml:space="preserve"> in the preparation</w:t>
      </w:r>
      <w:r w:rsidRPr="001B1130">
        <w:rPr>
          <w:lang w:bidi="ar-SA"/>
        </w:rPr>
        <w:t xml:space="preserve">. </w:t>
      </w:r>
      <w:r w:rsidRPr="000B29DA">
        <w:rPr>
          <w:lang w:bidi="ar-SA"/>
        </w:rPr>
        <w:t xml:space="preserve">Propylene glycol is currently permitted for use </w:t>
      </w:r>
      <w:r w:rsidR="00993E8D" w:rsidRPr="000B29DA">
        <w:rPr>
          <w:lang w:bidi="ar-SA"/>
        </w:rPr>
        <w:t xml:space="preserve">both as a food additive permitted at GMP and </w:t>
      </w:r>
      <w:r w:rsidRPr="000B29DA">
        <w:rPr>
          <w:lang w:bidi="ar-SA"/>
        </w:rPr>
        <w:t xml:space="preserve">as a processing aid in </w:t>
      </w:r>
      <w:r w:rsidR="00DF3CDD">
        <w:rPr>
          <w:lang w:bidi="ar-SA"/>
        </w:rPr>
        <w:t xml:space="preserve">accordance with </w:t>
      </w:r>
      <w:r w:rsidRPr="000B29DA">
        <w:rPr>
          <w:lang w:bidi="ar-SA"/>
        </w:rPr>
        <w:t>the Code.</w:t>
      </w:r>
    </w:p>
    <w:p w14:paraId="64500489" w14:textId="77777777" w:rsidR="00995912" w:rsidRDefault="00995912" w:rsidP="00995912"/>
    <w:p w14:paraId="55CCEC1F" w14:textId="563E9BFD" w:rsidR="00995912" w:rsidRDefault="00081B57" w:rsidP="00A56E34">
      <w:r>
        <w:t>T</w:t>
      </w:r>
      <w:r w:rsidRPr="00081B57">
        <w:t xml:space="preserve">here were no public health and safety concerns identified from the estimated dietary exposure to either CPC or the propylene glycol in </w:t>
      </w:r>
      <w:r w:rsidR="00CA6BC0">
        <w:t>Safe Foods</w:t>
      </w:r>
      <w:r w:rsidR="00D1042A">
        <w:t>’</w:t>
      </w:r>
      <w:r w:rsidRPr="00081B57">
        <w:t xml:space="preserve"> CPC preparation at the </w:t>
      </w:r>
      <w:r w:rsidRPr="00081B57">
        <w:lastRenderedPageBreak/>
        <w:t>proposed use levels</w:t>
      </w:r>
      <w:r>
        <w:t>.</w:t>
      </w:r>
    </w:p>
    <w:p w14:paraId="6659147D" w14:textId="56EB9DDD" w:rsidR="009871F4" w:rsidRDefault="009871F4" w:rsidP="009871F4"/>
    <w:p w14:paraId="6B1C3DEA" w14:textId="2F6828E5" w:rsidR="001C592C" w:rsidRDefault="001C592C" w:rsidP="001C592C">
      <w:r>
        <w:t xml:space="preserve">FSANZ has assessed the application in accordance with the </w:t>
      </w:r>
      <w:r w:rsidRPr="001C592C">
        <w:rPr>
          <w:i/>
        </w:rPr>
        <w:t>Food Standards Australia New Zealand Act 1991</w:t>
      </w:r>
      <w:r>
        <w:t xml:space="preserve"> (FSANZ Act) and prepared a draft variation to the Code to permit the proposed use of CPC. </w:t>
      </w:r>
      <w:r w:rsidR="00000314">
        <w:t>If approved, t</w:t>
      </w:r>
      <w:r>
        <w:t xml:space="preserve">he draft variation </w:t>
      </w:r>
      <w:r w:rsidR="00000314">
        <w:t xml:space="preserve">would </w:t>
      </w:r>
      <w:r>
        <w:t>permit the use of CPC as a processing aid with th</w:t>
      </w:r>
      <w:r w:rsidR="00B239AD">
        <w:t xml:space="preserve">e technological purpose of </w:t>
      </w:r>
      <w:r w:rsidR="00AC6D18">
        <w:t>antimicrobial</w:t>
      </w:r>
      <w:r>
        <w:t xml:space="preserve"> agent for raw poultry meat with the skin attached. The permission is subject to a maximum permitted level of CPC in the poultry skin of 13.4 mg per kg, based </w:t>
      </w:r>
      <w:r w:rsidRPr="001C592C">
        <w:t xml:space="preserve">on the highest concentration of CPC used in the </w:t>
      </w:r>
      <w:r>
        <w:t>risk</w:t>
      </w:r>
      <w:r w:rsidRPr="001C592C">
        <w:t xml:space="preserve"> assessment</w:t>
      </w:r>
      <w:r>
        <w:t xml:space="preserve">. </w:t>
      </w:r>
      <w:r w:rsidR="004B0EB2">
        <w:t xml:space="preserve">The permission is also subject to the conditions that the </w:t>
      </w:r>
      <w:r>
        <w:t xml:space="preserve">concentration of CPC in the </w:t>
      </w:r>
      <w:r w:rsidR="00437E3A" w:rsidRPr="00D2335F">
        <w:t>aqueous wash</w:t>
      </w:r>
      <w:r>
        <w:t xml:space="preserve"> solution used does not exceed </w:t>
      </w:r>
      <w:r w:rsidR="00CB40D3">
        <w:t>1% (w/v)</w:t>
      </w:r>
      <w:r>
        <w:t xml:space="preserve"> </w:t>
      </w:r>
      <w:r w:rsidR="004B0EB2" w:rsidRPr="004B0EB2">
        <w:t xml:space="preserve">and that the </w:t>
      </w:r>
      <w:r>
        <w:t xml:space="preserve">raw poultry </w:t>
      </w:r>
      <w:r w:rsidR="00B64080">
        <w:t xml:space="preserve">meat </w:t>
      </w:r>
      <w:r>
        <w:t>is rinsed in potable water after treatment with CPC</w:t>
      </w:r>
      <w:r w:rsidR="004B0EB2">
        <w:t xml:space="preserve">. </w:t>
      </w:r>
      <w:r w:rsidR="004B0EB2" w:rsidRPr="004B0EB2">
        <w:t xml:space="preserve">These additional risk management measures will assist poultry processors to meet the </w:t>
      </w:r>
      <w:r w:rsidR="004B0EB2">
        <w:t>maximum permitted level of CPC.</w:t>
      </w:r>
    </w:p>
    <w:p w14:paraId="0C2923E0" w14:textId="79093677" w:rsidR="00196F03" w:rsidRDefault="00196F03" w:rsidP="001C592C"/>
    <w:p w14:paraId="717B6CFC" w14:textId="3F80F4E3" w:rsidR="00196F03" w:rsidRDefault="00DB072A" w:rsidP="001C592C">
      <w:r>
        <w:t>Given</w:t>
      </w:r>
      <w:r w:rsidR="00196F03" w:rsidRPr="00196F03">
        <w:t xml:space="preserve"> current permissions in the Code for the use of propylene glycol</w:t>
      </w:r>
      <w:r>
        <w:t xml:space="preserve"> as an food additive permitted at GMP and a processing aid</w:t>
      </w:r>
      <w:r w:rsidR="009A6987">
        <w:t>,</w:t>
      </w:r>
      <w:r w:rsidR="00196F03">
        <w:t xml:space="preserve"> </w:t>
      </w:r>
      <w:r w:rsidR="00196F03" w:rsidRPr="00196F03">
        <w:t xml:space="preserve">FSANZ considers no amendments to the Code to permit the use of propylene glycol in </w:t>
      </w:r>
      <w:r w:rsidR="00CA6BC0">
        <w:t>Safe Foods</w:t>
      </w:r>
      <w:r w:rsidR="00D1042A">
        <w:t>’</w:t>
      </w:r>
      <w:r w:rsidR="00196F03" w:rsidRPr="00196F03">
        <w:t xml:space="preserve"> CPC preparation are needed.</w:t>
      </w:r>
    </w:p>
    <w:p w14:paraId="2B6B0E1C" w14:textId="3197E37B" w:rsidR="009871F4" w:rsidRDefault="009871F4" w:rsidP="009871F4"/>
    <w:p w14:paraId="2AFEAED1" w14:textId="54E130C6" w:rsidR="004B0EB2" w:rsidRDefault="004B0EB2" w:rsidP="009871F4">
      <w:r>
        <w:t xml:space="preserve">FSANZ now seeks </w:t>
      </w:r>
      <w:r w:rsidRPr="004B0EB2">
        <w:t xml:space="preserve">submissions to assist consideration of the draft </w:t>
      </w:r>
      <w:r w:rsidR="00A929F6">
        <w:t>variation to the Code</w:t>
      </w:r>
      <w:r w:rsidRPr="004B0EB2">
        <w:t>.</w:t>
      </w:r>
    </w:p>
    <w:p w14:paraId="353F0C11" w14:textId="5BC25242" w:rsidR="0053464E" w:rsidRDefault="009871F4" w:rsidP="00A56E34">
      <w:r>
        <w:br w:type="page"/>
      </w:r>
    </w:p>
    <w:p w14:paraId="4EBEAA90" w14:textId="77777777" w:rsidR="002A5F8B" w:rsidRPr="000B6AF2" w:rsidRDefault="00F33BB8" w:rsidP="000B6AF2">
      <w:pPr>
        <w:pStyle w:val="Heading1"/>
      </w:pPr>
      <w:bookmarkStart w:id="10" w:name="_Toc300933417"/>
      <w:bookmarkStart w:id="11" w:name="_Toc94800118"/>
      <w:r>
        <w:lastRenderedPageBreak/>
        <w:t>1</w:t>
      </w:r>
      <w:r w:rsidR="001542D8">
        <w:tab/>
      </w:r>
      <w:r w:rsidR="002A5F8B" w:rsidRPr="000B6AF2">
        <w:t>Introduction</w:t>
      </w:r>
      <w:bookmarkEnd w:id="9"/>
      <w:bookmarkEnd w:id="10"/>
      <w:bookmarkEnd w:id="11"/>
    </w:p>
    <w:p w14:paraId="03A22D9C" w14:textId="4657498E" w:rsidR="0053464E" w:rsidRPr="0053464E" w:rsidRDefault="00F33BB8" w:rsidP="00A56E34">
      <w:pPr>
        <w:pStyle w:val="Heading2"/>
      </w:pPr>
      <w:bookmarkStart w:id="12" w:name="_Toc300761890"/>
      <w:bookmarkStart w:id="13" w:name="_Toc94800119"/>
      <w:bookmarkStart w:id="14" w:name="_Toc300933419"/>
      <w:r>
        <w:t>1</w:t>
      </w:r>
      <w:r w:rsidR="0053464E" w:rsidRPr="0053464E">
        <w:t>.1</w:t>
      </w:r>
      <w:r w:rsidR="0053464E" w:rsidRPr="0053464E">
        <w:tab/>
      </w:r>
      <w:r w:rsidR="00CA6BC0">
        <w:t>Safe Foods</w:t>
      </w:r>
      <w:bookmarkEnd w:id="12"/>
      <w:bookmarkEnd w:id="13"/>
      <w:r w:rsidR="00256D65" w:rsidRPr="00256D65">
        <w:t xml:space="preserve"> </w:t>
      </w:r>
      <w:bookmarkEnd w:id="14"/>
    </w:p>
    <w:p w14:paraId="5EA70F22" w14:textId="59AECECD" w:rsidR="002866A0" w:rsidRDefault="009871F4" w:rsidP="002866A0">
      <w:r>
        <w:t>Safe Foods Corporation</w:t>
      </w:r>
      <w:r w:rsidR="002B6335">
        <w:t xml:space="preserve"> (Safe Foods)</w:t>
      </w:r>
      <w:r w:rsidR="009B2F05">
        <w:t xml:space="preserve"> is</w:t>
      </w:r>
      <w:r w:rsidR="009C755B">
        <w:t xml:space="preserve"> </w:t>
      </w:r>
      <w:r w:rsidRPr="005E38F4">
        <w:t xml:space="preserve">a global company </w:t>
      </w:r>
      <w:r w:rsidR="009B2F05">
        <w:t xml:space="preserve">headquartered </w:t>
      </w:r>
      <w:r w:rsidR="002B6335">
        <w:t xml:space="preserve">in </w:t>
      </w:r>
      <w:r w:rsidR="009B2F05">
        <w:t>the United States</w:t>
      </w:r>
      <w:r w:rsidR="002B6335">
        <w:t>. T</w:t>
      </w:r>
      <w:r w:rsidR="00F1042D">
        <w:t xml:space="preserve">hey provide a number of </w:t>
      </w:r>
      <w:r w:rsidR="00AC6D18">
        <w:t>antimicrobial</w:t>
      </w:r>
      <w:r w:rsidR="00F1042D">
        <w:t xml:space="preserve"> products for use in the food industry.  </w:t>
      </w:r>
    </w:p>
    <w:p w14:paraId="78781636" w14:textId="21E99AE1" w:rsidR="0053464E" w:rsidRPr="00B63F15" w:rsidRDefault="00F33BB8" w:rsidP="00A56E34">
      <w:pPr>
        <w:pStyle w:val="Heading2"/>
      </w:pPr>
      <w:bookmarkStart w:id="15" w:name="_Toc300761891"/>
      <w:bookmarkStart w:id="16" w:name="_Toc300933420"/>
      <w:bookmarkStart w:id="17" w:name="_Toc94800120"/>
      <w:r>
        <w:t>1</w:t>
      </w:r>
      <w:r w:rsidR="0053464E" w:rsidRPr="0053464E">
        <w:t>.2</w:t>
      </w:r>
      <w:r w:rsidR="0053464E" w:rsidRPr="0053464E">
        <w:tab/>
        <w:t xml:space="preserve">The </w:t>
      </w:r>
      <w:r w:rsidR="0053464E" w:rsidRPr="00B63F15">
        <w:t>Application</w:t>
      </w:r>
      <w:bookmarkEnd w:id="15"/>
      <w:bookmarkEnd w:id="16"/>
      <w:bookmarkEnd w:id="17"/>
    </w:p>
    <w:p w14:paraId="55631174" w14:textId="6810E9D3" w:rsidR="00F1042D" w:rsidRDefault="00503304" w:rsidP="00E55D3F">
      <w:r w:rsidRPr="0089001C">
        <w:t xml:space="preserve">The purpose of the application is to amend the Code to permit </w:t>
      </w:r>
      <w:r w:rsidR="00281786">
        <w:t>c</w:t>
      </w:r>
      <w:r w:rsidR="00E55D3F" w:rsidRPr="00FF507A">
        <w:t>etylpyridinium chloride (CPC) as a processing aid</w:t>
      </w:r>
      <w:r w:rsidR="009C755B">
        <w:t xml:space="preserve"> </w:t>
      </w:r>
      <w:r w:rsidR="00F1042D">
        <w:t xml:space="preserve">for use </w:t>
      </w:r>
      <w:r w:rsidR="009C755B">
        <w:t>as an</w:t>
      </w:r>
      <w:r w:rsidR="00E55D3F" w:rsidRPr="00FF507A">
        <w:t xml:space="preserve"> </w:t>
      </w:r>
      <w:r w:rsidR="00AC6D18">
        <w:t>antimicrobial</w:t>
      </w:r>
      <w:r w:rsidR="00E55D3F" w:rsidRPr="00FF507A">
        <w:t xml:space="preserve"> treatment </w:t>
      </w:r>
      <w:r w:rsidR="009C755B">
        <w:t>for</w:t>
      </w:r>
      <w:r w:rsidR="00E55D3F" w:rsidRPr="00FF507A">
        <w:t xml:space="preserve"> </w:t>
      </w:r>
      <w:r w:rsidR="001B1130">
        <w:t xml:space="preserve">the surface of </w:t>
      </w:r>
      <w:r w:rsidR="00E55D3F" w:rsidRPr="00FF507A">
        <w:t>raw poultry.</w:t>
      </w:r>
      <w:r w:rsidR="00E55D3F">
        <w:t xml:space="preserve"> </w:t>
      </w:r>
      <w:r w:rsidR="00CA6BC0">
        <w:t>Safe Foods</w:t>
      </w:r>
      <w:r w:rsidR="00F1042D">
        <w:t xml:space="preserve"> did not specifically request a level of use of CPC for incorporation into the Code. </w:t>
      </w:r>
    </w:p>
    <w:p w14:paraId="393332E3" w14:textId="5A6614C4" w:rsidR="00F1042D" w:rsidRDefault="00F1042D" w:rsidP="00E55D3F"/>
    <w:p w14:paraId="4766F590" w14:textId="06794A5B" w:rsidR="00DB16AA" w:rsidRDefault="00DB16AA" w:rsidP="00F253AF">
      <w:r w:rsidRPr="00DB16AA">
        <w:t xml:space="preserve">Safe Foods sells an aqueous solution containing CPC (as the active </w:t>
      </w:r>
      <w:r w:rsidR="00261A30">
        <w:t>constituent</w:t>
      </w:r>
      <w:r w:rsidRPr="00DB16AA">
        <w:t>) and propylene glycol under the proprietary name Cecure (referred to hereafter as the CPC preparation).</w:t>
      </w:r>
      <w:r>
        <w:t xml:space="preserve"> </w:t>
      </w:r>
    </w:p>
    <w:p w14:paraId="501A6801" w14:textId="77777777" w:rsidR="00DB16AA" w:rsidRDefault="00DB16AA" w:rsidP="00F253AF"/>
    <w:p w14:paraId="3F521595" w14:textId="46C7EC7D" w:rsidR="00583C4B" w:rsidRDefault="00C675D9" w:rsidP="00583C4B">
      <w:r>
        <w:t xml:space="preserve">The </w:t>
      </w:r>
      <w:r w:rsidR="00DB16AA">
        <w:t xml:space="preserve">CPC </w:t>
      </w:r>
      <w:r>
        <w:t xml:space="preserve">preparation </w:t>
      </w:r>
      <w:r w:rsidR="00247248">
        <w:t>is</w:t>
      </w:r>
      <w:r w:rsidR="00F1042D">
        <w:t xml:space="preserve"> </w:t>
      </w:r>
      <w:r w:rsidR="00F1042D" w:rsidRPr="00F1042D">
        <w:t xml:space="preserve">diluted </w:t>
      </w:r>
      <w:r>
        <w:t xml:space="preserve">with </w:t>
      </w:r>
      <w:r w:rsidR="00247248">
        <w:t>potable</w:t>
      </w:r>
      <w:r w:rsidRPr="00F1042D">
        <w:t xml:space="preserve"> water </w:t>
      </w:r>
      <w:r w:rsidR="00F1042D" w:rsidRPr="00F1042D">
        <w:t>to</w:t>
      </w:r>
      <w:r>
        <w:t xml:space="preserve"> achieve a </w:t>
      </w:r>
      <w:r w:rsidR="00247248">
        <w:t xml:space="preserve">wash </w:t>
      </w:r>
      <w:r>
        <w:t xml:space="preserve">solution with a concentration of </w:t>
      </w:r>
      <w:r w:rsidR="0063678C">
        <w:t>up</w:t>
      </w:r>
      <w:r>
        <w:t xml:space="preserve"> to </w:t>
      </w:r>
      <w:r w:rsidR="00CB40D3">
        <w:t>1% (w/v</w:t>
      </w:r>
      <w:r w:rsidR="00CB40D3">
        <w:rPr>
          <w:rStyle w:val="FootnoteReference"/>
        </w:rPr>
        <w:footnoteReference w:id="3"/>
      </w:r>
      <w:r w:rsidR="00CB40D3">
        <w:t>)</w:t>
      </w:r>
      <w:r w:rsidR="00F1042D" w:rsidRPr="00F1042D">
        <w:t xml:space="preserve"> </w:t>
      </w:r>
      <w:r>
        <w:t xml:space="preserve">CPC </w:t>
      </w:r>
      <w:r w:rsidR="00F1042D" w:rsidRPr="00F1042D">
        <w:t xml:space="preserve">for use as an </w:t>
      </w:r>
      <w:r w:rsidR="00AC6D18">
        <w:t>antimicrobial</w:t>
      </w:r>
      <w:r w:rsidR="00247248">
        <w:t xml:space="preserve"> </w:t>
      </w:r>
      <w:r w:rsidR="000C21AD">
        <w:t xml:space="preserve">agent to treat the inner (cavity) and outer </w:t>
      </w:r>
      <w:r w:rsidR="00247248">
        <w:t>surface</w:t>
      </w:r>
      <w:r w:rsidR="000C21AD">
        <w:t>s</w:t>
      </w:r>
      <w:r w:rsidR="00247248">
        <w:t xml:space="preserve"> of r</w:t>
      </w:r>
      <w:r w:rsidR="00F1042D" w:rsidRPr="00F1042D">
        <w:t xml:space="preserve">aw poultry carcasses and </w:t>
      </w:r>
      <w:r w:rsidR="00247248">
        <w:t>pieces</w:t>
      </w:r>
      <w:r w:rsidR="00F1042D" w:rsidRPr="00F1042D">
        <w:t>.</w:t>
      </w:r>
      <w:r w:rsidR="00F253AF">
        <w:t xml:space="preserve"> </w:t>
      </w:r>
      <w:r w:rsidR="00CA6BC0">
        <w:t>Safe Foods</w:t>
      </w:r>
      <w:r w:rsidR="00583C4B">
        <w:t xml:space="preserve"> stated that the diluted CPC preparation would be applied at the poultry processing premises either by:</w:t>
      </w:r>
    </w:p>
    <w:p w14:paraId="4B12DCE7" w14:textId="77777777" w:rsidR="00583C4B" w:rsidRDefault="00583C4B" w:rsidP="00583C4B"/>
    <w:p w14:paraId="2DB179B6" w14:textId="1A1475BC" w:rsidR="00583C4B" w:rsidRDefault="00583C4B" w:rsidP="00583C4B">
      <w:pPr>
        <w:pStyle w:val="FSBullet1"/>
      </w:pPr>
      <w:r>
        <w:t>spraying the solution onto whole carcasses following evisceration</w:t>
      </w:r>
      <w:r w:rsidR="00247248">
        <w:t xml:space="preserve">, either </w:t>
      </w:r>
      <w:r>
        <w:t>prior to entry to the chiller</w:t>
      </w:r>
      <w:r w:rsidR="00247248">
        <w:t xml:space="preserve"> or post chilling</w:t>
      </w:r>
    </w:p>
    <w:p w14:paraId="1B174C29" w14:textId="33F3EF3C" w:rsidR="00583C4B" w:rsidRDefault="00583C4B" w:rsidP="00583C4B">
      <w:pPr>
        <w:pStyle w:val="FSBullet1"/>
      </w:pPr>
      <w:r>
        <w:t xml:space="preserve">dipping of poultry pieces into the solution following evisceration and chilling of whole carcasses.  </w:t>
      </w:r>
    </w:p>
    <w:p w14:paraId="67D189CC" w14:textId="77777777" w:rsidR="00583C4B" w:rsidRDefault="00583C4B" w:rsidP="00583C4B"/>
    <w:p w14:paraId="10B43B57" w14:textId="41AA5F5D" w:rsidR="00583C4B" w:rsidRDefault="00537B58" w:rsidP="00F253AF">
      <w:r>
        <w:t>T</w:t>
      </w:r>
      <w:r w:rsidR="00583C4B">
        <w:t>he poultry carcass</w:t>
      </w:r>
      <w:r w:rsidR="00247248">
        <w:t>es</w:t>
      </w:r>
      <w:r w:rsidR="00583C4B">
        <w:t xml:space="preserve"> or p</w:t>
      </w:r>
      <w:r w:rsidR="00247248">
        <w:t>ieces</w:t>
      </w:r>
      <w:r w:rsidR="00583C4B">
        <w:t xml:space="preserve"> </w:t>
      </w:r>
      <w:r>
        <w:t>are</w:t>
      </w:r>
      <w:r w:rsidR="00247248">
        <w:t xml:space="preserve"> </w:t>
      </w:r>
      <w:r>
        <w:t xml:space="preserve">rinsed </w:t>
      </w:r>
      <w:r w:rsidR="00583C4B">
        <w:t>in potable water following the treatment outlined above.</w:t>
      </w:r>
    </w:p>
    <w:p w14:paraId="382394F0" w14:textId="514DAB6B" w:rsidR="0053464E" w:rsidRPr="0053464E" w:rsidRDefault="00F33BB8" w:rsidP="00A56E34">
      <w:pPr>
        <w:pStyle w:val="Heading2"/>
      </w:pPr>
      <w:bookmarkStart w:id="18" w:name="_Toc300761892"/>
      <w:bookmarkStart w:id="19" w:name="_Toc300933421"/>
      <w:bookmarkStart w:id="20" w:name="_Toc94800121"/>
      <w:r>
        <w:t>1</w:t>
      </w:r>
      <w:r w:rsidR="00A56E34">
        <w:t>.3</w:t>
      </w:r>
      <w:r w:rsidR="00A56E34">
        <w:tab/>
        <w:t>The c</w:t>
      </w:r>
      <w:r w:rsidR="0053464E" w:rsidRPr="0053464E">
        <w:t xml:space="preserve">urrent </w:t>
      </w:r>
      <w:bookmarkEnd w:id="18"/>
      <w:bookmarkEnd w:id="19"/>
      <w:r w:rsidR="0000362F">
        <w:t>Code requirements</w:t>
      </w:r>
      <w:bookmarkEnd w:id="20"/>
    </w:p>
    <w:p w14:paraId="490B6142" w14:textId="77777777" w:rsidR="00F16CCD" w:rsidRPr="00E244B3" w:rsidRDefault="00F16CCD" w:rsidP="00F16CCD">
      <w:pPr>
        <w:rPr>
          <w:i/>
        </w:rPr>
      </w:pPr>
      <w:r w:rsidRPr="00E244B3">
        <w:t>Australian and New Zealand food laws require food for sale to comply with relevant requirements in the Code. The requirements in the Code relevant to this application are summarised below.</w:t>
      </w:r>
    </w:p>
    <w:p w14:paraId="3E41452D" w14:textId="551659B0" w:rsidR="008A0C08" w:rsidRDefault="008A0C08" w:rsidP="008A0C08">
      <w:pPr>
        <w:pStyle w:val="Heading3"/>
      </w:pPr>
      <w:bookmarkStart w:id="21" w:name="_Toc94800122"/>
      <w:r>
        <w:t>1.3.1</w:t>
      </w:r>
      <w:r w:rsidR="0063678C">
        <w:tab/>
      </w:r>
      <w:r w:rsidR="00F16CCD">
        <w:t>Permitted use</w:t>
      </w:r>
      <w:bookmarkEnd w:id="21"/>
      <w:r w:rsidR="00F16CCD">
        <w:t xml:space="preserve"> </w:t>
      </w:r>
    </w:p>
    <w:p w14:paraId="2BF0245B" w14:textId="2FFF02AF" w:rsidR="008A0C08" w:rsidRDefault="008A0C08" w:rsidP="008A0C08">
      <w:r>
        <w:t xml:space="preserve">Paragraph 1.1.1—10(6)(c) provides that food for sale cannot contain, as an ingredient or component, a substance ‘used as a processing aid’ unless that substance’s use as a processing aid is expressly permitted by the Code. </w:t>
      </w:r>
      <w:r w:rsidR="00F16CCD" w:rsidRPr="00F16CCD">
        <w:t>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GMP</w:t>
      </w:r>
      <w:r w:rsidR="00D83939">
        <w:t xml:space="preserve"> (good manufacturing practice)</w:t>
      </w:r>
      <w:r w:rsidR="00F16CCD" w:rsidRPr="00F16CCD">
        <w:t>.</w:t>
      </w:r>
    </w:p>
    <w:p w14:paraId="06FA8FC8" w14:textId="77777777" w:rsidR="00F16CCD" w:rsidRDefault="00F16CCD" w:rsidP="008A0C08"/>
    <w:p w14:paraId="27068B0F" w14:textId="77777777" w:rsidR="00D83939" w:rsidRDefault="008A0C08" w:rsidP="00FD0CAB">
      <w:r>
        <w:t xml:space="preserve">Standard 1.3.3 and Schedule 18 list the permitted processing aids. </w:t>
      </w:r>
      <w:r w:rsidR="00D83939">
        <w:t>Section S16—2 lists additives permitted at GMP.</w:t>
      </w:r>
    </w:p>
    <w:p w14:paraId="068440E6" w14:textId="77777777" w:rsidR="00D83939" w:rsidRDefault="00D83939" w:rsidP="00FD0CAB"/>
    <w:p w14:paraId="31A5B159" w14:textId="4D975113" w:rsidR="00F16CCD" w:rsidRDefault="006601E8" w:rsidP="00D83939">
      <w:r>
        <w:t>For the purposes of this application, p</w:t>
      </w:r>
      <w:r w:rsidR="00FA4C88" w:rsidRPr="00FA4C88">
        <w:t>ropylene glycol</w:t>
      </w:r>
      <w:r w:rsidR="00A04FBD">
        <w:t xml:space="preserve"> is used in the</w:t>
      </w:r>
      <w:r w:rsidR="00AD0C69">
        <w:t xml:space="preserve"> processing </w:t>
      </w:r>
      <w:r w:rsidR="00CD3E82">
        <w:t xml:space="preserve">or manufacture </w:t>
      </w:r>
      <w:r w:rsidR="008A26C3">
        <w:t xml:space="preserve">of </w:t>
      </w:r>
      <w:r w:rsidR="00A04FBD">
        <w:t xml:space="preserve">the CPC </w:t>
      </w:r>
      <w:r w:rsidR="00DA13B4">
        <w:t>(</w:t>
      </w:r>
      <w:r w:rsidR="00CD3E82">
        <w:t xml:space="preserve">as a </w:t>
      </w:r>
      <w:r w:rsidR="00CD3E82" w:rsidRPr="00D80D71">
        <w:t>wetting agent or humectant</w:t>
      </w:r>
      <w:r w:rsidR="00CD3E82">
        <w:t xml:space="preserve">) </w:t>
      </w:r>
      <w:r w:rsidR="00AD0C69">
        <w:t xml:space="preserve">and </w:t>
      </w:r>
      <w:r w:rsidR="00DA13B4">
        <w:t>it functions i</w:t>
      </w:r>
      <w:r w:rsidR="00AD0C69">
        <w:t xml:space="preserve">n the </w:t>
      </w:r>
      <w:r w:rsidR="00CD3E82">
        <w:t>preparation after processing (</w:t>
      </w:r>
      <w:r w:rsidR="00DA13B4">
        <w:t xml:space="preserve">to </w:t>
      </w:r>
      <w:r w:rsidR="00CD3E82" w:rsidRPr="00D80D71">
        <w:t>maintain</w:t>
      </w:r>
      <w:r w:rsidR="00DA13B4">
        <w:t xml:space="preserve"> the</w:t>
      </w:r>
      <w:r w:rsidR="00CD3E82">
        <w:t xml:space="preserve"> preparation’s </w:t>
      </w:r>
      <w:r w:rsidR="00CD3E82" w:rsidRPr="00D80D71">
        <w:t>solubility and stability</w:t>
      </w:r>
      <w:r w:rsidR="00CD3E82">
        <w:t xml:space="preserve">) and at which point the </w:t>
      </w:r>
      <w:r w:rsidR="00CD3E82">
        <w:lastRenderedPageBreak/>
        <w:t xml:space="preserve">preparation can be a </w:t>
      </w:r>
      <w:r w:rsidR="00AD0C69">
        <w:t>food for sale</w:t>
      </w:r>
      <w:r w:rsidR="00FA4C88">
        <w:t>.</w:t>
      </w:r>
    </w:p>
    <w:p w14:paraId="7AA592FD" w14:textId="0524231B" w:rsidR="00186E70" w:rsidRDefault="00186E70" w:rsidP="00D83939"/>
    <w:p w14:paraId="786F81E7" w14:textId="1C47A82E" w:rsidR="00186E70" w:rsidRDefault="00186E70" w:rsidP="00186E70">
      <w:r>
        <w:t>Propylene glycol is listed a</w:t>
      </w:r>
      <w:r w:rsidR="00525803">
        <w:t>s an ‘additive permitted at GMP’</w:t>
      </w:r>
      <w:r>
        <w:t xml:space="preserve"> in section S16—2.</w:t>
      </w:r>
      <w:r w:rsidR="00CD3E82">
        <w:t xml:space="preserve"> This means that it can be used as a food additive in the CPC preparation subject to the requirement that that use be consistent with </w:t>
      </w:r>
      <w:r w:rsidR="00DA13B4">
        <w:t>GMP</w:t>
      </w:r>
      <w:r w:rsidR="00CD3E82">
        <w:t>.</w:t>
      </w:r>
    </w:p>
    <w:p w14:paraId="50CA1E3F" w14:textId="437A50A0" w:rsidR="00D21227" w:rsidRDefault="00D21227" w:rsidP="00D83939"/>
    <w:p w14:paraId="1E9E9771" w14:textId="4ED7F628" w:rsidR="00F16CCD" w:rsidRDefault="00CD3E82" w:rsidP="008A0C08">
      <w:r>
        <w:t>A</w:t>
      </w:r>
      <w:r w:rsidR="00D21227">
        <w:t xml:space="preserve">s </w:t>
      </w:r>
      <w:r>
        <w:t xml:space="preserve">it is </w:t>
      </w:r>
      <w:r w:rsidR="00D21227">
        <w:t xml:space="preserve">an additive permitted at GMP, </w:t>
      </w:r>
      <w:r>
        <w:t xml:space="preserve">section 1.3.3—4 of the Code permits the use of </w:t>
      </w:r>
      <w:r w:rsidR="00D21227">
        <w:t xml:space="preserve">propylene glycol as a processing aid in any food </w:t>
      </w:r>
      <w:r>
        <w:t>(including the CPC preparation) provided that</w:t>
      </w:r>
      <w:r w:rsidR="00D21227">
        <w:t xml:space="preserve"> </w:t>
      </w:r>
      <w:r>
        <w:t>the propylene glycol</w:t>
      </w:r>
      <w:r w:rsidR="00D21227">
        <w:t xml:space="preserve"> is used </w:t>
      </w:r>
      <w:r>
        <w:t xml:space="preserve">only </w:t>
      </w:r>
      <w:r w:rsidR="00D21227">
        <w:t xml:space="preserve">at a level necessary to achieve </w:t>
      </w:r>
      <w:r>
        <w:t>the relevant</w:t>
      </w:r>
      <w:r w:rsidR="00D21227">
        <w:t xml:space="preserve"> technological purpose in the processing of that food. </w:t>
      </w:r>
    </w:p>
    <w:p w14:paraId="4E0B45CE" w14:textId="77777777" w:rsidR="00CF33A7" w:rsidRDefault="00CF33A7" w:rsidP="008A0C08"/>
    <w:p w14:paraId="4556A938" w14:textId="255829DD" w:rsidR="00F253AF" w:rsidRDefault="008A0C08" w:rsidP="008A0C08">
      <w:r>
        <w:t xml:space="preserve">There is </w:t>
      </w:r>
      <w:r w:rsidR="00F16CCD">
        <w:t xml:space="preserve">currently </w:t>
      </w:r>
      <w:r>
        <w:t>no permis</w:t>
      </w:r>
      <w:r w:rsidR="00F16CCD">
        <w:t xml:space="preserve">sion </w:t>
      </w:r>
      <w:r>
        <w:t xml:space="preserve">in </w:t>
      </w:r>
      <w:r w:rsidR="00007D13">
        <w:t>the Code</w:t>
      </w:r>
      <w:r w:rsidR="009B2F05">
        <w:t xml:space="preserve"> for CPC</w:t>
      </w:r>
      <w:r w:rsidR="00007D13">
        <w:t xml:space="preserve"> to</w:t>
      </w:r>
      <w:r>
        <w:t xml:space="preserve"> be used as a processing aid </w:t>
      </w:r>
      <w:r w:rsidR="00F16CCD">
        <w:t xml:space="preserve">in </w:t>
      </w:r>
      <w:r w:rsidR="0000362F">
        <w:t xml:space="preserve">raw poultry or any other food </w:t>
      </w:r>
      <w:r>
        <w:t>with the technological p</w:t>
      </w:r>
      <w:r w:rsidR="00F16CCD">
        <w:t>urpose of a</w:t>
      </w:r>
      <w:r w:rsidR="00007D13">
        <w:t>n</w:t>
      </w:r>
      <w:r w:rsidR="00F16CCD">
        <w:t xml:space="preserve"> </w:t>
      </w:r>
      <w:r w:rsidR="00AC6D18">
        <w:t>antimicrobial</w:t>
      </w:r>
      <w:r w:rsidR="00F16CCD">
        <w:t xml:space="preserve"> agent. </w:t>
      </w:r>
    </w:p>
    <w:p w14:paraId="7DBF2B68" w14:textId="62307745" w:rsidR="001C6F40" w:rsidRDefault="001C6F40" w:rsidP="001C6F40">
      <w:pPr>
        <w:pStyle w:val="Heading3"/>
      </w:pPr>
      <w:bookmarkStart w:id="22" w:name="_Toc45633421"/>
      <w:bookmarkStart w:id="23" w:name="_Toc94800123"/>
      <w:r>
        <w:t>1.3.2</w:t>
      </w:r>
      <w:r w:rsidR="0063678C">
        <w:tab/>
      </w:r>
      <w:r>
        <w:t>Identity and purity requirements</w:t>
      </w:r>
      <w:bookmarkEnd w:id="22"/>
      <w:bookmarkEnd w:id="23"/>
    </w:p>
    <w:p w14:paraId="0D7A5E55" w14:textId="77777777" w:rsidR="00F16CCD" w:rsidRDefault="00F16CCD" w:rsidP="001C6F40">
      <w:pPr>
        <w:rPr>
          <w:lang w:eastAsia="en-AU" w:bidi="ar-SA"/>
        </w:rPr>
      </w:pPr>
      <w:r w:rsidRPr="00F16CCD">
        <w:rPr>
          <w:lang w:eastAsia="en-AU" w:bidi="ar-SA"/>
        </w:rPr>
        <w:t xml:space="preserve">Paragraph 1.1.1—15(1)(b) requires substances used as processing aids in food to comply with any relevant identity and purity specifications listed in Schedule 3. </w:t>
      </w:r>
    </w:p>
    <w:p w14:paraId="7F1730F2" w14:textId="77777777" w:rsidR="00F16CCD" w:rsidRDefault="00F16CCD" w:rsidP="001C6F40">
      <w:pPr>
        <w:rPr>
          <w:lang w:eastAsia="en-AU" w:bidi="ar-SA"/>
        </w:rPr>
      </w:pPr>
    </w:p>
    <w:p w14:paraId="29F12314" w14:textId="204753C6" w:rsidR="001C6F40" w:rsidRPr="00131C66" w:rsidRDefault="00C675D9" w:rsidP="001C6F40">
      <w:pPr>
        <w:rPr>
          <w:lang w:eastAsia="en-AU" w:bidi="ar-SA"/>
        </w:rPr>
      </w:pPr>
      <w:r w:rsidRPr="00C675D9">
        <w:rPr>
          <w:lang w:eastAsia="en-AU" w:bidi="ar-SA"/>
        </w:rPr>
        <w:t xml:space="preserve">Subsection S3—2(1) </w:t>
      </w:r>
      <w:r w:rsidR="008A0C08" w:rsidRPr="00884684">
        <w:rPr>
          <w:lang w:eastAsia="en-AU" w:bidi="ar-SA"/>
        </w:rPr>
        <w:t xml:space="preserve">and </w:t>
      </w:r>
      <w:r w:rsidR="003E4535">
        <w:rPr>
          <w:lang w:eastAsia="en-AU" w:bidi="ar-SA"/>
        </w:rPr>
        <w:t>s</w:t>
      </w:r>
      <w:r w:rsidR="003E4535" w:rsidRPr="00884684">
        <w:rPr>
          <w:lang w:eastAsia="en-AU" w:bidi="ar-SA"/>
        </w:rPr>
        <w:t xml:space="preserve">ection </w:t>
      </w:r>
      <w:r w:rsidR="008A0C08" w:rsidRPr="00884684">
        <w:rPr>
          <w:lang w:eastAsia="en-AU" w:bidi="ar-SA"/>
        </w:rPr>
        <w:t>S3</w:t>
      </w:r>
      <w:r>
        <w:rPr>
          <w:lang w:eastAsia="en-AU" w:bidi="ar-SA"/>
        </w:rPr>
        <w:t>—</w:t>
      </w:r>
      <w:r w:rsidR="008A0C08" w:rsidRPr="00884684">
        <w:rPr>
          <w:lang w:eastAsia="en-AU" w:bidi="ar-SA"/>
        </w:rPr>
        <w:t xml:space="preserve">3 set out specifications </w:t>
      </w:r>
      <w:r w:rsidR="003E4535">
        <w:rPr>
          <w:lang w:eastAsia="en-AU" w:bidi="ar-SA"/>
        </w:rPr>
        <w:t xml:space="preserve">for substances </w:t>
      </w:r>
      <w:r w:rsidR="008A0C08" w:rsidRPr="00884684">
        <w:rPr>
          <w:lang w:eastAsia="en-AU" w:bidi="ar-SA"/>
        </w:rPr>
        <w:t>in primary and secondary sources</w:t>
      </w:r>
      <w:r w:rsidR="0060305A">
        <w:rPr>
          <w:lang w:eastAsia="en-AU" w:bidi="ar-SA"/>
        </w:rPr>
        <w:t>,</w:t>
      </w:r>
      <w:r w:rsidR="003E4535">
        <w:rPr>
          <w:lang w:eastAsia="en-AU" w:bidi="ar-SA"/>
        </w:rPr>
        <w:t xml:space="preserve"> respectively</w:t>
      </w:r>
      <w:r w:rsidR="0060305A">
        <w:rPr>
          <w:lang w:eastAsia="en-AU" w:bidi="ar-SA"/>
        </w:rPr>
        <w:t>,</w:t>
      </w:r>
      <w:r w:rsidR="003E4535">
        <w:rPr>
          <w:lang w:eastAsia="en-AU" w:bidi="ar-SA"/>
        </w:rPr>
        <w:t xml:space="preserve"> for the purposes of </w:t>
      </w:r>
      <w:r w:rsidR="003E4535" w:rsidRPr="003E4535">
        <w:rPr>
          <w:lang w:eastAsia="en-AU" w:bidi="ar-SA"/>
        </w:rPr>
        <w:t>subsection 1.1.1—15(2)</w:t>
      </w:r>
      <w:r w:rsidR="008A0C08" w:rsidRPr="00884684">
        <w:rPr>
          <w:lang w:eastAsia="en-AU" w:bidi="ar-SA"/>
        </w:rPr>
        <w:t xml:space="preserve">. </w:t>
      </w:r>
      <w:r w:rsidR="007A7382" w:rsidRPr="00884684">
        <w:rPr>
          <w:lang w:eastAsia="en-AU" w:bidi="ar-SA"/>
        </w:rPr>
        <w:t>There is a specification</w:t>
      </w:r>
      <w:r w:rsidR="007A7382" w:rsidRPr="007A7382">
        <w:rPr>
          <w:lang w:eastAsia="en-AU" w:bidi="ar-SA"/>
        </w:rPr>
        <w:t xml:space="preserve"> for CPC in the Food Chemicals Codex (</w:t>
      </w:r>
      <w:r w:rsidR="003901D1" w:rsidRPr="003901D1">
        <w:rPr>
          <w:lang w:eastAsia="en-AU" w:bidi="ar-SA"/>
        </w:rPr>
        <w:t>United States Pharmacopeial Convention</w:t>
      </w:r>
      <w:r w:rsidR="00DF3CDD">
        <w:rPr>
          <w:lang w:eastAsia="en-AU" w:bidi="ar-SA"/>
        </w:rPr>
        <w:t>,</w:t>
      </w:r>
      <w:r w:rsidR="009E428B">
        <w:rPr>
          <w:lang w:eastAsia="en-AU" w:bidi="ar-SA"/>
        </w:rPr>
        <w:t xml:space="preserve"> </w:t>
      </w:r>
      <w:r w:rsidR="003901D1" w:rsidRPr="003901D1">
        <w:rPr>
          <w:lang w:eastAsia="en-AU" w:bidi="ar-SA"/>
        </w:rPr>
        <w:t>2020</w:t>
      </w:r>
      <w:r w:rsidR="003E4535" w:rsidRPr="007A7382">
        <w:rPr>
          <w:lang w:eastAsia="en-AU" w:bidi="ar-SA"/>
        </w:rPr>
        <w:t>)</w:t>
      </w:r>
      <w:r w:rsidR="003E4535">
        <w:rPr>
          <w:lang w:eastAsia="en-AU" w:bidi="ar-SA"/>
        </w:rPr>
        <w:t xml:space="preserve">, which </w:t>
      </w:r>
      <w:r w:rsidR="007A7382" w:rsidRPr="007A7382">
        <w:rPr>
          <w:lang w:eastAsia="en-AU" w:bidi="ar-SA"/>
        </w:rPr>
        <w:t xml:space="preserve">is a primary source of specifications listed in </w:t>
      </w:r>
      <w:r w:rsidR="003E4535">
        <w:rPr>
          <w:lang w:eastAsia="en-AU" w:bidi="ar-SA"/>
        </w:rPr>
        <w:t>paragraph</w:t>
      </w:r>
      <w:r w:rsidR="003E4535" w:rsidRPr="007A7382">
        <w:rPr>
          <w:lang w:eastAsia="en-AU" w:bidi="ar-SA"/>
        </w:rPr>
        <w:t xml:space="preserve"> </w:t>
      </w:r>
      <w:r w:rsidR="007A7382" w:rsidRPr="007A7382">
        <w:rPr>
          <w:lang w:eastAsia="en-AU" w:bidi="ar-SA"/>
        </w:rPr>
        <w:t>S3—2(1)(c) of the Code.</w:t>
      </w:r>
    </w:p>
    <w:p w14:paraId="00BD4411" w14:textId="2616265E" w:rsidR="001C6F40" w:rsidRDefault="001C6F40" w:rsidP="001C6F40">
      <w:pPr>
        <w:pStyle w:val="Heading3"/>
      </w:pPr>
      <w:bookmarkStart w:id="24" w:name="_Toc45633423"/>
      <w:bookmarkStart w:id="25" w:name="_Toc94800124"/>
      <w:r>
        <w:t>1.3.</w:t>
      </w:r>
      <w:r w:rsidR="004B0EB2">
        <w:t>3</w:t>
      </w:r>
      <w:r w:rsidR="0063678C">
        <w:tab/>
      </w:r>
      <w:r>
        <w:t>Labelling requirements</w:t>
      </w:r>
      <w:bookmarkEnd w:id="24"/>
      <w:bookmarkEnd w:id="25"/>
    </w:p>
    <w:p w14:paraId="77E8E33D" w14:textId="77777777" w:rsidR="001C6F40" w:rsidRDefault="001C6F40" w:rsidP="001C6F40">
      <w:pPr>
        <w:pStyle w:val="FSBullet1"/>
        <w:numPr>
          <w:ilvl w:val="0"/>
          <w:numId w:val="0"/>
        </w:numPr>
      </w:pPr>
      <w:r>
        <w:t>Subsection 1.1.1—10(8) requires that food for sale must comply with all relevant labelling requirements in the Code for that food.</w:t>
      </w:r>
    </w:p>
    <w:p w14:paraId="25E65F1C" w14:textId="77777777" w:rsidR="00C56545" w:rsidRDefault="00C56545" w:rsidP="00C56545"/>
    <w:p w14:paraId="7EE05C61" w14:textId="3CD7E3E9" w:rsidR="001C6F40" w:rsidRPr="00775E20" w:rsidRDefault="00C56545" w:rsidP="0053464E">
      <w:r>
        <w:t>Paragraphs 1.2.4—3(2)(d) and (e) exempt processing aids from the requirement to be declared in the statement of ingredients, unless other requirements prevail</w:t>
      </w:r>
      <w:r w:rsidRPr="00775E20">
        <w:t>.</w:t>
      </w:r>
    </w:p>
    <w:p w14:paraId="62724F17" w14:textId="33139D13" w:rsidR="00F16CCD" w:rsidRDefault="00F16CCD" w:rsidP="00F16CCD">
      <w:pPr>
        <w:pStyle w:val="Heading2"/>
      </w:pPr>
      <w:bookmarkStart w:id="26" w:name="_Toc68767772"/>
      <w:bookmarkStart w:id="27" w:name="_Toc76539144"/>
      <w:bookmarkStart w:id="28" w:name="_Toc94800125"/>
      <w:r>
        <w:t>1.4</w:t>
      </w:r>
      <w:r>
        <w:tab/>
      </w:r>
      <w:r w:rsidR="00126F91">
        <w:t>O</w:t>
      </w:r>
      <w:r>
        <w:t>verseas approvals</w:t>
      </w:r>
      <w:bookmarkEnd w:id="26"/>
      <w:bookmarkEnd w:id="27"/>
      <w:bookmarkEnd w:id="28"/>
    </w:p>
    <w:p w14:paraId="7D9B78D1" w14:textId="7CD3C580" w:rsidR="001251D2" w:rsidRDefault="004D73C8" w:rsidP="004D73C8">
      <w:pPr>
        <w:pStyle w:val="Heading3"/>
      </w:pPr>
      <w:bookmarkStart w:id="29" w:name="_Toc94800126"/>
      <w:r>
        <w:t>1.4.</w:t>
      </w:r>
      <w:r w:rsidR="00126F91">
        <w:t>1</w:t>
      </w:r>
      <w:r>
        <w:tab/>
        <w:t>United States of America</w:t>
      </w:r>
      <w:bookmarkEnd w:id="29"/>
      <w:r>
        <w:t xml:space="preserve"> </w:t>
      </w:r>
    </w:p>
    <w:p w14:paraId="4C57F529" w14:textId="0679CAFD" w:rsidR="004D73C8" w:rsidRDefault="004D73C8" w:rsidP="00A37ED8">
      <w:r>
        <w:t xml:space="preserve">CPC is regulated in the </w:t>
      </w:r>
      <w:r w:rsidR="004B5EA7" w:rsidRPr="004B5EA7">
        <w:t>US Food and Drug Administration</w:t>
      </w:r>
      <w:r w:rsidR="004B5EA7">
        <w:t xml:space="preserve"> </w:t>
      </w:r>
      <w:r>
        <w:t>Code of Federal Regulations</w:t>
      </w:r>
      <w:r w:rsidR="004B5EA7">
        <w:t xml:space="preserve"> (2020)</w:t>
      </w:r>
      <w:r>
        <w:t xml:space="preserve">, </w:t>
      </w:r>
      <w:r w:rsidR="00775E20">
        <w:t>21</w:t>
      </w:r>
      <w:r>
        <w:t>CFR 173.375</w:t>
      </w:r>
      <w:r w:rsidR="004B5EA7" w:rsidRPr="004B5EA7">
        <w:t xml:space="preserve">, </w:t>
      </w:r>
      <w:r>
        <w:t xml:space="preserve">as a result of a petition from Safe Foods. It is permitted as an </w:t>
      </w:r>
      <w:r w:rsidR="00AC6D18">
        <w:t>antimicrobial</w:t>
      </w:r>
      <w:r>
        <w:t xml:space="preserve"> agent to treat the surface of raw poultry carcasses. The solution containing the CPC must also contain propylene glycol at a concentration of 1.5 times that of CPC. The additive may be used either as:</w:t>
      </w:r>
    </w:p>
    <w:p w14:paraId="193A8311" w14:textId="77777777" w:rsidR="004D73C8" w:rsidRDefault="004D73C8" w:rsidP="00A37ED8"/>
    <w:p w14:paraId="3A25EC14" w14:textId="77777777" w:rsidR="004D73C8" w:rsidRDefault="004D73C8" w:rsidP="004D73C8">
      <w:pPr>
        <w:pStyle w:val="FSBullet1"/>
      </w:pPr>
      <w:r>
        <w:t xml:space="preserve">a fine mist spray to carcasses prior to immersion in a chiller at a level not exceeding 0.3 gram CPC per pound of carcass provided it is used in systems that </w:t>
      </w:r>
      <w:r w:rsidRPr="004D73C8">
        <w:t>collect and recycle solution that is not carried out of the system with the treated poultry carcasses</w:t>
      </w:r>
    </w:p>
    <w:p w14:paraId="4C195EAA" w14:textId="44856C8C" w:rsidR="00DA13B4" w:rsidRDefault="004D73C8" w:rsidP="006D4F5E">
      <w:pPr>
        <w:pStyle w:val="FSBullet1"/>
      </w:pPr>
      <w:r w:rsidRPr="004D73C8">
        <w:t>a liquid solution applied to raw poultry carcasses either prior to or after chilling at an amount not to exceed 5 gallons</w:t>
      </w:r>
      <w:r w:rsidR="00CA6BC0">
        <w:rPr>
          <w:rStyle w:val="FootnoteReference"/>
        </w:rPr>
        <w:footnoteReference w:id="4"/>
      </w:r>
      <w:r w:rsidRPr="004D73C8">
        <w:t xml:space="preserve"> of solution per carcass, provided </w:t>
      </w:r>
      <w:r>
        <w:t xml:space="preserve">it is </w:t>
      </w:r>
      <w:r w:rsidRPr="004D73C8">
        <w:t>used in systems that recapture at least 99</w:t>
      </w:r>
      <w:r>
        <w:t>%</w:t>
      </w:r>
      <w:r w:rsidRPr="004D73C8">
        <w:t xml:space="preserve"> of the solution</w:t>
      </w:r>
      <w:r>
        <w:t xml:space="preserve">. </w:t>
      </w:r>
      <w:r w:rsidRPr="004D73C8">
        <w:t xml:space="preserve">The concentration of </w:t>
      </w:r>
      <w:r>
        <w:t xml:space="preserve">CPC </w:t>
      </w:r>
      <w:r w:rsidRPr="004D73C8">
        <w:t xml:space="preserve">in the solution </w:t>
      </w:r>
      <w:r>
        <w:t>must</w:t>
      </w:r>
      <w:r w:rsidRPr="004D73C8">
        <w:t xml:space="preserve"> not exceed 0.8</w:t>
      </w:r>
      <w:r>
        <w:t>% b</w:t>
      </w:r>
      <w:r w:rsidRPr="004D73C8">
        <w:t xml:space="preserve">y weight. When application of the </w:t>
      </w:r>
      <w:r w:rsidR="00261A30">
        <w:t>CPC</w:t>
      </w:r>
      <w:r w:rsidR="00261A30" w:rsidRPr="004D73C8">
        <w:t xml:space="preserve"> </w:t>
      </w:r>
      <w:r w:rsidRPr="004D73C8">
        <w:t xml:space="preserve">is not followed by immersion in a chiller, the </w:t>
      </w:r>
      <w:r>
        <w:t xml:space="preserve">carcass must be rinsed in </w:t>
      </w:r>
      <w:r w:rsidRPr="004D73C8">
        <w:t xml:space="preserve">potable water </w:t>
      </w:r>
      <w:r>
        <w:t xml:space="preserve">following treatment. </w:t>
      </w:r>
    </w:p>
    <w:p w14:paraId="4DA1FDE4" w14:textId="77777777" w:rsidR="001C7B26" w:rsidRPr="001C7B26" w:rsidRDefault="001C7B26" w:rsidP="001C7B26">
      <w:pPr>
        <w:rPr>
          <w:lang w:bidi="ar-SA"/>
        </w:rPr>
      </w:pPr>
    </w:p>
    <w:p w14:paraId="5F683A12" w14:textId="55197138" w:rsidR="006F3423" w:rsidRDefault="00D34068" w:rsidP="00A37ED8">
      <w:r>
        <w:t xml:space="preserve">The conditions </w:t>
      </w:r>
      <w:r w:rsidR="00CA6BC0">
        <w:t xml:space="preserve">outlined </w:t>
      </w:r>
      <w:r>
        <w:t>above were proposed in the petition by Safe Foods</w:t>
      </w:r>
      <w:r w:rsidR="003C754C">
        <w:t xml:space="preserve"> to the Food and Drug Administration (FDA)</w:t>
      </w:r>
      <w:r>
        <w:t xml:space="preserve">, with the maximum limit of solution </w:t>
      </w:r>
      <w:r w:rsidR="002A4206">
        <w:t xml:space="preserve">applied </w:t>
      </w:r>
      <w:r>
        <w:t xml:space="preserve">and </w:t>
      </w:r>
      <w:r w:rsidR="002A4206">
        <w:t xml:space="preserve">the </w:t>
      </w:r>
      <w:r>
        <w:t xml:space="preserve">rinse </w:t>
      </w:r>
      <w:r>
        <w:lastRenderedPageBreak/>
        <w:t xml:space="preserve">requirement due to concerns associated with residual </w:t>
      </w:r>
      <w:r w:rsidR="002A4206">
        <w:t xml:space="preserve">propylene glycol </w:t>
      </w:r>
      <w:r>
        <w:t>in treated poultry becoming a component of animal feed, in particular cat</w:t>
      </w:r>
      <w:r w:rsidR="002A4206">
        <w:t xml:space="preserve"> food</w:t>
      </w:r>
      <w:r>
        <w:t xml:space="preserve">. </w:t>
      </w:r>
    </w:p>
    <w:p w14:paraId="626E5B0C" w14:textId="2250247B" w:rsidR="00DF67FC" w:rsidRDefault="00DF67FC" w:rsidP="00A37ED8"/>
    <w:p w14:paraId="77944DFC" w14:textId="259E85DF" w:rsidR="00DF67FC" w:rsidRDefault="00DF67FC" w:rsidP="00A37ED8">
      <w:r>
        <w:t xml:space="preserve">Safe Foods has also provided FSANZ with a letter of no objection from the United States </w:t>
      </w:r>
      <w:r w:rsidRPr="00DF67FC">
        <w:t>Department of Agriculture, Food Safety and Inspection Service (FSIS)</w:t>
      </w:r>
      <w:r>
        <w:t xml:space="preserve"> </w:t>
      </w:r>
      <w:r w:rsidR="00172222">
        <w:t xml:space="preserve">(dated December 17, 2020) </w:t>
      </w:r>
      <w:r>
        <w:t>stating that FSIS had no objection to the application of CPC to skin-on and skinless raw poultry parts, under the amount and conditions specified in</w:t>
      </w:r>
      <w:r w:rsidR="00172222">
        <w:t xml:space="preserve"> the FSIS Directive 7120.1</w:t>
      </w:r>
      <w:r w:rsidR="00172222">
        <w:rPr>
          <w:rStyle w:val="FootnoteReference"/>
        </w:rPr>
        <w:footnoteReference w:id="5"/>
      </w:r>
      <w:r w:rsidR="00172222">
        <w:t xml:space="preserve"> and the </w:t>
      </w:r>
      <w:r w:rsidRPr="00DF67FC">
        <w:t>21CFR 173.375</w:t>
      </w:r>
      <w:r>
        <w:t xml:space="preserve">. </w:t>
      </w:r>
    </w:p>
    <w:p w14:paraId="09453E3A" w14:textId="43E113E6" w:rsidR="003E570C" w:rsidRDefault="00126F91" w:rsidP="003E570C">
      <w:pPr>
        <w:pStyle w:val="Heading3"/>
      </w:pPr>
      <w:bookmarkStart w:id="30" w:name="_Toc94800127"/>
      <w:r>
        <w:t>1.4.2</w:t>
      </w:r>
      <w:r w:rsidR="003E570C">
        <w:tab/>
        <w:t>Canada</w:t>
      </w:r>
      <w:bookmarkEnd w:id="30"/>
    </w:p>
    <w:p w14:paraId="00521128" w14:textId="15E5CE70" w:rsidR="003E570C" w:rsidRDefault="00CA6BC0" w:rsidP="00A37ED8">
      <w:r>
        <w:t>Safe Foods</w:t>
      </w:r>
      <w:r w:rsidR="009B1E65">
        <w:t xml:space="preserve"> provided a copy of a letter from Health Canada dated 2 December 2008, stating that based on information provided by </w:t>
      </w:r>
      <w:r>
        <w:t>Safe Foods</w:t>
      </w:r>
      <w:r w:rsidR="009B1E65">
        <w:t>, they would have no objection to the use of up to 1% CPC in an aqueous solution containing 1.5 times the weight of propylene glycol on raw poultry carcasses before or after air or immersion chilling of the carcasses, provid</w:t>
      </w:r>
      <w:r w:rsidR="00DB16AA">
        <w:t>ing</w:t>
      </w:r>
      <w:r w:rsidR="009B1E65">
        <w:t xml:space="preserve"> certain conditions were met (</w:t>
      </w:r>
      <w:r w:rsidR="00EB781B">
        <w:t>to meet a specification, rinsing of carcasses after application</w:t>
      </w:r>
      <w:r w:rsidR="00EB781B" w:rsidRPr="00DB16AA">
        <w:t>, no violations of Section 4</w:t>
      </w:r>
      <w:r w:rsidR="00DB16AA" w:rsidRPr="00DB16AA">
        <w:t xml:space="preserve"> – Prohibited sales of food </w:t>
      </w:r>
      <w:r w:rsidR="00EB781B" w:rsidRPr="00DB16AA">
        <w:t xml:space="preserve">of </w:t>
      </w:r>
      <w:r w:rsidR="00DB16AA" w:rsidRPr="00DB16AA">
        <w:t xml:space="preserve">the </w:t>
      </w:r>
      <w:r w:rsidR="00EB781B" w:rsidRPr="00DB16AA">
        <w:t xml:space="preserve">Canadian </w:t>
      </w:r>
      <w:r w:rsidR="00EB781B" w:rsidRPr="00DB16AA">
        <w:rPr>
          <w:i/>
        </w:rPr>
        <w:t>Food and Drugs Act</w:t>
      </w:r>
      <w:r w:rsidR="00EB781B" w:rsidRPr="00DB16AA">
        <w:t xml:space="preserve"> and the CPC solution is</w:t>
      </w:r>
      <w:r w:rsidR="00EB781B">
        <w:t xml:space="preserve"> recaptured and recycled and safely disposed of according to the Cecure Recycling System). </w:t>
      </w:r>
    </w:p>
    <w:p w14:paraId="1FD8883C" w14:textId="59B0964E" w:rsidR="00F84203" w:rsidRDefault="003E570C" w:rsidP="003E570C">
      <w:pPr>
        <w:pStyle w:val="Heading3"/>
      </w:pPr>
      <w:bookmarkStart w:id="31" w:name="_Toc94800128"/>
      <w:r>
        <w:t>1.4.</w:t>
      </w:r>
      <w:r w:rsidR="00126F91">
        <w:t>3</w:t>
      </w:r>
      <w:r>
        <w:tab/>
        <w:t>Europe</w:t>
      </w:r>
      <w:bookmarkEnd w:id="31"/>
    </w:p>
    <w:p w14:paraId="4C980A20" w14:textId="25B6E096" w:rsidR="00F84203" w:rsidRDefault="00183EFD" w:rsidP="009B1E65">
      <w:r>
        <w:t>EFSA completed a</w:t>
      </w:r>
      <w:r w:rsidR="009B1E65">
        <w:t xml:space="preserve">n assessment of the safety and efficacy of </w:t>
      </w:r>
      <w:r w:rsidR="00CA6BC0">
        <w:t>Safe Foods</w:t>
      </w:r>
      <w:r w:rsidR="00DB16AA">
        <w:t>’ CPC preparation</w:t>
      </w:r>
      <w:r>
        <w:t xml:space="preserve"> </w:t>
      </w:r>
      <w:r w:rsidR="009B1E65">
        <w:t xml:space="preserve">following an application </w:t>
      </w:r>
      <w:r w:rsidR="009B1E65" w:rsidRPr="009B1E65">
        <w:t xml:space="preserve">for approval of </w:t>
      </w:r>
      <w:r w:rsidR="00DB16AA">
        <w:t xml:space="preserve">that preparation </w:t>
      </w:r>
      <w:r w:rsidR="009B1E65" w:rsidRPr="009B1E65">
        <w:t>to be used for the removal of microbial surface contamination of raw poultry products</w:t>
      </w:r>
      <w:r w:rsidR="003442CB">
        <w:t xml:space="preserve"> (EFSA, 2012)</w:t>
      </w:r>
      <w:r w:rsidR="009B1E65">
        <w:t xml:space="preserve">. EFSA had no safety concerns for humans from the proposed use of </w:t>
      </w:r>
      <w:r w:rsidR="00DB16AA">
        <w:t xml:space="preserve">the CPC preparation </w:t>
      </w:r>
      <w:r w:rsidR="009B1E65">
        <w:t xml:space="preserve">and based on information </w:t>
      </w:r>
      <w:r w:rsidR="009B1E65" w:rsidRPr="009B1E65">
        <w:t xml:space="preserve">provided by </w:t>
      </w:r>
      <w:r w:rsidR="00CA6BC0">
        <w:t>Safe Foods</w:t>
      </w:r>
      <w:r w:rsidR="009B1E65" w:rsidRPr="009B1E65">
        <w:t xml:space="preserve">, both </w:t>
      </w:r>
      <w:r w:rsidR="00DB16AA">
        <w:t>the CPC preparation</w:t>
      </w:r>
      <w:r w:rsidR="009B1E65" w:rsidRPr="009B1E65">
        <w:t xml:space="preserve"> and CPC were found to be efficacious in reducing contamination with</w:t>
      </w:r>
      <w:r w:rsidR="009B1E65">
        <w:t xml:space="preserve"> </w:t>
      </w:r>
      <w:r w:rsidR="009B1E65" w:rsidRPr="009B1E65">
        <w:t xml:space="preserve">pathogenic microorganisms on fresh broiler carcasses. </w:t>
      </w:r>
      <w:r w:rsidR="009B1E65">
        <w:t xml:space="preserve">EFSA did however conclude that based on </w:t>
      </w:r>
      <w:r w:rsidR="009B1E65" w:rsidRPr="009B1E65">
        <w:t>the available</w:t>
      </w:r>
      <w:r w:rsidR="009B1E65">
        <w:t xml:space="preserve"> </w:t>
      </w:r>
      <w:r w:rsidR="009B1E65" w:rsidRPr="009B1E65">
        <w:t>limited data, the intended use of CPC in poultry slaughterhouses would pose risks for the environmental</w:t>
      </w:r>
      <w:r w:rsidR="009B1E65">
        <w:t xml:space="preserve"> </w:t>
      </w:r>
      <w:r w:rsidR="009B1E65" w:rsidRPr="009B1E65">
        <w:t xml:space="preserve">compartments surface water, sediment and soil. </w:t>
      </w:r>
    </w:p>
    <w:p w14:paraId="2E8E72AF" w14:textId="42D3BC6D" w:rsidR="005F51F2" w:rsidRDefault="005F51F2" w:rsidP="009B1E65"/>
    <w:p w14:paraId="4FF06EB3" w14:textId="4103375C" w:rsidR="005F51F2" w:rsidRDefault="005F51F2" w:rsidP="009B1E65">
      <w:r>
        <w:t xml:space="preserve">The use of </w:t>
      </w:r>
      <w:r w:rsidR="00DB16AA">
        <w:t>the CPC preparation</w:t>
      </w:r>
      <w:r>
        <w:t xml:space="preserve"> has not </w:t>
      </w:r>
      <w:r w:rsidR="00BD6E67">
        <w:t xml:space="preserve">yet </w:t>
      </w:r>
      <w:r>
        <w:t>subsequently been approved in Europe</w:t>
      </w:r>
      <w:r w:rsidR="00E5567D">
        <w:t xml:space="preserve">. </w:t>
      </w:r>
      <w:r w:rsidR="00135347">
        <w:t>Safe</w:t>
      </w:r>
      <w:r w:rsidR="00E5567D">
        <w:t xml:space="preserve"> </w:t>
      </w:r>
      <w:r w:rsidR="00135347">
        <w:t>F</w:t>
      </w:r>
      <w:r w:rsidR="00E5567D">
        <w:t>o</w:t>
      </w:r>
      <w:r w:rsidR="00135347">
        <w:t>ods ha</w:t>
      </w:r>
      <w:r w:rsidR="00E5567D">
        <w:t>s informed FSANZ that they ha</w:t>
      </w:r>
      <w:r w:rsidR="00135347">
        <w:t>ve been asked by EFSA to provide data regarding bacterial resistance to CPC (which has been provided to FSANZ) and data relating to environmental concerns</w:t>
      </w:r>
      <w:r w:rsidR="00E5567D">
        <w:t xml:space="preserve"> which they </w:t>
      </w:r>
      <w:r w:rsidR="003442CB">
        <w:t>were</w:t>
      </w:r>
      <w:r w:rsidR="00E5567D">
        <w:t xml:space="preserve"> fin</w:t>
      </w:r>
      <w:r w:rsidR="00410891">
        <w:t>alising before sending to EFSA.</w:t>
      </w:r>
      <w:r w:rsidR="00DA13B4" w:rsidRPr="00DA13B4">
        <w:t xml:space="preserve"> </w:t>
      </w:r>
      <w:r w:rsidR="00DA13B4">
        <w:t xml:space="preserve">FSANZ has considered the issue of bacterial resistance and concluded </w:t>
      </w:r>
      <w:r w:rsidR="00CF33A7">
        <w:t xml:space="preserve">that </w:t>
      </w:r>
      <w:r w:rsidR="00DA13B4" w:rsidRPr="00DA13B4">
        <w:t>the proposed use of CPC does not introduce an unacceptable risk of the development of antimicrobial resistance in the six pathogens tested</w:t>
      </w:r>
      <w:r w:rsidR="00CF33A7">
        <w:t xml:space="preserve"> (refer to Section 2.1.2 and SD1 for further detail). </w:t>
      </w:r>
    </w:p>
    <w:p w14:paraId="1085FAD9" w14:textId="51514A6E" w:rsidR="00F84203" w:rsidRDefault="003E570C" w:rsidP="003E570C">
      <w:pPr>
        <w:pStyle w:val="Heading3"/>
      </w:pPr>
      <w:bookmarkStart w:id="32" w:name="_Toc94800129"/>
      <w:r>
        <w:t>1.4.</w:t>
      </w:r>
      <w:r w:rsidR="00126F91">
        <w:t>4</w:t>
      </w:r>
      <w:r>
        <w:tab/>
        <w:t>Other countries</w:t>
      </w:r>
      <w:bookmarkEnd w:id="32"/>
    </w:p>
    <w:p w14:paraId="34F1EBB2" w14:textId="0D5CA094" w:rsidR="00A66C4F" w:rsidRDefault="009409F4" w:rsidP="003434F0">
      <w:r w:rsidRPr="009409F4">
        <w:t xml:space="preserve">Safe Foods </w:t>
      </w:r>
      <w:r w:rsidR="003434F0">
        <w:t>provided a list of countries that have approved the use of their C</w:t>
      </w:r>
      <w:r w:rsidR="00DB16AA">
        <w:t>PC preparation</w:t>
      </w:r>
      <w:r w:rsidR="0088532B">
        <w:t xml:space="preserve"> </w:t>
      </w:r>
      <w:r w:rsidR="003434F0">
        <w:t>including Mexico, Panama, Costa Rica, Colombia, Israel, Peru, Russia, South Africa, Saudi Arabia and Jordan</w:t>
      </w:r>
      <w:r w:rsidR="00410891">
        <w:t>.</w:t>
      </w:r>
    </w:p>
    <w:p w14:paraId="23097E81" w14:textId="77777777" w:rsidR="00CF33A7" w:rsidRDefault="00CF33A7">
      <w:pPr>
        <w:widowControl/>
        <w:rPr>
          <w:rFonts w:cs="Arial"/>
          <w:b/>
          <w:bCs/>
          <w:sz w:val="28"/>
          <w:szCs w:val="22"/>
          <w:u w:color="FFFF00"/>
          <w:lang w:bidi="ar-SA"/>
        </w:rPr>
      </w:pPr>
      <w:bookmarkStart w:id="33" w:name="_Toc286391007"/>
      <w:bookmarkStart w:id="34" w:name="_Toc300933423"/>
      <w:bookmarkStart w:id="35" w:name="_Toc175381432"/>
      <w:r>
        <w:rPr>
          <w:u w:color="FFFF00"/>
        </w:rPr>
        <w:br w:type="page"/>
      </w:r>
    </w:p>
    <w:p w14:paraId="7EDDA0E4" w14:textId="24A32D31" w:rsidR="00AF387F" w:rsidRPr="000B6AF2" w:rsidRDefault="00F33BB8" w:rsidP="00D062E4">
      <w:pPr>
        <w:pStyle w:val="Heading2"/>
        <w:rPr>
          <w:u w:color="FFFF00"/>
        </w:rPr>
      </w:pPr>
      <w:bookmarkStart w:id="36" w:name="_Toc94800130"/>
      <w:r>
        <w:rPr>
          <w:u w:color="FFFF00"/>
        </w:rPr>
        <w:lastRenderedPageBreak/>
        <w:t>1</w:t>
      </w:r>
      <w:r w:rsidR="00606C88">
        <w:rPr>
          <w:u w:color="FFFF00"/>
        </w:rPr>
        <w:t>.</w:t>
      </w:r>
      <w:r w:rsidR="0042172C">
        <w:rPr>
          <w:u w:color="FFFF00"/>
        </w:rPr>
        <w:t>5</w:t>
      </w:r>
      <w:r w:rsidR="001542D8">
        <w:rPr>
          <w:u w:color="FFFF00"/>
        </w:rPr>
        <w:tab/>
      </w:r>
      <w:r w:rsidR="00741EFE">
        <w:rPr>
          <w:u w:color="FFFF00"/>
        </w:rPr>
        <w:t xml:space="preserve">Reasons for </w:t>
      </w:r>
      <w:r w:rsidR="00741EFE" w:rsidRPr="00A37ED8">
        <w:rPr>
          <w:u w:color="FFFF00"/>
        </w:rPr>
        <w:t xml:space="preserve">accepting </w:t>
      </w:r>
      <w:r w:rsidR="00A37ED8" w:rsidRPr="00A37ED8">
        <w:rPr>
          <w:u w:color="FFFF00"/>
        </w:rPr>
        <w:t>the a</w:t>
      </w:r>
      <w:r w:rsidR="00AF387F" w:rsidRPr="00A37ED8">
        <w:rPr>
          <w:u w:color="FFFF00"/>
        </w:rPr>
        <w:t>pplication</w:t>
      </w:r>
      <w:bookmarkEnd w:id="33"/>
      <w:bookmarkEnd w:id="34"/>
      <w:bookmarkEnd w:id="36"/>
    </w:p>
    <w:p w14:paraId="62EA0347" w14:textId="580B8880" w:rsidR="00A37ED8" w:rsidRDefault="00180C41" w:rsidP="0076051A">
      <w:bookmarkStart w:id="37" w:name="_Toc286391008"/>
      <w:bookmarkStart w:id="38" w:name="_Toc11735630"/>
      <w:bookmarkStart w:id="39" w:name="_Toc29883114"/>
      <w:bookmarkStart w:id="40" w:name="_Toc41906801"/>
      <w:bookmarkStart w:id="41" w:name="_Toc41907548"/>
      <w:bookmarkStart w:id="42" w:name="_Toc120358578"/>
      <w:bookmarkStart w:id="43" w:name="_Toc175381435"/>
      <w:bookmarkEnd w:id="4"/>
      <w:bookmarkEnd w:id="5"/>
      <w:bookmarkEnd w:id="6"/>
      <w:bookmarkEnd w:id="7"/>
      <w:bookmarkEnd w:id="8"/>
      <w:bookmarkEnd w:id="35"/>
      <w:r w:rsidRPr="00A37ED8">
        <w:t xml:space="preserve">The </w:t>
      </w:r>
      <w:r w:rsidR="008A0C08" w:rsidRPr="00A37ED8">
        <w:t>a</w:t>
      </w:r>
      <w:r w:rsidRPr="00A37ED8">
        <w:t xml:space="preserve">pplication was accepted for assessment </w:t>
      </w:r>
      <w:r w:rsidR="00741EFE" w:rsidRPr="00A37ED8">
        <w:t>because</w:t>
      </w:r>
      <w:r w:rsidRPr="00A37ED8">
        <w:t>:</w:t>
      </w:r>
    </w:p>
    <w:p w14:paraId="4D808DEF" w14:textId="77777777" w:rsidR="00AD4FC3" w:rsidRPr="00A37ED8" w:rsidRDefault="00AD4FC3" w:rsidP="0076051A"/>
    <w:p w14:paraId="1F1DDA9E" w14:textId="104A6E1D" w:rsidR="00180C41" w:rsidRPr="00A37ED8" w:rsidRDefault="00741EFE" w:rsidP="00AD4FC3">
      <w:pPr>
        <w:pStyle w:val="FSBullet1"/>
      </w:pPr>
      <w:r w:rsidRPr="00A37ED8">
        <w:t>it complied</w:t>
      </w:r>
      <w:r w:rsidR="00180C41" w:rsidRPr="00A37ED8">
        <w:t xml:space="preserve"> with the procedural requirements under s</w:t>
      </w:r>
      <w:r w:rsidR="00944BA4" w:rsidRPr="00A37ED8">
        <w:t>ubsection</w:t>
      </w:r>
      <w:r w:rsidR="00180C41" w:rsidRPr="00A37ED8">
        <w:t xml:space="preserve"> 22(2)</w:t>
      </w:r>
      <w:r w:rsidR="00A37ED8" w:rsidRPr="00A37ED8">
        <w:t xml:space="preserve"> of the </w:t>
      </w:r>
      <w:r w:rsidR="00A37ED8" w:rsidRPr="00AD4FC3">
        <w:rPr>
          <w:i/>
        </w:rPr>
        <w:t xml:space="preserve">Food Standards Australia New Zealand Act 1991 </w:t>
      </w:r>
      <w:r w:rsidR="00A37ED8" w:rsidRPr="00A37ED8">
        <w:t>(FSANZ Act</w:t>
      </w:r>
      <w:r w:rsidR="007B49C3">
        <w:t>)</w:t>
      </w:r>
    </w:p>
    <w:p w14:paraId="6512BA87" w14:textId="2764F95C" w:rsidR="00DE79D9" w:rsidRPr="00AD4FC3" w:rsidRDefault="00741EFE" w:rsidP="00126F91">
      <w:pPr>
        <w:pStyle w:val="FSBullet1"/>
      </w:pPr>
      <w:r w:rsidRPr="00AD4FC3">
        <w:t xml:space="preserve">it related to a matter that warranted </w:t>
      </w:r>
      <w:r w:rsidR="00180C41" w:rsidRPr="00AD4FC3">
        <w:t>the variation of a food regulatory measure</w:t>
      </w:r>
      <w:r w:rsidR="00A37ED8" w:rsidRPr="00AD4FC3">
        <w:t>.</w:t>
      </w:r>
    </w:p>
    <w:p w14:paraId="57C5F484" w14:textId="7ED2FBAA" w:rsidR="00DE79D9" w:rsidRDefault="00D3171B" w:rsidP="0076051A">
      <w:pPr>
        <w:pStyle w:val="Heading2"/>
        <w:ind w:left="0" w:firstLine="0"/>
      </w:pPr>
      <w:bookmarkStart w:id="44" w:name="_Toc94800131"/>
      <w:r>
        <w:t>1</w:t>
      </w:r>
      <w:r w:rsidR="00606C88">
        <w:t>.</w:t>
      </w:r>
      <w:r w:rsidR="0042172C">
        <w:t>6</w:t>
      </w:r>
      <w:r w:rsidR="00DE79D9">
        <w:tab/>
        <w:t>Procedure for assessment</w:t>
      </w:r>
      <w:bookmarkEnd w:id="44"/>
    </w:p>
    <w:p w14:paraId="6DA0FEB2" w14:textId="2C49DE2E" w:rsidR="00DE79D9" w:rsidRDefault="00DE79D9" w:rsidP="00180C41">
      <w:r w:rsidRPr="00932F14">
        <w:t xml:space="preserve">The </w:t>
      </w:r>
      <w:r w:rsidR="00A37ED8" w:rsidRPr="00A37ED8">
        <w:t>a</w:t>
      </w:r>
      <w:r w:rsidRPr="00A37ED8">
        <w:t xml:space="preserve">pplication is being assessed under the </w:t>
      </w:r>
      <w:r w:rsidR="00AD4FC3">
        <w:t>G</w:t>
      </w:r>
      <w:r w:rsidRPr="00A37ED8">
        <w:t xml:space="preserve">eneral </w:t>
      </w:r>
      <w:r w:rsidR="00AD4FC3">
        <w:t>P</w:t>
      </w:r>
      <w:r w:rsidRPr="00932F14">
        <w:t>rocedure</w:t>
      </w:r>
      <w:r w:rsidR="00AD4FC3">
        <w:t xml:space="preserve"> in the FSANZ Act. </w:t>
      </w:r>
    </w:p>
    <w:p w14:paraId="41A5A7E0" w14:textId="77777777" w:rsidR="003442CB" w:rsidRPr="00D062E4" w:rsidRDefault="003442CB" w:rsidP="00180C41"/>
    <w:p w14:paraId="5457D9EA" w14:textId="05EBFAB2" w:rsidR="00AF387F" w:rsidRDefault="00D3171B" w:rsidP="00180C41">
      <w:pPr>
        <w:pStyle w:val="Heading1"/>
      </w:pPr>
      <w:bookmarkStart w:id="45" w:name="_Toc300933424"/>
      <w:bookmarkStart w:id="46" w:name="_Toc94800132"/>
      <w:r>
        <w:t>2</w:t>
      </w:r>
      <w:r w:rsidR="001542D8">
        <w:tab/>
      </w:r>
      <w:r w:rsidR="00350DBD">
        <w:t>S</w:t>
      </w:r>
      <w:r w:rsidR="00FB1533">
        <w:t>ummary of the a</w:t>
      </w:r>
      <w:r w:rsidR="00FD2FBE">
        <w:t>ssessment</w:t>
      </w:r>
      <w:bookmarkEnd w:id="37"/>
      <w:bookmarkEnd w:id="45"/>
      <w:bookmarkEnd w:id="46"/>
    </w:p>
    <w:p w14:paraId="48FD3609" w14:textId="26366D8A" w:rsidR="007F57CD" w:rsidRDefault="007F57CD" w:rsidP="00C73CFB">
      <w:pPr>
        <w:pStyle w:val="Heading2"/>
      </w:pPr>
      <w:bookmarkStart w:id="47" w:name="_Toc94800133"/>
      <w:r>
        <w:t xml:space="preserve">2.1 </w:t>
      </w:r>
      <w:r w:rsidR="006D4FDA">
        <w:t>Food technology and risk</w:t>
      </w:r>
      <w:r w:rsidR="003264C7">
        <w:t xml:space="preserve"> </w:t>
      </w:r>
      <w:r>
        <w:t>assessment</w:t>
      </w:r>
      <w:bookmarkEnd w:id="47"/>
    </w:p>
    <w:p w14:paraId="4DE394D7" w14:textId="77777777" w:rsidR="003A2114" w:rsidRDefault="003A2114" w:rsidP="003A2114">
      <w:pPr>
        <w:rPr>
          <w:lang w:bidi="ar-SA"/>
        </w:rPr>
      </w:pPr>
      <w:r>
        <w:rPr>
          <w:lang w:bidi="ar-SA"/>
        </w:rPr>
        <w:t xml:space="preserve">FSANZ has undertaken an assessment to determine whether CPC achieves the technological purpose, as a processing aid, of an antimicrobial treatment for raw poultry and to identify any potential public health and safety concerns associated with its use.  </w:t>
      </w:r>
    </w:p>
    <w:p w14:paraId="2ED1CE27" w14:textId="77777777" w:rsidR="003A2114" w:rsidRDefault="003A2114" w:rsidP="003A2114">
      <w:pPr>
        <w:rPr>
          <w:lang w:bidi="ar-SA"/>
        </w:rPr>
      </w:pPr>
    </w:p>
    <w:p w14:paraId="149E929F" w14:textId="41DE8409" w:rsidR="003A2114" w:rsidRDefault="003A2114" w:rsidP="003A2114">
      <w:pPr>
        <w:rPr>
          <w:lang w:bidi="ar-SA"/>
        </w:rPr>
      </w:pPr>
      <w:r>
        <w:rPr>
          <w:lang w:bidi="ar-SA"/>
        </w:rPr>
        <w:t>As an acceptable daily intake (ADI) for propylene glycol has been established by the Joint FAO/WHO Expert Committee on Food Additives (JECFA), an assessment of potential public and safety concerns in relation to propylene glycol from the use of the applicant’s CPC preparation was also undertaken.</w:t>
      </w:r>
    </w:p>
    <w:p w14:paraId="308DC0FD" w14:textId="77777777" w:rsidR="003A2114" w:rsidRDefault="003A2114" w:rsidP="00D41523">
      <w:pPr>
        <w:rPr>
          <w:lang w:bidi="ar-SA"/>
        </w:rPr>
      </w:pPr>
    </w:p>
    <w:p w14:paraId="7C9A7E26" w14:textId="02B01BA6" w:rsidR="003264C7" w:rsidRDefault="00A22F30" w:rsidP="00D41523">
      <w:pPr>
        <w:rPr>
          <w:lang w:bidi="ar-SA"/>
        </w:rPr>
      </w:pPr>
      <w:r>
        <w:rPr>
          <w:lang w:bidi="ar-SA"/>
        </w:rPr>
        <w:t xml:space="preserve">A summary of this assessment is provided below. </w:t>
      </w:r>
    </w:p>
    <w:p w14:paraId="12B39506" w14:textId="04FE4E75" w:rsidR="003264C7" w:rsidRDefault="003264C7" w:rsidP="003264C7">
      <w:pPr>
        <w:pStyle w:val="Heading3"/>
      </w:pPr>
      <w:bookmarkStart w:id="48" w:name="_Toc94800134"/>
      <w:r>
        <w:t>2.1.1</w:t>
      </w:r>
      <w:r>
        <w:tab/>
        <w:t>Technical assessment</w:t>
      </w:r>
      <w:bookmarkEnd w:id="48"/>
    </w:p>
    <w:p w14:paraId="29541AB6" w14:textId="2B602978" w:rsidR="003442CB" w:rsidRDefault="003442CB" w:rsidP="003442CB">
      <w:pPr>
        <w:rPr>
          <w:lang w:eastAsia="en-AU" w:bidi="ar-SA"/>
        </w:rPr>
      </w:pPr>
      <w:r w:rsidRPr="00C37810">
        <w:rPr>
          <w:lang w:eastAsia="en-AU" w:bidi="ar-SA"/>
        </w:rPr>
        <w:t xml:space="preserve">Raw poultry </w:t>
      </w:r>
      <w:r w:rsidR="00537B58">
        <w:rPr>
          <w:lang w:eastAsia="en-AU" w:bidi="ar-SA"/>
        </w:rPr>
        <w:t xml:space="preserve">inherently </w:t>
      </w:r>
      <w:r w:rsidRPr="00C37810">
        <w:rPr>
          <w:lang w:eastAsia="en-AU" w:bidi="ar-SA"/>
        </w:rPr>
        <w:t>carr</w:t>
      </w:r>
      <w:r w:rsidR="00D7345B">
        <w:rPr>
          <w:lang w:eastAsia="en-AU" w:bidi="ar-SA"/>
        </w:rPr>
        <w:t>ies</w:t>
      </w:r>
      <w:r w:rsidRPr="00C37810">
        <w:rPr>
          <w:lang w:eastAsia="en-AU" w:bidi="ar-SA"/>
        </w:rPr>
        <w:t xml:space="preserve"> a wide range of microorganisms, some of which are potential human pathogens</w:t>
      </w:r>
      <w:r w:rsidR="00CA6BC0">
        <w:rPr>
          <w:lang w:eastAsia="en-AU" w:bidi="ar-SA"/>
        </w:rPr>
        <w:t xml:space="preserve">. </w:t>
      </w:r>
      <w:r>
        <w:rPr>
          <w:lang w:eastAsia="en-AU" w:bidi="ar-SA"/>
        </w:rPr>
        <w:t xml:space="preserve">Analysis of the evidence provides adequate assurance that the application of CPC </w:t>
      </w:r>
      <w:r w:rsidR="00D7345B">
        <w:rPr>
          <w:lang w:eastAsia="en-AU" w:bidi="ar-SA"/>
        </w:rPr>
        <w:t xml:space="preserve">to the surface of skin-on raw poultry carcasses and pieces </w:t>
      </w:r>
      <w:r>
        <w:rPr>
          <w:lang w:eastAsia="en-AU" w:bidi="ar-SA"/>
        </w:rPr>
        <w:t>at</w:t>
      </w:r>
      <w:r w:rsidRPr="005F597D">
        <w:t xml:space="preserve"> </w:t>
      </w:r>
      <w:r w:rsidRPr="005F597D">
        <w:rPr>
          <w:lang w:eastAsia="en-AU" w:bidi="ar-SA"/>
        </w:rPr>
        <w:t xml:space="preserve">levels ranging from 0.1 to </w:t>
      </w:r>
      <w:r w:rsidR="00CB40D3">
        <w:rPr>
          <w:lang w:eastAsia="en-AU" w:bidi="ar-SA"/>
        </w:rPr>
        <w:t>1% (w/v)</w:t>
      </w:r>
      <w:r w:rsidR="00D7345B">
        <w:rPr>
          <w:lang w:eastAsia="en-AU" w:bidi="ar-SA"/>
        </w:rPr>
        <w:t xml:space="preserve"> in the wash solution</w:t>
      </w:r>
      <w:r>
        <w:rPr>
          <w:lang w:eastAsia="en-AU" w:bidi="ar-SA"/>
        </w:rPr>
        <w:t xml:space="preserve"> can effectively reduce </w:t>
      </w:r>
      <w:r w:rsidR="001F7871" w:rsidRPr="001F7871">
        <w:rPr>
          <w:lang w:eastAsia="en-AU" w:bidi="ar-SA"/>
        </w:rPr>
        <w:t>the prevalence and levels of microorganisms, including relevant pathogens</w:t>
      </w:r>
      <w:r>
        <w:rPr>
          <w:lang w:eastAsia="en-AU" w:bidi="ar-SA"/>
        </w:rPr>
        <w:t>.</w:t>
      </w:r>
      <w:r w:rsidRPr="00C37810">
        <w:rPr>
          <w:lang w:eastAsia="en-AU" w:bidi="ar-SA"/>
        </w:rPr>
        <w:t xml:space="preserve"> </w:t>
      </w:r>
      <w:r>
        <w:rPr>
          <w:lang w:eastAsia="en-AU" w:bidi="ar-SA"/>
        </w:rPr>
        <w:t xml:space="preserve">FSANZ therefore concludes that the proposed use of CPC as an </w:t>
      </w:r>
      <w:r w:rsidR="00AC6D18">
        <w:rPr>
          <w:lang w:eastAsia="en-AU" w:bidi="ar-SA"/>
        </w:rPr>
        <w:t>antimicrobial</w:t>
      </w:r>
      <w:r>
        <w:rPr>
          <w:lang w:eastAsia="en-AU" w:bidi="ar-SA"/>
        </w:rPr>
        <w:t xml:space="preserve"> agent for </w:t>
      </w:r>
      <w:r w:rsidR="00D7345B">
        <w:rPr>
          <w:lang w:eastAsia="en-AU" w:bidi="ar-SA"/>
        </w:rPr>
        <w:t xml:space="preserve">skin-on </w:t>
      </w:r>
      <w:r>
        <w:rPr>
          <w:lang w:eastAsia="en-AU" w:bidi="ar-SA"/>
        </w:rPr>
        <w:t xml:space="preserve">raw poultry is technologically justified. </w:t>
      </w:r>
    </w:p>
    <w:p w14:paraId="1A9174E3" w14:textId="77777777" w:rsidR="003442CB" w:rsidRDefault="003442CB" w:rsidP="003442CB">
      <w:pPr>
        <w:rPr>
          <w:lang w:eastAsia="en-AU" w:bidi="ar-SA"/>
        </w:rPr>
      </w:pPr>
    </w:p>
    <w:p w14:paraId="593DE7DA" w14:textId="5C9CDA21" w:rsidR="003442CB" w:rsidRDefault="003442CB" w:rsidP="003442CB">
      <w:pPr>
        <w:rPr>
          <w:lang w:eastAsia="en-AU" w:bidi="ar-SA"/>
        </w:rPr>
      </w:pPr>
      <w:r w:rsidRPr="00795D70">
        <w:rPr>
          <w:lang w:eastAsia="en-AU" w:bidi="ar-SA"/>
        </w:rPr>
        <w:t xml:space="preserve">As CPC performs </w:t>
      </w:r>
      <w:r>
        <w:rPr>
          <w:lang w:eastAsia="en-AU" w:bidi="ar-SA"/>
        </w:rPr>
        <w:t xml:space="preserve">the </w:t>
      </w:r>
      <w:r w:rsidR="00AC6D18">
        <w:rPr>
          <w:lang w:eastAsia="en-AU" w:bidi="ar-SA"/>
        </w:rPr>
        <w:t>antimicrobial</w:t>
      </w:r>
      <w:r>
        <w:rPr>
          <w:lang w:eastAsia="en-AU" w:bidi="ar-SA"/>
        </w:rPr>
        <w:t xml:space="preserve"> </w:t>
      </w:r>
      <w:r w:rsidRPr="00795D70">
        <w:rPr>
          <w:lang w:eastAsia="en-AU" w:bidi="ar-SA"/>
        </w:rPr>
        <w:t xml:space="preserve">function </w:t>
      </w:r>
      <w:r>
        <w:rPr>
          <w:lang w:eastAsia="en-AU" w:bidi="ar-SA"/>
        </w:rPr>
        <w:t>at the time of treatment (during</w:t>
      </w:r>
      <w:r w:rsidRPr="00795D70">
        <w:rPr>
          <w:lang w:eastAsia="en-AU" w:bidi="ar-SA"/>
        </w:rPr>
        <w:t xml:space="preserve"> the processing of poultry</w:t>
      </w:r>
      <w:r>
        <w:rPr>
          <w:lang w:eastAsia="en-AU" w:bidi="ar-SA"/>
        </w:rPr>
        <w:t>)</w:t>
      </w:r>
      <w:r w:rsidRPr="00795D70">
        <w:rPr>
          <w:lang w:eastAsia="en-AU" w:bidi="ar-SA"/>
        </w:rPr>
        <w:t xml:space="preserve"> and does not perform a technological </w:t>
      </w:r>
      <w:r w:rsidRPr="00C37810">
        <w:rPr>
          <w:lang w:eastAsia="en-AU" w:bidi="ar-SA"/>
        </w:rPr>
        <w:t>purpose in the food for sale, it</w:t>
      </w:r>
      <w:r w:rsidRPr="00795D70">
        <w:rPr>
          <w:lang w:eastAsia="en-AU" w:bidi="ar-SA"/>
        </w:rPr>
        <w:t xml:space="preserve"> functions as a processing aid as defined in the Code.</w:t>
      </w:r>
    </w:p>
    <w:p w14:paraId="36F489A9" w14:textId="77777777" w:rsidR="003442CB" w:rsidRDefault="003442CB" w:rsidP="003442CB">
      <w:pPr>
        <w:rPr>
          <w:lang w:eastAsia="en-AU" w:bidi="ar-SA"/>
        </w:rPr>
      </w:pPr>
    </w:p>
    <w:p w14:paraId="5E51EEB6" w14:textId="6743162B" w:rsidR="003442CB" w:rsidRDefault="003442CB" w:rsidP="003442CB">
      <w:pPr>
        <w:rPr>
          <w:lang w:bidi="ar-SA"/>
        </w:rPr>
      </w:pPr>
      <w:r>
        <w:rPr>
          <w:lang w:bidi="ar-SA"/>
        </w:rPr>
        <w:t>There is a relevant specification for CPC in the Food Chemicals Codex (</w:t>
      </w:r>
      <w:r w:rsidR="00844BED" w:rsidRPr="00844BED">
        <w:rPr>
          <w:lang w:bidi="ar-SA"/>
        </w:rPr>
        <w:t>United States Pharmacopeial Convention</w:t>
      </w:r>
      <w:r w:rsidR="00DF3CDD">
        <w:rPr>
          <w:lang w:bidi="ar-SA"/>
        </w:rPr>
        <w:t>,</w:t>
      </w:r>
      <w:r>
        <w:rPr>
          <w:lang w:bidi="ar-SA"/>
        </w:rPr>
        <w:t xml:space="preserve"> </w:t>
      </w:r>
      <w:r w:rsidR="00346335">
        <w:rPr>
          <w:lang w:bidi="ar-SA"/>
        </w:rPr>
        <w:t>2020</w:t>
      </w:r>
      <w:r>
        <w:rPr>
          <w:lang w:bidi="ar-SA"/>
        </w:rPr>
        <w:t>), a primary source of specifications listed in Schedule 3 of the Code.</w:t>
      </w:r>
    </w:p>
    <w:p w14:paraId="445EA804" w14:textId="73463C49" w:rsidR="00CA6BC0" w:rsidRDefault="00CA6BC0" w:rsidP="003442CB">
      <w:pPr>
        <w:rPr>
          <w:lang w:bidi="ar-SA"/>
        </w:rPr>
      </w:pPr>
    </w:p>
    <w:p w14:paraId="70ADF14B" w14:textId="65A8B404" w:rsidR="00CF33A7" w:rsidRDefault="00CF33A7" w:rsidP="003442CB">
      <w:pPr>
        <w:rPr>
          <w:lang w:bidi="ar-SA"/>
        </w:rPr>
      </w:pPr>
      <w:r w:rsidRPr="001B1130">
        <w:rPr>
          <w:lang w:bidi="ar-SA"/>
        </w:rPr>
        <w:t xml:space="preserve">Propylene glycol is </w:t>
      </w:r>
      <w:r>
        <w:rPr>
          <w:lang w:bidi="ar-SA"/>
        </w:rPr>
        <w:t>added to</w:t>
      </w:r>
      <w:r w:rsidRPr="001B1130">
        <w:rPr>
          <w:lang w:bidi="ar-SA"/>
        </w:rPr>
        <w:t xml:space="preserve"> Safe Foods</w:t>
      </w:r>
      <w:r>
        <w:rPr>
          <w:lang w:bidi="ar-SA"/>
        </w:rPr>
        <w:t>’</w:t>
      </w:r>
      <w:r w:rsidRPr="001B1130">
        <w:rPr>
          <w:lang w:bidi="ar-SA"/>
        </w:rPr>
        <w:t xml:space="preserve"> CPC preparation </w:t>
      </w:r>
      <w:r>
        <w:t xml:space="preserve">to act as a </w:t>
      </w:r>
      <w:r w:rsidRPr="00D80D71">
        <w:t>wetting agent or humectant</w:t>
      </w:r>
      <w:r>
        <w:t xml:space="preserve"> in the processing of the CPC preparation</w:t>
      </w:r>
      <w:r w:rsidRPr="00D80D71">
        <w:t xml:space="preserve"> and to maintain solubility and stability</w:t>
      </w:r>
      <w:r>
        <w:t xml:space="preserve"> in the preparation after processing</w:t>
      </w:r>
      <w:r w:rsidRPr="001B1130">
        <w:rPr>
          <w:lang w:bidi="ar-SA"/>
        </w:rPr>
        <w:t xml:space="preserve">. </w:t>
      </w:r>
      <w:r w:rsidRPr="000B29DA">
        <w:rPr>
          <w:lang w:bidi="ar-SA"/>
        </w:rPr>
        <w:t>Propylene glycol is currently permitted for use both as a food additive permitted at GMP and as a processing aid</w:t>
      </w:r>
      <w:r>
        <w:rPr>
          <w:lang w:bidi="ar-SA"/>
        </w:rPr>
        <w:t>,</w:t>
      </w:r>
      <w:r w:rsidRPr="000B29DA">
        <w:rPr>
          <w:lang w:bidi="ar-SA"/>
        </w:rPr>
        <w:t xml:space="preserve"> in</w:t>
      </w:r>
      <w:r>
        <w:rPr>
          <w:lang w:bidi="ar-SA"/>
        </w:rPr>
        <w:t xml:space="preserve"> accordance with</w:t>
      </w:r>
      <w:r w:rsidRPr="000B29DA">
        <w:rPr>
          <w:lang w:bidi="ar-SA"/>
        </w:rPr>
        <w:t xml:space="preserve"> the Code.</w:t>
      </w:r>
    </w:p>
    <w:p w14:paraId="04559C6F" w14:textId="7046BBB7" w:rsidR="003264C7" w:rsidRDefault="003264C7" w:rsidP="003264C7">
      <w:pPr>
        <w:pStyle w:val="Heading3"/>
      </w:pPr>
      <w:bookmarkStart w:id="49" w:name="_Toc94800135"/>
      <w:r>
        <w:t>2.1.2</w:t>
      </w:r>
      <w:r>
        <w:tab/>
        <w:t>Risk assessment</w:t>
      </w:r>
      <w:bookmarkEnd w:id="49"/>
      <w:r>
        <w:t xml:space="preserve"> </w:t>
      </w:r>
    </w:p>
    <w:p w14:paraId="0BD89920" w14:textId="09085AF8" w:rsidR="003442CB" w:rsidRDefault="003442CB" w:rsidP="003442CB">
      <w:r>
        <w:t xml:space="preserve">Studies on the potential for the proposed use of CPC to engender resistance to the compound or cross resistance to </w:t>
      </w:r>
      <w:r w:rsidR="00AC6D18">
        <w:t>antimicrobial</w:t>
      </w:r>
      <w:r>
        <w:t xml:space="preserve"> compounds of importance to human health demonstrate that </w:t>
      </w:r>
      <w:r w:rsidRPr="009B2E62">
        <w:t xml:space="preserve">the proposed use of CPC does not introduce an unacceptable risk of the </w:t>
      </w:r>
      <w:r w:rsidRPr="009B2E62">
        <w:lastRenderedPageBreak/>
        <w:t xml:space="preserve">development of </w:t>
      </w:r>
      <w:r w:rsidR="00AC6D18">
        <w:t>antimicrobial</w:t>
      </w:r>
      <w:r w:rsidRPr="009B2E62">
        <w:t xml:space="preserve"> resistance</w:t>
      </w:r>
      <w:r>
        <w:t xml:space="preserve"> in the six pathogens tested: </w:t>
      </w:r>
      <w:r w:rsidRPr="009B2E62">
        <w:rPr>
          <w:i/>
        </w:rPr>
        <w:t>Salmonella</w:t>
      </w:r>
      <w:r>
        <w:t xml:space="preserve"> </w:t>
      </w:r>
      <w:r w:rsidRPr="00693103">
        <w:t>Typhimurium,</w:t>
      </w:r>
      <w:r>
        <w:t xml:space="preserve"> </w:t>
      </w:r>
      <w:r w:rsidRPr="009B2E62">
        <w:rPr>
          <w:i/>
        </w:rPr>
        <w:t>Staphylococcus aureus</w:t>
      </w:r>
      <w:r>
        <w:t xml:space="preserve">, </w:t>
      </w:r>
      <w:r w:rsidRPr="009B2E62">
        <w:rPr>
          <w:i/>
        </w:rPr>
        <w:t>Escherichia coli</w:t>
      </w:r>
      <w:r>
        <w:t xml:space="preserve">, </w:t>
      </w:r>
      <w:r w:rsidRPr="009B2E62">
        <w:rPr>
          <w:i/>
        </w:rPr>
        <w:t>Pseudomonas aeruginosa</w:t>
      </w:r>
      <w:r>
        <w:t xml:space="preserve">, </w:t>
      </w:r>
      <w:r w:rsidRPr="009B2E62">
        <w:rPr>
          <w:i/>
        </w:rPr>
        <w:t>Listeria monocytogenes</w:t>
      </w:r>
      <w:r>
        <w:t xml:space="preserve"> and </w:t>
      </w:r>
      <w:r w:rsidRPr="009B2E62">
        <w:rPr>
          <w:i/>
        </w:rPr>
        <w:t>Campylobacter jejuni</w:t>
      </w:r>
      <w:r>
        <w:t>.</w:t>
      </w:r>
    </w:p>
    <w:p w14:paraId="0F771D3F" w14:textId="77777777" w:rsidR="003442CB" w:rsidRDefault="003442CB" w:rsidP="003442CB">
      <w:pPr>
        <w:rPr>
          <w:lang w:bidi="ar-SA"/>
        </w:rPr>
      </w:pPr>
    </w:p>
    <w:p w14:paraId="67A9AB56" w14:textId="08DDC82E" w:rsidR="003442CB" w:rsidRDefault="003442CB" w:rsidP="003442CB">
      <w:pPr>
        <w:rPr>
          <w:lang w:bidi="ar-SA"/>
        </w:rPr>
      </w:pPr>
      <w:r>
        <w:rPr>
          <w:lang w:bidi="ar-SA"/>
        </w:rPr>
        <w:t xml:space="preserve">In short-term dietary toxicity studies of CPC in rats and dogs, reduced food consumption and decreased body weight and body weight gain were observed at higher concentrations. These effects may possibly be due to issues with palatability of the test item. </w:t>
      </w:r>
      <w:r w:rsidR="006C36A1" w:rsidRPr="001511FC">
        <w:rPr>
          <w:lang w:bidi="ar-SA"/>
        </w:rPr>
        <w:t>Increased caecum weights were observed in rats. The cause of this finding was unclear but it was not possible to definitively conclude that these changes were not treatment-related or adverse. In addition, haematological changes were observed in dogs. The no observed adverse effect level (NOAEL) in a 90-day dietary toxicity in dogs was 8 mg/kg bw/day.</w:t>
      </w:r>
      <w:r w:rsidR="00D942EA">
        <w:rPr>
          <w:lang w:bidi="ar-SA"/>
        </w:rPr>
        <w:t xml:space="preserve"> </w:t>
      </w:r>
    </w:p>
    <w:p w14:paraId="1CBB856A" w14:textId="77777777" w:rsidR="003442CB" w:rsidRDefault="003442CB" w:rsidP="003442CB">
      <w:pPr>
        <w:rPr>
          <w:lang w:bidi="ar-SA"/>
        </w:rPr>
      </w:pPr>
    </w:p>
    <w:p w14:paraId="60F9E290" w14:textId="0C94402E" w:rsidR="003442CB" w:rsidRDefault="003442CB" w:rsidP="003442CB">
      <w:pPr>
        <w:rPr>
          <w:lang w:bidi="ar-SA"/>
        </w:rPr>
      </w:pPr>
      <w:r w:rsidRPr="000745C8">
        <w:rPr>
          <w:i/>
          <w:lang w:bidi="ar-SA"/>
        </w:rPr>
        <w:t>I</w:t>
      </w:r>
      <w:r w:rsidRPr="005E7923">
        <w:rPr>
          <w:i/>
          <w:lang w:bidi="ar-SA"/>
        </w:rPr>
        <w:t>n vitro</w:t>
      </w:r>
      <w:r>
        <w:rPr>
          <w:lang w:bidi="ar-SA"/>
        </w:rPr>
        <w:t xml:space="preserve"> genotoxicity studies of the final CPC preparation found no evidence of mutagenicity or clastogenicity. Proprietary </w:t>
      </w:r>
      <w:r w:rsidRPr="00227665">
        <w:rPr>
          <w:i/>
          <w:lang w:bidi="ar-SA"/>
        </w:rPr>
        <w:t>in vitro</w:t>
      </w:r>
      <w:r>
        <w:rPr>
          <w:lang w:bidi="ar-SA"/>
        </w:rPr>
        <w:t xml:space="preserve"> and </w:t>
      </w:r>
      <w:r w:rsidRPr="00227665">
        <w:rPr>
          <w:i/>
          <w:lang w:bidi="ar-SA"/>
        </w:rPr>
        <w:t>in vivo</w:t>
      </w:r>
      <w:r>
        <w:rPr>
          <w:lang w:bidi="ar-SA"/>
        </w:rPr>
        <w:t xml:space="preserve"> genotoxicity studies of CPC unavailable to FSANZ were reviewed by the EU Scientific Committee on Consumer Safety (SCCS), and considered to demonstrate that CPC does not have genotoxic potential. No long-term studies of toxicity or carcinogenicity are available for review, but no histopathological changes indicative of </w:t>
      </w:r>
      <w:r>
        <w:t xml:space="preserve">lesions that could lead to neoplasia were identified in the short-term dietary toxicity studies reviewed by FSANZ. </w:t>
      </w:r>
    </w:p>
    <w:p w14:paraId="6D758AD9" w14:textId="77777777" w:rsidR="003442CB" w:rsidRDefault="003442CB" w:rsidP="003442CB">
      <w:pPr>
        <w:rPr>
          <w:lang w:bidi="ar-SA"/>
        </w:rPr>
      </w:pPr>
    </w:p>
    <w:p w14:paraId="515C8D2F" w14:textId="77777777" w:rsidR="003442CB" w:rsidRDefault="003442CB" w:rsidP="003442CB">
      <w:pPr>
        <w:rPr>
          <w:lang w:bidi="ar-SA"/>
        </w:rPr>
      </w:pPr>
      <w:r>
        <w:rPr>
          <w:lang w:bidi="ar-SA"/>
        </w:rPr>
        <w:t xml:space="preserve">Limited details summarising developmental toxicity studies of CPC in rats and rabbits were submitted to FSANZ. In addition, the EU SCCS review of CPC considered results of a proprietary developmental toxicity study in rats. These summaries state that no developmental toxicity was observed, but the full study reports were not available to FSANZ for evaluation. A summary of a combined developmental and reproductive toxicity study of a vinyl copolymer containing CPC in rats, conducted over three generations, states that no effects on fertility or developmental toxicity were observed. No histopathological changes in reproductive tissues were reported in the short-term dietary toxicity studies reviewed by FSANZ. </w:t>
      </w:r>
    </w:p>
    <w:p w14:paraId="66A122B5" w14:textId="77777777" w:rsidR="003442CB" w:rsidRDefault="003442CB" w:rsidP="003442CB">
      <w:pPr>
        <w:rPr>
          <w:lang w:bidi="ar-SA"/>
        </w:rPr>
      </w:pPr>
    </w:p>
    <w:p w14:paraId="4EBD6367" w14:textId="2042719D" w:rsidR="003442CB" w:rsidRDefault="003442CB" w:rsidP="003442CB">
      <w:pPr>
        <w:rPr>
          <w:lang w:bidi="ar-SA"/>
        </w:rPr>
      </w:pPr>
      <w:r>
        <w:rPr>
          <w:lang w:bidi="ar-SA"/>
        </w:rPr>
        <w:t xml:space="preserve">Given the limited data on long-term toxicity, carcinogenicity and developmental and reproductive toxicity available to FSANZ, it is not appropriate to establish a health-based guidance value (HBGV) for CPC. However, the NOAEL of 8 mg/kg bw/day identified in the 90-day dietary toxicity study in dogs is considered a suitable point of departure for use in a margin of exposure (MOE) assessment. This NOAEL is also protective of the changes observed in the rat studies. </w:t>
      </w:r>
    </w:p>
    <w:p w14:paraId="529B449A" w14:textId="77777777" w:rsidR="003442CB" w:rsidRDefault="003442CB" w:rsidP="003442CB">
      <w:pPr>
        <w:rPr>
          <w:lang w:bidi="ar-SA"/>
        </w:rPr>
      </w:pPr>
    </w:p>
    <w:p w14:paraId="29A3AE26" w14:textId="77777777" w:rsidR="003442CB" w:rsidRDefault="003442CB" w:rsidP="003442CB">
      <w:pPr>
        <w:rPr>
          <w:lang w:bidi="ar-SA"/>
        </w:rPr>
      </w:pPr>
      <w:r>
        <w:rPr>
          <w:lang w:bidi="ar-SA"/>
        </w:rPr>
        <w:t>For propylene glycol, an acceptable daily intake (ADI) of 0 – 25 mg/kg bw has been established by the Joint FAO/WHO Expert Committee on Food Additives (JECFA).</w:t>
      </w:r>
    </w:p>
    <w:p w14:paraId="075CB85B" w14:textId="77777777" w:rsidR="003442CB" w:rsidRDefault="003442CB" w:rsidP="003442CB"/>
    <w:p w14:paraId="0B1938A7" w14:textId="0D8404BC" w:rsidR="003442CB" w:rsidRDefault="003442CB" w:rsidP="003442CB">
      <w:r w:rsidRPr="00762650">
        <w:t>A dietary exposure assessment was undertaken for both CPC and propylene glycol</w:t>
      </w:r>
      <w:r>
        <w:t xml:space="preserve"> based on residue levels in poultry from use of </w:t>
      </w:r>
      <w:r w:rsidR="00CA6BC0">
        <w:t>Safe Foods</w:t>
      </w:r>
      <w:r>
        <w:t>’ CPC preparation</w:t>
      </w:r>
      <w:r w:rsidRPr="00762650">
        <w:t>.</w:t>
      </w:r>
      <w:r>
        <w:t xml:space="preserve"> The assessment for propylene glycol also included dietary exposure from existing food additive uses. For CPC, estimated dietary exposures ranged between 0.0025 and 0.014 mg/kg bw/day across mean and high (90</w:t>
      </w:r>
      <w:r w:rsidRPr="00AF4982">
        <w:rPr>
          <w:vertAlign w:val="superscript"/>
        </w:rPr>
        <w:t>th</w:t>
      </w:r>
      <w:r>
        <w:t xml:space="preserve"> percentile) exposures for all scenarios and Australian and New Zealand population groups assessed. When compared with the NOAEL, these dietary exposures equate to MOEs between 600 and 3200. </w:t>
      </w:r>
      <w:r w:rsidR="00D7557C">
        <w:rPr>
          <w:lang w:bidi="ar-SA"/>
        </w:rPr>
        <w:t>The MOEs are sufficiently large to account for the uncertainties in the database for CPC, and indicate that there are no safety concerns from the proposed use of CPC as a poultry treatment.</w:t>
      </w:r>
      <w:r>
        <w:t xml:space="preserve"> For propylene glycol, estimated dietary exposures from </w:t>
      </w:r>
      <w:r w:rsidR="00CA6BC0">
        <w:t>Safe Foods</w:t>
      </w:r>
      <w:r>
        <w:t>’ CPC preparation and additive sources combined ranged between &lt;1 and 27 mg/kg bw/day for mean and high exposures across all scenarios and population groups assessed. This equates to between 1 and 110% of the ADI. The upper end of this range is based on a very conservative estimate</w:t>
      </w:r>
      <w:r w:rsidR="00DA2470">
        <w:t>,</w:t>
      </w:r>
      <w:r w:rsidR="00F23836" w:rsidRPr="00F23836">
        <w:t xml:space="preserve"> </w:t>
      </w:r>
      <w:r w:rsidR="00F23836">
        <w:t>primarily as that estimate is based on maximum industry use levels in 100% of food products in each food class, a single day of food consumption data, and a restricted age group</w:t>
      </w:r>
      <w:r>
        <w:t xml:space="preserve">. The contribution from </w:t>
      </w:r>
      <w:r w:rsidR="00CA6BC0">
        <w:t>Safe Foods</w:t>
      </w:r>
      <w:r>
        <w:t xml:space="preserve">’ CPC preparation was &lt;1% of the ADI. </w:t>
      </w:r>
    </w:p>
    <w:p w14:paraId="619F1DFB" w14:textId="77777777" w:rsidR="003442CB" w:rsidRDefault="003442CB" w:rsidP="003442CB"/>
    <w:p w14:paraId="1ED2633C" w14:textId="3587F731" w:rsidR="003442CB" w:rsidRPr="003442CB" w:rsidRDefault="003442CB" w:rsidP="003442CB">
      <w:pPr>
        <w:rPr>
          <w:lang w:bidi="ar-SA"/>
        </w:rPr>
      </w:pPr>
      <w:r>
        <w:t>In conclusion, t</w:t>
      </w:r>
      <w:r>
        <w:rPr>
          <w:lang w:eastAsia="en-AU" w:bidi="ar-SA"/>
        </w:rPr>
        <w:t xml:space="preserve">here were no public health and safety concerns identified from the estimated dietary exposure to either CPC or the propylene glycol in </w:t>
      </w:r>
      <w:r w:rsidR="00CA6BC0">
        <w:rPr>
          <w:lang w:eastAsia="en-AU" w:bidi="ar-SA"/>
        </w:rPr>
        <w:t>Safe Foods</w:t>
      </w:r>
      <w:r>
        <w:rPr>
          <w:lang w:eastAsia="en-AU" w:bidi="ar-SA"/>
        </w:rPr>
        <w:t>’ CPC preparation at the proposed use levels.</w:t>
      </w:r>
      <w:r w:rsidR="00A22F30">
        <w:rPr>
          <w:lang w:eastAsia="en-AU" w:bidi="ar-SA"/>
        </w:rPr>
        <w:t xml:space="preserve"> </w:t>
      </w:r>
    </w:p>
    <w:p w14:paraId="6C585E3C" w14:textId="574D6D90" w:rsidR="00D3171B" w:rsidRDefault="00D3171B" w:rsidP="0042172C">
      <w:pPr>
        <w:pStyle w:val="Heading2"/>
      </w:pPr>
      <w:bookmarkStart w:id="50" w:name="_Toc286391009"/>
      <w:bookmarkStart w:id="51" w:name="_Toc300933425"/>
      <w:bookmarkStart w:id="52" w:name="_Toc120358583"/>
      <w:bookmarkStart w:id="53" w:name="_Toc175381440"/>
      <w:bookmarkStart w:id="54" w:name="_Toc175381442"/>
      <w:bookmarkStart w:id="55" w:name="_Toc286391010"/>
      <w:bookmarkStart w:id="56" w:name="_Toc300933426"/>
      <w:bookmarkStart w:id="57" w:name="_Toc94800136"/>
      <w:bookmarkEnd w:id="50"/>
      <w:bookmarkEnd w:id="51"/>
      <w:bookmarkEnd w:id="52"/>
      <w:bookmarkEnd w:id="53"/>
      <w:r>
        <w:t>2</w:t>
      </w:r>
      <w:r w:rsidR="0045556F">
        <w:t>.</w:t>
      </w:r>
      <w:r w:rsidR="007F57CD">
        <w:t>2</w:t>
      </w:r>
      <w:r w:rsidR="00271F00">
        <w:tab/>
      </w:r>
      <w:bookmarkEnd w:id="54"/>
      <w:bookmarkEnd w:id="55"/>
      <w:bookmarkEnd w:id="56"/>
      <w:r w:rsidR="0045556F">
        <w:t>R</w:t>
      </w:r>
      <w:r w:rsidR="00707E72">
        <w:t>isk m</w:t>
      </w:r>
      <w:r w:rsidR="008A35FB">
        <w:t>anagement</w:t>
      </w:r>
      <w:bookmarkStart w:id="58" w:name="_Toc300761910"/>
      <w:bookmarkEnd w:id="57"/>
    </w:p>
    <w:p w14:paraId="18FEA17B" w14:textId="531D9C4B" w:rsidR="00A22F30" w:rsidRDefault="00A22F30" w:rsidP="00A22F30">
      <w:r w:rsidRPr="00A22F30">
        <w:t>After assessing an application, FSANZ must either prepare a written draft measure or reject the application.</w:t>
      </w:r>
      <w:r>
        <w:t xml:space="preserve"> </w:t>
      </w:r>
      <w:r w:rsidR="008325BE">
        <w:t xml:space="preserve">FSANZ’s assessment concluded the </w:t>
      </w:r>
      <w:r w:rsidR="008325BE" w:rsidRPr="008325BE">
        <w:t>proposed use of CPC as a</w:t>
      </w:r>
      <w:r w:rsidR="008325BE">
        <w:t xml:space="preserve"> processing aid</w:t>
      </w:r>
      <w:r w:rsidR="00B97728">
        <w:t xml:space="preserve"> (</w:t>
      </w:r>
      <w:r w:rsidR="00AC6D18">
        <w:t>antimicrobial</w:t>
      </w:r>
      <w:r w:rsidR="008325BE" w:rsidRPr="008325BE">
        <w:t xml:space="preserve"> agent</w:t>
      </w:r>
      <w:r w:rsidR="00B97728">
        <w:t>)</w:t>
      </w:r>
      <w:r w:rsidR="008325BE" w:rsidRPr="008325BE">
        <w:t xml:space="preserve"> for raw poultry</w:t>
      </w:r>
      <w:r w:rsidR="00F96948">
        <w:t xml:space="preserve"> meat</w:t>
      </w:r>
      <w:r w:rsidR="008325BE" w:rsidRPr="008325BE">
        <w:t xml:space="preserve"> is technologically justified</w:t>
      </w:r>
      <w:r w:rsidR="008325BE">
        <w:t xml:space="preserve"> and there were no public health and safety </w:t>
      </w:r>
      <w:r w:rsidR="008325BE" w:rsidRPr="008325BE">
        <w:t xml:space="preserve">concerns identified from the </w:t>
      </w:r>
      <w:r w:rsidR="008325BE">
        <w:t xml:space="preserve">use of the CPC at the proposed use levels. FSANZ therefore </w:t>
      </w:r>
      <w:r w:rsidR="008325BE" w:rsidRPr="00530FA1">
        <w:rPr>
          <w:lang w:val="en-AU"/>
        </w:rPr>
        <w:t xml:space="preserve">considers it is appropriate to </w:t>
      </w:r>
      <w:r w:rsidR="008325BE">
        <w:rPr>
          <w:lang w:val="en-AU"/>
        </w:rPr>
        <w:t xml:space="preserve">prepare a </w:t>
      </w:r>
      <w:r w:rsidR="008325BE">
        <w:t>draft variation to the Code to permit its use</w:t>
      </w:r>
      <w:r w:rsidR="008325BE">
        <w:rPr>
          <w:lang w:val="en-AU"/>
        </w:rPr>
        <w:t xml:space="preserve">. </w:t>
      </w:r>
    </w:p>
    <w:p w14:paraId="184C5AD4" w14:textId="548E47E6" w:rsidR="0039447F" w:rsidRDefault="008325BE" w:rsidP="008325BE">
      <w:pPr>
        <w:pStyle w:val="Heading3"/>
      </w:pPr>
      <w:bookmarkStart w:id="59" w:name="_Toc94800137"/>
      <w:r>
        <w:t>2.2.1</w:t>
      </w:r>
      <w:r>
        <w:tab/>
      </w:r>
      <w:r w:rsidR="0039447F">
        <w:t>Nomenclature and specifications</w:t>
      </w:r>
      <w:bookmarkEnd w:id="59"/>
    </w:p>
    <w:p w14:paraId="1FDD911A" w14:textId="66A2B228" w:rsidR="00BD6453" w:rsidRDefault="00C22962" w:rsidP="00C22962">
      <w:r w:rsidRPr="00294DBD">
        <w:t>FSANZ notes that the International Union of Pure and Applied Chemistry</w:t>
      </w:r>
      <w:r>
        <w:t xml:space="preserve"> (IUPAC), the </w:t>
      </w:r>
      <w:r w:rsidRPr="00294DBD">
        <w:t>universally-recognized authority on chemical nomenclature and terminology</w:t>
      </w:r>
      <w:r>
        <w:t xml:space="preserve">, uses the </w:t>
      </w:r>
      <w:r w:rsidRPr="00294DBD">
        <w:t>name cetylpyridinium chloride</w:t>
      </w:r>
      <w:r>
        <w:t xml:space="preserve"> (CAS number </w:t>
      </w:r>
      <w:r w:rsidRPr="00294DBD">
        <w:t>123-03-5</w:t>
      </w:r>
      <w:r>
        <w:t xml:space="preserve">). </w:t>
      </w:r>
      <w:r w:rsidRPr="00294DBD">
        <w:t>This is the name that is used in the draft variation to the Code.</w:t>
      </w:r>
    </w:p>
    <w:p w14:paraId="0A9984EC" w14:textId="67A8B26F" w:rsidR="0039447F" w:rsidRDefault="0039447F" w:rsidP="00C22962"/>
    <w:p w14:paraId="4DD230A7" w14:textId="7E592E31" w:rsidR="0039447F" w:rsidRDefault="0039447F" w:rsidP="00C22962">
      <w:r w:rsidRPr="00530FA1">
        <w:t xml:space="preserve">There are relevant identity and purity specifications for </w:t>
      </w:r>
      <w:r>
        <w:t xml:space="preserve">CPC </w:t>
      </w:r>
      <w:r w:rsidRPr="00530FA1">
        <w:t xml:space="preserve">in </w:t>
      </w:r>
      <w:r w:rsidRPr="00C22962">
        <w:t>the Food Chemicals Codex (</w:t>
      </w:r>
      <w:r w:rsidR="00844BED" w:rsidRPr="00844BED">
        <w:t>United States Pharmacopeial Convention</w:t>
      </w:r>
      <w:r w:rsidR="00DF3CDD">
        <w:t>,</w:t>
      </w:r>
      <w:r w:rsidRPr="00C22962">
        <w:t xml:space="preserve"> </w:t>
      </w:r>
      <w:r w:rsidR="004327D4" w:rsidRPr="00C22962">
        <w:t>20</w:t>
      </w:r>
      <w:r w:rsidR="004327D4">
        <w:t>20</w:t>
      </w:r>
      <w:r w:rsidRPr="00C22962">
        <w:t>)</w:t>
      </w:r>
      <w:r>
        <w:t xml:space="preserve">, a </w:t>
      </w:r>
      <w:r w:rsidRPr="00C22962">
        <w:t>primary source of specifications listed in Schedule 3 of the Code</w:t>
      </w:r>
      <w:r>
        <w:t>, which would have to be complied with</w:t>
      </w:r>
      <w:r w:rsidRPr="00C22962">
        <w:t>.</w:t>
      </w:r>
    </w:p>
    <w:p w14:paraId="7D0D9B2B" w14:textId="7F8C08FF" w:rsidR="0039447F" w:rsidRDefault="000553D9" w:rsidP="000553D9">
      <w:pPr>
        <w:pStyle w:val="Heading3"/>
      </w:pPr>
      <w:bookmarkStart w:id="60" w:name="_Toc94800138"/>
      <w:r>
        <w:t>2.2.2</w:t>
      </w:r>
      <w:r>
        <w:tab/>
      </w:r>
      <w:r w:rsidR="0039447F">
        <w:t>Food permitted to be treated</w:t>
      </w:r>
      <w:bookmarkEnd w:id="60"/>
    </w:p>
    <w:p w14:paraId="1AFB9C35" w14:textId="15A9034B" w:rsidR="00F907A3" w:rsidRDefault="00BD6453" w:rsidP="00F907A3">
      <w:r w:rsidRPr="00557B26">
        <w:t xml:space="preserve">The food </w:t>
      </w:r>
      <w:r w:rsidR="001E7A9F">
        <w:t xml:space="preserve">proposed to </w:t>
      </w:r>
      <w:r w:rsidRPr="00557B26">
        <w:t>be</w:t>
      </w:r>
      <w:r w:rsidR="001E7A9F">
        <w:t xml:space="preserve"> permitted to be</w:t>
      </w:r>
      <w:r w:rsidRPr="00557B26">
        <w:t xml:space="preserve"> treated </w:t>
      </w:r>
      <w:r w:rsidR="001E7A9F">
        <w:t xml:space="preserve">with CPC is </w:t>
      </w:r>
      <w:r w:rsidRPr="00557B26">
        <w:t>raw poultry</w:t>
      </w:r>
      <w:r w:rsidR="00557B26" w:rsidRPr="00557B26">
        <w:t xml:space="preserve"> meat with the skin attached. </w:t>
      </w:r>
      <w:r w:rsidRPr="00557B26">
        <w:t xml:space="preserve">This would mean whole raw poultry carcasses or raw poultry </w:t>
      </w:r>
      <w:r w:rsidR="00247248">
        <w:t>pieces</w:t>
      </w:r>
      <w:r w:rsidRPr="00557B26">
        <w:t>, skin</w:t>
      </w:r>
      <w:r w:rsidR="00FC4F69" w:rsidRPr="00557B26">
        <w:t xml:space="preserve"> on</w:t>
      </w:r>
      <w:r w:rsidRPr="00557B26">
        <w:t>, may be treated with CPC</w:t>
      </w:r>
      <w:r w:rsidR="000553D9">
        <w:t xml:space="preserve">, subject to conditions for </w:t>
      </w:r>
      <w:r w:rsidRPr="00557B26">
        <w:t xml:space="preserve">the treatment </w:t>
      </w:r>
      <w:r w:rsidR="00B97728">
        <w:t xml:space="preserve">process </w:t>
      </w:r>
      <w:r w:rsidRPr="00557B26">
        <w:t xml:space="preserve">and the </w:t>
      </w:r>
      <w:r w:rsidR="00557B26" w:rsidRPr="00530FA1">
        <w:t xml:space="preserve">maximum permitted level </w:t>
      </w:r>
      <w:r w:rsidR="00557B26">
        <w:t>(</w:t>
      </w:r>
      <w:r w:rsidRPr="00557B26">
        <w:t>MPL</w:t>
      </w:r>
      <w:r w:rsidR="00557B26">
        <w:t>)</w:t>
      </w:r>
      <w:r w:rsidR="000553D9">
        <w:t xml:space="preserve">, as </w:t>
      </w:r>
      <w:r w:rsidRPr="00557B26">
        <w:t xml:space="preserve">outlined </w:t>
      </w:r>
      <w:r w:rsidR="00F907A3" w:rsidRPr="00557B26">
        <w:t>below</w:t>
      </w:r>
      <w:r w:rsidRPr="00557B26">
        <w:t xml:space="preserve">. </w:t>
      </w:r>
    </w:p>
    <w:p w14:paraId="252E27EA" w14:textId="77777777" w:rsidR="00F907A3" w:rsidRDefault="00F907A3" w:rsidP="00F907A3"/>
    <w:p w14:paraId="6B90D9B0" w14:textId="544A5358" w:rsidR="00F907A3" w:rsidRPr="00557B26" w:rsidRDefault="00FC4F69" w:rsidP="00F907A3">
      <w:r w:rsidRPr="00557B26">
        <w:t xml:space="preserve">The permission is limited to skin-on poultry only because </w:t>
      </w:r>
      <w:r w:rsidR="00557B26" w:rsidRPr="00557B26">
        <w:t xml:space="preserve">the </w:t>
      </w:r>
      <w:r w:rsidR="007E5DFE" w:rsidRPr="00557B26">
        <w:t xml:space="preserve">risk assessment was </w:t>
      </w:r>
      <w:r w:rsidR="007E5DFE">
        <w:t xml:space="preserve">based on </w:t>
      </w:r>
      <w:r w:rsidR="007E5DFE" w:rsidRPr="00557B26">
        <w:t xml:space="preserve">skin-on poultry only, </w:t>
      </w:r>
      <w:r w:rsidR="007E5DFE">
        <w:t>using</w:t>
      </w:r>
      <w:r w:rsidR="007E5DFE" w:rsidRPr="00557B26">
        <w:t xml:space="preserve"> residue data provided by </w:t>
      </w:r>
      <w:r w:rsidR="007E5DFE">
        <w:t>Safe Foods</w:t>
      </w:r>
      <w:r w:rsidR="007E5DFE" w:rsidRPr="00557B26">
        <w:t xml:space="preserve">. </w:t>
      </w:r>
      <w:r w:rsidR="007E5DFE">
        <w:t xml:space="preserve">The </w:t>
      </w:r>
      <w:r w:rsidR="00557B26" w:rsidRPr="00557B26">
        <w:t>method of analysis for testing CPC residue analyses the skin</w:t>
      </w:r>
      <w:r w:rsidR="007E5DFE">
        <w:t xml:space="preserve"> of the carcass</w:t>
      </w:r>
      <w:r w:rsidR="00557B26" w:rsidRPr="00557B26">
        <w:t xml:space="preserve"> only i.e. the skin is removed from the poultry </w:t>
      </w:r>
      <w:r w:rsidR="007E5DFE">
        <w:t xml:space="preserve">carcass </w:t>
      </w:r>
      <w:r w:rsidR="00557B26" w:rsidRPr="00557B26">
        <w:t>before analysis</w:t>
      </w:r>
      <w:r w:rsidR="00B97728">
        <w:t xml:space="preserve">. </w:t>
      </w:r>
    </w:p>
    <w:p w14:paraId="27F360D4" w14:textId="77777777" w:rsidR="00FC4F69" w:rsidRDefault="00FC4F69" w:rsidP="00C22962"/>
    <w:p w14:paraId="1B43F81A" w14:textId="7A1D7E19" w:rsidR="000553D9" w:rsidRDefault="000553D9" w:rsidP="000553D9">
      <w:r>
        <w:t xml:space="preserve">The term ‘poultry meat’ is defined for the purposes of the drafting to mean </w:t>
      </w:r>
      <w:r w:rsidR="00DA2470" w:rsidRPr="00DA2470">
        <w:t xml:space="preserve">the whole </w:t>
      </w:r>
      <w:r w:rsidR="00DA2470">
        <w:t xml:space="preserve">poultry carcass </w:t>
      </w:r>
      <w:r w:rsidR="00DA2470" w:rsidRPr="00DA2470">
        <w:t>or parts of the poultry carcass</w:t>
      </w:r>
      <w:r w:rsidR="00DA2470">
        <w:t>,</w:t>
      </w:r>
      <w:r w:rsidR="00DA2470" w:rsidRPr="00DA2470">
        <w:t xml:space="preserve"> with the skin attached,</w:t>
      </w:r>
      <w:r w:rsidR="00DA2470">
        <w:t xml:space="preserve"> and </w:t>
      </w:r>
      <w:r w:rsidR="00DA2470" w:rsidRPr="00DA2470">
        <w:t xml:space="preserve">that is </w:t>
      </w:r>
      <w:r>
        <w:t>intended for human consumption</w:t>
      </w:r>
      <w:r w:rsidR="00B97728">
        <w:t>. The def</w:t>
      </w:r>
      <w:r w:rsidR="003A2114">
        <w:t>i</w:t>
      </w:r>
      <w:r w:rsidR="00B97728">
        <w:t>nition</w:t>
      </w:r>
      <w:r>
        <w:t xml:space="preserve"> does not include offal. </w:t>
      </w:r>
    </w:p>
    <w:p w14:paraId="01722B37" w14:textId="77777777" w:rsidR="000553D9" w:rsidRPr="000553D9" w:rsidRDefault="000553D9" w:rsidP="00C22962"/>
    <w:p w14:paraId="4B5A3662" w14:textId="19C16059" w:rsidR="0039447F" w:rsidRDefault="0039447F" w:rsidP="00C22962">
      <w:r>
        <w:t xml:space="preserve">Offal is normally removed from the carcass before treatment and was not included in the risk assessment. It is not proposed to permit offal to be treated with CPC. </w:t>
      </w:r>
    </w:p>
    <w:p w14:paraId="02A0964D" w14:textId="34AB2212" w:rsidR="0039447F" w:rsidRDefault="008729C5" w:rsidP="008729C5">
      <w:pPr>
        <w:pStyle w:val="Heading3"/>
      </w:pPr>
      <w:bookmarkStart w:id="61" w:name="_Toc94800139"/>
      <w:r>
        <w:t>2.2.3</w:t>
      </w:r>
      <w:r>
        <w:tab/>
      </w:r>
      <w:r w:rsidR="0039447F">
        <w:t xml:space="preserve">Maximum permitted </w:t>
      </w:r>
      <w:r w:rsidR="004F0C59">
        <w:t>level</w:t>
      </w:r>
      <w:r w:rsidR="00E1315B">
        <w:t xml:space="preserve"> (MPL)</w:t>
      </w:r>
      <w:bookmarkEnd w:id="61"/>
    </w:p>
    <w:p w14:paraId="02228615" w14:textId="7CEFA1F9" w:rsidR="0039447F" w:rsidRPr="00DC013B" w:rsidRDefault="0039447F" w:rsidP="00530FA1">
      <w:r w:rsidRPr="00DC013B">
        <w:t>The proposed permission</w:t>
      </w:r>
      <w:r w:rsidR="008729C5" w:rsidRPr="00DC013B">
        <w:t xml:space="preserve"> to use CPC as an </w:t>
      </w:r>
      <w:r w:rsidR="00AC6D18">
        <w:t>antimicrobial</w:t>
      </w:r>
      <w:r w:rsidR="008729C5" w:rsidRPr="00DC013B">
        <w:t xml:space="preserve"> agent for raw poultry</w:t>
      </w:r>
      <w:r w:rsidRPr="00DC013B">
        <w:t xml:space="preserve"> </w:t>
      </w:r>
      <w:r w:rsidR="00B64080">
        <w:t xml:space="preserve">meat </w:t>
      </w:r>
      <w:r w:rsidR="00A03BB6">
        <w:t>would be</w:t>
      </w:r>
      <w:r w:rsidR="00A03BB6" w:rsidRPr="00DC013B">
        <w:t xml:space="preserve"> </w:t>
      </w:r>
      <w:r w:rsidRPr="00DC013B">
        <w:t xml:space="preserve">subject to the </w:t>
      </w:r>
      <w:r w:rsidR="00B458C1">
        <w:t>requirement</w:t>
      </w:r>
      <w:r w:rsidR="00B458C1" w:rsidRPr="00DC013B">
        <w:t xml:space="preserve"> </w:t>
      </w:r>
      <w:r w:rsidRPr="00DC013B">
        <w:t>that the MPL is 13.4 mg of CPC per kg of poultry skin (13.4 mg/kg). This limit is based on</w:t>
      </w:r>
      <w:r w:rsidR="00DC013B" w:rsidRPr="00DC013B">
        <w:t xml:space="preserve"> the highest concentration of CPC used in the dietary exposure assessment i.e. the maximum residue level on the poultry skin after treatment</w:t>
      </w:r>
      <w:r w:rsidR="004F0C59">
        <w:t xml:space="preserve"> as provided by </w:t>
      </w:r>
      <w:r w:rsidR="00CA6BC0">
        <w:t>Safe Foods</w:t>
      </w:r>
      <w:r w:rsidR="00DC013B" w:rsidRPr="00DC013B">
        <w:t xml:space="preserve">. The MPL </w:t>
      </w:r>
      <w:r w:rsidR="00A03BB6">
        <w:t xml:space="preserve">would </w:t>
      </w:r>
      <w:r w:rsidR="00DC013B" w:rsidRPr="00DC013B">
        <w:t>appl</w:t>
      </w:r>
      <w:r w:rsidR="00A03BB6">
        <w:t>y</w:t>
      </w:r>
      <w:r w:rsidR="00DC013B" w:rsidRPr="00DC013B">
        <w:t xml:space="preserve"> to the skin only, as the </w:t>
      </w:r>
      <w:r w:rsidR="008729C5" w:rsidRPr="00DC013B">
        <w:t>method of analysis for testing CPC residue analyses the skin only</w:t>
      </w:r>
      <w:r w:rsidR="00DC013B" w:rsidRPr="00DC013B">
        <w:t xml:space="preserve">. </w:t>
      </w:r>
    </w:p>
    <w:p w14:paraId="22C311F5" w14:textId="59410F81" w:rsidR="0039447F" w:rsidRDefault="00DC013B" w:rsidP="00DC013B">
      <w:pPr>
        <w:pStyle w:val="Heading3"/>
      </w:pPr>
      <w:bookmarkStart w:id="62" w:name="_Toc94800140"/>
      <w:r>
        <w:t>2.2.4</w:t>
      </w:r>
      <w:r>
        <w:tab/>
      </w:r>
      <w:r w:rsidR="0039447F">
        <w:t>Permitted concentration of CPC in wash solution</w:t>
      </w:r>
      <w:r>
        <w:t xml:space="preserve"> and rinse step</w:t>
      </w:r>
      <w:bookmarkEnd w:id="62"/>
    </w:p>
    <w:p w14:paraId="78A0A1C4" w14:textId="638BC4D4" w:rsidR="00C33902" w:rsidRDefault="00AC44FE" w:rsidP="00AC44FE">
      <w:r>
        <w:t xml:space="preserve">The risk assessment was based on residues of CPC on poultry following treatment at a </w:t>
      </w:r>
      <w:r>
        <w:lastRenderedPageBreak/>
        <w:t xml:space="preserve">concentration in the </w:t>
      </w:r>
      <w:r w:rsidR="00DC013B">
        <w:t xml:space="preserve">poultry </w:t>
      </w:r>
      <w:r>
        <w:t xml:space="preserve">wash solution of up to </w:t>
      </w:r>
      <w:r w:rsidR="00CB40D3">
        <w:t>1% (w/v)</w:t>
      </w:r>
      <w:r>
        <w:t xml:space="preserve"> CPC and following a rinse of the poultry carcass or </w:t>
      </w:r>
      <w:r w:rsidR="00247248">
        <w:t>pieces</w:t>
      </w:r>
      <w:r>
        <w:t xml:space="preserve"> in potable water following treatment. </w:t>
      </w:r>
      <w:r w:rsidR="00B93FED">
        <w:t xml:space="preserve">FSANZ therefore proposes to require that the </w:t>
      </w:r>
      <w:r w:rsidR="00B93FED" w:rsidRPr="00B93FED">
        <w:t xml:space="preserve">concentration of </w:t>
      </w:r>
      <w:r w:rsidR="001E7A9F">
        <w:t>CPC</w:t>
      </w:r>
      <w:r w:rsidR="00B93FED" w:rsidRPr="00B93FED">
        <w:t xml:space="preserve"> in the </w:t>
      </w:r>
      <w:r w:rsidR="00DC013B">
        <w:t xml:space="preserve">aqueous </w:t>
      </w:r>
      <w:r w:rsidR="00B93FED" w:rsidRPr="00B93FED">
        <w:t xml:space="preserve">wash solution applied to the </w:t>
      </w:r>
      <w:r w:rsidR="003D6FEF">
        <w:t xml:space="preserve">raw </w:t>
      </w:r>
      <w:r w:rsidR="00B93FED" w:rsidRPr="00B93FED">
        <w:t>poult</w:t>
      </w:r>
      <w:r w:rsidR="00B93FED">
        <w:t xml:space="preserve">ry </w:t>
      </w:r>
      <w:r w:rsidR="005E24A9">
        <w:t xml:space="preserve">meat </w:t>
      </w:r>
      <w:r w:rsidR="00B93FED">
        <w:t xml:space="preserve">must not exceed </w:t>
      </w:r>
      <w:r w:rsidR="00CB40D3">
        <w:t>1% (w/v)</w:t>
      </w:r>
      <w:r w:rsidR="00B93FED">
        <w:t xml:space="preserve"> and that f</w:t>
      </w:r>
      <w:r w:rsidR="00B93FED" w:rsidRPr="00B93FED">
        <w:t xml:space="preserve">ollowing treatment with </w:t>
      </w:r>
      <w:r w:rsidR="001E7A9F">
        <w:t>CPC</w:t>
      </w:r>
      <w:r w:rsidR="00B93FED" w:rsidRPr="00B93FED">
        <w:t xml:space="preserve">, the </w:t>
      </w:r>
      <w:r w:rsidR="005E24A9">
        <w:t xml:space="preserve">raw </w:t>
      </w:r>
      <w:r w:rsidR="00B93FED" w:rsidRPr="00B93FED">
        <w:t xml:space="preserve">poultry </w:t>
      </w:r>
      <w:r w:rsidR="005E24A9">
        <w:t xml:space="preserve">meat </w:t>
      </w:r>
      <w:r w:rsidR="00B93FED" w:rsidRPr="00B93FED">
        <w:t>must be rinsed in potable water.</w:t>
      </w:r>
      <w:r w:rsidR="00583C4B">
        <w:t xml:space="preserve"> These additional risk management </w:t>
      </w:r>
      <w:r w:rsidR="00BD6453">
        <w:t>measures</w:t>
      </w:r>
      <w:r w:rsidR="00583C4B">
        <w:t xml:space="preserve"> </w:t>
      </w:r>
      <w:r w:rsidR="000958F6">
        <w:t xml:space="preserve">would </w:t>
      </w:r>
      <w:r w:rsidR="00583C4B">
        <w:t xml:space="preserve">assist poultry processors to meet the MPL. </w:t>
      </w:r>
    </w:p>
    <w:p w14:paraId="0B2BBC03" w14:textId="60F8A813" w:rsidR="009C4343" w:rsidRDefault="009C4343" w:rsidP="00AC44FE"/>
    <w:p w14:paraId="3E54D2B8" w14:textId="01CC7FC4" w:rsidR="009C4343" w:rsidRDefault="009C4343" w:rsidP="00AC44FE">
      <w:r>
        <w:t xml:space="preserve">The unit of % w/v is used in the draft variation as the CPC is in a solid/crystallised state before being dissolved to an aqueous form and then diluted with potable water for use. </w:t>
      </w:r>
    </w:p>
    <w:p w14:paraId="799BE09B" w14:textId="092D636F" w:rsidR="0039447F" w:rsidRDefault="00DC013B" w:rsidP="00DC013B">
      <w:pPr>
        <w:pStyle w:val="Heading3"/>
      </w:pPr>
      <w:bookmarkStart w:id="63" w:name="_Toc94800141"/>
      <w:r>
        <w:t>2.2.5</w:t>
      </w:r>
      <w:r>
        <w:tab/>
      </w:r>
      <w:r w:rsidR="0039447F">
        <w:t>Other considerations</w:t>
      </w:r>
      <w:bookmarkEnd w:id="63"/>
      <w:r w:rsidR="0039447F">
        <w:t xml:space="preserve"> </w:t>
      </w:r>
    </w:p>
    <w:p w14:paraId="7FE35E35" w14:textId="478390C1" w:rsidR="00BD6453" w:rsidRPr="00FF47E7" w:rsidRDefault="00CA6BC0" w:rsidP="00AC44FE">
      <w:r>
        <w:t>Safe Foods</w:t>
      </w:r>
      <w:r w:rsidR="00BD6453" w:rsidRPr="00BD6453">
        <w:t xml:space="preserve"> informed FSANZ that they typically market to </w:t>
      </w:r>
      <w:r w:rsidR="00406663">
        <w:t xml:space="preserve">poultry </w:t>
      </w:r>
      <w:r w:rsidR="00BD6453" w:rsidRPr="00BD6453">
        <w:t>processors where the initial and further processing of the poultry is performed since the application method requires spray or dipping equipment that is either supplied by Safe Foods or is readily available in those processing facilities.</w:t>
      </w:r>
      <w:r w:rsidR="00A46231">
        <w:t xml:space="preserve"> In Australia, poultry processors have responsibilities under Part 4.2 of the Code to take </w:t>
      </w:r>
      <w:r w:rsidR="00A46231" w:rsidRPr="00A46231">
        <w:t>all reasonable measures to ensure inputs do not make the poultry product unsuitable</w:t>
      </w:r>
      <w:r w:rsidR="00A46231">
        <w:t xml:space="preserve">. In New Zealand, </w:t>
      </w:r>
      <w:r w:rsidR="00DA34D9">
        <w:t>poultry processors must have either a registered risk management programme (RMP) and/or a registered food control plan (FCP) (subject to whether they are primary and/or secondary poultry processors), which address food safety</w:t>
      </w:r>
      <w:r w:rsidR="00DA34D9">
        <w:rPr>
          <w:rStyle w:val="FootnoteReference"/>
        </w:rPr>
        <w:footnoteReference w:id="6"/>
      </w:r>
      <w:r w:rsidR="00DA34D9">
        <w:t xml:space="preserve">. </w:t>
      </w:r>
      <w:r w:rsidR="00BD6453" w:rsidRPr="00FF47E7">
        <w:t xml:space="preserve">FSANZ </w:t>
      </w:r>
      <w:r w:rsidR="00DA34D9" w:rsidRPr="00FF47E7">
        <w:t xml:space="preserve">is therefore not proposing to specify </w:t>
      </w:r>
      <w:r w:rsidR="00BD6453" w:rsidRPr="00FF47E7">
        <w:t xml:space="preserve">the </w:t>
      </w:r>
      <w:r w:rsidR="00FF47E7">
        <w:t xml:space="preserve">type of </w:t>
      </w:r>
      <w:r w:rsidR="00BD6453" w:rsidRPr="00FF47E7">
        <w:t>premises or person permitted to treat poultry with CPC</w:t>
      </w:r>
      <w:r w:rsidR="00DA34D9" w:rsidRPr="00FF47E7">
        <w:t>.</w:t>
      </w:r>
    </w:p>
    <w:p w14:paraId="5FD2774B" w14:textId="7BE6D308" w:rsidR="00C33902" w:rsidRDefault="00C33902" w:rsidP="00530FA1"/>
    <w:p w14:paraId="418F8009" w14:textId="68C6E7B5" w:rsidR="0086586E" w:rsidRDefault="0086586E" w:rsidP="0086586E">
      <w:r w:rsidRPr="00D80D71">
        <w:t>As is standard practice, a technical data sheet and safety data sheet would be available to poultry processors regarding the appropriate use of CPC, inc</w:t>
      </w:r>
      <w:r w:rsidR="00AD6E56">
        <w:t>luding the recommended dosage.</w:t>
      </w:r>
    </w:p>
    <w:p w14:paraId="31B3F17B" w14:textId="77777777" w:rsidR="00A6618E" w:rsidRPr="00D80D71" w:rsidRDefault="00A6618E" w:rsidP="0086586E"/>
    <w:p w14:paraId="40A5EEB2" w14:textId="77777777" w:rsidR="00A6618E" w:rsidRPr="00A6618E" w:rsidRDefault="00A6618E" w:rsidP="00A6618E">
      <w:r w:rsidRPr="00A6618E">
        <w:t xml:space="preserve">The assessment of CPC was restricted to human food safety. This assessment therefore does not address any risks to the environment that may occur as the result of CPC’s use as a processing aid in food, or any risks to animals from poultry food products treated with Safe Foods’ CPC preparation becoming a component of animal feed. </w:t>
      </w:r>
    </w:p>
    <w:p w14:paraId="38C2F2C3" w14:textId="77777777" w:rsidR="00A6618E" w:rsidRPr="00A6618E" w:rsidRDefault="00A6618E" w:rsidP="00A6618E"/>
    <w:p w14:paraId="22EA2318" w14:textId="40183162" w:rsidR="00A6618E" w:rsidRDefault="00A6618E" w:rsidP="00A6618E">
      <w:pPr>
        <w:rPr>
          <w:b/>
          <w:bCs/>
        </w:rPr>
      </w:pPr>
      <w:r w:rsidRPr="00A6618E">
        <w:t>Industry’s use of CPC as a processing aid would be subject to and will have to comply with all relevant legal requirements including Australian and New Zealand animal feed, environment and hazardous waste laws, and the assessments and approvals required by those laws.</w:t>
      </w:r>
    </w:p>
    <w:p w14:paraId="46470FC2" w14:textId="01B54A25" w:rsidR="00AA45B0" w:rsidRPr="00D80D71" w:rsidRDefault="00AA45B0" w:rsidP="00A6618E">
      <w:pPr>
        <w:pStyle w:val="Heading3"/>
        <w:rPr>
          <w:color w:val="auto"/>
        </w:rPr>
      </w:pPr>
      <w:bookmarkStart w:id="64" w:name="_Toc94800142"/>
      <w:r w:rsidRPr="00D80D71">
        <w:rPr>
          <w:color w:val="auto"/>
        </w:rPr>
        <w:t>2</w:t>
      </w:r>
      <w:r w:rsidR="00D80D71" w:rsidRPr="00D80D71">
        <w:rPr>
          <w:color w:val="auto"/>
        </w:rPr>
        <w:t>.2</w:t>
      </w:r>
      <w:r w:rsidR="008B624A">
        <w:rPr>
          <w:color w:val="auto"/>
        </w:rPr>
        <w:t>.6</w:t>
      </w:r>
      <w:r w:rsidRPr="00D80D71">
        <w:rPr>
          <w:color w:val="auto"/>
        </w:rPr>
        <w:tab/>
        <w:t>Propylene glycol</w:t>
      </w:r>
      <w:bookmarkEnd w:id="64"/>
      <w:r w:rsidRPr="00D80D71">
        <w:rPr>
          <w:color w:val="auto"/>
        </w:rPr>
        <w:t xml:space="preserve"> </w:t>
      </w:r>
    </w:p>
    <w:p w14:paraId="2F3465E9" w14:textId="5350E1DF" w:rsidR="00AA45B0" w:rsidRPr="00D80D71" w:rsidRDefault="00CA6BC0" w:rsidP="00AA45B0">
      <w:r>
        <w:t>Safe Foods</w:t>
      </w:r>
      <w:r w:rsidR="00AA45B0" w:rsidRPr="00D80D71">
        <w:t xml:space="preserve">’ proprietary CPC preparation is a liquid preparation containing CPC as the active </w:t>
      </w:r>
      <w:r w:rsidR="00985535">
        <w:t>constituent</w:t>
      </w:r>
      <w:r w:rsidR="00196F03">
        <w:t>. It also contains</w:t>
      </w:r>
      <w:r w:rsidR="00AA45B0" w:rsidRPr="00D80D71">
        <w:t xml:space="preserve"> food-grade propylene glycol. The propylene glycol acts as a wetting agent or humectant and also functions in the CPC preparation to maintain solubility and stability. Propylene glycol is identified in section S16—2 as an additive permitted at GMP</w:t>
      </w:r>
      <w:r w:rsidR="00D80D71" w:rsidRPr="00D80D71">
        <w:t xml:space="preserve">. </w:t>
      </w:r>
    </w:p>
    <w:p w14:paraId="7B482B93" w14:textId="77777777" w:rsidR="00E5567D" w:rsidRDefault="00E5567D" w:rsidP="00E5567D"/>
    <w:p w14:paraId="34DCD48F" w14:textId="19D5D67F" w:rsidR="00E5567D" w:rsidRDefault="00E5567D" w:rsidP="00E5567D">
      <w:r w:rsidRPr="00DE6E16">
        <w:t xml:space="preserve">FSANZ determined the need to assess the propylene glycol component in the </w:t>
      </w:r>
      <w:r>
        <w:t xml:space="preserve">CPC preparation </w:t>
      </w:r>
      <w:r w:rsidRPr="00DE6E16">
        <w:t xml:space="preserve">given it is permitted </w:t>
      </w:r>
      <w:r>
        <w:t xml:space="preserve">to be used as a </w:t>
      </w:r>
      <w:r w:rsidRPr="00DE6E16">
        <w:t>food additive</w:t>
      </w:r>
      <w:r w:rsidR="00D814B1">
        <w:t>,</w:t>
      </w:r>
      <w:r w:rsidRPr="00DE6E16">
        <w:t xml:space="preserve"> </w:t>
      </w:r>
      <w:r w:rsidR="00D814B1">
        <w:t xml:space="preserve">at GMP, </w:t>
      </w:r>
      <w:r>
        <w:t xml:space="preserve">in the Code </w:t>
      </w:r>
      <w:r w:rsidR="001E2275">
        <w:t xml:space="preserve">and </w:t>
      </w:r>
      <w:r w:rsidR="001E2275" w:rsidRPr="001E2275">
        <w:t xml:space="preserve">an </w:t>
      </w:r>
      <w:r w:rsidR="001E2275">
        <w:t>A</w:t>
      </w:r>
      <w:r w:rsidR="001E2275" w:rsidRPr="001E2275">
        <w:t xml:space="preserve">cceptable </w:t>
      </w:r>
      <w:r w:rsidR="001E2275">
        <w:t>D</w:t>
      </w:r>
      <w:r w:rsidR="001E2275" w:rsidRPr="001E2275">
        <w:t xml:space="preserve">aily </w:t>
      </w:r>
      <w:r w:rsidR="001E2275">
        <w:t>I</w:t>
      </w:r>
      <w:r w:rsidR="001E2275" w:rsidRPr="001E2275">
        <w:t>ntake (ADI) for propylene glycol has been established by the Joint FAO/WHO Expert Committee on Food Additives (JECFA).</w:t>
      </w:r>
    </w:p>
    <w:p w14:paraId="08366CB8" w14:textId="77777777" w:rsidR="001E2275" w:rsidRDefault="001E2275" w:rsidP="00E5567D"/>
    <w:p w14:paraId="0C83EA7B" w14:textId="43490F82" w:rsidR="008B624A" w:rsidRDefault="001E2275" w:rsidP="00E5567D">
      <w:r>
        <w:t xml:space="preserve">As outlined in </w:t>
      </w:r>
      <w:r w:rsidR="008B624A">
        <w:t xml:space="preserve">the </w:t>
      </w:r>
      <w:r w:rsidR="001D024D">
        <w:t xml:space="preserve">Risk and Technical Assessment Report </w:t>
      </w:r>
      <w:r w:rsidR="008B624A">
        <w:t>(SD1)</w:t>
      </w:r>
      <w:r>
        <w:t xml:space="preserve">, </w:t>
      </w:r>
      <w:r w:rsidR="008B624A">
        <w:t xml:space="preserve">a </w:t>
      </w:r>
      <w:r w:rsidR="008B624A" w:rsidRPr="008B624A">
        <w:t xml:space="preserve">dietary exposure assessment was then undertaken for propylene glycol based on residue levels in poultry from use of the poultry wash and existing food additive uses. Overall, dietary exposures from </w:t>
      </w:r>
      <w:r w:rsidR="008B624A">
        <w:lastRenderedPageBreak/>
        <w:t>existing food additive uses</w:t>
      </w:r>
      <w:r w:rsidR="008B624A" w:rsidRPr="008B624A">
        <w:t xml:space="preserve"> and use of the CPC preparation at the proposed level combined did not raise any public health and safety</w:t>
      </w:r>
      <w:r w:rsidR="00186568">
        <w:t xml:space="preserve"> concerns</w:t>
      </w:r>
      <w:r w:rsidR="008B624A" w:rsidRPr="008B624A">
        <w:t xml:space="preserve">. The contribution from the proposed use of the CPC preparation only was less than 1% of the </w:t>
      </w:r>
      <w:r w:rsidR="00246027">
        <w:t xml:space="preserve">JECFA </w:t>
      </w:r>
      <w:r w:rsidR="008B624A" w:rsidRPr="008B624A">
        <w:t>ADI</w:t>
      </w:r>
      <w:r w:rsidR="00186568">
        <w:t xml:space="preserve"> for propylene glycol</w:t>
      </w:r>
      <w:r w:rsidR="008B624A" w:rsidRPr="008B624A">
        <w:t>.</w:t>
      </w:r>
      <w:r w:rsidR="008B624A">
        <w:t xml:space="preserve"> </w:t>
      </w:r>
    </w:p>
    <w:p w14:paraId="12F1C888" w14:textId="77777777" w:rsidR="008B624A" w:rsidRDefault="008B624A" w:rsidP="00E5567D"/>
    <w:p w14:paraId="139265DB" w14:textId="6036BEDA" w:rsidR="008B624A" w:rsidRDefault="00B04EED" w:rsidP="00E5567D">
      <w:r>
        <w:t>If approved, t</w:t>
      </w:r>
      <w:r w:rsidR="005B5DE4">
        <w:t xml:space="preserve">he proposed drafting </w:t>
      </w:r>
      <w:r w:rsidR="007F17AC">
        <w:t xml:space="preserve">in Attachment 1 </w:t>
      </w:r>
      <w:r w:rsidR="005B5DE4">
        <w:t>would permit the use of CPC generally</w:t>
      </w:r>
      <w:r w:rsidR="00B97728">
        <w:t xml:space="preserve"> and</w:t>
      </w:r>
      <w:r w:rsidR="005B5DE4">
        <w:t xml:space="preserve"> is not specific to </w:t>
      </w:r>
      <w:r w:rsidR="00CA6BC0">
        <w:t>Safe Foods</w:t>
      </w:r>
      <w:r w:rsidR="005B5DE4">
        <w:t xml:space="preserve">’ CPC preparation. </w:t>
      </w:r>
      <w:r w:rsidR="008B624A">
        <w:t>Given current permissions in the Code</w:t>
      </w:r>
      <w:r w:rsidR="005B5DE4">
        <w:t xml:space="preserve"> for</w:t>
      </w:r>
      <w:r w:rsidR="008B624A">
        <w:t xml:space="preserve"> the use of propylene glycol</w:t>
      </w:r>
      <w:r w:rsidR="00D814B1">
        <w:t xml:space="preserve"> as an food additive permitted at GMP and a processing aid</w:t>
      </w:r>
      <w:r w:rsidR="008B624A">
        <w:t>, FSANZ considers n</w:t>
      </w:r>
      <w:r w:rsidR="008B624A" w:rsidRPr="008B624A">
        <w:t xml:space="preserve">o amendments to the Code to permit the use of propylene glycol in </w:t>
      </w:r>
      <w:r w:rsidR="00CA6BC0">
        <w:t>Safe Foods</w:t>
      </w:r>
      <w:r w:rsidR="005B5DE4">
        <w:t xml:space="preserve">’ </w:t>
      </w:r>
      <w:r w:rsidR="008B624A" w:rsidRPr="008B624A">
        <w:t>CPC preparation are needed.</w:t>
      </w:r>
      <w:r w:rsidR="008B624A">
        <w:t xml:space="preserve"> </w:t>
      </w:r>
    </w:p>
    <w:p w14:paraId="78F4A482" w14:textId="77777777" w:rsidR="008B624A" w:rsidRDefault="008B624A" w:rsidP="00E5567D"/>
    <w:p w14:paraId="7D341EEE" w14:textId="58138DE0" w:rsidR="008B624A" w:rsidRDefault="005B5DE4" w:rsidP="00E5567D">
      <w:r>
        <w:t xml:space="preserve">Based on the above discussion, FSANZ is </w:t>
      </w:r>
      <w:r w:rsidR="008B624A">
        <w:t xml:space="preserve">not proposing any amendments to the Code with respect to permissions for </w:t>
      </w:r>
      <w:r>
        <w:t xml:space="preserve">the </w:t>
      </w:r>
      <w:r w:rsidR="008B624A">
        <w:t xml:space="preserve">use of propylene glycol. </w:t>
      </w:r>
    </w:p>
    <w:p w14:paraId="5A7053AC" w14:textId="22236AF1" w:rsidR="00980DBC" w:rsidRPr="00980DBC" w:rsidRDefault="00980DBC" w:rsidP="00980DBC">
      <w:pPr>
        <w:pStyle w:val="Heading3"/>
      </w:pPr>
      <w:bookmarkStart w:id="65" w:name="_Toc94800143"/>
      <w:r w:rsidRPr="00980DBC">
        <w:t>2.2.</w:t>
      </w:r>
      <w:r w:rsidR="005B5DE4">
        <w:t>7</w:t>
      </w:r>
      <w:r w:rsidRPr="00980DBC">
        <w:tab/>
        <w:t>Labelling</w:t>
      </w:r>
      <w:bookmarkEnd w:id="65"/>
    </w:p>
    <w:p w14:paraId="78BEA3A2" w14:textId="75856937" w:rsidR="00980DBC" w:rsidRPr="00980DBC" w:rsidRDefault="00980DBC" w:rsidP="00AA45B0">
      <w:r w:rsidRPr="00980DBC">
        <w:t>The exemption from declaring processing aids in the statement of ingredients will apply</w:t>
      </w:r>
      <w:r w:rsidR="003649C2">
        <w:t>, in accordance with the Code,</w:t>
      </w:r>
      <w:r w:rsidRPr="00980DBC">
        <w:t xml:space="preserve"> to products treated with CPC (refer to Section 1.3.4 </w:t>
      </w:r>
      <w:r w:rsidR="00BB1466">
        <w:t>of this report</w:t>
      </w:r>
      <w:r w:rsidRPr="00980DBC">
        <w:t xml:space="preserve">). No </w:t>
      </w:r>
      <w:r w:rsidR="005B5DE4">
        <w:t>amendments to the Code with respect to</w:t>
      </w:r>
      <w:r w:rsidRPr="00980DBC">
        <w:t xml:space="preserve"> labelli</w:t>
      </w:r>
      <w:r w:rsidR="00435C78">
        <w:t xml:space="preserve">ng </w:t>
      </w:r>
      <w:r w:rsidR="005B5DE4">
        <w:t xml:space="preserve">of poultry treated with CPC </w:t>
      </w:r>
      <w:r w:rsidR="00435C78">
        <w:t>are proposed.</w:t>
      </w:r>
    </w:p>
    <w:p w14:paraId="231DA37A" w14:textId="09CEAF31" w:rsidR="00D80D71" w:rsidRDefault="00435C78" w:rsidP="0039447F">
      <w:pPr>
        <w:pStyle w:val="Heading3"/>
      </w:pPr>
      <w:bookmarkStart w:id="66" w:name="_Toc94800144"/>
      <w:r>
        <w:t>2.2.</w:t>
      </w:r>
      <w:r w:rsidR="00A929F6">
        <w:t>8</w:t>
      </w:r>
      <w:r>
        <w:tab/>
      </w:r>
      <w:r w:rsidR="00D80D71">
        <w:t>Conclusion</w:t>
      </w:r>
      <w:bookmarkEnd w:id="66"/>
      <w:r w:rsidR="00D80D71">
        <w:t xml:space="preserve"> </w:t>
      </w:r>
    </w:p>
    <w:p w14:paraId="43155736" w14:textId="237D7AED" w:rsidR="00D80D71" w:rsidRDefault="00D80D71" w:rsidP="00D80D71">
      <w:r w:rsidRPr="00530FA1">
        <w:t>A draft variation to the Code has been prepared to permit the proposed use of CPC (Attachment A).</w:t>
      </w:r>
      <w:r>
        <w:t xml:space="preserve"> </w:t>
      </w:r>
      <w:r w:rsidR="00A53B5B">
        <w:t xml:space="preserve">If approved, the </w:t>
      </w:r>
      <w:r w:rsidR="00557B26">
        <w:t xml:space="preserve">proposed draft variation </w:t>
      </w:r>
      <w:r w:rsidR="00A53B5B">
        <w:t xml:space="preserve">would </w:t>
      </w:r>
      <w:r w:rsidR="00557B26">
        <w:t>permit the use of CPC as a processing aid with the</w:t>
      </w:r>
      <w:r w:rsidR="00557B26" w:rsidRPr="00557B26">
        <w:t xml:space="preserve"> technological purpose of </w:t>
      </w:r>
      <w:r w:rsidR="00AC6D18">
        <w:t>antimicrobial</w:t>
      </w:r>
      <w:r w:rsidR="00557B26" w:rsidRPr="00557B26">
        <w:t xml:space="preserve"> agent for raw poultry meat</w:t>
      </w:r>
      <w:r w:rsidR="00557B26">
        <w:t xml:space="preserve"> with the skin attached</w:t>
      </w:r>
      <w:r w:rsidR="00036BA0">
        <w:t xml:space="preserve"> in accordance with the Code</w:t>
      </w:r>
      <w:r w:rsidR="00557B26">
        <w:t xml:space="preserve">. The permission </w:t>
      </w:r>
      <w:r w:rsidR="00A53B5B">
        <w:t xml:space="preserve">would be </w:t>
      </w:r>
      <w:r w:rsidR="00557B26">
        <w:t xml:space="preserve">subject to the </w:t>
      </w:r>
      <w:r w:rsidR="00A53B5B">
        <w:t xml:space="preserve">following </w:t>
      </w:r>
      <w:r w:rsidR="00557B26">
        <w:t xml:space="preserve">conditions: </w:t>
      </w:r>
    </w:p>
    <w:p w14:paraId="149FB069" w14:textId="55A890F1" w:rsidR="00557B26" w:rsidRDefault="00557B26" w:rsidP="00D80D71"/>
    <w:p w14:paraId="3ECD3EA0" w14:textId="7A7D9B89" w:rsidR="00557B26" w:rsidRPr="00FD0CAB" w:rsidRDefault="00557B26" w:rsidP="00D2335F">
      <w:pPr>
        <w:pStyle w:val="ListParagraph"/>
        <w:numPr>
          <w:ilvl w:val="0"/>
          <w:numId w:val="19"/>
        </w:numPr>
      </w:pPr>
      <w:r>
        <w:t xml:space="preserve">the concentration of CPC in the </w:t>
      </w:r>
      <w:r w:rsidR="00D2335F" w:rsidRPr="00D2335F">
        <w:t>aqueous wash</w:t>
      </w:r>
      <w:r>
        <w:t xml:space="preserve"> solution used does not exceed </w:t>
      </w:r>
      <w:r w:rsidR="00CB40D3">
        <w:t>1% (w/v)</w:t>
      </w:r>
      <w:r w:rsidRPr="00FD0CAB">
        <w:t xml:space="preserve"> </w:t>
      </w:r>
    </w:p>
    <w:p w14:paraId="008E648A" w14:textId="53C1B1CC" w:rsidR="00557B26" w:rsidRDefault="00557B26" w:rsidP="0039447F">
      <w:pPr>
        <w:pStyle w:val="ListParagraph"/>
        <w:numPr>
          <w:ilvl w:val="0"/>
          <w:numId w:val="19"/>
        </w:numPr>
      </w:pPr>
      <w:r w:rsidRPr="00557B26">
        <w:t xml:space="preserve">the raw poultry </w:t>
      </w:r>
      <w:r w:rsidR="0061433A">
        <w:t xml:space="preserve">meat </w:t>
      </w:r>
      <w:r w:rsidRPr="00557B26">
        <w:t>is rinsed in potable water after treatment with CPC</w:t>
      </w:r>
      <w:r w:rsidR="00BA6698">
        <w:t xml:space="preserve">. </w:t>
      </w:r>
    </w:p>
    <w:p w14:paraId="48CEB5F3" w14:textId="5A5F0210" w:rsidR="00BA6698" w:rsidRDefault="00BA6698" w:rsidP="00BA6698"/>
    <w:p w14:paraId="4619A540" w14:textId="0561BA3B" w:rsidR="00557B26" w:rsidRPr="00557B26" w:rsidRDefault="006C6E05" w:rsidP="006C6E05">
      <w:r w:rsidRPr="006C6E05">
        <w:t xml:space="preserve">The permission </w:t>
      </w:r>
      <w:r>
        <w:t xml:space="preserve">would also be </w:t>
      </w:r>
      <w:r w:rsidRPr="006C6E05">
        <w:t>subject to a maximum permitted level of CPC in the poultry skin of 13.4 mg per kg</w:t>
      </w:r>
      <w:r>
        <w:t xml:space="preserve">. </w:t>
      </w:r>
      <w:r w:rsidRPr="006C6E05">
        <w:t xml:space="preserve"> </w:t>
      </w:r>
    </w:p>
    <w:p w14:paraId="24BF8EEE" w14:textId="77777777" w:rsidR="00D80D71" w:rsidRDefault="00D80D71" w:rsidP="00D80D71"/>
    <w:p w14:paraId="37E71E38" w14:textId="3FEFBF35" w:rsidR="00AA45B0" w:rsidRDefault="00D80D71" w:rsidP="00DD3C5E">
      <w:r w:rsidRPr="00E5567D">
        <w:t xml:space="preserve">Raw poultry may carry a wide range of microorganisms, some of which are potential human pathogens that can cause illness in consumers. Approving the application </w:t>
      </w:r>
      <w:r w:rsidR="00A53B5B" w:rsidRPr="00E5567D">
        <w:t>w</w:t>
      </w:r>
      <w:r w:rsidR="00A53B5B">
        <w:t xml:space="preserve">ould </w:t>
      </w:r>
      <w:r w:rsidRPr="00E5567D">
        <w:t xml:space="preserve">provide the poultry industry with an </w:t>
      </w:r>
      <w:r>
        <w:t>additional option</w:t>
      </w:r>
      <w:r w:rsidRPr="00E5567D">
        <w:t xml:space="preserve"> for reducing microorganisms, including pathogens, in raw poultry.</w:t>
      </w:r>
      <w:r w:rsidRPr="00FB2984">
        <w:t xml:space="preserve"> </w:t>
      </w:r>
    </w:p>
    <w:p w14:paraId="23ABC699" w14:textId="4124B47C" w:rsidR="00E520FE" w:rsidRPr="00932F14" w:rsidRDefault="00E520FE" w:rsidP="00E520FE">
      <w:pPr>
        <w:pStyle w:val="Heading2"/>
      </w:pPr>
      <w:bookmarkStart w:id="67" w:name="_Toc300933435"/>
      <w:bookmarkStart w:id="68" w:name="_Toc94800145"/>
      <w:r>
        <w:t>2.</w:t>
      </w:r>
      <w:r w:rsidR="007F57CD">
        <w:t>3</w:t>
      </w:r>
      <w:r>
        <w:tab/>
        <w:t>Risk communication</w:t>
      </w:r>
      <w:bookmarkEnd w:id="67"/>
      <w:bookmarkEnd w:id="68"/>
      <w:r>
        <w:t xml:space="preserve"> </w:t>
      </w:r>
    </w:p>
    <w:p w14:paraId="0FEEA085" w14:textId="7EF9E5D5" w:rsidR="00E520FE" w:rsidRPr="005C161A" w:rsidRDefault="00E520FE">
      <w:pPr>
        <w:pStyle w:val="Heading3"/>
      </w:pPr>
      <w:bookmarkStart w:id="69" w:name="_Toc300933437"/>
      <w:bookmarkStart w:id="70" w:name="_Toc94800146"/>
      <w:bookmarkStart w:id="71" w:name="_Toc286391012"/>
      <w:r w:rsidRPr="005C161A">
        <w:t>2.</w:t>
      </w:r>
      <w:r w:rsidR="007F57CD" w:rsidRPr="005C161A">
        <w:t>3</w:t>
      </w:r>
      <w:r w:rsidRPr="005C161A">
        <w:t>.1</w:t>
      </w:r>
      <w:r w:rsidRPr="005C161A">
        <w:tab/>
        <w:t>Consultation</w:t>
      </w:r>
      <w:bookmarkEnd w:id="69"/>
      <w:bookmarkEnd w:id="70"/>
    </w:p>
    <w:p w14:paraId="3E8A4F18" w14:textId="6CF6FCBB" w:rsidR="0027513D" w:rsidRPr="00806CA9" w:rsidRDefault="0027513D" w:rsidP="00806CA9">
      <w:r w:rsidRPr="0027513D">
        <w:t xml:space="preserve">Consultation is a key part of FSANZ’s standards development process. </w:t>
      </w:r>
      <w:r w:rsidRPr="00806CA9">
        <w:t xml:space="preserve">FSANZ </w:t>
      </w:r>
      <w:r w:rsidR="00B67666">
        <w:t xml:space="preserve">developed and applied a basic communication strategy to this application. </w:t>
      </w:r>
    </w:p>
    <w:p w14:paraId="5B0914C6" w14:textId="77777777" w:rsidR="0027513D" w:rsidRPr="00806CA9" w:rsidRDefault="0027513D" w:rsidP="00806CA9"/>
    <w:p w14:paraId="066ECD98" w14:textId="1E29C19A" w:rsidR="00FB67A3" w:rsidRPr="00806CA9" w:rsidRDefault="00B67666" w:rsidP="00806CA9">
      <w:r>
        <w:t>All calls for submissions are notified via the Food Standards Notification Circular, media release, FSANZ’s social media tools and Food Standards News.</w:t>
      </w:r>
    </w:p>
    <w:p w14:paraId="63D1F5A4" w14:textId="77777777" w:rsidR="00FB67A3" w:rsidRPr="00806CA9" w:rsidRDefault="00FB67A3" w:rsidP="00806CA9"/>
    <w:p w14:paraId="08C981FA" w14:textId="0C93E258" w:rsidR="0027513D" w:rsidRPr="00806CA9" w:rsidRDefault="00B67666" w:rsidP="00806CA9">
      <w:r>
        <w:t>The process by which FSANZ considers standards development matters is open, accountable, consultative and transparent. Public submissions are called to obtain the views of the public, including interested parties on issues raised by the application and the impacts of regulatory options.</w:t>
      </w:r>
    </w:p>
    <w:p w14:paraId="358C0ECA" w14:textId="3C00C724" w:rsidR="00E520FE" w:rsidRPr="00022DBC" w:rsidRDefault="00022DBC" w:rsidP="00022DBC">
      <w:pPr>
        <w:pStyle w:val="Heading3"/>
      </w:pPr>
      <w:bookmarkStart w:id="72" w:name="_Toc300761912"/>
      <w:bookmarkStart w:id="73" w:name="_Toc300933439"/>
      <w:bookmarkStart w:id="74" w:name="_Toc94800147"/>
      <w:bookmarkEnd w:id="71"/>
      <w:r w:rsidRPr="00022DBC">
        <w:lastRenderedPageBreak/>
        <w:t>2.</w:t>
      </w:r>
      <w:r w:rsidR="007F57CD">
        <w:t>3</w:t>
      </w:r>
      <w:r w:rsidRPr="00022DBC">
        <w:t>.2</w:t>
      </w:r>
      <w:r w:rsidR="00E520FE" w:rsidRPr="00022DBC">
        <w:tab/>
        <w:t>World Trade Organization (WTO)</w:t>
      </w:r>
      <w:bookmarkEnd w:id="72"/>
      <w:bookmarkEnd w:id="73"/>
      <w:bookmarkEnd w:id="74"/>
    </w:p>
    <w:p w14:paraId="59203359"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8A26BCD" w14:textId="77777777" w:rsidR="00BA2357" w:rsidRPr="00AD4FC3" w:rsidRDefault="00BA2357" w:rsidP="00E520FE">
      <w:pPr>
        <w:tabs>
          <w:tab w:val="left" w:pos="1560"/>
        </w:tabs>
      </w:pPr>
    </w:p>
    <w:p w14:paraId="2510145D" w14:textId="3A47A09E" w:rsidR="00E520FE" w:rsidRPr="0024582E" w:rsidRDefault="00AA2837" w:rsidP="00E520FE">
      <w:pPr>
        <w:tabs>
          <w:tab w:val="left" w:pos="1560"/>
        </w:tabs>
        <w:rPr>
          <w:rFonts w:cs="Arial"/>
          <w:iCs/>
        </w:rPr>
      </w:pPr>
      <w:r w:rsidRPr="00AA2837">
        <w:rPr>
          <w:rFonts w:cs="Arial"/>
        </w:rPr>
        <w:t>In terms of food safety, the relevant international standard setting body is the Codex Alimentarius Commission (Codex). In contrast to food additives, there is no Codex Alimentarius ‘general standard’ for processing aids</w:t>
      </w:r>
      <w:r>
        <w:rPr>
          <w:rFonts w:cs="Arial"/>
        </w:rPr>
        <w:t>.</w:t>
      </w:r>
      <w:r w:rsidRPr="00AA2837" w:rsidDel="00AA2837">
        <w:rPr>
          <w:rFonts w:cs="Arial"/>
        </w:rPr>
        <w:t xml:space="preserve"> </w:t>
      </w:r>
      <w:r w:rsidR="00E520FE" w:rsidRPr="00DC6570">
        <w:rPr>
          <w:rFonts w:cs="Arial"/>
        </w:rPr>
        <w:t xml:space="preserve">There </w:t>
      </w:r>
      <w:r w:rsidR="00EB4264">
        <w:rPr>
          <w:rFonts w:cs="Arial"/>
        </w:rPr>
        <w:t xml:space="preserve">is </w:t>
      </w:r>
      <w:r w:rsidR="005461C5">
        <w:rPr>
          <w:rFonts w:cs="Arial"/>
        </w:rPr>
        <w:t xml:space="preserve">however, </w:t>
      </w:r>
      <w:r w:rsidR="00EB4264">
        <w:rPr>
          <w:rFonts w:cs="Arial"/>
        </w:rPr>
        <w:t xml:space="preserve">an international </w:t>
      </w:r>
      <w:r w:rsidR="00B97728">
        <w:rPr>
          <w:rFonts w:cs="Arial"/>
        </w:rPr>
        <w:t xml:space="preserve">Codex </w:t>
      </w:r>
      <w:r w:rsidR="00EB4264">
        <w:rPr>
          <w:rFonts w:cs="Arial"/>
        </w:rPr>
        <w:t>guideline</w:t>
      </w:r>
      <w:r w:rsidR="00EB4264" w:rsidRPr="00EB4264">
        <w:t xml:space="preserve"> </w:t>
      </w:r>
      <w:r w:rsidR="00EB4264">
        <w:t>for processing aids</w:t>
      </w:r>
      <w:r w:rsidR="003A2114">
        <w:t xml:space="preserve"> – </w:t>
      </w:r>
      <w:r w:rsidR="00EB4264" w:rsidRPr="00EB4264">
        <w:rPr>
          <w:rFonts w:cs="Arial"/>
          <w:i/>
        </w:rPr>
        <w:t>Guidelines on Substances used as Processing Aids</w:t>
      </w:r>
      <w:r w:rsidR="00EB4264" w:rsidRPr="00EB4264">
        <w:rPr>
          <w:rFonts w:cs="Arial"/>
        </w:rPr>
        <w:t xml:space="preserve"> (CAC/GL 75-2010)</w:t>
      </w:r>
      <w:r w:rsidR="001238A1">
        <w:rPr>
          <w:rFonts w:cs="Arial"/>
        </w:rPr>
        <w:t xml:space="preserve"> </w:t>
      </w:r>
      <w:r w:rsidR="003A2114">
        <w:rPr>
          <w:rFonts w:cs="Arial"/>
        </w:rPr>
        <w:t>– a</w:t>
      </w:r>
      <w:r w:rsidR="001238A1">
        <w:rPr>
          <w:rFonts w:cs="Arial"/>
        </w:rPr>
        <w:t>s detailed in Section 2.</w:t>
      </w:r>
      <w:r w:rsidR="005461C5">
        <w:rPr>
          <w:rFonts w:cs="Arial"/>
        </w:rPr>
        <w:t>4</w:t>
      </w:r>
      <w:r w:rsidR="001238A1">
        <w:rPr>
          <w:rFonts w:cs="Arial"/>
        </w:rPr>
        <w:t>.3</w:t>
      </w:r>
      <w:r w:rsidR="00EB4264">
        <w:rPr>
          <w:rFonts w:cs="Arial"/>
        </w:rPr>
        <w:t xml:space="preserve"> below</w:t>
      </w:r>
      <w:r w:rsidR="001238A1">
        <w:rPr>
          <w:rFonts w:cs="Arial"/>
        </w:rPr>
        <w:t xml:space="preserve"> which is applicable to the use of processing aids</w:t>
      </w:r>
      <w:r w:rsidR="00EB4264">
        <w:rPr>
          <w:rFonts w:cs="Arial"/>
        </w:rPr>
        <w:t xml:space="preserve">. </w:t>
      </w:r>
      <w:r w:rsidR="000246F2">
        <w:rPr>
          <w:rFonts w:cs="Arial"/>
        </w:rPr>
        <w:t xml:space="preserve">Amending the Code to permit the use of CPC as a processing aid </w:t>
      </w:r>
      <w:r w:rsidR="00433B19">
        <w:rPr>
          <w:rFonts w:cs="Arial"/>
        </w:rPr>
        <w:t xml:space="preserve">as an </w:t>
      </w:r>
      <w:r w:rsidR="00D52829">
        <w:rPr>
          <w:rFonts w:cs="Arial"/>
        </w:rPr>
        <w:t>anti</w:t>
      </w:r>
      <w:r w:rsidR="00AC6D18">
        <w:rPr>
          <w:rFonts w:cs="Arial"/>
        </w:rPr>
        <w:t>microbial</w:t>
      </w:r>
      <w:r w:rsidR="00433B19">
        <w:rPr>
          <w:rFonts w:cs="Arial"/>
        </w:rPr>
        <w:t xml:space="preserve"> agent </w:t>
      </w:r>
      <w:r w:rsidR="000246F2">
        <w:rPr>
          <w:rFonts w:cs="Arial"/>
        </w:rPr>
        <w:t>for raw poultry is unlikely to have a significant effect on international trade</w:t>
      </w:r>
      <w:r w:rsidR="00BA2357">
        <w:rPr>
          <w:rFonts w:cs="Arial"/>
        </w:rPr>
        <w:t>. The US</w:t>
      </w:r>
      <w:r w:rsidR="000246F2">
        <w:rPr>
          <w:rFonts w:cs="Arial"/>
        </w:rPr>
        <w:t>A</w:t>
      </w:r>
      <w:r w:rsidR="00BA2357">
        <w:rPr>
          <w:rFonts w:cs="Arial"/>
        </w:rPr>
        <w:t xml:space="preserve"> and</w:t>
      </w:r>
      <w:r w:rsidR="000246F2">
        <w:rPr>
          <w:rFonts w:cs="Arial"/>
        </w:rPr>
        <w:t xml:space="preserve"> a number of</w:t>
      </w:r>
      <w:r w:rsidR="00BA2357">
        <w:rPr>
          <w:rFonts w:cs="Arial"/>
        </w:rPr>
        <w:t xml:space="preserve"> other countries permit the use of C</w:t>
      </w:r>
      <w:r w:rsidR="000246F2">
        <w:rPr>
          <w:rFonts w:cs="Arial"/>
        </w:rPr>
        <w:t>P</w:t>
      </w:r>
      <w:r w:rsidR="00BA2357">
        <w:rPr>
          <w:rFonts w:cs="Arial"/>
        </w:rPr>
        <w:t>C</w:t>
      </w:r>
      <w:r w:rsidR="00924BFB">
        <w:rPr>
          <w:rFonts w:cs="Arial"/>
        </w:rPr>
        <w:t xml:space="preserve"> (or </w:t>
      </w:r>
      <w:r w:rsidR="00E00A72">
        <w:rPr>
          <w:lang w:bidi="ar-SA"/>
        </w:rPr>
        <w:t>Cecure®</w:t>
      </w:r>
      <w:r w:rsidR="00924BFB">
        <w:rPr>
          <w:rFonts w:cs="Arial"/>
        </w:rPr>
        <w:t>)</w:t>
      </w:r>
      <w:r w:rsidR="00BA2357">
        <w:rPr>
          <w:rFonts w:cs="Arial"/>
        </w:rPr>
        <w:t xml:space="preserve"> as a processing aid for raw poultry and other foods.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Aus</w:t>
      </w:r>
      <w:r w:rsidR="00E520FE" w:rsidRPr="000246F2">
        <w:rPr>
          <w:rFonts w:cs="Arial"/>
        </w:rPr>
        <w:t>tralia’s and New Zealand’s</w:t>
      </w:r>
      <w:r w:rsidR="00E520FE" w:rsidRPr="000246F2">
        <w:rPr>
          <w:rFonts w:cs="Arial"/>
          <w:iCs/>
        </w:rPr>
        <w:t xml:space="preserve"> obligations under the WTO Technical Barriers to Trade </w:t>
      </w:r>
      <w:r w:rsidR="00E520FE" w:rsidRPr="00433B19">
        <w:rPr>
          <w:rFonts w:cs="Arial"/>
          <w:iCs/>
        </w:rPr>
        <w:t xml:space="preserve">or </w:t>
      </w:r>
      <w:r w:rsidR="00D04529" w:rsidRPr="00433B19">
        <w:rPr>
          <w:rFonts w:cs="Arial"/>
          <w:iCs/>
        </w:rPr>
        <w:t xml:space="preserve">Application of </w:t>
      </w:r>
      <w:r w:rsidR="00E520FE" w:rsidRPr="00433B19">
        <w:rPr>
          <w:rFonts w:cs="Arial"/>
          <w:iCs/>
        </w:rPr>
        <w:t>Sanitary and Phytosanitary Measures Agreement was not considered necessary.</w:t>
      </w:r>
    </w:p>
    <w:p w14:paraId="5F8612C9" w14:textId="361ABCE7" w:rsidR="00E520FE" w:rsidRDefault="00022DBC" w:rsidP="00022DBC">
      <w:pPr>
        <w:pStyle w:val="Heading2"/>
      </w:pPr>
      <w:bookmarkStart w:id="75" w:name="_Toc94800148"/>
      <w:r>
        <w:t>2.</w:t>
      </w:r>
      <w:r w:rsidR="007F57CD">
        <w:t>4</w:t>
      </w:r>
      <w:r>
        <w:tab/>
        <w:t>FSANZ Act assessment requirements</w:t>
      </w:r>
      <w:bookmarkEnd w:id="75"/>
    </w:p>
    <w:p w14:paraId="358B84BC" w14:textId="776B0624" w:rsidR="00726C2F" w:rsidRPr="00914030" w:rsidRDefault="00726C2F" w:rsidP="00726C2F">
      <w:r w:rsidRPr="00914030">
        <w:t xml:space="preserve">When assessing </w:t>
      </w:r>
      <w:r>
        <w:t xml:space="preserve">this </w:t>
      </w:r>
      <w:r w:rsidR="000532E3" w:rsidRPr="00E5567D">
        <w:t>a</w:t>
      </w:r>
      <w:r w:rsidRPr="00E5567D">
        <w:t xml:space="preserve">pplication and </w:t>
      </w:r>
      <w:r w:rsidRPr="000532E3">
        <w:t xml:space="preserve">the subsequent development of a food regulatory measure, FSANZ has had regard to the </w:t>
      </w:r>
      <w:r w:rsidRPr="000532E3" w:rsidDel="00932F14">
        <w:t xml:space="preserve">following </w:t>
      </w:r>
      <w:r w:rsidRPr="000532E3">
        <w:t xml:space="preserve">matters in section 29 of the FSANZ </w:t>
      </w:r>
      <w:r w:rsidRPr="00914030">
        <w:t>Act:</w:t>
      </w:r>
    </w:p>
    <w:p w14:paraId="446FE05C" w14:textId="10A3C900" w:rsidR="00726C2F" w:rsidRPr="000532E3" w:rsidRDefault="00980DBC" w:rsidP="00726C2F">
      <w:pPr>
        <w:pStyle w:val="Heading3"/>
        <w:rPr>
          <w:color w:val="auto"/>
        </w:rPr>
      </w:pPr>
      <w:bookmarkStart w:id="76" w:name="_Toc94800149"/>
      <w:r>
        <w:t>2.4</w:t>
      </w:r>
      <w:r w:rsidR="00726C2F">
        <w:t>.1</w:t>
      </w:r>
      <w:r w:rsidR="00726C2F">
        <w:tab/>
        <w:t xml:space="preserve">Section </w:t>
      </w:r>
      <w:r w:rsidR="00726C2F" w:rsidRPr="000532E3">
        <w:rPr>
          <w:color w:val="auto"/>
        </w:rPr>
        <w:t>29</w:t>
      </w:r>
      <w:bookmarkEnd w:id="76"/>
    </w:p>
    <w:p w14:paraId="12FF0EE1" w14:textId="138035D0" w:rsidR="00726C2F" w:rsidRDefault="00980DBC" w:rsidP="00726C2F">
      <w:pPr>
        <w:pStyle w:val="Heading4"/>
      </w:pPr>
      <w:r>
        <w:t>2.4</w:t>
      </w:r>
      <w:r w:rsidR="00195254">
        <w:t>.1.1</w:t>
      </w:r>
      <w:r w:rsidR="00195254">
        <w:tab/>
      </w:r>
      <w:r w:rsidR="00AD4FC3">
        <w:t>Consideration</w:t>
      </w:r>
      <w:r w:rsidR="00195254">
        <w:rPr>
          <w:lang w:val="en-AU"/>
        </w:rPr>
        <w:t xml:space="preserve"> of costs and benefits</w:t>
      </w:r>
    </w:p>
    <w:p w14:paraId="63BB6148" w14:textId="5B074F3F" w:rsidR="00C11C31" w:rsidRDefault="00CB4E7F" w:rsidP="00CB4E7F">
      <w:r w:rsidRPr="00140661">
        <w:t xml:space="preserve">The Office of Best Practice Regulation (OBPR) granted FSANZ a standing exemption from the requirement to develop a Regulatory Impact Statement for </w:t>
      </w:r>
      <w:r w:rsidR="00C11C31">
        <w:t xml:space="preserve">approving processing aids </w:t>
      </w:r>
      <w:r w:rsidRPr="00140661">
        <w:t xml:space="preserve">(OBPR correspondence dated </w:t>
      </w:r>
      <w:r w:rsidR="00C11C31">
        <w:t xml:space="preserve">24 November 2010, </w:t>
      </w:r>
      <w:r w:rsidRPr="00140661">
        <w:t>reference</w:t>
      </w:r>
      <w:r w:rsidR="00C11C31">
        <w:t xml:space="preserve"> 12065)</w:t>
      </w:r>
      <w:r w:rsidRPr="00140661">
        <w:t>. This standing exemption was provided as permitting</w:t>
      </w:r>
      <w:r>
        <w:t xml:space="preserve"> </w:t>
      </w:r>
      <w:r w:rsidR="00C11C31">
        <w:t>processing aids</w:t>
      </w:r>
      <w:r w:rsidR="00AB4ED0">
        <w:t xml:space="preserve"> is</w:t>
      </w:r>
      <w:r w:rsidR="00C11C31">
        <w:t xml:space="preserve"> </w:t>
      </w:r>
      <w:r w:rsidR="00B139D9">
        <w:t xml:space="preserve">deregulatory </w:t>
      </w:r>
      <w:r w:rsidR="00B139D9" w:rsidRPr="003E03C8">
        <w:rPr>
          <w:lang w:val="en-AU"/>
        </w:rPr>
        <w:t xml:space="preserve">as their use will be voluntary if the application is approved. </w:t>
      </w:r>
      <w:r w:rsidR="00B139D9" w:rsidRPr="003E03C8">
        <w:rPr>
          <w:lang w:bidi="ar-SA"/>
        </w:rPr>
        <w:t xml:space="preserve">This standing exemption relates to the introduction of a </w:t>
      </w:r>
      <w:r w:rsidR="00B139D9">
        <w:rPr>
          <w:lang w:bidi="ar-SA"/>
        </w:rPr>
        <w:t>processing</w:t>
      </w:r>
      <w:r w:rsidR="00B139D9" w:rsidRPr="003E03C8">
        <w:rPr>
          <w:lang w:bidi="ar-SA"/>
        </w:rPr>
        <w:t xml:space="preserve"> </w:t>
      </w:r>
      <w:r w:rsidR="00B139D9">
        <w:rPr>
          <w:lang w:bidi="ar-SA"/>
        </w:rPr>
        <w:t xml:space="preserve">aid </w:t>
      </w:r>
      <w:r w:rsidR="00B139D9" w:rsidRPr="003E03C8">
        <w:rPr>
          <w:lang w:bidi="ar-SA"/>
        </w:rPr>
        <w:t>that has been determined to be safe</w:t>
      </w:r>
      <w:r w:rsidR="006E4C9C">
        <w:rPr>
          <w:lang w:bidi="ar-SA"/>
        </w:rPr>
        <w:t xml:space="preserve"> for use in the food supply</w:t>
      </w:r>
      <w:r w:rsidR="00B139D9" w:rsidRPr="003E03C8">
        <w:rPr>
          <w:lang w:bidi="ar-SA"/>
        </w:rPr>
        <w:t>.</w:t>
      </w:r>
    </w:p>
    <w:p w14:paraId="56793A32" w14:textId="02F557E1" w:rsidR="00CB4E7F" w:rsidRPr="0057489E" w:rsidRDefault="00CB4E7F" w:rsidP="00CB4E7F"/>
    <w:p w14:paraId="03BA7DA3" w14:textId="17EC79C4" w:rsidR="00CB4E7F" w:rsidRDefault="00CB4E7F" w:rsidP="00CB4E7F">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00D5335C">
        <w:rPr>
          <w:rFonts w:cs="Arial"/>
        </w:rPr>
        <w:t xml:space="preserve">(paragraph </w:t>
      </w:r>
      <w:r w:rsidRPr="007E5946">
        <w:rPr>
          <w:rFonts w:cs="Arial"/>
        </w:rPr>
        <w:t>29(2)(a))</w:t>
      </w:r>
      <w:r>
        <w:rPr>
          <w:rFonts w:cs="Arial"/>
        </w:rPr>
        <w:t xml:space="preserve">. </w:t>
      </w:r>
    </w:p>
    <w:p w14:paraId="4965B7AB" w14:textId="77777777" w:rsidR="007E5946" w:rsidRDefault="007E5946" w:rsidP="00CB4E7F">
      <w:pPr>
        <w:rPr>
          <w:rFonts w:cs="Arial"/>
        </w:rPr>
      </w:pPr>
    </w:p>
    <w:p w14:paraId="24729827" w14:textId="34A02A17" w:rsidR="00CB4E7F" w:rsidRDefault="00CB4E7F" w:rsidP="00CB4E7F">
      <w:r>
        <w:t xml:space="preserve">The purpose of this consideration is to determine if the community, government, and industry as a whole is likely to benefit, </w:t>
      </w:r>
      <w:r w:rsidRPr="007E5946">
        <w:t>on balance, from a move from the status quo (</w:t>
      </w:r>
      <w:r w:rsidR="007E5946" w:rsidRPr="007E5946">
        <w:t xml:space="preserve">where status quo is </w:t>
      </w:r>
      <w:r w:rsidRPr="007E5946">
        <w:t>rejecting the application)</w:t>
      </w:r>
      <w:r>
        <w:t xml:space="preserve">. This analysis considers </w:t>
      </w:r>
      <w:r w:rsidR="00C44204">
        <w:t xml:space="preserve">permitting the use of </w:t>
      </w:r>
      <w:r w:rsidR="00C44204" w:rsidRPr="00FF507A">
        <w:t>CPC as a processing aid</w:t>
      </w:r>
      <w:r w:rsidR="00B80A02">
        <w:t xml:space="preserve"> in the processing of raw poultry</w:t>
      </w:r>
      <w:r w:rsidR="00CE0410">
        <w:t xml:space="preserve"> meat</w:t>
      </w:r>
      <w:r w:rsidR="00C44204" w:rsidRPr="00FF507A">
        <w:t>.</w:t>
      </w:r>
      <w:r w:rsidR="00C44204">
        <w:t xml:space="preserve"> </w:t>
      </w:r>
      <w:r>
        <w:t>FSANZ is of the view that no other realistic food regulatory measures exist, however information received may result in FSANZ arriving at a different outcome.</w:t>
      </w:r>
    </w:p>
    <w:p w14:paraId="194A21C0" w14:textId="77777777" w:rsidR="004645CC" w:rsidRDefault="004645CC" w:rsidP="00CB4E7F"/>
    <w:p w14:paraId="5B43E403" w14:textId="4B840979" w:rsidR="00CB4E7F" w:rsidRDefault="00CB4E7F" w:rsidP="00CB4E7F">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00127AA6">
        <w:t xml:space="preserve">permitting the processing aid in the processing of raw </w:t>
      </w:r>
      <w:r w:rsidR="000D7C10">
        <w:t>poultry</w:t>
      </w:r>
      <w:r w:rsidR="00CE0410">
        <w:t xml:space="preserve"> meat</w:t>
      </w:r>
      <w:r w:rsidR="00127AA6">
        <w:t xml:space="preserve">. </w:t>
      </w:r>
    </w:p>
    <w:p w14:paraId="568F2ABE" w14:textId="7FC6D0EC" w:rsidR="00CB4E7F" w:rsidRPr="00E5567D" w:rsidRDefault="00980DBC" w:rsidP="00CB4E7F">
      <w:pPr>
        <w:pStyle w:val="Heading5"/>
      </w:pPr>
      <w:r>
        <w:lastRenderedPageBreak/>
        <w:t>2.4</w:t>
      </w:r>
      <w:r w:rsidR="001E7A9F">
        <w:t>.1.1.1</w:t>
      </w:r>
      <w:r w:rsidR="001E7A9F">
        <w:tab/>
      </w:r>
      <w:r w:rsidR="00CB4E7F">
        <w:t xml:space="preserve">Costs and benefits </w:t>
      </w:r>
      <w:r w:rsidR="006E4C9C">
        <w:t xml:space="preserve">of </w:t>
      </w:r>
      <w:r w:rsidR="00127AA6">
        <w:t>permitting CPC as a processing aid</w:t>
      </w:r>
    </w:p>
    <w:p w14:paraId="636BA9FE" w14:textId="12368EF5" w:rsidR="00127AA6" w:rsidRDefault="00127AA6" w:rsidP="00B6566D">
      <w:pPr>
        <w:rPr>
          <w:lang w:val="en-AU"/>
        </w:rPr>
      </w:pPr>
      <w:r>
        <w:t xml:space="preserve">Approving the application will provide the food industry with an alternative </w:t>
      </w:r>
      <w:r w:rsidR="00AC6D18">
        <w:t>antimicrobial</w:t>
      </w:r>
      <w:r w:rsidRPr="00FF507A">
        <w:t xml:space="preserve"> treatment</w:t>
      </w:r>
      <w:r>
        <w:t xml:space="preserve"> for raw poultry</w:t>
      </w:r>
      <w:r w:rsidR="0025472B">
        <w:t xml:space="preserve"> meat</w:t>
      </w:r>
      <w:r>
        <w:t xml:space="preserve">. </w:t>
      </w:r>
      <w:r w:rsidRPr="007E7E84">
        <w:rPr>
          <w:lang w:val="en-AU"/>
        </w:rPr>
        <w:t xml:space="preserve">Due to the voluntary nature of the permission, </w:t>
      </w:r>
      <w:r>
        <w:rPr>
          <w:lang w:val="en-AU"/>
        </w:rPr>
        <w:t xml:space="preserve">industry </w:t>
      </w:r>
      <w:r w:rsidRPr="007E7E84">
        <w:rPr>
          <w:lang w:val="en-AU"/>
        </w:rPr>
        <w:t xml:space="preserve">would only use this </w:t>
      </w:r>
      <w:r>
        <w:rPr>
          <w:lang w:val="en-AU"/>
        </w:rPr>
        <w:t xml:space="preserve">processing aid where they believe a net benefit exists for them. </w:t>
      </w:r>
    </w:p>
    <w:p w14:paraId="71732E10" w14:textId="7AB6C4A5" w:rsidR="00073B68" w:rsidRDefault="00073B68" w:rsidP="00B6566D">
      <w:pPr>
        <w:rPr>
          <w:lang w:val="en-AU"/>
        </w:rPr>
      </w:pPr>
    </w:p>
    <w:p w14:paraId="50A2F184" w14:textId="69AEC495" w:rsidR="00073B68" w:rsidRPr="00073B68" w:rsidRDefault="00073B68" w:rsidP="00073B68">
      <w:pPr>
        <w:pStyle w:val="CommentText"/>
        <w:rPr>
          <w:sz w:val="22"/>
          <w:szCs w:val="24"/>
        </w:rPr>
      </w:pPr>
      <w:r>
        <w:rPr>
          <w:sz w:val="22"/>
          <w:szCs w:val="24"/>
        </w:rPr>
        <w:t>Consumers may benefit from any cost savings that industry passes on from</w:t>
      </w:r>
      <w:r w:rsidR="004655A6">
        <w:rPr>
          <w:sz w:val="22"/>
          <w:szCs w:val="24"/>
        </w:rPr>
        <w:t xml:space="preserve"> using this treatment </w:t>
      </w:r>
      <w:r>
        <w:rPr>
          <w:sz w:val="22"/>
          <w:szCs w:val="24"/>
        </w:rPr>
        <w:t>instead of other treatment methods.</w:t>
      </w:r>
    </w:p>
    <w:p w14:paraId="0D1219FE" w14:textId="77777777" w:rsidR="00073B68" w:rsidRDefault="00073B68" w:rsidP="00073B68">
      <w:pPr>
        <w:pStyle w:val="CommentText"/>
        <w:rPr>
          <w:sz w:val="22"/>
          <w:szCs w:val="24"/>
        </w:rPr>
      </w:pPr>
    </w:p>
    <w:p w14:paraId="3129BDE2" w14:textId="0327D343" w:rsidR="00944617" w:rsidRDefault="00795DA4" w:rsidP="00944617">
      <w:pPr>
        <w:pStyle w:val="CommentText"/>
        <w:rPr>
          <w:sz w:val="22"/>
          <w:szCs w:val="24"/>
        </w:rPr>
      </w:pPr>
      <w:r w:rsidRPr="00795DA4">
        <w:rPr>
          <w:sz w:val="22"/>
          <w:szCs w:val="24"/>
        </w:rPr>
        <w:t xml:space="preserve">Raw poultry </w:t>
      </w:r>
      <w:r w:rsidR="00073B68">
        <w:rPr>
          <w:sz w:val="22"/>
          <w:szCs w:val="24"/>
        </w:rPr>
        <w:t>can</w:t>
      </w:r>
      <w:r w:rsidRPr="00795DA4">
        <w:rPr>
          <w:sz w:val="22"/>
          <w:szCs w:val="24"/>
        </w:rPr>
        <w:t xml:space="preserve"> carry a wide range of microorganisms, some of which are potential human pathogens that can cause illness in consumers. </w:t>
      </w:r>
      <w:r w:rsidR="00073B68">
        <w:rPr>
          <w:sz w:val="22"/>
          <w:szCs w:val="24"/>
        </w:rPr>
        <w:t>Therefore, if this application is approved, consumer</w:t>
      </w:r>
      <w:r w:rsidR="004655A6">
        <w:rPr>
          <w:sz w:val="22"/>
          <w:szCs w:val="24"/>
        </w:rPr>
        <w:t>s’ safety</w:t>
      </w:r>
      <w:r w:rsidR="00073B68">
        <w:rPr>
          <w:sz w:val="22"/>
          <w:szCs w:val="24"/>
        </w:rPr>
        <w:t xml:space="preserve"> may </w:t>
      </w:r>
      <w:r w:rsidR="004655A6">
        <w:rPr>
          <w:sz w:val="22"/>
          <w:szCs w:val="24"/>
        </w:rPr>
        <w:t xml:space="preserve">improve </w:t>
      </w:r>
      <w:r>
        <w:rPr>
          <w:sz w:val="22"/>
          <w:szCs w:val="24"/>
        </w:rPr>
        <w:t>from</w:t>
      </w:r>
      <w:r w:rsidR="00073B68">
        <w:rPr>
          <w:sz w:val="22"/>
          <w:szCs w:val="24"/>
        </w:rPr>
        <w:t xml:space="preserve"> a</w:t>
      </w:r>
      <w:r>
        <w:rPr>
          <w:sz w:val="22"/>
          <w:szCs w:val="24"/>
        </w:rPr>
        <w:t xml:space="preserve"> greater availability of tools to reduce microorganisms in raw poultry.</w:t>
      </w:r>
      <w:r w:rsidRPr="00795DA4">
        <w:rPr>
          <w:sz w:val="22"/>
          <w:szCs w:val="24"/>
        </w:rPr>
        <w:t xml:space="preserve"> </w:t>
      </w:r>
    </w:p>
    <w:p w14:paraId="7151C27F" w14:textId="77777777" w:rsidR="00A44987" w:rsidRDefault="00A44987" w:rsidP="00944617">
      <w:pPr>
        <w:pStyle w:val="CommentText"/>
        <w:rPr>
          <w:sz w:val="22"/>
          <w:szCs w:val="24"/>
        </w:rPr>
      </w:pPr>
    </w:p>
    <w:p w14:paraId="6ACE3BCF" w14:textId="4D38D86A" w:rsidR="00944617" w:rsidRPr="00795DA4" w:rsidRDefault="00944617" w:rsidP="00944617">
      <w:pPr>
        <w:pStyle w:val="CommentText"/>
        <w:rPr>
          <w:sz w:val="22"/>
          <w:szCs w:val="24"/>
        </w:rPr>
      </w:pPr>
      <w:r>
        <w:rPr>
          <w:sz w:val="22"/>
          <w:szCs w:val="24"/>
        </w:rPr>
        <w:t xml:space="preserve">There are some environmental risks from </w:t>
      </w:r>
      <w:r w:rsidRPr="00944617">
        <w:rPr>
          <w:sz w:val="22"/>
          <w:szCs w:val="24"/>
        </w:rPr>
        <w:t>disposal of waste water containing the CPC preparation</w:t>
      </w:r>
      <w:r>
        <w:rPr>
          <w:sz w:val="22"/>
          <w:szCs w:val="24"/>
        </w:rPr>
        <w:t xml:space="preserve">. </w:t>
      </w:r>
      <w:r w:rsidR="008D035C">
        <w:rPr>
          <w:sz w:val="22"/>
          <w:szCs w:val="24"/>
        </w:rPr>
        <w:t>If industry were to use this processing aid, they would need to ensure adequate systems to treat and</w:t>
      </w:r>
      <w:r w:rsidR="004B57BF">
        <w:rPr>
          <w:sz w:val="22"/>
          <w:szCs w:val="24"/>
        </w:rPr>
        <w:t>/or</w:t>
      </w:r>
      <w:r w:rsidR="008D035C">
        <w:rPr>
          <w:sz w:val="22"/>
          <w:szCs w:val="24"/>
        </w:rPr>
        <w:t xml:space="preserve"> </w:t>
      </w:r>
      <w:r w:rsidR="00BA43E1">
        <w:rPr>
          <w:sz w:val="22"/>
          <w:szCs w:val="24"/>
        </w:rPr>
        <w:t xml:space="preserve">safely </w:t>
      </w:r>
      <w:r w:rsidR="008D035C">
        <w:rPr>
          <w:sz w:val="22"/>
          <w:szCs w:val="24"/>
        </w:rPr>
        <w:t>dispose of waste water</w:t>
      </w:r>
      <w:r w:rsidR="004B57BF">
        <w:rPr>
          <w:sz w:val="22"/>
          <w:szCs w:val="24"/>
        </w:rPr>
        <w:t xml:space="preserve"> containing CPC</w:t>
      </w:r>
      <w:r w:rsidR="008D035C">
        <w:rPr>
          <w:sz w:val="22"/>
          <w:szCs w:val="24"/>
        </w:rPr>
        <w:t xml:space="preserve">. </w:t>
      </w:r>
    </w:p>
    <w:p w14:paraId="49FEE058" w14:textId="77777777" w:rsidR="00B6566D" w:rsidRPr="0087149F" w:rsidRDefault="00B6566D" w:rsidP="00B6566D">
      <w:pPr>
        <w:rPr>
          <w:lang w:val="en-AU" w:bidi="ar-SA"/>
        </w:rPr>
      </w:pPr>
    </w:p>
    <w:p w14:paraId="34656332" w14:textId="7FC33A66" w:rsidR="00127AA6" w:rsidRDefault="00127AA6" w:rsidP="00127AA6">
      <w:pPr>
        <w:spacing w:after="240"/>
        <w:rPr>
          <w:rFonts w:cs="Arial"/>
          <w:i/>
        </w:rPr>
      </w:pPr>
      <w:r w:rsidRPr="00F9067B">
        <w:rPr>
          <w:lang w:bidi="ar-SA"/>
        </w:rPr>
        <w:t xml:space="preserve">Permitting the </w:t>
      </w:r>
      <w:r>
        <w:rPr>
          <w:lang w:bidi="ar-SA"/>
        </w:rPr>
        <w:t xml:space="preserve">processing aid </w:t>
      </w:r>
      <w:r w:rsidRPr="00F9067B">
        <w:rPr>
          <w:lang w:bidi="ar-SA"/>
        </w:rPr>
        <w:t xml:space="preserve">may </w:t>
      </w:r>
      <w:r w:rsidR="00073B68">
        <w:rPr>
          <w:lang w:bidi="ar-SA"/>
        </w:rPr>
        <w:t xml:space="preserve">also </w:t>
      </w:r>
      <w:r w:rsidRPr="00F9067B">
        <w:rPr>
          <w:lang w:bidi="ar-SA"/>
        </w:rPr>
        <w:t xml:space="preserve">result in a small cost to government in terms of adding </w:t>
      </w:r>
      <w:r>
        <w:rPr>
          <w:lang w:bidi="ar-SA"/>
        </w:rPr>
        <w:t xml:space="preserve">it </w:t>
      </w:r>
      <w:r w:rsidRPr="00F9067B">
        <w:rPr>
          <w:lang w:bidi="ar-SA"/>
        </w:rPr>
        <w:t>to the current range of processing aids that are monitored for compliance</w:t>
      </w:r>
      <w:r w:rsidR="008D035C">
        <w:rPr>
          <w:lang w:bidi="ar-SA"/>
        </w:rPr>
        <w:t xml:space="preserve">, including </w:t>
      </w:r>
      <w:r w:rsidR="00BA43E1">
        <w:rPr>
          <w:lang w:bidi="ar-SA"/>
        </w:rPr>
        <w:t xml:space="preserve">possibly monitoring for </w:t>
      </w:r>
      <w:r w:rsidR="008D035C">
        <w:rPr>
          <w:lang w:bidi="ar-SA"/>
        </w:rPr>
        <w:t>adequate waste disposal</w:t>
      </w:r>
      <w:r w:rsidRPr="00F9067B">
        <w:rPr>
          <w:lang w:bidi="ar-SA"/>
        </w:rPr>
        <w:t>.</w:t>
      </w:r>
      <w:r>
        <w:t xml:space="preserve"> </w:t>
      </w:r>
    </w:p>
    <w:p w14:paraId="309B3A8D" w14:textId="15AD4F1E" w:rsidR="00127AA6" w:rsidRDefault="00980DBC" w:rsidP="00127AA6">
      <w:pPr>
        <w:pStyle w:val="FSFigureTitle"/>
        <w:spacing w:after="240"/>
      </w:pPr>
      <w:r>
        <w:t>2.4</w:t>
      </w:r>
      <w:r w:rsidR="001E7A9F">
        <w:t>.1.1.2</w:t>
      </w:r>
      <w:r w:rsidR="001E7A9F">
        <w:tab/>
      </w:r>
      <w:r w:rsidR="00127AA6">
        <w:t>Conclusions from cost benefit considerations</w:t>
      </w:r>
    </w:p>
    <w:p w14:paraId="573705B0" w14:textId="2298234C" w:rsidR="00127AA6" w:rsidRDefault="00127AA6" w:rsidP="00127AA6">
      <w:r>
        <w:rPr>
          <w:lang w:val="en-AU"/>
        </w:rPr>
        <w:t xml:space="preserve">FSANZ’s </w:t>
      </w:r>
      <w:r w:rsidR="008D035C">
        <w:rPr>
          <w:lang w:val="en-AU"/>
        </w:rPr>
        <w:t>current</w:t>
      </w:r>
      <w:r>
        <w:rPr>
          <w:lang w:val="en-AU"/>
        </w:rPr>
        <w:t xml:space="preserve"> assessment is that</w:t>
      </w:r>
      <w:r w:rsidR="003649C2">
        <w:rPr>
          <w:lang w:val="en-AU"/>
        </w:rPr>
        <w:t>, if t</w:t>
      </w:r>
      <w:r w:rsidR="00DD4251">
        <w:rPr>
          <w:lang w:val="en-AU"/>
        </w:rPr>
        <w:t>h</w:t>
      </w:r>
      <w:r w:rsidR="003649C2">
        <w:rPr>
          <w:lang w:val="en-AU"/>
        </w:rPr>
        <w:t>e draft variation is approved,</w:t>
      </w:r>
      <w:r>
        <w:rPr>
          <w:lang w:val="en-AU"/>
        </w:rPr>
        <w:t xml:space="preserve"> the direct and indirect benefits that would arise from permitting the </w:t>
      </w:r>
      <w:r w:rsidRPr="008A69E4">
        <w:t xml:space="preserve">use of </w:t>
      </w:r>
      <w:r>
        <w:t>CPC as a processing aid for raw poultry</w:t>
      </w:r>
      <w:r w:rsidR="0025472B">
        <w:t xml:space="preserve"> meat</w:t>
      </w:r>
      <w:r>
        <w:t xml:space="preserve"> </w:t>
      </w:r>
      <w:r w:rsidR="003649C2">
        <w:t xml:space="preserve">would </w:t>
      </w:r>
      <w:r>
        <w:t xml:space="preserve">most likely outweigh the associated </w:t>
      </w:r>
      <w:r w:rsidR="00E66995">
        <w:t>risks and</w:t>
      </w:r>
      <w:r>
        <w:t xml:space="preserve"> costs.</w:t>
      </w:r>
      <w:r w:rsidR="008D035C">
        <w:t xml:space="preserve"> However, feedback received during this Call for Submissions may change or add to this conclusion.</w:t>
      </w:r>
    </w:p>
    <w:p w14:paraId="48331E45" w14:textId="61E51376" w:rsidR="00726C2F" w:rsidRDefault="00980DBC" w:rsidP="00726C2F">
      <w:pPr>
        <w:pStyle w:val="Heading4"/>
      </w:pPr>
      <w:r>
        <w:t>2.4</w:t>
      </w:r>
      <w:r w:rsidR="00726C2F">
        <w:t>.1.2</w:t>
      </w:r>
      <w:r w:rsidR="00726C2F">
        <w:tab/>
        <w:t>Other measures</w:t>
      </w:r>
    </w:p>
    <w:p w14:paraId="6C1D1135" w14:textId="760376E4" w:rsidR="00726C2F" w:rsidRPr="00AD4FC3"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8820BF" w:rsidRPr="00AD4FC3">
        <w:t>a</w:t>
      </w:r>
      <w:r w:rsidRPr="00AD4FC3">
        <w:t>pplication.</w:t>
      </w:r>
    </w:p>
    <w:p w14:paraId="322A1DC8" w14:textId="42729464" w:rsidR="00726C2F" w:rsidRDefault="00980DBC" w:rsidP="008B0075">
      <w:pPr>
        <w:pStyle w:val="Heading4"/>
      </w:pPr>
      <w:r>
        <w:t>2.4</w:t>
      </w:r>
      <w:r w:rsidR="008B0075">
        <w:t>.1.3</w:t>
      </w:r>
      <w:r w:rsidR="008B0075">
        <w:tab/>
        <w:t>A</w:t>
      </w:r>
      <w:r w:rsidR="00726C2F" w:rsidRPr="00914030">
        <w:t>ny relevant New Zealand standards</w:t>
      </w:r>
    </w:p>
    <w:p w14:paraId="14C5617E" w14:textId="0BB493AC" w:rsidR="008B0075" w:rsidRDefault="008820BF" w:rsidP="008B0075">
      <w:pPr>
        <w:rPr>
          <w:lang w:bidi="ar-SA"/>
        </w:rPr>
      </w:pPr>
      <w:r>
        <w:rPr>
          <w:lang w:bidi="ar-SA"/>
        </w:rPr>
        <w:t xml:space="preserve">The proposed regulatory measures apply in both Australia and New Zealand. There are no relevant New Zealand </w:t>
      </w:r>
      <w:r w:rsidR="00874561">
        <w:rPr>
          <w:lang w:bidi="ar-SA"/>
        </w:rPr>
        <w:t xml:space="preserve">only </w:t>
      </w:r>
      <w:r>
        <w:rPr>
          <w:lang w:bidi="ar-SA"/>
        </w:rPr>
        <w:t>Standards.</w:t>
      </w:r>
    </w:p>
    <w:p w14:paraId="7339DE76" w14:textId="2BD83CC1" w:rsidR="00726C2F" w:rsidRPr="00914030" w:rsidRDefault="00980DBC" w:rsidP="00BE3818">
      <w:pPr>
        <w:pStyle w:val="Heading4"/>
      </w:pPr>
      <w:r>
        <w:t>2.4</w:t>
      </w:r>
      <w:r w:rsidR="00BE3818">
        <w:t>.1.4</w:t>
      </w:r>
      <w:r w:rsidR="00BE3818">
        <w:tab/>
      </w:r>
      <w:r w:rsidR="0027513D">
        <w:t>A</w:t>
      </w:r>
      <w:r w:rsidR="00BE3818">
        <w:t>ny other relevant matters</w:t>
      </w:r>
    </w:p>
    <w:p w14:paraId="26EA47C6" w14:textId="339F7A95" w:rsidR="00BE3818" w:rsidRDefault="008B5567" w:rsidP="00BE3818">
      <w:pPr>
        <w:rPr>
          <w:lang w:bidi="ar-SA"/>
        </w:rPr>
      </w:pPr>
      <w:r>
        <w:t>Other relevant matters are considered below</w:t>
      </w:r>
      <w:r w:rsidR="00BE3818">
        <w:rPr>
          <w:lang w:bidi="ar-SA"/>
        </w:rPr>
        <w:t>.</w:t>
      </w:r>
      <w:r>
        <w:t xml:space="preserve"> </w:t>
      </w:r>
    </w:p>
    <w:p w14:paraId="04D03FFD" w14:textId="4A2AEB6F" w:rsidR="00022DBC" w:rsidRPr="00914030" w:rsidRDefault="00BE3818" w:rsidP="00022DBC">
      <w:pPr>
        <w:pStyle w:val="Heading3"/>
      </w:pPr>
      <w:bookmarkStart w:id="77" w:name="_Toc94800150"/>
      <w:bookmarkStart w:id="78" w:name="_Toc300761897"/>
      <w:bookmarkStart w:id="79" w:name="_Toc300933440"/>
      <w:r>
        <w:t>2.</w:t>
      </w:r>
      <w:r w:rsidR="00A929F6">
        <w:t>4</w:t>
      </w:r>
      <w:r>
        <w:t>.</w:t>
      </w:r>
      <w:r w:rsidR="00A929F6">
        <w:t>2</w:t>
      </w:r>
      <w:r w:rsidR="00022DBC" w:rsidRPr="00914030">
        <w:tab/>
      </w:r>
      <w:r>
        <w:t>Subsection 18(1)</w:t>
      </w:r>
      <w:bookmarkEnd w:id="77"/>
      <w:r>
        <w:t xml:space="preserve"> </w:t>
      </w:r>
      <w:bookmarkEnd w:id="78"/>
      <w:bookmarkEnd w:id="79"/>
    </w:p>
    <w:p w14:paraId="44338435"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763C10B" w14:textId="74C43CAE" w:rsidR="00022DBC" w:rsidRDefault="00BE3818" w:rsidP="00022DBC">
      <w:pPr>
        <w:pStyle w:val="Heading4"/>
        <w:rPr>
          <w:lang w:eastAsia="en-AU"/>
        </w:rPr>
      </w:pPr>
      <w:bookmarkStart w:id="80" w:name="_Toc297029117"/>
      <w:bookmarkStart w:id="81" w:name="_Toc300761898"/>
      <w:bookmarkStart w:id="82" w:name="_Toc300933441"/>
      <w:r>
        <w:rPr>
          <w:lang w:eastAsia="en-AU"/>
        </w:rPr>
        <w:t>2.</w:t>
      </w:r>
      <w:r w:rsidR="00A929F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0"/>
      <w:bookmarkEnd w:id="81"/>
      <w:bookmarkEnd w:id="82"/>
    </w:p>
    <w:p w14:paraId="22F24C4F" w14:textId="7643EE19" w:rsidR="005F51F2" w:rsidRPr="005F51F2" w:rsidRDefault="005F51F2" w:rsidP="005F51F2">
      <w:pPr>
        <w:rPr>
          <w:lang w:eastAsia="en-AU" w:bidi="ar-SA"/>
        </w:rPr>
      </w:pPr>
      <w:r w:rsidRPr="005F51F2">
        <w:rPr>
          <w:lang w:eastAsia="en-AU" w:bidi="ar-SA"/>
        </w:rPr>
        <w:t xml:space="preserve">FSANZ has undertaken a safety assessment (SD1) and concluded that there are no public health and safety concerns relating to the use of </w:t>
      </w:r>
      <w:r>
        <w:rPr>
          <w:lang w:eastAsia="en-AU" w:bidi="ar-SA"/>
        </w:rPr>
        <w:t xml:space="preserve">CPC as </w:t>
      </w:r>
      <w:r w:rsidRPr="005F51F2">
        <w:rPr>
          <w:lang w:eastAsia="en-AU" w:bidi="ar-SA"/>
        </w:rPr>
        <w:t xml:space="preserve">a processing aid </w:t>
      </w:r>
      <w:r>
        <w:rPr>
          <w:lang w:eastAsia="en-AU" w:bidi="ar-SA"/>
        </w:rPr>
        <w:t xml:space="preserve">as an </w:t>
      </w:r>
      <w:r w:rsidR="00AC6D18">
        <w:rPr>
          <w:lang w:eastAsia="en-AU" w:bidi="ar-SA"/>
        </w:rPr>
        <w:t>antimicrobial</w:t>
      </w:r>
      <w:r>
        <w:rPr>
          <w:lang w:eastAsia="en-AU" w:bidi="ar-SA"/>
        </w:rPr>
        <w:t xml:space="preserve"> agent in raw poultry</w:t>
      </w:r>
      <w:r w:rsidR="0025472B">
        <w:rPr>
          <w:lang w:eastAsia="en-AU" w:bidi="ar-SA"/>
        </w:rPr>
        <w:t xml:space="preserve"> meat</w:t>
      </w:r>
      <w:r w:rsidR="004B57BF" w:rsidRPr="004B57BF">
        <w:rPr>
          <w:lang w:eastAsia="en-AU" w:bidi="ar-SA"/>
        </w:rPr>
        <w:t xml:space="preserve"> or </w:t>
      </w:r>
      <w:r w:rsidR="004B57BF">
        <w:rPr>
          <w:lang w:eastAsia="en-AU" w:bidi="ar-SA"/>
        </w:rPr>
        <w:t xml:space="preserve">from </w:t>
      </w:r>
      <w:r w:rsidR="004B57BF" w:rsidRPr="004B57BF">
        <w:rPr>
          <w:lang w:eastAsia="en-AU" w:bidi="ar-SA"/>
        </w:rPr>
        <w:t xml:space="preserve">the propylene glycol in </w:t>
      </w:r>
      <w:r w:rsidR="00CA6BC0">
        <w:rPr>
          <w:lang w:eastAsia="en-AU" w:bidi="ar-SA"/>
        </w:rPr>
        <w:t>Safe Foods</w:t>
      </w:r>
      <w:r w:rsidR="004B57BF" w:rsidRPr="004B57BF">
        <w:rPr>
          <w:lang w:eastAsia="en-AU" w:bidi="ar-SA"/>
        </w:rPr>
        <w:t>’ CPC preparation at the proposed use levels.</w:t>
      </w:r>
    </w:p>
    <w:p w14:paraId="05490FE1" w14:textId="1B5522BF" w:rsidR="00022DBC" w:rsidRPr="001238A1" w:rsidRDefault="00BE3818" w:rsidP="00022DBC">
      <w:pPr>
        <w:pStyle w:val="Heading4"/>
        <w:rPr>
          <w:lang w:eastAsia="en-AU"/>
        </w:rPr>
      </w:pPr>
      <w:bookmarkStart w:id="83" w:name="_Toc300761899"/>
      <w:bookmarkStart w:id="84" w:name="_Toc300933442"/>
      <w:r>
        <w:rPr>
          <w:lang w:eastAsia="en-AU"/>
        </w:rPr>
        <w:t>2.</w:t>
      </w:r>
      <w:r w:rsidR="00A929F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consumers to </w:t>
      </w:r>
      <w:r w:rsidR="00022DBC" w:rsidRPr="001238A1">
        <w:rPr>
          <w:lang w:eastAsia="en-AU"/>
        </w:rPr>
        <w:lastRenderedPageBreak/>
        <w:t>make informed choices</w:t>
      </w:r>
      <w:bookmarkEnd w:id="83"/>
      <w:bookmarkEnd w:id="84"/>
    </w:p>
    <w:p w14:paraId="5EF2DC57" w14:textId="7237511A" w:rsidR="00022DBC" w:rsidRPr="001238A1" w:rsidRDefault="001238A1" w:rsidP="00022DBC">
      <w:r>
        <w:t xml:space="preserve">FSANZ is not proposing any specific labelling requirements for poultry treated using CPC. The generic exemption from declaring processing aids in the </w:t>
      </w:r>
      <w:r w:rsidR="004B57BF">
        <w:t xml:space="preserve">statement of </w:t>
      </w:r>
      <w:r>
        <w:t>ingredient</w:t>
      </w:r>
      <w:r w:rsidR="004B57BF">
        <w:t>s</w:t>
      </w:r>
      <w:r>
        <w:t xml:space="preserve"> would apply</w:t>
      </w:r>
      <w:r w:rsidR="00625DE6">
        <w:t xml:space="preserve"> in accordance with the Code</w:t>
      </w:r>
      <w:r>
        <w:t xml:space="preserve">, consistent with the </w:t>
      </w:r>
      <w:r w:rsidR="00FB2984">
        <w:t xml:space="preserve">current </w:t>
      </w:r>
      <w:r>
        <w:t xml:space="preserve">approach in the Code. </w:t>
      </w:r>
    </w:p>
    <w:p w14:paraId="25FBD8E3" w14:textId="21927EC1" w:rsidR="00022DBC" w:rsidRPr="001238A1" w:rsidRDefault="00BE3818" w:rsidP="00022DBC">
      <w:pPr>
        <w:pStyle w:val="Heading4"/>
        <w:rPr>
          <w:lang w:eastAsia="en-AU"/>
        </w:rPr>
      </w:pPr>
      <w:bookmarkStart w:id="85" w:name="_Toc300761900"/>
      <w:bookmarkStart w:id="86" w:name="_Toc300933443"/>
      <w:r w:rsidRPr="001238A1">
        <w:rPr>
          <w:lang w:eastAsia="en-AU"/>
        </w:rPr>
        <w:t>2.</w:t>
      </w:r>
      <w:r w:rsidR="00A929F6">
        <w:rPr>
          <w:lang w:eastAsia="en-AU"/>
        </w:rPr>
        <w:t>4</w:t>
      </w:r>
      <w:r w:rsidRPr="001238A1">
        <w:rPr>
          <w:lang w:eastAsia="en-AU"/>
        </w:rPr>
        <w:t>.2</w:t>
      </w:r>
      <w:r w:rsidR="00022DBC" w:rsidRPr="001238A1">
        <w:rPr>
          <w:lang w:eastAsia="en-AU"/>
        </w:rPr>
        <w:t>.3</w:t>
      </w:r>
      <w:r w:rsidR="00022DBC" w:rsidRPr="001238A1">
        <w:rPr>
          <w:lang w:eastAsia="en-AU"/>
        </w:rPr>
        <w:tab/>
        <w:t>The prevention of misleading or deceptive conduct</w:t>
      </w:r>
      <w:bookmarkEnd w:id="85"/>
      <w:bookmarkEnd w:id="86"/>
    </w:p>
    <w:p w14:paraId="49BC49CA" w14:textId="7FAEF4EB" w:rsidR="00022DBC" w:rsidRPr="00280237" w:rsidRDefault="00280237" w:rsidP="00022DBC">
      <w:r w:rsidRPr="00280237">
        <w:t xml:space="preserve">There </w:t>
      </w:r>
      <w:r w:rsidR="00924BFB">
        <w:t>we</w:t>
      </w:r>
      <w:r w:rsidRPr="00280237">
        <w:t>re no issues identified with this application relevant to this objective.</w:t>
      </w:r>
    </w:p>
    <w:p w14:paraId="5767B59B" w14:textId="0334E629" w:rsidR="00022DBC" w:rsidRPr="00914030" w:rsidRDefault="00B51E03" w:rsidP="00B51E03">
      <w:pPr>
        <w:pStyle w:val="Heading3"/>
      </w:pPr>
      <w:bookmarkStart w:id="87" w:name="_Toc300761901"/>
      <w:bookmarkStart w:id="88" w:name="_Toc300933444"/>
      <w:bookmarkStart w:id="89" w:name="_Toc94800151"/>
      <w:r>
        <w:t>2.</w:t>
      </w:r>
      <w:r w:rsidR="00A929F6">
        <w:t>4</w:t>
      </w:r>
      <w:r>
        <w:t>.3</w:t>
      </w:r>
      <w:r w:rsidR="00022DBC" w:rsidRPr="00914030">
        <w:tab/>
        <w:t xml:space="preserve">Subsection 18(2) </w:t>
      </w:r>
      <w:bookmarkEnd w:id="87"/>
      <w:bookmarkEnd w:id="88"/>
      <w:r w:rsidR="00022DBC" w:rsidRPr="00914030">
        <w:t>considerations</w:t>
      </w:r>
      <w:bookmarkEnd w:id="89"/>
    </w:p>
    <w:p w14:paraId="40AED260" w14:textId="77777777" w:rsidR="00022DBC" w:rsidRPr="00914030" w:rsidRDefault="00022DBC" w:rsidP="00022DBC">
      <w:pPr>
        <w:rPr>
          <w:rFonts w:cs="Arial"/>
        </w:rPr>
      </w:pPr>
      <w:r w:rsidRPr="00914030">
        <w:rPr>
          <w:rFonts w:cs="Arial"/>
        </w:rPr>
        <w:t>FSANZ has also had regard to:</w:t>
      </w:r>
    </w:p>
    <w:p w14:paraId="0DC98944" w14:textId="77777777" w:rsidR="00022DBC" w:rsidRPr="00914030" w:rsidRDefault="00022DBC" w:rsidP="00022DBC">
      <w:pPr>
        <w:rPr>
          <w:rFonts w:cs="Arial"/>
        </w:rPr>
      </w:pPr>
    </w:p>
    <w:p w14:paraId="07A3A7C2"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C677DD7" w14:textId="77777777" w:rsidR="008828D9" w:rsidRDefault="008828D9" w:rsidP="008828D9">
      <w:pPr>
        <w:rPr>
          <w:lang w:bidi="ar-SA"/>
        </w:rPr>
      </w:pPr>
    </w:p>
    <w:p w14:paraId="32CB85A6" w14:textId="186C9C6F" w:rsidR="008828D9" w:rsidRDefault="00924BFB" w:rsidP="008828D9">
      <w:r w:rsidRPr="00924BFB">
        <w:t xml:space="preserve">FSANZ has used the best available scientific evidence to conduct the risk analysis. The risk assessment is provided in SD1. </w:t>
      </w:r>
      <w:r w:rsidR="00CA6BC0">
        <w:t>Safe Foods</w:t>
      </w:r>
      <w:r w:rsidRPr="00924BFB">
        <w:t xml:space="preserve"> submitted a dossier of scientific studies as part of the application. This dossier, together with other technical information including scientific literature, was considered by FSANZ in assessing the application.</w:t>
      </w:r>
    </w:p>
    <w:p w14:paraId="77F3CEA6" w14:textId="77777777" w:rsidR="00924BFB" w:rsidRPr="00B47247" w:rsidRDefault="00924BFB" w:rsidP="008828D9">
      <w:pPr>
        <w:rPr>
          <w:lang w:bidi="ar-SA"/>
        </w:rPr>
      </w:pPr>
    </w:p>
    <w:p w14:paraId="44D2F33E" w14:textId="77777777" w:rsidR="00022DBC" w:rsidRPr="008828D9" w:rsidRDefault="00022DBC" w:rsidP="00022DBC">
      <w:pPr>
        <w:pStyle w:val="FSBullet1"/>
        <w:rPr>
          <w:b/>
        </w:rPr>
      </w:pPr>
      <w:r w:rsidRPr="008828D9">
        <w:rPr>
          <w:b/>
        </w:rPr>
        <w:t>the promotion of consistency between domestic and international food standards</w:t>
      </w:r>
    </w:p>
    <w:p w14:paraId="6BCA655E" w14:textId="40E2BE50" w:rsidR="008828D9" w:rsidRDefault="008828D9" w:rsidP="008828D9">
      <w:pPr>
        <w:rPr>
          <w:lang w:bidi="ar-SA"/>
        </w:rPr>
      </w:pPr>
    </w:p>
    <w:p w14:paraId="5E90947D" w14:textId="71935361" w:rsidR="00126F91" w:rsidRDefault="00126F91" w:rsidP="008828D9">
      <w:pPr>
        <w:rPr>
          <w:lang w:bidi="ar-SA"/>
        </w:rPr>
      </w:pPr>
      <w:r w:rsidRPr="00126F91">
        <w:rPr>
          <w:lang w:bidi="ar-SA"/>
        </w:rPr>
        <w:t xml:space="preserve">In terms of food safety, the relevant international standard setting body is the Codex Alimentarius Commission (Codex). In contrast to food additives, there is no Codex Alimentarius ‘general standard’ for </w:t>
      </w:r>
      <w:r>
        <w:rPr>
          <w:lang w:bidi="ar-SA"/>
        </w:rPr>
        <w:t>processing aids</w:t>
      </w:r>
      <w:r w:rsidRPr="00126F91">
        <w:rPr>
          <w:lang w:bidi="ar-SA"/>
        </w:rPr>
        <w:t xml:space="preserve">. </w:t>
      </w:r>
      <w:r>
        <w:rPr>
          <w:lang w:bidi="ar-SA"/>
        </w:rPr>
        <w:t xml:space="preserve">There is a Codex guideline, </w:t>
      </w:r>
      <w:r w:rsidRPr="0098300A">
        <w:rPr>
          <w:i/>
          <w:lang w:bidi="ar-SA"/>
        </w:rPr>
        <w:t>Guidelines on Substances used as Processing Aids</w:t>
      </w:r>
      <w:r>
        <w:rPr>
          <w:lang w:bidi="ar-SA"/>
        </w:rPr>
        <w:t xml:space="preserve"> (CAC/GL 75-2010) which sets out general principles for the safe use of substances used as processing aids, including that substances used as processing aids shall be used under conditio</w:t>
      </w:r>
      <w:r w:rsidR="000246F2">
        <w:rPr>
          <w:lang w:bidi="ar-SA"/>
        </w:rPr>
        <w:t xml:space="preserve">ns of </w:t>
      </w:r>
      <w:r>
        <w:rPr>
          <w:lang w:bidi="ar-SA"/>
        </w:rPr>
        <w:t xml:space="preserve">GMP. </w:t>
      </w:r>
    </w:p>
    <w:p w14:paraId="6F81FD86" w14:textId="091FB001" w:rsidR="00924BFB" w:rsidRDefault="00924BFB" w:rsidP="008828D9">
      <w:pPr>
        <w:rPr>
          <w:lang w:bidi="ar-SA"/>
        </w:rPr>
      </w:pPr>
    </w:p>
    <w:p w14:paraId="1FAFC08D" w14:textId="413A8AFC" w:rsidR="00924BFB" w:rsidRDefault="00924BFB" w:rsidP="008828D9">
      <w:pPr>
        <w:rPr>
          <w:lang w:bidi="ar-SA"/>
        </w:rPr>
      </w:pPr>
      <w:r w:rsidRPr="00924BFB">
        <w:rPr>
          <w:lang w:bidi="ar-SA"/>
        </w:rPr>
        <w:t xml:space="preserve">There </w:t>
      </w:r>
      <w:r w:rsidR="001238A1" w:rsidRPr="001238A1">
        <w:rPr>
          <w:lang w:bidi="ar-SA"/>
        </w:rPr>
        <w:t xml:space="preserve">is </w:t>
      </w:r>
      <w:r w:rsidR="001238A1">
        <w:rPr>
          <w:lang w:bidi="ar-SA"/>
        </w:rPr>
        <w:t xml:space="preserve">also </w:t>
      </w:r>
      <w:r w:rsidR="001238A1" w:rsidRPr="001238A1">
        <w:rPr>
          <w:lang w:bidi="ar-SA"/>
        </w:rPr>
        <w:t>a</w:t>
      </w:r>
      <w:r w:rsidR="001238A1">
        <w:rPr>
          <w:lang w:bidi="ar-SA"/>
        </w:rPr>
        <w:t>n internationally recognised</w:t>
      </w:r>
      <w:r w:rsidR="001238A1" w:rsidRPr="001238A1">
        <w:rPr>
          <w:lang w:bidi="ar-SA"/>
        </w:rPr>
        <w:t xml:space="preserve"> specification for CPC in the Food Chemicals Codex (</w:t>
      </w:r>
      <w:r w:rsidR="002A0B69" w:rsidRPr="002A0B69">
        <w:rPr>
          <w:lang w:bidi="ar-SA"/>
        </w:rPr>
        <w:t>United States Pharmacopeial Convention</w:t>
      </w:r>
      <w:r w:rsidR="00DF3CDD">
        <w:rPr>
          <w:lang w:bidi="ar-SA"/>
        </w:rPr>
        <w:t>,</w:t>
      </w:r>
      <w:r w:rsidR="001238A1" w:rsidRPr="001238A1">
        <w:rPr>
          <w:lang w:bidi="ar-SA"/>
        </w:rPr>
        <w:t xml:space="preserve"> </w:t>
      </w:r>
      <w:r w:rsidR="00CD00C7" w:rsidRPr="001238A1">
        <w:rPr>
          <w:lang w:bidi="ar-SA"/>
        </w:rPr>
        <w:t>20</w:t>
      </w:r>
      <w:r w:rsidR="00CD00C7">
        <w:rPr>
          <w:lang w:bidi="ar-SA"/>
        </w:rPr>
        <w:t>20</w:t>
      </w:r>
      <w:r w:rsidR="001238A1" w:rsidRPr="001238A1">
        <w:rPr>
          <w:lang w:bidi="ar-SA"/>
        </w:rPr>
        <w:t>)</w:t>
      </w:r>
      <w:r w:rsidR="001238A1">
        <w:rPr>
          <w:lang w:bidi="ar-SA"/>
        </w:rPr>
        <w:t xml:space="preserve"> </w:t>
      </w:r>
      <w:r w:rsidRPr="00924BFB">
        <w:rPr>
          <w:lang w:bidi="ar-SA"/>
        </w:rPr>
        <w:t>(refer to Section 1.3 of this report).</w:t>
      </w:r>
      <w:r w:rsidR="001238A1">
        <w:rPr>
          <w:lang w:bidi="ar-SA"/>
        </w:rPr>
        <w:t xml:space="preserve"> </w:t>
      </w:r>
    </w:p>
    <w:p w14:paraId="5E686ACA" w14:textId="77777777" w:rsidR="008828D9" w:rsidRPr="008828D9" w:rsidRDefault="008828D9" w:rsidP="008828D9">
      <w:pPr>
        <w:rPr>
          <w:lang w:bidi="ar-SA"/>
        </w:rPr>
      </w:pPr>
    </w:p>
    <w:p w14:paraId="66D5ABEF" w14:textId="77777777" w:rsidR="00022DBC" w:rsidRPr="008828D9" w:rsidRDefault="00022DBC" w:rsidP="00022DBC">
      <w:pPr>
        <w:pStyle w:val="FSBullet1"/>
        <w:rPr>
          <w:b/>
        </w:rPr>
      </w:pPr>
      <w:r w:rsidRPr="008828D9">
        <w:rPr>
          <w:b/>
        </w:rPr>
        <w:t>the desirability of an efficient and internationally competitive food industry</w:t>
      </w:r>
    </w:p>
    <w:p w14:paraId="2E31E6E3" w14:textId="77777777" w:rsidR="008828D9" w:rsidRDefault="008828D9" w:rsidP="008828D9">
      <w:pPr>
        <w:rPr>
          <w:lang w:bidi="ar-SA"/>
        </w:rPr>
      </w:pPr>
    </w:p>
    <w:p w14:paraId="4B735DFE" w14:textId="613FBEB4" w:rsidR="008828D9" w:rsidRPr="00B47247" w:rsidRDefault="00924BFB" w:rsidP="008828D9">
      <w:r w:rsidRPr="004B57BF">
        <w:t xml:space="preserve">The conclusion of the risk assessment was that there are no public health and safety issues associated with using CPC as a processing aid as an </w:t>
      </w:r>
      <w:r w:rsidR="00AC6D18">
        <w:t>antimicrobial</w:t>
      </w:r>
      <w:r w:rsidRPr="004B57BF">
        <w:t xml:space="preserve"> agent for raw poultry</w:t>
      </w:r>
      <w:r w:rsidR="0025472B">
        <w:t xml:space="preserve"> meat</w:t>
      </w:r>
      <w:r w:rsidRPr="004B57BF">
        <w:t xml:space="preserve">. It is </w:t>
      </w:r>
      <w:r w:rsidRPr="00924BFB">
        <w:t xml:space="preserve">therefore appropriate that Australian and New Zealand </w:t>
      </w:r>
      <w:r>
        <w:t>poultry</w:t>
      </w:r>
      <w:r w:rsidRPr="00924BFB">
        <w:t xml:space="preserve"> industries are given the opportunity to benefit from the proposed use of this </w:t>
      </w:r>
      <w:r>
        <w:t xml:space="preserve">processing aid. Whether or not an individual poultry processing company </w:t>
      </w:r>
      <w:r w:rsidRPr="00924BFB">
        <w:t xml:space="preserve">uses </w:t>
      </w:r>
      <w:r>
        <w:t xml:space="preserve">the processing aid </w:t>
      </w:r>
      <w:r w:rsidRPr="00924BFB">
        <w:t>will depend on a number of economic and other factors.</w:t>
      </w:r>
    </w:p>
    <w:p w14:paraId="23E9B6B6" w14:textId="77777777" w:rsidR="008828D9" w:rsidRPr="008828D9" w:rsidRDefault="008828D9" w:rsidP="008828D9">
      <w:pPr>
        <w:rPr>
          <w:lang w:bidi="ar-SA"/>
        </w:rPr>
      </w:pPr>
    </w:p>
    <w:p w14:paraId="58132B00" w14:textId="77777777" w:rsidR="00022DBC" w:rsidRPr="008828D9" w:rsidRDefault="00022DBC" w:rsidP="00022DBC">
      <w:pPr>
        <w:pStyle w:val="FSBullet1"/>
        <w:rPr>
          <w:b/>
        </w:rPr>
      </w:pPr>
      <w:r w:rsidRPr="008828D9">
        <w:rPr>
          <w:b/>
        </w:rPr>
        <w:t>the promotion of fair trading in food</w:t>
      </w:r>
    </w:p>
    <w:p w14:paraId="72657264" w14:textId="77777777" w:rsidR="008828D9" w:rsidRDefault="008828D9" w:rsidP="008828D9">
      <w:pPr>
        <w:rPr>
          <w:lang w:bidi="ar-SA"/>
        </w:rPr>
      </w:pPr>
    </w:p>
    <w:p w14:paraId="61789615" w14:textId="2A78BF86" w:rsidR="008828D9" w:rsidRPr="004B57BF" w:rsidRDefault="005F51F2" w:rsidP="008828D9">
      <w:r>
        <w:t>FSANZ did not i</w:t>
      </w:r>
      <w:r w:rsidRPr="005F51F2">
        <w:t>dentif</w:t>
      </w:r>
      <w:r>
        <w:t xml:space="preserve">y any issues </w:t>
      </w:r>
      <w:r w:rsidRPr="005F51F2">
        <w:t xml:space="preserve">for this application relevant to this </w:t>
      </w:r>
      <w:r w:rsidRPr="004B57BF">
        <w:t xml:space="preserve">objective. </w:t>
      </w:r>
    </w:p>
    <w:p w14:paraId="58856829" w14:textId="77777777" w:rsidR="005F51F2" w:rsidRPr="008828D9" w:rsidRDefault="005F51F2" w:rsidP="008828D9">
      <w:pPr>
        <w:rPr>
          <w:lang w:bidi="ar-SA"/>
        </w:rPr>
      </w:pPr>
    </w:p>
    <w:p w14:paraId="6A229E5C"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4D221D7E" w14:textId="0AC11C2D" w:rsidR="00022DBC" w:rsidRDefault="00022DBC" w:rsidP="00022DBC">
      <w:pPr>
        <w:rPr>
          <w:lang w:bidi="ar-SA"/>
        </w:rPr>
      </w:pPr>
    </w:p>
    <w:p w14:paraId="3F687366" w14:textId="77777777" w:rsidR="00AD4FC3" w:rsidRPr="00AD4FC3" w:rsidRDefault="00AD4FC3" w:rsidP="00AD4FC3">
      <w:r w:rsidRPr="00AD4FC3">
        <w:t>The Ministerial Policy Guideline Addition to Food of Substances other than Vitamins and Minerals</w:t>
      </w:r>
      <w:r w:rsidRPr="00AD4FC3">
        <w:rPr>
          <w:sz w:val="20"/>
          <w:szCs w:val="20"/>
          <w:vertAlign w:val="superscript"/>
        </w:rPr>
        <w:footnoteReference w:id="7"/>
      </w:r>
      <w:r w:rsidRPr="00AD4FC3">
        <w:t xml:space="preserve"> includes specific order policy principles for substances added to achieve a solely technological function, such as processing aids. These specific order policy principles state that permission should be granted where:</w:t>
      </w:r>
    </w:p>
    <w:p w14:paraId="251FE374" w14:textId="77777777" w:rsidR="00AD4FC3" w:rsidRPr="00AD4FC3" w:rsidRDefault="00AD4FC3" w:rsidP="00AD4FC3"/>
    <w:p w14:paraId="536592FC" w14:textId="77777777" w:rsidR="00AD4FC3" w:rsidRPr="00AD4FC3" w:rsidRDefault="00AD4FC3" w:rsidP="00AD4FC3">
      <w:pPr>
        <w:widowControl/>
        <w:numPr>
          <w:ilvl w:val="0"/>
          <w:numId w:val="2"/>
        </w:numPr>
        <w:ind w:left="567" w:hanging="567"/>
        <w:rPr>
          <w:rFonts w:cs="Arial"/>
          <w:lang w:bidi="ar-SA"/>
        </w:rPr>
      </w:pPr>
      <w:r w:rsidRPr="00AD4FC3">
        <w:rPr>
          <w:rFonts w:cs="Arial"/>
          <w:lang w:bidi="ar-SA"/>
        </w:rPr>
        <w:t>the purpose for adding the substance can be articulated clearly by the manufacturer as achieving a solely technological function (i.e. the ‘stated purpose’)</w:t>
      </w:r>
    </w:p>
    <w:p w14:paraId="7AC4B013" w14:textId="77777777" w:rsidR="00AD4FC3" w:rsidRPr="00AD4FC3" w:rsidRDefault="00AD4FC3" w:rsidP="00AD4FC3">
      <w:pPr>
        <w:widowControl/>
        <w:numPr>
          <w:ilvl w:val="0"/>
          <w:numId w:val="2"/>
        </w:numPr>
        <w:ind w:left="567" w:hanging="567"/>
        <w:rPr>
          <w:rFonts w:cs="Arial"/>
          <w:lang w:bidi="ar-SA"/>
        </w:rPr>
      </w:pPr>
      <w:r w:rsidRPr="00AD4FC3">
        <w:rPr>
          <w:rFonts w:cs="Arial"/>
          <w:lang w:bidi="ar-SA"/>
        </w:rPr>
        <w:t>the addition of the substance to food is safe for human consumption</w:t>
      </w:r>
    </w:p>
    <w:p w14:paraId="66A3C3A2" w14:textId="77777777" w:rsidR="00AD4FC3" w:rsidRPr="00AD4FC3" w:rsidRDefault="00AD4FC3" w:rsidP="00AD4FC3">
      <w:pPr>
        <w:widowControl/>
        <w:numPr>
          <w:ilvl w:val="0"/>
          <w:numId w:val="2"/>
        </w:numPr>
        <w:ind w:left="567" w:hanging="567"/>
        <w:rPr>
          <w:rFonts w:cs="Arial"/>
          <w:lang w:bidi="ar-SA"/>
        </w:rPr>
      </w:pPr>
      <w:r w:rsidRPr="00AD4FC3">
        <w:rPr>
          <w:rFonts w:cs="Arial"/>
          <w:lang w:bidi="ar-SA"/>
        </w:rPr>
        <w:t>the amounts added are consistent with achieving the technological function</w:t>
      </w:r>
    </w:p>
    <w:p w14:paraId="33950C12" w14:textId="77777777" w:rsidR="00AD4FC3" w:rsidRPr="00AD4FC3" w:rsidRDefault="00AD4FC3" w:rsidP="00AD4FC3">
      <w:pPr>
        <w:widowControl/>
        <w:numPr>
          <w:ilvl w:val="0"/>
          <w:numId w:val="2"/>
        </w:numPr>
        <w:ind w:left="567" w:hanging="567"/>
        <w:rPr>
          <w:rFonts w:cs="Arial"/>
          <w:lang w:bidi="ar-SA"/>
        </w:rPr>
      </w:pPr>
      <w:r w:rsidRPr="00AD4FC3">
        <w:rPr>
          <w:rFonts w:cs="Arial"/>
          <w:lang w:bidi="ar-SA"/>
        </w:rPr>
        <w:t>the substance is added in a quantity and a form which is consistent with delivering the stated purpose</w:t>
      </w:r>
    </w:p>
    <w:p w14:paraId="77FCEFCB" w14:textId="77777777" w:rsidR="00AD4FC3" w:rsidRPr="00AD4FC3" w:rsidRDefault="00AD4FC3" w:rsidP="00AD4FC3">
      <w:pPr>
        <w:widowControl/>
        <w:numPr>
          <w:ilvl w:val="0"/>
          <w:numId w:val="2"/>
        </w:numPr>
        <w:ind w:left="567" w:hanging="567"/>
        <w:rPr>
          <w:rFonts w:cs="Arial"/>
          <w:lang w:bidi="ar-SA"/>
        </w:rPr>
      </w:pPr>
      <w:r w:rsidRPr="00AD4FC3">
        <w:rPr>
          <w:rFonts w:cs="Arial"/>
          <w:lang w:bidi="ar-SA"/>
        </w:rPr>
        <w:t>no nutrition, health or related claims are to be made in regard to the substance.</w:t>
      </w:r>
    </w:p>
    <w:p w14:paraId="3D88361B" w14:textId="77777777" w:rsidR="00AD4FC3" w:rsidRPr="00AD4FC3" w:rsidRDefault="00AD4FC3" w:rsidP="00AD4FC3"/>
    <w:p w14:paraId="0CA4F7F6" w14:textId="36CB03EB" w:rsidR="00E520FE" w:rsidRPr="004B57BF" w:rsidRDefault="00AD4FC3" w:rsidP="00DD3C5E">
      <w:r w:rsidRPr="004B57BF">
        <w:t>FSANZ has determined that permitting the proposed use of this processing aid is consistent with the specific order policy principles for ‘Technological Function’. All other relevant requirements of the policy guideline are similarly met.</w:t>
      </w:r>
    </w:p>
    <w:p w14:paraId="05152278" w14:textId="77777777" w:rsidR="00AD4FC3" w:rsidRDefault="00AD4FC3" w:rsidP="00DD3C5E"/>
    <w:p w14:paraId="2FC958A8" w14:textId="6E86C65F" w:rsidR="005F7342" w:rsidRPr="00451029" w:rsidRDefault="00867B23" w:rsidP="00E203C2">
      <w:pPr>
        <w:pStyle w:val="Heading1"/>
      </w:pPr>
      <w:bookmarkStart w:id="90" w:name="_Toc286391014"/>
      <w:bookmarkStart w:id="91" w:name="_Toc175381455"/>
      <w:bookmarkStart w:id="92" w:name="_Toc300933445"/>
      <w:bookmarkStart w:id="93" w:name="_Toc94800152"/>
      <w:bookmarkEnd w:id="38"/>
      <w:bookmarkEnd w:id="39"/>
      <w:bookmarkEnd w:id="40"/>
      <w:bookmarkEnd w:id="41"/>
      <w:bookmarkEnd w:id="42"/>
      <w:bookmarkEnd w:id="43"/>
      <w:bookmarkEnd w:id="58"/>
      <w:r>
        <w:t>3</w:t>
      </w:r>
      <w:r w:rsidR="00F604DE">
        <w:tab/>
      </w:r>
      <w:bookmarkEnd w:id="90"/>
      <w:bookmarkEnd w:id="91"/>
      <w:bookmarkEnd w:id="92"/>
      <w:r w:rsidR="00D14405">
        <w:t xml:space="preserve">Draft </w:t>
      </w:r>
      <w:r w:rsidR="00D14405" w:rsidRPr="00451029">
        <w:t>variation</w:t>
      </w:r>
      <w:bookmarkEnd w:id="93"/>
    </w:p>
    <w:p w14:paraId="5A5AF906" w14:textId="14AFEA9E"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7A343C">
        <w:t>gazettal</w:t>
      </w:r>
      <w:r w:rsidR="007A343C" w:rsidRPr="007A343C">
        <w:t>.</w:t>
      </w:r>
    </w:p>
    <w:p w14:paraId="6F104CC5" w14:textId="77777777" w:rsidR="00D209C9" w:rsidRPr="001E1FAB" w:rsidRDefault="00D209C9" w:rsidP="00D209C9">
      <w:pPr>
        <w:rPr>
          <w:color w:val="000000" w:themeColor="text1"/>
        </w:rPr>
      </w:pPr>
    </w:p>
    <w:p w14:paraId="5F5E097E" w14:textId="54F82837" w:rsidR="00451029"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8050E08" w14:textId="2875A125" w:rsidR="00A12B44" w:rsidRPr="00451029" w:rsidRDefault="00451029" w:rsidP="00451029">
      <w:pPr>
        <w:widowControl/>
      </w:pPr>
      <w:r>
        <w:br w:type="page"/>
      </w:r>
    </w:p>
    <w:p w14:paraId="23D2A2A3" w14:textId="70537CF4" w:rsidR="00D26814" w:rsidRPr="00AD6E56" w:rsidRDefault="00D26814" w:rsidP="002432EE">
      <w:pPr>
        <w:rPr>
          <w:rFonts w:cs="Arial"/>
        </w:rPr>
      </w:pPr>
      <w:bookmarkStart w:id="94" w:name="_Toc11735643"/>
      <w:bookmarkStart w:id="95" w:name="_Toc29883130"/>
      <w:bookmarkStart w:id="96" w:name="_Toc41906817"/>
      <w:bookmarkStart w:id="97" w:name="_Toc41907564"/>
      <w:bookmarkStart w:id="98" w:name="_Toc43112360"/>
    </w:p>
    <w:p w14:paraId="62B60FBF" w14:textId="77777777" w:rsidR="00924C80" w:rsidRPr="00451029" w:rsidRDefault="00867B23" w:rsidP="00E75054">
      <w:pPr>
        <w:pStyle w:val="Heading1"/>
      </w:pPr>
      <w:bookmarkStart w:id="99" w:name="_Toc300933452"/>
      <w:bookmarkStart w:id="100" w:name="_Toc94800153"/>
      <w:r w:rsidRPr="00451029">
        <w:t>4</w:t>
      </w:r>
      <w:r w:rsidR="00924C80" w:rsidRPr="00451029">
        <w:tab/>
        <w:t>R</w:t>
      </w:r>
      <w:bookmarkEnd w:id="99"/>
      <w:r w:rsidR="006C28E2" w:rsidRPr="00451029">
        <w:t>eferences</w:t>
      </w:r>
      <w:bookmarkEnd w:id="100"/>
    </w:p>
    <w:p w14:paraId="3DCD0C6F" w14:textId="77777777" w:rsidR="003442CB" w:rsidRPr="002A0B69" w:rsidRDefault="003442CB" w:rsidP="003442CB">
      <w:pPr>
        <w:widowControl/>
        <w:spacing w:after="240"/>
        <w:rPr>
          <w:rFonts w:eastAsia="Calibri" w:cs="Arial"/>
          <w:sz w:val="20"/>
          <w:szCs w:val="20"/>
          <w:lang w:bidi="ar-SA"/>
        </w:rPr>
      </w:pPr>
      <w:r w:rsidRPr="002A0B69">
        <w:rPr>
          <w:rFonts w:eastAsia="Calibri" w:cs="Arial"/>
          <w:sz w:val="20"/>
          <w:szCs w:val="20"/>
          <w:lang w:bidi="ar-SA"/>
        </w:rPr>
        <w:t>EFSA (2012) Scientific opinion on the evaluation of the safety and efficacy of Cecure® for the removal of microbial surface contamination of raw poultry products. EFSA Journal 10(3): 2612. doi:10.2903/j.efsa.2012.2612.</w:t>
      </w:r>
    </w:p>
    <w:p w14:paraId="7685750D" w14:textId="2187615F" w:rsidR="00E90E41" w:rsidRPr="002A0B69" w:rsidRDefault="00E90E41" w:rsidP="00E90E41">
      <w:pPr>
        <w:rPr>
          <w:sz w:val="20"/>
          <w:szCs w:val="20"/>
        </w:rPr>
      </w:pPr>
      <w:r w:rsidRPr="002A0B69">
        <w:rPr>
          <w:sz w:val="20"/>
          <w:szCs w:val="20"/>
        </w:rPr>
        <w:t>United States Pharmacopeial Convention (20</w:t>
      </w:r>
      <w:r w:rsidR="00C8372E" w:rsidRPr="002A0B69">
        <w:rPr>
          <w:sz w:val="20"/>
          <w:szCs w:val="20"/>
        </w:rPr>
        <w:t>20</w:t>
      </w:r>
      <w:r w:rsidRPr="002A0B69">
        <w:rPr>
          <w:sz w:val="20"/>
          <w:szCs w:val="20"/>
        </w:rPr>
        <w:t xml:space="preserve">) </w:t>
      </w:r>
      <w:r w:rsidR="00C8372E" w:rsidRPr="002A0B69">
        <w:rPr>
          <w:sz w:val="20"/>
          <w:szCs w:val="20"/>
        </w:rPr>
        <w:t xml:space="preserve">Food Chemicals Codex </w:t>
      </w:r>
      <w:r w:rsidRPr="002A0B69">
        <w:rPr>
          <w:sz w:val="20"/>
          <w:szCs w:val="20"/>
        </w:rPr>
        <w:t>1</w:t>
      </w:r>
      <w:r w:rsidR="00C8372E" w:rsidRPr="002A0B69">
        <w:rPr>
          <w:sz w:val="20"/>
          <w:szCs w:val="20"/>
        </w:rPr>
        <w:t>2</w:t>
      </w:r>
      <w:r w:rsidRPr="002A0B69">
        <w:rPr>
          <w:sz w:val="20"/>
          <w:szCs w:val="20"/>
        </w:rPr>
        <w:t>th ed, United States Pharmacopeial Convention, Rockville, MD</w:t>
      </w:r>
      <w:r w:rsidR="00AD6E56" w:rsidRPr="002A0B69">
        <w:rPr>
          <w:sz w:val="20"/>
          <w:szCs w:val="20"/>
        </w:rPr>
        <w:t>.</w:t>
      </w:r>
    </w:p>
    <w:p w14:paraId="118A1949" w14:textId="77777777" w:rsidR="00E90E41" w:rsidRPr="002A0B69" w:rsidRDefault="00E90E41" w:rsidP="00924C80">
      <w:pPr>
        <w:rPr>
          <w:sz w:val="20"/>
          <w:szCs w:val="20"/>
          <w:lang w:val="en-AU"/>
        </w:rPr>
      </w:pPr>
    </w:p>
    <w:p w14:paraId="7ACD5CC6" w14:textId="1A678C9D" w:rsidR="00775E20" w:rsidRPr="002A0B69" w:rsidRDefault="00775E20" w:rsidP="00924C80">
      <w:pPr>
        <w:rPr>
          <w:sz w:val="20"/>
          <w:szCs w:val="20"/>
          <w:lang w:val="en-AU"/>
        </w:rPr>
      </w:pPr>
      <w:r w:rsidRPr="002A0B69">
        <w:rPr>
          <w:sz w:val="20"/>
          <w:szCs w:val="20"/>
          <w:lang w:val="en-AU"/>
        </w:rPr>
        <w:t xml:space="preserve">US Food and Drug Administration Code of Federal Regulations (2020), Title 21 – Food and Drugs, Volume 3, Part 173 – Secondary </w:t>
      </w:r>
      <w:r w:rsidR="00E90E41" w:rsidRPr="002A0B69">
        <w:rPr>
          <w:sz w:val="20"/>
          <w:szCs w:val="20"/>
          <w:lang w:val="en-AU"/>
        </w:rPr>
        <w:t>Direct</w:t>
      </w:r>
      <w:r w:rsidRPr="002A0B69">
        <w:rPr>
          <w:sz w:val="20"/>
          <w:szCs w:val="20"/>
          <w:lang w:val="en-AU"/>
        </w:rPr>
        <w:t xml:space="preserve"> Food Additives </w:t>
      </w:r>
      <w:r w:rsidR="00E90E41" w:rsidRPr="002A0B69">
        <w:rPr>
          <w:sz w:val="20"/>
          <w:szCs w:val="20"/>
          <w:lang w:val="en-AU"/>
        </w:rPr>
        <w:t>Permitted in Food for Human C</w:t>
      </w:r>
      <w:r w:rsidRPr="002A0B69">
        <w:rPr>
          <w:sz w:val="20"/>
          <w:szCs w:val="20"/>
          <w:lang w:val="en-AU"/>
        </w:rPr>
        <w:t xml:space="preserve">onsumption, Subpart D – </w:t>
      </w:r>
      <w:r w:rsidR="00E90E41" w:rsidRPr="002A0B69">
        <w:rPr>
          <w:sz w:val="20"/>
          <w:szCs w:val="20"/>
          <w:lang w:val="en-AU"/>
        </w:rPr>
        <w:t>Specific</w:t>
      </w:r>
      <w:r w:rsidRPr="002A0B69">
        <w:rPr>
          <w:sz w:val="20"/>
          <w:szCs w:val="20"/>
          <w:lang w:val="en-AU"/>
        </w:rPr>
        <w:t xml:space="preserve"> Usage Additives, Sec 173.375 Cetylpyridinium chloride. </w:t>
      </w:r>
      <w:r w:rsidR="00E90E41" w:rsidRPr="002A0B69">
        <w:rPr>
          <w:sz w:val="20"/>
          <w:szCs w:val="20"/>
          <w:lang w:val="en-AU"/>
        </w:rPr>
        <w:t>Available</w:t>
      </w:r>
      <w:r w:rsidRPr="002A0B69">
        <w:rPr>
          <w:sz w:val="20"/>
          <w:szCs w:val="20"/>
          <w:lang w:val="en-AU"/>
        </w:rPr>
        <w:t xml:space="preserve"> at </w:t>
      </w:r>
      <w:hyperlink r:id="rId25" w:history="1">
        <w:r w:rsidRPr="002A0B69">
          <w:rPr>
            <w:rStyle w:val="Hyperlink"/>
            <w:sz w:val="20"/>
            <w:szCs w:val="20"/>
          </w:rPr>
          <w:t>CFR - Code of Federal Regulations Title 21</w:t>
        </w:r>
      </w:hyperlink>
      <w:r w:rsidRPr="002A0B69">
        <w:rPr>
          <w:sz w:val="20"/>
          <w:szCs w:val="20"/>
          <w:lang w:val="en-AU"/>
        </w:rPr>
        <w:t xml:space="preserve"> (accessed 8 October 2021). </w:t>
      </w:r>
    </w:p>
    <w:bookmarkEnd w:id="94"/>
    <w:bookmarkEnd w:id="95"/>
    <w:bookmarkEnd w:id="96"/>
    <w:bookmarkEnd w:id="97"/>
    <w:bookmarkEnd w:id="98"/>
    <w:p w14:paraId="07A21BCB" w14:textId="58C0BE0A" w:rsidR="00AF46AB" w:rsidRDefault="00AF46AB">
      <w:pPr>
        <w:widowControl/>
        <w:rPr>
          <w:b/>
          <w:sz w:val="28"/>
          <w:szCs w:val="28"/>
        </w:rPr>
      </w:pPr>
      <w:r>
        <w:rPr>
          <w:b/>
          <w:sz w:val="28"/>
          <w:szCs w:val="28"/>
        </w:rPr>
        <w:br w:type="page"/>
      </w:r>
    </w:p>
    <w:p w14:paraId="3CDD864F" w14:textId="205F6B3F" w:rsidR="003C4969" w:rsidRPr="00924C80" w:rsidRDefault="00924C80" w:rsidP="002432EE">
      <w:pPr>
        <w:spacing w:before="240"/>
        <w:rPr>
          <w:b/>
          <w:sz w:val="28"/>
          <w:szCs w:val="28"/>
        </w:rPr>
      </w:pPr>
      <w:r w:rsidRPr="00924C80">
        <w:rPr>
          <w:b/>
          <w:sz w:val="28"/>
          <w:szCs w:val="28"/>
        </w:rPr>
        <w:lastRenderedPageBreak/>
        <w:t>A</w:t>
      </w:r>
      <w:r>
        <w:rPr>
          <w:b/>
          <w:sz w:val="28"/>
          <w:szCs w:val="28"/>
        </w:rPr>
        <w:t>ttachments</w:t>
      </w:r>
    </w:p>
    <w:p w14:paraId="19766057" w14:textId="77777777" w:rsidR="00A4175D" w:rsidRPr="00E203C2" w:rsidRDefault="00A4175D" w:rsidP="00AF06FC"/>
    <w:p w14:paraId="6D5AA2B3" w14:textId="0A57C8F7" w:rsidR="00AB0275" w:rsidRDefault="00AB0275" w:rsidP="00AB0275">
      <w:pPr>
        <w:ind w:left="567" w:hanging="567"/>
      </w:pPr>
      <w:r>
        <w:t>A.</w:t>
      </w:r>
      <w:r>
        <w:tab/>
      </w:r>
      <w:r w:rsidR="00D2071E">
        <w:t>D</w:t>
      </w:r>
      <w:r>
        <w:t>raft variation to the</w:t>
      </w:r>
      <w:r w:rsidR="002C4A91">
        <w:t xml:space="preserve"> </w:t>
      </w:r>
      <w:r w:rsidRPr="005461C5">
        <w:t>Australia New Zealand Food Standards Code</w:t>
      </w:r>
      <w:r w:rsidR="002C4A91">
        <w:t xml:space="preserve"> </w:t>
      </w:r>
    </w:p>
    <w:p w14:paraId="4920969A" w14:textId="77777777" w:rsidR="00AB0275" w:rsidRDefault="00AB0275" w:rsidP="00AB0275">
      <w:pPr>
        <w:ind w:left="567" w:hanging="567"/>
      </w:pPr>
      <w:r w:rsidRPr="00456BD5">
        <w:t>B.</w:t>
      </w:r>
      <w:r w:rsidRPr="00456BD5">
        <w:tab/>
      </w:r>
      <w:r w:rsidR="002C4A91">
        <w:t xml:space="preserve">Draft </w:t>
      </w:r>
      <w:r>
        <w:t xml:space="preserve">Explanatory Statement </w:t>
      </w:r>
    </w:p>
    <w:p w14:paraId="023E693E" w14:textId="77777777" w:rsidR="00D60568" w:rsidRPr="00E203C2" w:rsidRDefault="00D60568" w:rsidP="002432EE"/>
    <w:p w14:paraId="7110E68A" w14:textId="2DEFE89E" w:rsidR="00A10C04" w:rsidRDefault="00AB0275" w:rsidP="00A10C04">
      <w:pPr>
        <w:pStyle w:val="Heading2"/>
        <w:ind w:left="0" w:firstLine="0"/>
        <w:rPr>
          <w:i/>
        </w:rPr>
      </w:pPr>
      <w:bookmarkStart w:id="101" w:name="_Toc300933454"/>
      <w:r w:rsidRPr="00932F14">
        <w:br w:type="page"/>
      </w:r>
      <w:bookmarkStart w:id="102" w:name="_Toc29883131"/>
      <w:bookmarkStart w:id="103" w:name="_Toc41906818"/>
      <w:bookmarkStart w:id="104" w:name="_Toc41907565"/>
      <w:bookmarkStart w:id="105" w:name="_Toc120358596"/>
      <w:bookmarkStart w:id="106" w:name="_Toc175381458"/>
      <w:bookmarkStart w:id="107" w:name="_Toc11735644"/>
      <w:bookmarkStart w:id="108" w:name="_Toc415572037"/>
      <w:bookmarkStart w:id="109" w:name="_Toc94800154"/>
      <w:r w:rsidRPr="00932F14">
        <w:lastRenderedPageBreak/>
        <w:t xml:space="preserve">Attachment </w:t>
      </w:r>
      <w:bookmarkEnd w:id="102"/>
      <w:bookmarkEnd w:id="103"/>
      <w:bookmarkEnd w:id="104"/>
      <w:bookmarkEnd w:id="105"/>
      <w:bookmarkEnd w:id="106"/>
      <w:r>
        <w:t>A</w:t>
      </w:r>
      <w:bookmarkStart w:id="110" w:name="_Toc120358597"/>
      <w:bookmarkStart w:id="111" w:name="_Toc175381459"/>
      <w:bookmarkEnd w:id="107"/>
      <w:r>
        <w:t xml:space="preserve"> –</w:t>
      </w:r>
      <w:r w:rsidR="00CA3C65">
        <w:t xml:space="preserve"> </w:t>
      </w:r>
      <w:bookmarkStart w:id="112" w:name="_Toc415572039"/>
      <w:bookmarkEnd w:id="101"/>
      <w:bookmarkEnd w:id="108"/>
      <w:bookmarkEnd w:id="110"/>
      <w:bookmarkEnd w:id="111"/>
      <w:r w:rsidR="00CA3C65">
        <w:t>D</w:t>
      </w:r>
      <w:r>
        <w:t xml:space="preserve">raft </w:t>
      </w:r>
      <w:r w:rsidRPr="00932F14">
        <w:t>variation to the</w:t>
      </w:r>
      <w:r w:rsidRPr="00755F02">
        <w:t xml:space="preserve"> </w:t>
      </w:r>
      <w:r w:rsidRPr="005461C5">
        <w:t xml:space="preserve">Australia New Zealand Food </w:t>
      </w:r>
      <w:bookmarkEnd w:id="112"/>
      <w:r w:rsidR="007B49C3" w:rsidRPr="005461C5">
        <w:t>Standards Code</w:t>
      </w:r>
      <w:bookmarkEnd w:id="109"/>
    </w:p>
    <w:p w14:paraId="0C2AC87A" w14:textId="77777777" w:rsidR="007B49C3" w:rsidRPr="007B49C3" w:rsidRDefault="007B49C3" w:rsidP="007B49C3">
      <w:pPr>
        <w:rPr>
          <w:lang w:bidi="ar-SA"/>
        </w:rPr>
      </w:pPr>
    </w:p>
    <w:p w14:paraId="767E0ECD" w14:textId="438AA515" w:rsidR="00A10C04" w:rsidRPr="00A10C04" w:rsidRDefault="00A10C04" w:rsidP="00A10C04">
      <w:pPr>
        <w:tabs>
          <w:tab w:val="left" w:pos="851"/>
        </w:tabs>
        <w:rPr>
          <w:noProof/>
          <w:sz w:val="20"/>
          <w:szCs w:val="20"/>
          <w:lang w:val="en-AU" w:eastAsia="en-AU" w:bidi="ar-SA"/>
        </w:rPr>
      </w:pPr>
      <w:r w:rsidRPr="00A10C04">
        <w:rPr>
          <w:noProof/>
          <w:sz w:val="20"/>
          <w:szCs w:val="20"/>
          <w:lang w:eastAsia="en-GB" w:bidi="ar-SA"/>
        </w:rPr>
        <w:drawing>
          <wp:inline distT="0" distB="0" distL="0" distR="0" wp14:anchorId="61D1C0C8" wp14:editId="46DDA72D">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D0ACFCC" w14:textId="77777777" w:rsidR="00A10C04" w:rsidRPr="00A10C04" w:rsidRDefault="00A10C04" w:rsidP="00A10C04">
      <w:pPr>
        <w:pBdr>
          <w:bottom w:val="single" w:sz="4" w:space="1" w:color="auto"/>
        </w:pBdr>
        <w:tabs>
          <w:tab w:val="left" w:pos="851"/>
        </w:tabs>
        <w:rPr>
          <w:b/>
          <w:bCs/>
          <w:szCs w:val="20"/>
          <w:lang w:bidi="ar-SA"/>
        </w:rPr>
      </w:pPr>
    </w:p>
    <w:p w14:paraId="02D2B2BC" w14:textId="77777777" w:rsidR="00A10C04" w:rsidRPr="00A10C04" w:rsidRDefault="00A10C04" w:rsidP="00A10C04">
      <w:pPr>
        <w:pBdr>
          <w:bottom w:val="single" w:sz="4" w:space="1" w:color="auto"/>
        </w:pBdr>
        <w:tabs>
          <w:tab w:val="left" w:pos="851"/>
        </w:tabs>
        <w:rPr>
          <w:b/>
          <w:sz w:val="20"/>
          <w:szCs w:val="20"/>
          <w:lang w:bidi="ar-SA"/>
        </w:rPr>
      </w:pPr>
      <w:r w:rsidRPr="00A10C04">
        <w:rPr>
          <w:b/>
          <w:sz w:val="20"/>
          <w:szCs w:val="20"/>
          <w:lang w:bidi="ar-SA"/>
        </w:rPr>
        <w:t>Food Standards (Application A1215 – Cetylpyridinium chloride (CPC) as a processing aid) Variation</w:t>
      </w:r>
    </w:p>
    <w:p w14:paraId="681F7FCE" w14:textId="77777777" w:rsidR="00A10C04" w:rsidRPr="00A10C04" w:rsidRDefault="00A10C04" w:rsidP="00A10C04">
      <w:pPr>
        <w:pBdr>
          <w:bottom w:val="single" w:sz="4" w:space="1" w:color="auto"/>
        </w:pBdr>
        <w:tabs>
          <w:tab w:val="left" w:pos="851"/>
        </w:tabs>
        <w:rPr>
          <w:b/>
          <w:sz w:val="20"/>
          <w:szCs w:val="20"/>
          <w:lang w:bidi="ar-SA"/>
        </w:rPr>
      </w:pPr>
    </w:p>
    <w:p w14:paraId="1B76F3CF" w14:textId="77777777" w:rsidR="00A10C04" w:rsidRPr="00A10C04" w:rsidRDefault="00A10C04" w:rsidP="00A10C04">
      <w:pPr>
        <w:tabs>
          <w:tab w:val="left" w:pos="851"/>
        </w:tabs>
        <w:rPr>
          <w:sz w:val="20"/>
          <w:szCs w:val="20"/>
          <w:lang w:bidi="ar-SA"/>
        </w:rPr>
      </w:pPr>
    </w:p>
    <w:p w14:paraId="3D73FAE1" w14:textId="77777777" w:rsidR="00A10C04" w:rsidRPr="00A10C04" w:rsidRDefault="00A10C04" w:rsidP="00A10C04">
      <w:pPr>
        <w:tabs>
          <w:tab w:val="left" w:pos="851"/>
        </w:tabs>
        <w:rPr>
          <w:sz w:val="20"/>
          <w:szCs w:val="20"/>
          <w:lang w:bidi="ar-SA"/>
        </w:rPr>
      </w:pPr>
      <w:r w:rsidRPr="00A10C04">
        <w:rPr>
          <w:sz w:val="20"/>
          <w:szCs w:val="20"/>
          <w:lang w:bidi="ar-SA"/>
        </w:rPr>
        <w:t xml:space="preserve">The Board of Food Standards Australia New Zealand gives notice of the making of this variation under section 92 of the </w:t>
      </w:r>
      <w:r w:rsidRPr="00A10C04">
        <w:rPr>
          <w:i/>
          <w:sz w:val="20"/>
          <w:szCs w:val="20"/>
          <w:lang w:bidi="ar-SA"/>
        </w:rPr>
        <w:t>Food Standards Australia New Zealand Act 1991</w:t>
      </w:r>
      <w:r w:rsidRPr="00A10C04">
        <w:rPr>
          <w:sz w:val="20"/>
          <w:szCs w:val="20"/>
          <w:lang w:bidi="ar-SA"/>
        </w:rPr>
        <w:t>.  The variation commences on the date specified in clause 3 of this variation.</w:t>
      </w:r>
    </w:p>
    <w:p w14:paraId="256C69CC" w14:textId="77777777" w:rsidR="00A10C04" w:rsidRPr="00A10C04" w:rsidRDefault="00A10C04" w:rsidP="00A10C04">
      <w:pPr>
        <w:tabs>
          <w:tab w:val="left" w:pos="851"/>
        </w:tabs>
        <w:rPr>
          <w:sz w:val="20"/>
          <w:szCs w:val="20"/>
          <w:lang w:bidi="ar-SA"/>
        </w:rPr>
      </w:pPr>
    </w:p>
    <w:p w14:paraId="4B238BB4" w14:textId="77777777" w:rsidR="00A10C04" w:rsidRPr="00A10C04" w:rsidRDefault="00A10C04" w:rsidP="00A10C04">
      <w:pPr>
        <w:tabs>
          <w:tab w:val="left" w:pos="851"/>
        </w:tabs>
        <w:rPr>
          <w:sz w:val="20"/>
          <w:szCs w:val="20"/>
          <w:lang w:bidi="ar-SA"/>
        </w:rPr>
      </w:pPr>
      <w:r w:rsidRPr="00A10C04">
        <w:rPr>
          <w:sz w:val="20"/>
          <w:szCs w:val="20"/>
          <w:lang w:bidi="ar-SA"/>
        </w:rPr>
        <w:t>Dated [To be completed by the Delegate]</w:t>
      </w:r>
    </w:p>
    <w:p w14:paraId="2DB35501" w14:textId="77777777" w:rsidR="00A10C04" w:rsidRPr="00A10C04" w:rsidRDefault="00A10C04" w:rsidP="00A10C04">
      <w:pPr>
        <w:tabs>
          <w:tab w:val="left" w:pos="851"/>
        </w:tabs>
        <w:rPr>
          <w:sz w:val="20"/>
          <w:szCs w:val="20"/>
          <w:lang w:bidi="ar-SA"/>
        </w:rPr>
      </w:pPr>
    </w:p>
    <w:p w14:paraId="53D0CE52" w14:textId="77777777" w:rsidR="00A10C04" w:rsidRPr="00A10C04" w:rsidRDefault="00A10C04" w:rsidP="00A10C04">
      <w:pPr>
        <w:tabs>
          <w:tab w:val="left" w:pos="851"/>
        </w:tabs>
        <w:rPr>
          <w:sz w:val="20"/>
          <w:szCs w:val="20"/>
          <w:lang w:bidi="ar-SA"/>
        </w:rPr>
      </w:pPr>
    </w:p>
    <w:p w14:paraId="0C87FA28" w14:textId="77777777" w:rsidR="00A10C04" w:rsidRPr="00A10C04" w:rsidRDefault="00A10C04" w:rsidP="00A10C04">
      <w:pPr>
        <w:tabs>
          <w:tab w:val="left" w:pos="851"/>
        </w:tabs>
        <w:rPr>
          <w:sz w:val="20"/>
          <w:szCs w:val="20"/>
          <w:lang w:bidi="ar-SA"/>
        </w:rPr>
      </w:pPr>
    </w:p>
    <w:p w14:paraId="57948641" w14:textId="77777777" w:rsidR="00A10C04" w:rsidRPr="00A10C04" w:rsidRDefault="00A10C04" w:rsidP="00A10C04">
      <w:pPr>
        <w:tabs>
          <w:tab w:val="left" w:pos="851"/>
        </w:tabs>
        <w:rPr>
          <w:sz w:val="20"/>
          <w:szCs w:val="20"/>
          <w:lang w:bidi="ar-SA"/>
        </w:rPr>
      </w:pPr>
    </w:p>
    <w:p w14:paraId="77EF4E84" w14:textId="77777777" w:rsidR="00A10C04" w:rsidRPr="00A10C04" w:rsidRDefault="00A10C04" w:rsidP="00A10C04">
      <w:pPr>
        <w:tabs>
          <w:tab w:val="left" w:pos="851"/>
        </w:tabs>
        <w:rPr>
          <w:sz w:val="20"/>
          <w:szCs w:val="20"/>
          <w:lang w:bidi="ar-SA"/>
        </w:rPr>
      </w:pPr>
    </w:p>
    <w:p w14:paraId="32A4152A" w14:textId="77777777" w:rsidR="00A10C04" w:rsidRPr="00A10C04" w:rsidRDefault="00A10C04" w:rsidP="00A10C04">
      <w:pPr>
        <w:tabs>
          <w:tab w:val="left" w:pos="851"/>
        </w:tabs>
        <w:rPr>
          <w:sz w:val="20"/>
          <w:szCs w:val="20"/>
          <w:lang w:bidi="ar-SA"/>
        </w:rPr>
      </w:pPr>
      <w:r w:rsidRPr="00A10C04">
        <w:rPr>
          <w:sz w:val="20"/>
          <w:szCs w:val="20"/>
          <w:lang w:bidi="ar-SA"/>
        </w:rPr>
        <w:t>[Delegate’s name and position]</w:t>
      </w:r>
    </w:p>
    <w:p w14:paraId="5BCCC5CC" w14:textId="77777777" w:rsidR="00A10C04" w:rsidRPr="00A10C04" w:rsidRDefault="00A10C04" w:rsidP="00A10C04">
      <w:pPr>
        <w:tabs>
          <w:tab w:val="left" w:pos="851"/>
        </w:tabs>
        <w:rPr>
          <w:sz w:val="20"/>
          <w:szCs w:val="20"/>
          <w:lang w:bidi="ar-SA"/>
        </w:rPr>
      </w:pPr>
      <w:r w:rsidRPr="00A10C04">
        <w:rPr>
          <w:sz w:val="20"/>
          <w:szCs w:val="20"/>
          <w:lang w:bidi="ar-SA"/>
        </w:rPr>
        <w:t>Delegate of the Board of Food Standards Australia New Zealand</w:t>
      </w:r>
    </w:p>
    <w:p w14:paraId="59CCFF45" w14:textId="77777777" w:rsidR="00A10C04" w:rsidRPr="00A10C04" w:rsidRDefault="00A10C04" w:rsidP="00A10C04">
      <w:pPr>
        <w:tabs>
          <w:tab w:val="left" w:pos="851"/>
        </w:tabs>
        <w:rPr>
          <w:sz w:val="20"/>
          <w:szCs w:val="20"/>
          <w:lang w:bidi="ar-SA"/>
        </w:rPr>
      </w:pPr>
    </w:p>
    <w:p w14:paraId="2869E3F1" w14:textId="77777777" w:rsidR="00A10C04" w:rsidRPr="00A10C04" w:rsidRDefault="00A10C04" w:rsidP="00A10C04">
      <w:pPr>
        <w:tabs>
          <w:tab w:val="left" w:pos="851"/>
        </w:tabs>
        <w:rPr>
          <w:sz w:val="20"/>
          <w:szCs w:val="20"/>
          <w:lang w:bidi="ar-SA"/>
        </w:rPr>
      </w:pPr>
    </w:p>
    <w:p w14:paraId="015A6148" w14:textId="77777777" w:rsidR="00A10C04" w:rsidRPr="00A10C04" w:rsidRDefault="00A10C04" w:rsidP="00A10C04">
      <w:pPr>
        <w:tabs>
          <w:tab w:val="left" w:pos="851"/>
        </w:tabs>
        <w:rPr>
          <w:sz w:val="20"/>
          <w:szCs w:val="20"/>
          <w:lang w:bidi="ar-SA"/>
        </w:rPr>
      </w:pPr>
    </w:p>
    <w:p w14:paraId="0352BAA3" w14:textId="77777777" w:rsidR="00A10C04" w:rsidRPr="00A10C04" w:rsidRDefault="00A10C04" w:rsidP="00A10C04">
      <w:pPr>
        <w:tabs>
          <w:tab w:val="left" w:pos="851"/>
        </w:tabs>
        <w:rPr>
          <w:sz w:val="20"/>
          <w:szCs w:val="20"/>
          <w:lang w:bidi="ar-SA"/>
        </w:rPr>
      </w:pPr>
    </w:p>
    <w:p w14:paraId="17CEAA87" w14:textId="77777777" w:rsidR="00A10C04" w:rsidRPr="00A10C04" w:rsidRDefault="00A10C04" w:rsidP="00A10C04">
      <w:pPr>
        <w:tabs>
          <w:tab w:val="left" w:pos="851"/>
        </w:tabs>
        <w:rPr>
          <w:sz w:val="20"/>
          <w:szCs w:val="20"/>
          <w:lang w:bidi="ar-SA"/>
        </w:rPr>
      </w:pPr>
    </w:p>
    <w:p w14:paraId="6E70BB91" w14:textId="77777777" w:rsidR="00A10C04" w:rsidRPr="00A10C04" w:rsidRDefault="00A10C04" w:rsidP="00A10C04">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A10C04">
        <w:rPr>
          <w:b/>
          <w:sz w:val="20"/>
          <w:szCs w:val="20"/>
          <w:lang w:val="en-AU" w:bidi="ar-SA"/>
        </w:rPr>
        <w:t xml:space="preserve">Note:  </w:t>
      </w:r>
    </w:p>
    <w:p w14:paraId="75D895E8" w14:textId="77777777" w:rsidR="00A10C04" w:rsidRPr="00A10C04" w:rsidRDefault="00A10C04" w:rsidP="00A10C0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0FBE0FE" w14:textId="77777777" w:rsidR="00A10C04" w:rsidRPr="00A10C04" w:rsidRDefault="00A10C04" w:rsidP="00A10C0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A10C04">
        <w:rPr>
          <w:sz w:val="20"/>
          <w:szCs w:val="20"/>
          <w:lang w:val="en-AU" w:bidi="ar-SA"/>
        </w:rPr>
        <w:t xml:space="preserve">This variation will be published in the Commonwealth of Australia Gazette No. FSC </w:t>
      </w:r>
      <w:r w:rsidRPr="00A10C04">
        <w:rPr>
          <w:color w:val="FF0000"/>
          <w:sz w:val="20"/>
          <w:szCs w:val="20"/>
          <w:lang w:val="en-AU" w:bidi="ar-SA"/>
        </w:rPr>
        <w:t>XX on XX Month 20XX</w:t>
      </w:r>
      <w:r w:rsidRPr="00A10C04">
        <w:rPr>
          <w:sz w:val="20"/>
          <w:szCs w:val="20"/>
          <w:lang w:val="en-AU" w:bidi="ar-SA"/>
        </w:rPr>
        <w:t xml:space="preserve">. This means that this date is the gazettal date for the purposes of clause 3 of the variation. </w:t>
      </w:r>
    </w:p>
    <w:p w14:paraId="29F31F8E" w14:textId="77777777" w:rsidR="00A10C04" w:rsidRPr="00A10C04" w:rsidRDefault="00A10C04" w:rsidP="00A10C04">
      <w:pPr>
        <w:tabs>
          <w:tab w:val="left" w:pos="851"/>
        </w:tabs>
        <w:rPr>
          <w:sz w:val="20"/>
          <w:szCs w:val="20"/>
          <w:lang w:bidi="ar-SA"/>
        </w:rPr>
      </w:pPr>
    </w:p>
    <w:p w14:paraId="6F0E55A9" w14:textId="77777777" w:rsidR="00A10C04" w:rsidRPr="00A10C04" w:rsidRDefault="00A10C04" w:rsidP="00A10C04">
      <w:pPr>
        <w:widowControl/>
        <w:rPr>
          <w:sz w:val="20"/>
          <w:szCs w:val="20"/>
          <w:lang w:bidi="ar-SA"/>
        </w:rPr>
      </w:pPr>
      <w:r w:rsidRPr="00A10C04">
        <w:rPr>
          <w:sz w:val="20"/>
          <w:szCs w:val="20"/>
          <w:lang w:bidi="ar-SA"/>
        </w:rPr>
        <w:br w:type="page"/>
      </w:r>
    </w:p>
    <w:p w14:paraId="13F934C0" w14:textId="77777777" w:rsidR="00A10C04" w:rsidRPr="00A10C04" w:rsidRDefault="00A10C04" w:rsidP="00A10C04">
      <w:pPr>
        <w:spacing w:before="120" w:after="120"/>
        <w:ind w:left="851" w:hanging="851"/>
        <w:rPr>
          <w:b/>
          <w:sz w:val="20"/>
          <w:szCs w:val="20"/>
          <w:lang w:bidi="ar-SA"/>
        </w:rPr>
      </w:pPr>
      <w:r w:rsidRPr="00A10C04">
        <w:rPr>
          <w:b/>
          <w:sz w:val="20"/>
          <w:szCs w:val="20"/>
          <w:lang w:bidi="ar-SA"/>
        </w:rPr>
        <w:lastRenderedPageBreak/>
        <w:t>1</w:t>
      </w:r>
      <w:r w:rsidRPr="00A10C04">
        <w:rPr>
          <w:b/>
          <w:sz w:val="20"/>
          <w:szCs w:val="20"/>
          <w:lang w:bidi="ar-SA"/>
        </w:rPr>
        <w:tab/>
        <w:t>Name</w:t>
      </w:r>
    </w:p>
    <w:p w14:paraId="5A696312" w14:textId="77777777" w:rsidR="00A10C04" w:rsidRPr="00A10C04" w:rsidRDefault="00A10C04" w:rsidP="00A10C04">
      <w:pPr>
        <w:widowControl/>
        <w:tabs>
          <w:tab w:val="left" w:pos="851"/>
        </w:tabs>
        <w:spacing w:before="120" w:after="120"/>
        <w:rPr>
          <w:sz w:val="20"/>
          <w:szCs w:val="20"/>
          <w:lang w:bidi="ar-SA"/>
        </w:rPr>
      </w:pPr>
      <w:r w:rsidRPr="00A10C04">
        <w:rPr>
          <w:sz w:val="20"/>
          <w:szCs w:val="20"/>
          <w:lang w:bidi="ar-SA"/>
        </w:rPr>
        <w:t xml:space="preserve">This instrument is the </w:t>
      </w:r>
      <w:r w:rsidRPr="00A10C04">
        <w:rPr>
          <w:i/>
          <w:sz w:val="20"/>
          <w:szCs w:val="20"/>
          <w:lang w:bidi="ar-SA"/>
        </w:rPr>
        <w:t>Food Standards (Application A1215 – Cetylpyridinium chloride (CPC) as a processing aid) Variation</w:t>
      </w:r>
      <w:r w:rsidRPr="00A10C04">
        <w:rPr>
          <w:sz w:val="20"/>
          <w:szCs w:val="20"/>
          <w:lang w:bidi="ar-SA"/>
        </w:rPr>
        <w:t>.</w:t>
      </w:r>
    </w:p>
    <w:p w14:paraId="180A81A8" w14:textId="77777777" w:rsidR="00A10C04" w:rsidRPr="00A10C04" w:rsidRDefault="00A10C04" w:rsidP="00A10C04">
      <w:pPr>
        <w:spacing w:before="120" w:after="120"/>
        <w:ind w:left="851" w:hanging="851"/>
        <w:rPr>
          <w:b/>
          <w:sz w:val="20"/>
          <w:szCs w:val="20"/>
          <w:lang w:bidi="ar-SA"/>
        </w:rPr>
      </w:pPr>
      <w:r w:rsidRPr="00A10C04">
        <w:rPr>
          <w:b/>
          <w:sz w:val="20"/>
          <w:szCs w:val="20"/>
          <w:lang w:bidi="ar-SA"/>
        </w:rPr>
        <w:t>2</w:t>
      </w:r>
      <w:r w:rsidRPr="00A10C04">
        <w:rPr>
          <w:b/>
          <w:sz w:val="20"/>
          <w:szCs w:val="20"/>
          <w:lang w:bidi="ar-SA"/>
        </w:rPr>
        <w:tab/>
        <w:t xml:space="preserve">Variation to a standard in the </w:t>
      </w:r>
      <w:r w:rsidRPr="00A10C04">
        <w:rPr>
          <w:b/>
          <w:i/>
          <w:sz w:val="20"/>
          <w:szCs w:val="20"/>
          <w:lang w:bidi="ar-SA"/>
        </w:rPr>
        <w:t>Australia New Zealand Food Standards Code</w:t>
      </w:r>
    </w:p>
    <w:p w14:paraId="661CD4E2" w14:textId="77777777" w:rsidR="00A10C04" w:rsidRPr="00A10C04" w:rsidRDefault="00A10C04" w:rsidP="00A10C04">
      <w:pPr>
        <w:widowControl/>
        <w:tabs>
          <w:tab w:val="left" w:pos="851"/>
        </w:tabs>
        <w:spacing w:before="120" w:after="120"/>
        <w:rPr>
          <w:sz w:val="20"/>
          <w:szCs w:val="20"/>
          <w:lang w:bidi="ar-SA"/>
        </w:rPr>
      </w:pPr>
      <w:r w:rsidRPr="00A10C04">
        <w:rPr>
          <w:sz w:val="20"/>
          <w:szCs w:val="20"/>
          <w:lang w:bidi="ar-SA"/>
        </w:rPr>
        <w:t xml:space="preserve">The Schedule varies a Standard in the </w:t>
      </w:r>
      <w:r w:rsidRPr="00A10C04">
        <w:rPr>
          <w:i/>
          <w:sz w:val="20"/>
          <w:szCs w:val="20"/>
          <w:lang w:bidi="ar-SA"/>
        </w:rPr>
        <w:t>Australia New Zealand Food Standards Code</w:t>
      </w:r>
      <w:r w:rsidRPr="00A10C04">
        <w:rPr>
          <w:sz w:val="20"/>
          <w:szCs w:val="20"/>
          <w:lang w:bidi="ar-SA"/>
        </w:rPr>
        <w:t>.</w:t>
      </w:r>
    </w:p>
    <w:p w14:paraId="7B1FCD8C" w14:textId="77777777" w:rsidR="00A10C04" w:rsidRPr="00A10C04" w:rsidRDefault="00A10C04" w:rsidP="00A10C04">
      <w:pPr>
        <w:spacing w:before="120" w:after="120"/>
        <w:ind w:left="851" w:hanging="851"/>
        <w:rPr>
          <w:b/>
          <w:sz w:val="20"/>
          <w:szCs w:val="20"/>
          <w:lang w:bidi="ar-SA"/>
        </w:rPr>
      </w:pPr>
      <w:r w:rsidRPr="00A10C04">
        <w:rPr>
          <w:b/>
          <w:sz w:val="20"/>
          <w:szCs w:val="20"/>
          <w:lang w:bidi="ar-SA"/>
        </w:rPr>
        <w:t>3</w:t>
      </w:r>
      <w:r w:rsidRPr="00A10C04">
        <w:rPr>
          <w:b/>
          <w:sz w:val="20"/>
          <w:szCs w:val="20"/>
          <w:lang w:bidi="ar-SA"/>
        </w:rPr>
        <w:tab/>
        <w:t>Commencement</w:t>
      </w:r>
    </w:p>
    <w:p w14:paraId="0E1D5FD6" w14:textId="77777777" w:rsidR="00A10C04" w:rsidRPr="00A10C04" w:rsidRDefault="00A10C04" w:rsidP="00A10C04">
      <w:pPr>
        <w:widowControl/>
        <w:tabs>
          <w:tab w:val="left" w:pos="851"/>
        </w:tabs>
        <w:spacing w:before="120" w:after="120"/>
        <w:rPr>
          <w:sz w:val="20"/>
          <w:szCs w:val="20"/>
          <w:lang w:bidi="ar-SA"/>
        </w:rPr>
      </w:pPr>
      <w:r w:rsidRPr="00A10C04">
        <w:rPr>
          <w:sz w:val="20"/>
          <w:szCs w:val="20"/>
          <w:lang w:bidi="ar-SA"/>
        </w:rPr>
        <w:t>The variation commences on the date of gazettal.</w:t>
      </w:r>
    </w:p>
    <w:p w14:paraId="17F23E7B" w14:textId="77777777" w:rsidR="00A10C04" w:rsidRPr="00A10C04" w:rsidRDefault="00A10C04" w:rsidP="00A10C04">
      <w:pPr>
        <w:tabs>
          <w:tab w:val="left" w:pos="851"/>
        </w:tabs>
        <w:jc w:val="center"/>
        <w:rPr>
          <w:b/>
          <w:sz w:val="20"/>
          <w:szCs w:val="20"/>
          <w:lang w:bidi="ar-SA"/>
        </w:rPr>
      </w:pPr>
      <w:r w:rsidRPr="00A10C04">
        <w:rPr>
          <w:b/>
          <w:sz w:val="20"/>
          <w:szCs w:val="20"/>
          <w:lang w:bidi="ar-SA"/>
        </w:rPr>
        <w:t>Schedule</w:t>
      </w:r>
    </w:p>
    <w:p w14:paraId="4353AED4" w14:textId="77777777" w:rsidR="00A10C04" w:rsidRPr="00A10C04" w:rsidRDefault="00A10C04" w:rsidP="00A10C04">
      <w:pPr>
        <w:spacing w:before="120" w:after="120"/>
        <w:ind w:left="851" w:hanging="851"/>
        <w:rPr>
          <w:b/>
          <w:sz w:val="20"/>
          <w:szCs w:val="20"/>
        </w:rPr>
      </w:pPr>
      <w:r w:rsidRPr="00A10C04">
        <w:rPr>
          <w:b/>
          <w:sz w:val="20"/>
          <w:szCs w:val="20"/>
        </w:rPr>
        <w:t xml:space="preserve">Standard 1.3.3—Processing aids </w:t>
      </w:r>
    </w:p>
    <w:p w14:paraId="7C66D30E" w14:textId="77777777" w:rsidR="00A10C04" w:rsidRPr="00A10C04" w:rsidRDefault="00A10C04" w:rsidP="00A10C04">
      <w:pPr>
        <w:spacing w:before="120" w:after="120"/>
        <w:ind w:left="851" w:hanging="851"/>
        <w:rPr>
          <w:b/>
          <w:sz w:val="20"/>
          <w:szCs w:val="20"/>
        </w:rPr>
      </w:pPr>
      <w:r w:rsidRPr="00A10C04">
        <w:rPr>
          <w:b/>
          <w:sz w:val="20"/>
          <w:szCs w:val="20"/>
        </w:rPr>
        <w:t>[1]</w:t>
      </w:r>
      <w:r w:rsidRPr="00A10C04">
        <w:rPr>
          <w:b/>
          <w:sz w:val="20"/>
          <w:szCs w:val="20"/>
        </w:rPr>
        <w:tab/>
        <w:t>At the end of Division 3</w:t>
      </w:r>
    </w:p>
    <w:p w14:paraId="0FBBAA56" w14:textId="77777777" w:rsidR="00A10C04" w:rsidRPr="00A10C04" w:rsidRDefault="00A10C04" w:rsidP="00A10C04">
      <w:pPr>
        <w:widowControl/>
        <w:tabs>
          <w:tab w:val="left" w:pos="851"/>
        </w:tabs>
        <w:spacing w:before="120" w:after="120"/>
        <w:rPr>
          <w:sz w:val="20"/>
          <w:szCs w:val="20"/>
        </w:rPr>
      </w:pPr>
      <w:r w:rsidRPr="00A10C04">
        <w:rPr>
          <w:sz w:val="20"/>
          <w:szCs w:val="20"/>
        </w:rPr>
        <w:tab/>
        <w:t>Add:</w:t>
      </w:r>
    </w:p>
    <w:p w14:paraId="2D826E99" w14:textId="77777777" w:rsidR="00A10C04" w:rsidRPr="00A10C04" w:rsidRDefault="00A10C04" w:rsidP="00A10C04">
      <w:pPr>
        <w:keepNext/>
        <w:spacing w:before="240" w:after="120"/>
        <w:ind w:left="1701" w:hanging="1701"/>
        <w:outlineLvl w:val="4"/>
        <w:rPr>
          <w:b/>
          <w:bCs/>
          <w:kern w:val="32"/>
          <w:lang w:eastAsia="en-AU"/>
        </w:rPr>
      </w:pPr>
      <w:r w:rsidRPr="00A10C04">
        <w:rPr>
          <w:b/>
          <w:bCs/>
          <w:kern w:val="32"/>
          <w:lang w:eastAsia="en-AU"/>
        </w:rPr>
        <w:t>1.3.3—13</w:t>
      </w:r>
      <w:r w:rsidRPr="00A10C04">
        <w:rPr>
          <w:b/>
          <w:bCs/>
          <w:kern w:val="32"/>
          <w:lang w:eastAsia="en-AU"/>
        </w:rPr>
        <w:tab/>
        <w:t>Anti-microbial agent—cetylpyridinium chloride</w:t>
      </w:r>
    </w:p>
    <w:p w14:paraId="7FD9B6C0" w14:textId="77777777" w:rsidR="00A10C04" w:rsidRPr="00A10C04" w:rsidRDefault="00A10C04" w:rsidP="00060006">
      <w:pPr>
        <w:tabs>
          <w:tab w:val="left" w:pos="851"/>
          <w:tab w:val="left" w:pos="1134"/>
        </w:tabs>
        <w:spacing w:before="120" w:after="120"/>
        <w:ind w:left="1701"/>
        <w:rPr>
          <w:rFonts w:cs="Arial"/>
          <w:iCs/>
          <w:sz w:val="20"/>
          <w:szCs w:val="22"/>
          <w:lang w:eastAsia="en-AU"/>
        </w:rPr>
      </w:pPr>
      <w:r w:rsidRPr="00A10C04">
        <w:rPr>
          <w:rFonts w:cs="Arial"/>
          <w:iCs/>
          <w:sz w:val="20"/>
          <w:szCs w:val="22"/>
          <w:lang w:eastAsia="en-AU"/>
        </w:rPr>
        <w:t>Cetylpyridinium chloride may be *used as a processing aid to perform the technological purpose of an anti-microbial agent during the processing of a food for sale listed in section S18—11 if:</w:t>
      </w:r>
    </w:p>
    <w:p w14:paraId="5E44D56A" w14:textId="77777777" w:rsidR="00A10C04" w:rsidRPr="00A10C04" w:rsidRDefault="00A10C04" w:rsidP="00A10C04">
      <w:pPr>
        <w:numPr>
          <w:ilvl w:val="0"/>
          <w:numId w:val="23"/>
        </w:numPr>
        <w:tabs>
          <w:tab w:val="left" w:pos="851"/>
          <w:tab w:val="left" w:pos="1701"/>
        </w:tabs>
        <w:spacing w:before="60" w:after="60"/>
        <w:rPr>
          <w:rFonts w:cs="Arial"/>
          <w:iCs/>
          <w:sz w:val="20"/>
          <w:szCs w:val="22"/>
          <w:lang w:eastAsia="en-AU"/>
        </w:rPr>
      </w:pPr>
      <w:r w:rsidRPr="00A10C04">
        <w:rPr>
          <w:rFonts w:cs="Arial"/>
          <w:iCs/>
          <w:sz w:val="20"/>
          <w:szCs w:val="22"/>
          <w:lang w:eastAsia="en-AU"/>
        </w:rPr>
        <w:t>cetylpyridinium chloride is not present in the food at a level greater than the maximum permitted level indicated in that section for that food; and</w:t>
      </w:r>
    </w:p>
    <w:p w14:paraId="11BC327B" w14:textId="77777777" w:rsidR="00A10C04" w:rsidRPr="00A10C04" w:rsidRDefault="00A10C04" w:rsidP="00A10C04">
      <w:pPr>
        <w:numPr>
          <w:ilvl w:val="0"/>
          <w:numId w:val="23"/>
        </w:numPr>
        <w:tabs>
          <w:tab w:val="left" w:pos="851"/>
          <w:tab w:val="left" w:pos="1701"/>
        </w:tabs>
        <w:spacing w:before="60" w:after="60"/>
        <w:rPr>
          <w:rFonts w:cs="Arial"/>
          <w:iCs/>
          <w:sz w:val="20"/>
          <w:szCs w:val="22"/>
          <w:lang w:eastAsia="en-AU"/>
        </w:rPr>
      </w:pPr>
      <w:r w:rsidRPr="00A10C04">
        <w:rPr>
          <w:rFonts w:cs="Arial"/>
          <w:iCs/>
          <w:sz w:val="20"/>
          <w:szCs w:val="22"/>
          <w:lang w:eastAsia="en-AU"/>
        </w:rPr>
        <w:t xml:space="preserve">any conditions for use specified in that section are complied with. </w:t>
      </w:r>
    </w:p>
    <w:p w14:paraId="7BE94C88" w14:textId="77777777" w:rsidR="00A10C04" w:rsidRPr="00A10C04" w:rsidRDefault="00A10C04" w:rsidP="00060006">
      <w:pPr>
        <w:tabs>
          <w:tab w:val="left" w:pos="851"/>
          <w:tab w:val="left" w:pos="1701"/>
        </w:tabs>
        <w:spacing w:before="60" w:after="60"/>
        <w:ind w:left="1700"/>
        <w:rPr>
          <w:rFonts w:cs="Arial"/>
          <w:iCs/>
          <w:sz w:val="20"/>
          <w:szCs w:val="22"/>
          <w:lang w:eastAsia="en-AU"/>
        </w:rPr>
      </w:pPr>
    </w:p>
    <w:p w14:paraId="4B421E24" w14:textId="509B1A81" w:rsidR="004A4D7A" w:rsidRDefault="004A4D7A" w:rsidP="00A10C04">
      <w:pPr>
        <w:spacing w:before="120" w:after="120"/>
        <w:ind w:left="851" w:hanging="851"/>
        <w:rPr>
          <w:sz w:val="20"/>
          <w:szCs w:val="20"/>
        </w:rPr>
      </w:pPr>
      <w:r w:rsidRPr="00A10C04">
        <w:rPr>
          <w:b/>
          <w:sz w:val="20"/>
          <w:szCs w:val="20"/>
        </w:rPr>
        <w:t xml:space="preserve">Schedule </w:t>
      </w:r>
      <w:r>
        <w:rPr>
          <w:b/>
          <w:sz w:val="20"/>
          <w:szCs w:val="20"/>
        </w:rPr>
        <w:t>2</w:t>
      </w:r>
      <w:r w:rsidRPr="00A10C04">
        <w:rPr>
          <w:b/>
          <w:sz w:val="20"/>
          <w:szCs w:val="20"/>
        </w:rPr>
        <w:t>—</w:t>
      </w:r>
      <w:r w:rsidR="009F6481">
        <w:rPr>
          <w:b/>
          <w:sz w:val="20"/>
          <w:szCs w:val="20"/>
        </w:rPr>
        <w:t>Units of measurement</w:t>
      </w:r>
    </w:p>
    <w:p w14:paraId="695496F6" w14:textId="33299BC4" w:rsidR="009F6481" w:rsidRDefault="009F6481" w:rsidP="00A10C04">
      <w:pPr>
        <w:spacing w:before="120" w:after="120"/>
        <w:ind w:left="851" w:hanging="851"/>
        <w:rPr>
          <w:b/>
          <w:sz w:val="20"/>
          <w:szCs w:val="20"/>
        </w:rPr>
      </w:pPr>
      <w:r>
        <w:rPr>
          <w:b/>
          <w:sz w:val="20"/>
          <w:szCs w:val="20"/>
        </w:rPr>
        <w:t>[2]</w:t>
      </w:r>
      <w:r>
        <w:rPr>
          <w:b/>
          <w:sz w:val="20"/>
          <w:szCs w:val="20"/>
        </w:rPr>
        <w:tab/>
        <w:t>Table to section S2—2</w:t>
      </w:r>
    </w:p>
    <w:p w14:paraId="5E49754F" w14:textId="33106C5F" w:rsidR="009F6481" w:rsidRDefault="009F6481" w:rsidP="00A10C04">
      <w:pPr>
        <w:spacing w:before="120" w:after="120"/>
        <w:ind w:left="851" w:hanging="851"/>
        <w:rPr>
          <w:sz w:val="20"/>
          <w:szCs w:val="20"/>
        </w:rPr>
      </w:pPr>
      <w:r>
        <w:rPr>
          <w:sz w:val="20"/>
          <w:szCs w:val="20"/>
        </w:rPr>
        <w:tab/>
        <w:t>Add:</w:t>
      </w:r>
    </w:p>
    <w:tbl>
      <w:tblPr>
        <w:tblStyle w:val="TableGrid1"/>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9F6481" w14:paraId="3981E451" w14:textId="77777777" w:rsidTr="009F6481">
        <w:trPr>
          <w:jc w:val="center"/>
        </w:trPr>
        <w:tc>
          <w:tcPr>
            <w:tcW w:w="1844" w:type="dxa"/>
            <w:hideMark/>
          </w:tcPr>
          <w:p w14:paraId="5F927F82" w14:textId="6C7779DB" w:rsidR="009F6481" w:rsidRDefault="009F6481">
            <w:pPr>
              <w:pStyle w:val="FSCtblMain"/>
              <w:rPr>
                <w:lang w:eastAsia="en-US"/>
              </w:rPr>
            </w:pPr>
            <w:r>
              <w:t>w/v</w:t>
            </w:r>
          </w:p>
        </w:tc>
        <w:tc>
          <w:tcPr>
            <w:tcW w:w="2692" w:type="dxa"/>
            <w:hideMark/>
          </w:tcPr>
          <w:p w14:paraId="123294C4" w14:textId="7592E64E" w:rsidR="009F6481" w:rsidRDefault="009F6481" w:rsidP="009F6481">
            <w:pPr>
              <w:pStyle w:val="FSCtblMain"/>
              <w:rPr>
                <w:lang w:eastAsia="en-US"/>
              </w:rPr>
            </w:pPr>
            <w:r>
              <w:t>weight per volume</w:t>
            </w:r>
          </w:p>
        </w:tc>
      </w:tr>
    </w:tbl>
    <w:p w14:paraId="73D60B29" w14:textId="77777777" w:rsidR="009F6481" w:rsidRDefault="009F6481" w:rsidP="00A10C04">
      <w:pPr>
        <w:spacing w:before="120" w:after="120"/>
        <w:ind w:left="851" w:hanging="851"/>
        <w:rPr>
          <w:b/>
          <w:sz w:val="20"/>
          <w:szCs w:val="20"/>
        </w:rPr>
      </w:pPr>
    </w:p>
    <w:p w14:paraId="4029F1EC" w14:textId="47BD7BC5" w:rsidR="00A10C04" w:rsidRPr="00A10C04" w:rsidRDefault="00A10C04" w:rsidP="00A10C04">
      <w:pPr>
        <w:spacing w:before="120" w:after="120"/>
        <w:ind w:left="851" w:hanging="851"/>
        <w:rPr>
          <w:b/>
          <w:sz w:val="20"/>
          <w:szCs w:val="20"/>
        </w:rPr>
      </w:pPr>
      <w:r w:rsidRPr="00A10C04">
        <w:rPr>
          <w:b/>
          <w:sz w:val="20"/>
          <w:szCs w:val="20"/>
        </w:rPr>
        <w:t xml:space="preserve">Schedule 18—Processing aids </w:t>
      </w:r>
    </w:p>
    <w:p w14:paraId="2432AF98" w14:textId="2FF73ECB" w:rsidR="00A10C04" w:rsidRPr="00A10C04" w:rsidRDefault="00A10C04" w:rsidP="00A10C04">
      <w:pPr>
        <w:spacing w:before="120" w:after="120"/>
        <w:ind w:left="851" w:hanging="851"/>
        <w:rPr>
          <w:b/>
          <w:sz w:val="20"/>
          <w:szCs w:val="20"/>
          <w:lang w:eastAsia="en-AU" w:bidi="ar-SA"/>
        </w:rPr>
      </w:pPr>
      <w:r w:rsidRPr="00A10C04">
        <w:rPr>
          <w:b/>
          <w:sz w:val="20"/>
          <w:szCs w:val="20"/>
          <w:lang w:eastAsia="en-AU"/>
        </w:rPr>
        <w:t>[</w:t>
      </w:r>
      <w:r w:rsidR="001D61DA">
        <w:rPr>
          <w:b/>
          <w:sz w:val="20"/>
          <w:szCs w:val="20"/>
          <w:lang w:eastAsia="en-AU"/>
        </w:rPr>
        <w:t>3</w:t>
      </w:r>
      <w:r w:rsidRPr="00A10C04">
        <w:rPr>
          <w:b/>
          <w:sz w:val="20"/>
          <w:szCs w:val="20"/>
          <w:lang w:eastAsia="en-AU"/>
        </w:rPr>
        <w:t>]</w:t>
      </w:r>
      <w:r w:rsidRPr="00A10C04">
        <w:rPr>
          <w:b/>
          <w:sz w:val="20"/>
          <w:szCs w:val="20"/>
          <w:lang w:eastAsia="en-AU"/>
        </w:rPr>
        <w:tab/>
      </w:r>
      <w:r w:rsidRPr="00A10C04">
        <w:rPr>
          <w:b/>
          <w:sz w:val="20"/>
          <w:szCs w:val="20"/>
          <w:lang w:eastAsia="en-AU" w:bidi="ar-SA"/>
        </w:rPr>
        <w:t>After section S18—10</w:t>
      </w:r>
    </w:p>
    <w:p w14:paraId="47873149" w14:textId="77777777" w:rsidR="00A10C04" w:rsidRPr="00A10C04" w:rsidRDefault="00A10C04" w:rsidP="00A10C04">
      <w:pPr>
        <w:widowControl/>
        <w:tabs>
          <w:tab w:val="left" w:pos="851"/>
        </w:tabs>
        <w:spacing w:before="120" w:after="120"/>
        <w:rPr>
          <w:sz w:val="20"/>
          <w:szCs w:val="20"/>
          <w:lang w:eastAsia="en-AU" w:bidi="ar-SA"/>
        </w:rPr>
      </w:pPr>
      <w:r w:rsidRPr="00A10C04">
        <w:rPr>
          <w:b/>
          <w:sz w:val="20"/>
          <w:szCs w:val="20"/>
          <w:lang w:eastAsia="en-AU" w:bidi="ar-SA"/>
        </w:rPr>
        <w:tab/>
      </w:r>
      <w:r w:rsidRPr="00A10C04">
        <w:rPr>
          <w:sz w:val="20"/>
          <w:szCs w:val="20"/>
          <w:lang w:eastAsia="en-AU" w:bidi="ar-SA"/>
        </w:rPr>
        <w:t>Add:</w:t>
      </w:r>
    </w:p>
    <w:p w14:paraId="287A99E8" w14:textId="77777777" w:rsidR="00A10C04" w:rsidRPr="00A10C04" w:rsidRDefault="00A10C04" w:rsidP="00A10C04">
      <w:pPr>
        <w:keepNext/>
        <w:spacing w:before="240" w:after="120"/>
        <w:ind w:left="1701" w:hanging="1701"/>
        <w:outlineLvl w:val="4"/>
        <w:rPr>
          <w:b/>
          <w:bCs/>
          <w:kern w:val="32"/>
          <w:lang w:eastAsia="en-AU"/>
        </w:rPr>
      </w:pPr>
      <w:r w:rsidRPr="00A10C04">
        <w:rPr>
          <w:b/>
          <w:bCs/>
          <w:kern w:val="32"/>
          <w:lang w:eastAsia="en-AU" w:bidi="ar-SA"/>
        </w:rPr>
        <w:t>S18—11</w:t>
      </w:r>
      <w:r w:rsidRPr="00A10C04">
        <w:rPr>
          <w:b/>
          <w:bCs/>
          <w:kern w:val="32"/>
          <w:lang w:eastAsia="en-AU" w:bidi="ar-SA"/>
        </w:rPr>
        <w:tab/>
        <w:t xml:space="preserve">Permission to use </w:t>
      </w:r>
      <w:r w:rsidRPr="00A10C04">
        <w:rPr>
          <w:b/>
          <w:bCs/>
          <w:kern w:val="32"/>
          <w:lang w:eastAsia="en-AU"/>
        </w:rPr>
        <w:t>cetylpyridinium chloride as an anti-microbial agent</w:t>
      </w:r>
    </w:p>
    <w:p w14:paraId="026F31B3" w14:textId="77777777" w:rsidR="00A10C04" w:rsidRPr="00A10C04" w:rsidRDefault="00A10C04" w:rsidP="00A10C04">
      <w:pPr>
        <w:numPr>
          <w:ilvl w:val="0"/>
          <w:numId w:val="22"/>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For section 1.3.3—13, the food, maximum permitted levels and conditions are set out in the table to subsection (3).</w:t>
      </w:r>
    </w:p>
    <w:p w14:paraId="7ED26063" w14:textId="77777777" w:rsidR="00A10C04" w:rsidRPr="00A10C04" w:rsidRDefault="00A10C04" w:rsidP="00A10C04">
      <w:pPr>
        <w:numPr>
          <w:ilvl w:val="0"/>
          <w:numId w:val="22"/>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In this section:</w:t>
      </w:r>
    </w:p>
    <w:p w14:paraId="67C8B74B" w14:textId="7E535C9D" w:rsidR="00A10C04" w:rsidRPr="00A10C04" w:rsidRDefault="00060006" w:rsidP="00060006">
      <w:pPr>
        <w:tabs>
          <w:tab w:val="left" w:pos="851"/>
          <w:tab w:val="left" w:pos="1134"/>
        </w:tabs>
        <w:spacing w:before="120" w:after="120"/>
        <w:rPr>
          <w:rFonts w:cs="Arial"/>
          <w:iCs/>
          <w:sz w:val="20"/>
          <w:szCs w:val="20"/>
          <w:lang w:eastAsia="en-AU"/>
        </w:rPr>
      </w:pPr>
      <w:r>
        <w:rPr>
          <w:rFonts w:cs="Arial"/>
          <w:iCs/>
          <w:sz w:val="20"/>
          <w:szCs w:val="20"/>
          <w:lang w:eastAsia="en-AU"/>
        </w:rPr>
        <w:tab/>
      </w:r>
      <w:r>
        <w:rPr>
          <w:rFonts w:cs="Arial"/>
          <w:iCs/>
          <w:sz w:val="20"/>
          <w:szCs w:val="20"/>
          <w:lang w:eastAsia="en-AU"/>
        </w:rPr>
        <w:tab/>
      </w:r>
      <w:r w:rsidR="00A10C04" w:rsidRPr="00A10C04">
        <w:rPr>
          <w:rFonts w:cs="Arial"/>
          <w:iCs/>
          <w:sz w:val="20"/>
          <w:szCs w:val="20"/>
          <w:lang w:eastAsia="en-AU"/>
        </w:rPr>
        <w:tab/>
      </w:r>
      <w:r w:rsidR="00A10C04" w:rsidRPr="00A10C04">
        <w:rPr>
          <w:rFonts w:cs="Arial"/>
          <w:iCs/>
          <w:sz w:val="20"/>
          <w:szCs w:val="20"/>
          <w:lang w:eastAsia="en-AU"/>
        </w:rPr>
        <w:tab/>
      </w:r>
      <w:r w:rsidR="00A10C04" w:rsidRPr="00A10C04">
        <w:rPr>
          <w:rFonts w:cs="Arial"/>
          <w:b/>
          <w:bCs/>
          <w:i/>
          <w:iCs/>
          <w:sz w:val="20"/>
          <w:szCs w:val="20"/>
          <w:lang w:eastAsia="en-AU"/>
        </w:rPr>
        <w:t xml:space="preserve">Poultry meat </w:t>
      </w:r>
      <w:r w:rsidR="00A10C04" w:rsidRPr="00A10C04">
        <w:rPr>
          <w:rFonts w:cs="Arial"/>
          <w:iCs/>
          <w:sz w:val="20"/>
          <w:szCs w:val="20"/>
          <w:lang w:eastAsia="en-AU"/>
        </w:rPr>
        <w:t xml:space="preserve">means the </w:t>
      </w:r>
      <w:r w:rsidR="00BC4FE0">
        <w:rPr>
          <w:rFonts w:cs="Arial"/>
          <w:iCs/>
          <w:sz w:val="20"/>
          <w:szCs w:val="20"/>
          <w:lang w:eastAsia="en-AU"/>
        </w:rPr>
        <w:t xml:space="preserve">whole or any </w:t>
      </w:r>
      <w:r w:rsidR="00A10C04" w:rsidRPr="00A10C04">
        <w:rPr>
          <w:rFonts w:cs="Arial"/>
          <w:iCs/>
          <w:sz w:val="20"/>
          <w:szCs w:val="20"/>
          <w:lang w:eastAsia="en-AU"/>
        </w:rPr>
        <w:t xml:space="preserve">part of </w:t>
      </w:r>
      <w:r w:rsidR="0013129D">
        <w:rPr>
          <w:rFonts w:cs="Arial"/>
          <w:iCs/>
          <w:sz w:val="20"/>
          <w:szCs w:val="20"/>
          <w:lang w:eastAsia="en-AU"/>
        </w:rPr>
        <w:t>a</w:t>
      </w:r>
      <w:r w:rsidR="0013129D" w:rsidRPr="00A10C04">
        <w:rPr>
          <w:rFonts w:cs="Arial"/>
          <w:iCs/>
          <w:sz w:val="20"/>
          <w:szCs w:val="20"/>
          <w:lang w:eastAsia="en-AU"/>
        </w:rPr>
        <w:t xml:space="preserve"> </w:t>
      </w:r>
      <w:r w:rsidR="00A10C04" w:rsidRPr="00A10C04">
        <w:rPr>
          <w:rFonts w:cs="Arial"/>
          <w:iCs/>
          <w:sz w:val="20"/>
          <w:szCs w:val="20"/>
          <w:lang w:eastAsia="en-AU"/>
        </w:rPr>
        <w:t>poultry carcass which:</w:t>
      </w:r>
    </w:p>
    <w:p w14:paraId="1A2C966F" w14:textId="5F14F2F0" w:rsidR="00A10C04" w:rsidRPr="00A10C04" w:rsidRDefault="0013129D" w:rsidP="00A10C04">
      <w:pPr>
        <w:numPr>
          <w:ilvl w:val="0"/>
          <w:numId w:val="24"/>
        </w:numPr>
        <w:tabs>
          <w:tab w:val="left" w:pos="851"/>
          <w:tab w:val="left" w:pos="1701"/>
        </w:tabs>
        <w:spacing w:before="60" w:after="60"/>
        <w:rPr>
          <w:rFonts w:cs="Arial"/>
          <w:iCs/>
          <w:sz w:val="20"/>
          <w:szCs w:val="22"/>
          <w:lang w:eastAsia="en-AU"/>
        </w:rPr>
      </w:pPr>
      <w:r w:rsidRPr="00A10C04">
        <w:rPr>
          <w:rFonts w:cs="Arial"/>
          <w:iCs/>
          <w:sz w:val="20"/>
          <w:szCs w:val="22"/>
          <w:lang w:eastAsia="en-AU"/>
        </w:rPr>
        <w:t>ha</w:t>
      </w:r>
      <w:r>
        <w:rPr>
          <w:rFonts w:cs="Arial"/>
          <w:iCs/>
          <w:sz w:val="20"/>
          <w:szCs w:val="22"/>
          <w:lang w:eastAsia="en-AU"/>
        </w:rPr>
        <w:t>s</w:t>
      </w:r>
      <w:r w:rsidRPr="00A10C04">
        <w:rPr>
          <w:rFonts w:cs="Arial"/>
          <w:iCs/>
          <w:sz w:val="20"/>
          <w:szCs w:val="22"/>
          <w:lang w:eastAsia="en-AU"/>
        </w:rPr>
        <w:t xml:space="preserve"> </w:t>
      </w:r>
      <w:r w:rsidR="00A10C04" w:rsidRPr="00A10C04">
        <w:rPr>
          <w:rFonts w:cs="Arial"/>
          <w:iCs/>
          <w:sz w:val="20"/>
          <w:szCs w:val="22"/>
          <w:lang w:eastAsia="en-AU"/>
        </w:rPr>
        <w:t xml:space="preserve">skin attached; and </w:t>
      </w:r>
    </w:p>
    <w:p w14:paraId="3B93E02A" w14:textId="41B8BD6D" w:rsidR="00A10C04" w:rsidRPr="00A10C04" w:rsidRDefault="0013129D" w:rsidP="00A10C04">
      <w:pPr>
        <w:numPr>
          <w:ilvl w:val="0"/>
          <w:numId w:val="24"/>
        </w:numPr>
        <w:tabs>
          <w:tab w:val="left" w:pos="851"/>
          <w:tab w:val="left" w:pos="1701"/>
        </w:tabs>
        <w:spacing w:before="60" w:after="60"/>
        <w:rPr>
          <w:rFonts w:cs="Arial"/>
          <w:iCs/>
          <w:sz w:val="20"/>
          <w:szCs w:val="22"/>
          <w:lang w:eastAsia="en-AU"/>
        </w:rPr>
      </w:pPr>
      <w:r>
        <w:rPr>
          <w:rFonts w:cs="Arial"/>
          <w:iCs/>
          <w:sz w:val="20"/>
          <w:szCs w:val="22"/>
          <w:lang w:eastAsia="en-AU"/>
        </w:rPr>
        <w:t>is</w:t>
      </w:r>
      <w:r w:rsidRPr="00A10C04">
        <w:rPr>
          <w:rFonts w:cs="Arial"/>
          <w:iCs/>
          <w:sz w:val="20"/>
          <w:szCs w:val="22"/>
          <w:lang w:eastAsia="en-AU"/>
        </w:rPr>
        <w:t xml:space="preserve"> </w:t>
      </w:r>
      <w:r w:rsidR="00A10C04" w:rsidRPr="00A10C04">
        <w:rPr>
          <w:rFonts w:cs="Arial"/>
          <w:iCs/>
          <w:sz w:val="20"/>
          <w:szCs w:val="22"/>
          <w:lang w:eastAsia="en-AU"/>
        </w:rPr>
        <w:t xml:space="preserve">intended for human consumption; and </w:t>
      </w:r>
    </w:p>
    <w:p w14:paraId="330B7BCF" w14:textId="3EA3014B" w:rsidR="00A10C04" w:rsidRPr="00A10C04" w:rsidRDefault="00895832" w:rsidP="00A10C04">
      <w:pPr>
        <w:numPr>
          <w:ilvl w:val="0"/>
          <w:numId w:val="24"/>
        </w:numPr>
        <w:tabs>
          <w:tab w:val="left" w:pos="851"/>
          <w:tab w:val="left" w:pos="1701"/>
        </w:tabs>
        <w:spacing w:before="60" w:after="60"/>
        <w:rPr>
          <w:rFonts w:cs="Arial"/>
          <w:iCs/>
          <w:sz w:val="20"/>
          <w:szCs w:val="22"/>
          <w:lang w:eastAsia="en-AU"/>
        </w:rPr>
      </w:pPr>
      <w:r>
        <w:rPr>
          <w:rFonts w:cs="Arial"/>
          <w:iCs/>
          <w:sz w:val="20"/>
          <w:szCs w:val="22"/>
          <w:lang w:eastAsia="en-AU"/>
        </w:rPr>
        <w:t xml:space="preserve">is not, or </w:t>
      </w:r>
      <w:r w:rsidR="00A10C04" w:rsidRPr="00A10C04">
        <w:rPr>
          <w:rFonts w:cs="Arial"/>
          <w:iCs/>
          <w:sz w:val="20"/>
          <w:szCs w:val="22"/>
          <w:lang w:eastAsia="en-AU"/>
        </w:rPr>
        <w:t>do</w:t>
      </w:r>
      <w:r w:rsidR="0013129D">
        <w:rPr>
          <w:rFonts w:cs="Arial"/>
          <w:iCs/>
          <w:sz w:val="20"/>
          <w:szCs w:val="22"/>
          <w:lang w:eastAsia="en-AU"/>
        </w:rPr>
        <w:t>es</w:t>
      </w:r>
      <w:r w:rsidR="00A10C04" w:rsidRPr="00A10C04">
        <w:rPr>
          <w:rFonts w:cs="Arial"/>
          <w:iCs/>
          <w:sz w:val="20"/>
          <w:szCs w:val="22"/>
          <w:lang w:eastAsia="en-AU"/>
        </w:rPr>
        <w:t xml:space="preserve"> not include</w:t>
      </w:r>
      <w:r>
        <w:rPr>
          <w:rFonts w:cs="Arial"/>
          <w:iCs/>
          <w:sz w:val="20"/>
          <w:szCs w:val="22"/>
          <w:lang w:eastAsia="en-AU"/>
        </w:rPr>
        <w:t>,</w:t>
      </w:r>
      <w:r w:rsidR="00A10C04" w:rsidRPr="00A10C04">
        <w:rPr>
          <w:rFonts w:cs="Arial"/>
          <w:iCs/>
          <w:sz w:val="20"/>
          <w:szCs w:val="22"/>
          <w:lang w:eastAsia="en-AU"/>
        </w:rPr>
        <w:t xml:space="preserve"> offal. </w:t>
      </w:r>
    </w:p>
    <w:p w14:paraId="5A9971CA" w14:textId="77777777" w:rsidR="00A10C04" w:rsidRPr="00A10C04" w:rsidRDefault="00A10C04" w:rsidP="00A10C04">
      <w:pPr>
        <w:tabs>
          <w:tab w:val="left" w:pos="2268"/>
        </w:tabs>
        <w:spacing w:before="60" w:after="60"/>
        <w:ind w:left="2835" w:hanging="2835"/>
        <w:rPr>
          <w:rFonts w:cs="Arial"/>
          <w:iCs/>
          <w:sz w:val="16"/>
          <w:szCs w:val="22"/>
          <w:lang w:eastAsia="en-AU"/>
        </w:rPr>
      </w:pPr>
      <w:r w:rsidRPr="00A10C04">
        <w:rPr>
          <w:rFonts w:cs="Arial"/>
          <w:iCs/>
          <w:sz w:val="16"/>
          <w:szCs w:val="22"/>
          <w:lang w:eastAsia="en-AU"/>
        </w:rPr>
        <w:tab/>
      </w:r>
      <w:r w:rsidRPr="00A10C04">
        <w:rPr>
          <w:rFonts w:cs="Arial"/>
          <w:b/>
          <w:iCs/>
          <w:sz w:val="16"/>
          <w:szCs w:val="22"/>
          <w:lang w:eastAsia="en-AU"/>
        </w:rPr>
        <w:t>Note</w:t>
      </w:r>
      <w:r w:rsidRPr="00A10C04">
        <w:rPr>
          <w:rFonts w:cs="Arial"/>
          <w:b/>
          <w:iCs/>
          <w:sz w:val="16"/>
          <w:szCs w:val="22"/>
          <w:lang w:eastAsia="en-AU"/>
        </w:rPr>
        <w:tab/>
      </w:r>
      <w:r w:rsidRPr="00A10C04">
        <w:rPr>
          <w:rFonts w:cs="Arial"/>
          <w:iCs/>
          <w:sz w:val="16"/>
          <w:szCs w:val="22"/>
          <w:lang w:eastAsia="en-AU"/>
        </w:rPr>
        <w:t>Subsection 1.1.2—3(2) defines ‘offal’.</w:t>
      </w:r>
    </w:p>
    <w:p w14:paraId="4BAF380F" w14:textId="77777777" w:rsidR="00A10C04" w:rsidRPr="00A10C04" w:rsidRDefault="00A10C04" w:rsidP="00A10C04">
      <w:pPr>
        <w:numPr>
          <w:ilvl w:val="0"/>
          <w:numId w:val="22"/>
        </w:numPr>
        <w:tabs>
          <w:tab w:val="left" w:pos="851"/>
          <w:tab w:val="left" w:pos="1134"/>
        </w:tabs>
        <w:spacing w:before="120" w:after="120"/>
        <w:rPr>
          <w:rFonts w:cs="Arial"/>
          <w:iCs/>
          <w:sz w:val="20"/>
          <w:szCs w:val="22"/>
          <w:lang w:eastAsia="en-AU" w:bidi="ar-SA"/>
        </w:rPr>
      </w:pPr>
      <w:r w:rsidRPr="00A10C04">
        <w:rPr>
          <w:rFonts w:cs="Arial"/>
          <w:iCs/>
          <w:sz w:val="20"/>
          <w:szCs w:val="22"/>
          <w:lang w:eastAsia="en-AU" w:bidi="ar-SA"/>
        </w:rPr>
        <w:t>The table is:</w:t>
      </w:r>
    </w:p>
    <w:p w14:paraId="1C0683F3" w14:textId="77777777" w:rsidR="00A10C04" w:rsidRPr="00A10C04" w:rsidRDefault="00A10C04" w:rsidP="00A10C04">
      <w:pPr>
        <w:keepNext/>
        <w:keepLines/>
        <w:widowControl/>
        <w:spacing w:before="240" w:after="120"/>
        <w:jc w:val="center"/>
        <w:rPr>
          <w:rFonts w:cs="Arial"/>
          <w:b/>
          <w:color w:val="000000"/>
          <w:sz w:val="18"/>
          <w:szCs w:val="22"/>
          <w:lang w:eastAsia="en-AU" w:bidi="ar-SA"/>
        </w:rPr>
      </w:pPr>
      <w:r w:rsidRPr="00A10C04">
        <w:rPr>
          <w:rFonts w:cs="Arial"/>
          <w:b/>
          <w:color w:val="000000"/>
          <w:sz w:val="18"/>
          <w:szCs w:val="22"/>
          <w:lang w:eastAsia="en-AU" w:bidi="ar-SA"/>
        </w:rPr>
        <w:lastRenderedPageBreak/>
        <w:t>Permission to use cetylpyridinium chloride as an anti-microbial agent (section 1.3.3—13)</w:t>
      </w:r>
    </w:p>
    <w:tbl>
      <w:tblPr>
        <w:tblStyle w:val="TableGrid21"/>
        <w:tblW w:w="0" w:type="auto"/>
        <w:tblLook w:val="04A0" w:firstRow="1" w:lastRow="0" w:firstColumn="1" w:lastColumn="0" w:noHBand="0" w:noVBand="1"/>
      </w:tblPr>
      <w:tblGrid>
        <w:gridCol w:w="3397"/>
        <w:gridCol w:w="2609"/>
        <w:gridCol w:w="3004"/>
      </w:tblGrid>
      <w:tr w:rsidR="00A10C04" w:rsidRPr="00A10C04" w14:paraId="49DD0CFE" w14:textId="77777777" w:rsidTr="00A10C04">
        <w:tc>
          <w:tcPr>
            <w:tcW w:w="3397" w:type="dxa"/>
          </w:tcPr>
          <w:p w14:paraId="4100B55A" w14:textId="77777777" w:rsidR="00A10C04" w:rsidRPr="00A10C04" w:rsidRDefault="00A10C04" w:rsidP="00A10C04">
            <w:pPr>
              <w:keepNext/>
              <w:keepLines/>
              <w:widowControl/>
              <w:spacing w:before="60" w:after="60"/>
              <w:rPr>
                <w:rFonts w:cs="Arial"/>
                <w:b/>
                <w:i/>
                <w:sz w:val="18"/>
                <w:szCs w:val="22"/>
                <w:lang w:eastAsia="en-AU" w:bidi="ar-SA"/>
              </w:rPr>
            </w:pPr>
            <w:r w:rsidRPr="00A10C04">
              <w:rPr>
                <w:rFonts w:cs="Arial"/>
                <w:b/>
                <w:i/>
                <w:sz w:val="18"/>
                <w:szCs w:val="22"/>
                <w:lang w:eastAsia="en-AU" w:bidi="ar-SA"/>
              </w:rPr>
              <w:t>Food</w:t>
            </w:r>
          </w:p>
        </w:tc>
        <w:tc>
          <w:tcPr>
            <w:tcW w:w="2609" w:type="dxa"/>
          </w:tcPr>
          <w:p w14:paraId="533A20C0" w14:textId="77777777" w:rsidR="00A10C04" w:rsidRPr="00A10C04" w:rsidRDefault="00A10C04" w:rsidP="00A10C04">
            <w:pPr>
              <w:keepNext/>
              <w:keepLines/>
              <w:widowControl/>
              <w:spacing w:before="60" w:after="60"/>
              <w:rPr>
                <w:rFonts w:cs="Arial"/>
                <w:b/>
                <w:i/>
                <w:sz w:val="18"/>
                <w:szCs w:val="22"/>
                <w:lang w:eastAsia="en-AU" w:bidi="ar-SA"/>
              </w:rPr>
            </w:pPr>
            <w:r w:rsidRPr="00A10C04">
              <w:rPr>
                <w:rFonts w:cs="Arial"/>
                <w:b/>
                <w:i/>
                <w:sz w:val="18"/>
                <w:szCs w:val="22"/>
                <w:lang w:eastAsia="en-AU" w:bidi="ar-SA"/>
              </w:rPr>
              <w:t>Maximum permitted level (mg/kg)</w:t>
            </w:r>
          </w:p>
        </w:tc>
        <w:tc>
          <w:tcPr>
            <w:tcW w:w="3004" w:type="dxa"/>
          </w:tcPr>
          <w:p w14:paraId="78074488" w14:textId="77777777" w:rsidR="00A10C04" w:rsidRPr="00A10C04" w:rsidRDefault="00A10C04" w:rsidP="00A10C04">
            <w:pPr>
              <w:keepNext/>
              <w:keepLines/>
              <w:widowControl/>
              <w:spacing w:before="60" w:after="60"/>
              <w:rPr>
                <w:rFonts w:cs="Arial"/>
                <w:b/>
                <w:i/>
                <w:sz w:val="18"/>
                <w:szCs w:val="22"/>
                <w:lang w:eastAsia="en-AU" w:bidi="ar-SA"/>
              </w:rPr>
            </w:pPr>
            <w:r w:rsidRPr="00A10C04">
              <w:rPr>
                <w:rFonts w:cs="Arial"/>
                <w:b/>
                <w:i/>
                <w:sz w:val="18"/>
                <w:szCs w:val="22"/>
                <w:lang w:eastAsia="en-AU" w:bidi="ar-SA"/>
              </w:rPr>
              <w:t>Conditions of use</w:t>
            </w:r>
          </w:p>
        </w:tc>
      </w:tr>
      <w:tr w:rsidR="00A10C04" w:rsidRPr="00A10C04" w14:paraId="43B292B8" w14:textId="77777777" w:rsidTr="00A10C04">
        <w:tc>
          <w:tcPr>
            <w:tcW w:w="3397" w:type="dxa"/>
          </w:tcPr>
          <w:p w14:paraId="40484237" w14:textId="77777777" w:rsidR="00A10C04" w:rsidRPr="00A10C04" w:rsidRDefault="00A10C04" w:rsidP="00A10C04">
            <w:pPr>
              <w:keepLines/>
              <w:widowControl/>
              <w:tabs>
                <w:tab w:val="right" w:pos="3969"/>
              </w:tabs>
              <w:spacing w:before="60" w:after="60"/>
              <w:rPr>
                <w:rFonts w:cs="Arial"/>
                <w:b/>
                <w:i/>
                <w:sz w:val="18"/>
                <w:szCs w:val="20"/>
                <w:lang w:eastAsia="en-GB" w:bidi="ar-SA"/>
              </w:rPr>
            </w:pPr>
            <w:r w:rsidRPr="00A10C04">
              <w:rPr>
                <w:rFonts w:cs="Arial"/>
                <w:sz w:val="18"/>
                <w:szCs w:val="20"/>
                <w:lang w:eastAsia="en-AU" w:bidi="ar-SA"/>
              </w:rPr>
              <w:t>Raw poultry meat</w:t>
            </w:r>
          </w:p>
        </w:tc>
        <w:tc>
          <w:tcPr>
            <w:tcW w:w="2609" w:type="dxa"/>
          </w:tcPr>
          <w:p w14:paraId="2F211EEF" w14:textId="77777777" w:rsidR="00A10C04" w:rsidRPr="00A10C04" w:rsidRDefault="00A10C04" w:rsidP="00A10C04">
            <w:pPr>
              <w:keepLines/>
              <w:widowControl/>
              <w:tabs>
                <w:tab w:val="right" w:pos="3969"/>
              </w:tabs>
              <w:spacing w:before="60" w:after="60"/>
              <w:rPr>
                <w:rFonts w:cs="Arial"/>
                <w:sz w:val="18"/>
                <w:szCs w:val="20"/>
                <w:lang w:eastAsia="en-AU" w:bidi="ar-SA"/>
              </w:rPr>
            </w:pPr>
            <w:r w:rsidRPr="00A10C04">
              <w:rPr>
                <w:rFonts w:cs="Arial"/>
                <w:sz w:val="18"/>
                <w:szCs w:val="20"/>
                <w:lang w:eastAsia="en-AU" w:bidi="ar-SA"/>
              </w:rPr>
              <w:t>13.4 (in the skin)</w:t>
            </w:r>
          </w:p>
          <w:p w14:paraId="24AC8055" w14:textId="77777777" w:rsidR="00A10C04" w:rsidRPr="00A10C04" w:rsidRDefault="00A10C04" w:rsidP="00A10C04">
            <w:pPr>
              <w:widowControl/>
              <w:spacing w:before="100" w:beforeAutospacing="1" w:after="100" w:afterAutospacing="1"/>
              <w:rPr>
                <w:rFonts w:cs="Arial"/>
                <w:b/>
                <w:i/>
                <w:sz w:val="18"/>
                <w:szCs w:val="19"/>
                <w:lang w:eastAsia="en-GB" w:bidi="ar-SA"/>
              </w:rPr>
            </w:pPr>
          </w:p>
        </w:tc>
        <w:tc>
          <w:tcPr>
            <w:tcW w:w="3004" w:type="dxa"/>
          </w:tcPr>
          <w:p w14:paraId="08C3F7A0" w14:textId="2F8F49FC" w:rsidR="00A10C04" w:rsidRPr="00A10C04" w:rsidRDefault="00A10C04" w:rsidP="00A10C04">
            <w:pPr>
              <w:keepLines/>
              <w:widowControl/>
              <w:spacing w:before="60" w:after="60"/>
              <w:ind w:left="397" w:hanging="397"/>
              <w:rPr>
                <w:rFonts w:cs="Arial"/>
                <w:b/>
                <w:i/>
                <w:sz w:val="18"/>
                <w:szCs w:val="19"/>
                <w:lang w:eastAsia="en-AU" w:bidi="ar-SA"/>
              </w:rPr>
            </w:pPr>
            <w:r w:rsidRPr="00A10C04">
              <w:rPr>
                <w:rFonts w:cs="Arial"/>
                <w:sz w:val="18"/>
                <w:szCs w:val="22"/>
                <w:lang w:eastAsia="en-AU" w:bidi="ar-SA"/>
              </w:rPr>
              <w:t xml:space="preserve">(1) The concentration of cetylpyridinium chloride in the aqueous wash solution that is applied to the raw poultry meat must not exceed </w:t>
            </w:r>
            <w:r w:rsidR="00CB40D3">
              <w:rPr>
                <w:rFonts w:cs="Arial"/>
                <w:sz w:val="18"/>
                <w:szCs w:val="22"/>
                <w:lang w:eastAsia="en-AU" w:bidi="ar-SA"/>
              </w:rPr>
              <w:t>1% w/v</w:t>
            </w:r>
            <w:r w:rsidRPr="00A10C04">
              <w:rPr>
                <w:rFonts w:cs="Arial"/>
                <w:sz w:val="18"/>
                <w:szCs w:val="22"/>
                <w:lang w:eastAsia="en-AU" w:bidi="ar-SA"/>
              </w:rPr>
              <w:t>.</w:t>
            </w:r>
          </w:p>
          <w:p w14:paraId="60FF782F" w14:textId="77777777" w:rsidR="00A10C04" w:rsidRPr="00A10C04" w:rsidRDefault="00A10C04" w:rsidP="00A10C04">
            <w:pPr>
              <w:keepLines/>
              <w:widowControl/>
              <w:spacing w:before="60" w:after="60"/>
              <w:ind w:left="397" w:hanging="397"/>
              <w:rPr>
                <w:rFonts w:cs="Arial"/>
                <w:sz w:val="18"/>
                <w:szCs w:val="22"/>
                <w:lang w:eastAsia="en-AU" w:bidi="ar-SA"/>
              </w:rPr>
            </w:pPr>
            <w:r w:rsidRPr="00A10C04">
              <w:rPr>
                <w:rFonts w:cs="Arial"/>
                <w:sz w:val="18"/>
                <w:szCs w:val="22"/>
                <w:lang w:eastAsia="en-AU" w:bidi="ar-SA"/>
              </w:rPr>
              <w:t>(2) The raw poultry meat, after being treated with cetylpyridinium chloride, must be rinsed in potable water.</w:t>
            </w:r>
          </w:p>
        </w:tc>
      </w:tr>
    </w:tbl>
    <w:p w14:paraId="0FC7C99A" w14:textId="77777777" w:rsidR="006C405D" w:rsidRDefault="006C405D" w:rsidP="00AB0275">
      <w:pPr>
        <w:pStyle w:val="Heading2"/>
        <w:ind w:left="0" w:firstLine="0"/>
      </w:pPr>
      <w:bookmarkStart w:id="113" w:name="_Toc94800155"/>
    </w:p>
    <w:p w14:paraId="225DCC19" w14:textId="77777777" w:rsidR="006C405D" w:rsidRDefault="006C405D" w:rsidP="00B50998">
      <w:pPr>
        <w:rPr>
          <w:rFonts w:cs="Arial"/>
          <w:sz w:val="28"/>
          <w:szCs w:val="22"/>
          <w:lang w:bidi="ar-SA"/>
        </w:rPr>
      </w:pPr>
      <w:r>
        <w:br w:type="page"/>
      </w:r>
    </w:p>
    <w:p w14:paraId="6A5E0A8B" w14:textId="2AE1570C" w:rsidR="00AB0275" w:rsidRDefault="002C4A91" w:rsidP="00AB0275">
      <w:pPr>
        <w:pStyle w:val="Heading2"/>
        <w:ind w:left="0" w:firstLine="0"/>
      </w:pPr>
      <w:r w:rsidRPr="00932F14">
        <w:lastRenderedPageBreak/>
        <w:t xml:space="preserve">Attachment </w:t>
      </w:r>
      <w:r>
        <w:t xml:space="preserve">B – </w:t>
      </w:r>
      <w:r w:rsidR="00AB0275">
        <w:t>Draft Explanatory Statement</w:t>
      </w:r>
      <w:bookmarkEnd w:id="113"/>
    </w:p>
    <w:p w14:paraId="34C773B4"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2AE87DF" w14:textId="77777777" w:rsidR="00AB0275" w:rsidRDefault="00AB0275" w:rsidP="00AB0275">
      <w:pPr>
        <w:rPr>
          <w:lang w:val="en-AU" w:eastAsia="en-GB" w:bidi="ar-SA"/>
        </w:rPr>
      </w:pPr>
    </w:p>
    <w:p w14:paraId="5C9F5ACA"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86ADCFC" w14:textId="77777777" w:rsidR="00AB0275" w:rsidRPr="004B57BF" w:rsidRDefault="00AB0275" w:rsidP="00AB0275">
      <w:pPr>
        <w:widowControl/>
        <w:autoSpaceDE w:val="0"/>
        <w:autoSpaceDN w:val="0"/>
        <w:adjustRightInd w:val="0"/>
        <w:rPr>
          <w:rFonts w:eastAsia="Calibri" w:cs="Arial"/>
          <w:bCs/>
          <w:szCs w:val="22"/>
          <w:lang w:val="en-AU" w:bidi="ar-SA"/>
        </w:rPr>
      </w:pPr>
    </w:p>
    <w:p w14:paraId="66AC9513" w14:textId="77777777" w:rsidR="00AB0275" w:rsidRPr="004B57BF" w:rsidRDefault="00AB0275" w:rsidP="00AB0275">
      <w:pPr>
        <w:widowControl/>
        <w:autoSpaceDE w:val="0"/>
        <w:autoSpaceDN w:val="0"/>
        <w:adjustRightInd w:val="0"/>
        <w:rPr>
          <w:rFonts w:eastAsia="Calibri" w:cs="Arial"/>
          <w:bCs/>
          <w:szCs w:val="22"/>
          <w:lang w:val="en-AU" w:bidi="ar-SA"/>
        </w:rPr>
      </w:pPr>
      <w:r w:rsidRPr="004B57B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5DFD877" w14:textId="77777777" w:rsidR="00AB0275" w:rsidRPr="004B57BF" w:rsidRDefault="00AB0275" w:rsidP="00AB0275">
      <w:pPr>
        <w:widowControl/>
        <w:autoSpaceDE w:val="0"/>
        <w:autoSpaceDN w:val="0"/>
        <w:adjustRightInd w:val="0"/>
        <w:rPr>
          <w:rFonts w:eastAsia="Calibri" w:cs="Arial"/>
          <w:bCs/>
          <w:szCs w:val="22"/>
          <w:lang w:val="en-AU" w:bidi="ar-SA"/>
        </w:rPr>
      </w:pPr>
    </w:p>
    <w:p w14:paraId="7780098B" w14:textId="3A96DF59" w:rsidR="00AB0275" w:rsidRPr="004B57BF" w:rsidRDefault="007733B6"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4B57BF">
        <w:rPr>
          <w:rFonts w:eastAsia="Calibri" w:cs="Arial"/>
          <w:bCs/>
          <w:szCs w:val="22"/>
          <w:lang w:val="en-AU" w:bidi="ar-SA"/>
        </w:rPr>
        <w:t xml:space="preserve"> </w:t>
      </w:r>
      <w:r w:rsidR="00AB0275" w:rsidRPr="004B57BF">
        <w:rPr>
          <w:rFonts w:eastAsia="Calibri" w:cs="Arial"/>
          <w:bCs/>
          <w:szCs w:val="22"/>
          <w:lang w:val="en-AU" w:bidi="ar-SA"/>
        </w:rPr>
        <w:t>accepted Application A</w:t>
      </w:r>
      <w:r w:rsidR="004B57BF" w:rsidRPr="004B57BF">
        <w:rPr>
          <w:rFonts w:eastAsia="Calibri" w:cs="Arial"/>
          <w:bCs/>
          <w:szCs w:val="22"/>
          <w:lang w:val="en-AU" w:bidi="ar-SA"/>
        </w:rPr>
        <w:t>1215</w:t>
      </w:r>
      <w:r w:rsidR="00AB0275" w:rsidRPr="004B57BF">
        <w:rPr>
          <w:rFonts w:eastAsia="Calibri" w:cs="Arial"/>
          <w:bCs/>
          <w:szCs w:val="22"/>
          <w:lang w:val="en-AU" w:bidi="ar-SA"/>
        </w:rPr>
        <w:t xml:space="preserve"> which seeks to </w:t>
      </w:r>
      <w:r w:rsidR="004B57BF" w:rsidRPr="004B57BF">
        <w:rPr>
          <w:rFonts w:eastAsia="Calibri" w:cs="Arial"/>
          <w:bCs/>
          <w:szCs w:val="22"/>
          <w:lang w:val="en-AU" w:bidi="ar-SA"/>
        </w:rPr>
        <w:t xml:space="preserve">permit the use of cetylpyridinium chloride as a processing aid, for use as an </w:t>
      </w:r>
      <w:r w:rsidR="00AC6D18">
        <w:rPr>
          <w:rFonts w:eastAsia="Calibri" w:cs="Arial"/>
          <w:bCs/>
          <w:szCs w:val="22"/>
          <w:lang w:val="en-AU" w:bidi="ar-SA"/>
        </w:rPr>
        <w:t>anti-microbial</w:t>
      </w:r>
      <w:r w:rsidR="004B57BF" w:rsidRPr="004B57BF">
        <w:rPr>
          <w:rFonts w:eastAsia="Calibri" w:cs="Arial"/>
          <w:bCs/>
          <w:szCs w:val="22"/>
          <w:lang w:val="en-AU" w:bidi="ar-SA"/>
        </w:rPr>
        <w:t xml:space="preserve"> treatment for raw poultry. </w:t>
      </w:r>
      <w:r w:rsidR="00AB0275" w:rsidRPr="004B57BF">
        <w:rPr>
          <w:rFonts w:eastAsia="Calibri" w:cs="Arial"/>
          <w:bCs/>
          <w:szCs w:val="22"/>
          <w:lang w:val="en-AU" w:bidi="ar-SA"/>
        </w:rPr>
        <w:t xml:space="preserve">The Authority considered the Application in accordance with Division 1 of Part 3 </w:t>
      </w:r>
      <w:r w:rsidR="004B57BF" w:rsidRPr="004B57BF">
        <w:rPr>
          <w:rFonts w:eastAsia="Calibri" w:cs="Arial"/>
          <w:bCs/>
          <w:szCs w:val="22"/>
          <w:lang w:val="en-AU" w:bidi="ar-SA"/>
        </w:rPr>
        <w:t xml:space="preserve">of the FSANZ Act </w:t>
      </w:r>
      <w:r w:rsidR="00AB0275" w:rsidRPr="004B57BF">
        <w:rPr>
          <w:rFonts w:eastAsia="Calibri" w:cs="Arial"/>
          <w:bCs/>
          <w:szCs w:val="22"/>
          <w:lang w:val="en-AU" w:bidi="ar-SA"/>
        </w:rPr>
        <w:t xml:space="preserve">and has </w:t>
      </w:r>
      <w:r w:rsidR="00CA3C65" w:rsidRPr="004B57BF">
        <w:rPr>
          <w:rFonts w:eastAsia="Calibri" w:cs="Arial"/>
          <w:bCs/>
          <w:szCs w:val="22"/>
          <w:lang w:val="en-AU" w:bidi="ar-SA"/>
        </w:rPr>
        <w:t>prepared</w:t>
      </w:r>
      <w:r w:rsidR="00AB0275" w:rsidRPr="004B57BF">
        <w:rPr>
          <w:rFonts w:eastAsia="Calibri" w:cs="Arial"/>
          <w:bCs/>
          <w:szCs w:val="22"/>
          <w:lang w:val="en-AU" w:bidi="ar-SA"/>
        </w:rPr>
        <w:t xml:space="preserve"> a draft </w:t>
      </w:r>
      <w:r w:rsidR="004B57BF" w:rsidRPr="004B57BF">
        <w:rPr>
          <w:rFonts w:eastAsia="Calibri" w:cs="Arial"/>
          <w:bCs/>
          <w:szCs w:val="22"/>
          <w:lang w:val="en-AU" w:bidi="ar-SA"/>
        </w:rPr>
        <w:t>variation</w:t>
      </w:r>
      <w:r w:rsidR="00AB0275" w:rsidRPr="004B57BF">
        <w:rPr>
          <w:rFonts w:eastAsia="Calibri" w:cs="Arial"/>
          <w:bCs/>
          <w:szCs w:val="22"/>
          <w:lang w:val="en-AU" w:bidi="ar-SA"/>
        </w:rPr>
        <w:t xml:space="preserve">. </w:t>
      </w:r>
    </w:p>
    <w:p w14:paraId="2D7FBC26" w14:textId="77777777" w:rsidR="00AB0275" w:rsidRPr="00D13E34" w:rsidRDefault="00AB0275" w:rsidP="00AB0275">
      <w:pPr>
        <w:widowControl/>
        <w:autoSpaceDE w:val="0"/>
        <w:autoSpaceDN w:val="0"/>
        <w:adjustRightInd w:val="0"/>
        <w:rPr>
          <w:rFonts w:eastAsia="Calibri" w:cs="Arial"/>
          <w:bCs/>
          <w:szCs w:val="22"/>
          <w:lang w:val="en-AU" w:bidi="ar-SA"/>
        </w:rPr>
      </w:pPr>
    </w:p>
    <w:p w14:paraId="5B027339" w14:textId="77777777" w:rsidR="000F65DF" w:rsidRPr="00A54B6A" w:rsidRDefault="000F65DF" w:rsidP="000F65DF">
      <w:pPr>
        <w:widowControl/>
        <w:rPr>
          <w:rFonts w:ascii="Times New Roman" w:eastAsiaTheme="minorHAnsi" w:hAnsi="Times New Roman"/>
          <w:sz w:val="24"/>
          <w:lang w:val="en-AU" w:eastAsia="en-GB" w:bidi="ar-SA"/>
        </w:rPr>
      </w:pPr>
      <w:r w:rsidRPr="00A54B6A">
        <w:rPr>
          <w:rFonts w:eastAsia="Calibri" w:cs="Arial"/>
          <w:b/>
          <w:bCs/>
          <w:szCs w:val="22"/>
          <w:lang w:val="en-AU" w:bidi="ar-SA"/>
        </w:rPr>
        <w:t>2.</w:t>
      </w:r>
      <w:r w:rsidRPr="00A54B6A">
        <w:rPr>
          <w:rFonts w:eastAsia="Calibri" w:cs="Arial"/>
          <w:b/>
          <w:bCs/>
          <w:szCs w:val="22"/>
          <w:lang w:val="en-AU" w:bidi="ar-SA"/>
        </w:rPr>
        <w:tab/>
        <w:t>Variation will be a legislative instrument</w:t>
      </w:r>
      <w:r w:rsidRPr="00A54B6A">
        <w:rPr>
          <w:rFonts w:ascii="Times New Roman" w:eastAsiaTheme="minorHAnsi" w:hAnsi="Times New Roman"/>
          <w:sz w:val="24"/>
          <w:lang w:val="en-AU" w:eastAsia="en-GB" w:bidi="ar-SA"/>
        </w:rPr>
        <w:t xml:space="preserve"> </w:t>
      </w:r>
    </w:p>
    <w:p w14:paraId="080B4985" w14:textId="77777777" w:rsidR="000F65DF" w:rsidRPr="00A54B6A" w:rsidRDefault="000F65DF" w:rsidP="000F65DF">
      <w:pPr>
        <w:rPr>
          <w:rFonts w:eastAsia="Calibri" w:cs="Arial"/>
          <w:szCs w:val="22"/>
          <w:lang w:val="en-AU" w:bidi="ar-SA"/>
        </w:rPr>
      </w:pPr>
    </w:p>
    <w:p w14:paraId="341037CD" w14:textId="77777777" w:rsidR="000F65DF" w:rsidRPr="00A54B6A" w:rsidRDefault="000F65DF" w:rsidP="000F65DF">
      <w:pPr>
        <w:rPr>
          <w:rFonts w:cs="Arial"/>
          <w:szCs w:val="22"/>
          <w:lang w:bidi="ar-SA"/>
        </w:rPr>
      </w:pPr>
      <w:r w:rsidRPr="00A54B6A">
        <w:rPr>
          <w:rFonts w:cs="Arial"/>
        </w:rPr>
        <w:t xml:space="preserve">If approved, the draft variation would be a legislative instrument for the purposes of the </w:t>
      </w:r>
      <w:r w:rsidRPr="00A54B6A">
        <w:rPr>
          <w:rFonts w:cs="Arial"/>
          <w:i/>
          <w:iCs/>
        </w:rPr>
        <w:t>Legislation Act 2003</w:t>
      </w:r>
      <w:r w:rsidRPr="00A54B6A">
        <w:rPr>
          <w:rFonts w:cs="Arial"/>
        </w:rPr>
        <w:t xml:space="preserve"> (see section 94 of the FSANZ Act) and be publicly available on the Federal Register of Legislation (</w:t>
      </w:r>
      <w:hyperlink r:id="rId27" w:history="1">
        <w:r w:rsidRPr="00A54B6A">
          <w:rPr>
            <w:rFonts w:cs="Arial"/>
            <w:color w:val="3333FF"/>
            <w:u w:val="single"/>
          </w:rPr>
          <w:t>www.legislation.gov.au</w:t>
        </w:r>
      </w:hyperlink>
      <w:r w:rsidRPr="00A54B6A">
        <w:rPr>
          <w:rFonts w:cs="Arial"/>
        </w:rPr>
        <w:t>).</w:t>
      </w:r>
    </w:p>
    <w:p w14:paraId="6D398E0F" w14:textId="77777777" w:rsidR="000F65DF" w:rsidRPr="00A54B6A" w:rsidRDefault="000F65DF" w:rsidP="000F65DF">
      <w:pPr>
        <w:rPr>
          <w:rFonts w:cs="Arial"/>
        </w:rPr>
      </w:pPr>
    </w:p>
    <w:p w14:paraId="540BC671" w14:textId="77777777" w:rsidR="000F65DF" w:rsidRPr="00A54B6A" w:rsidRDefault="000F65DF" w:rsidP="000F65DF">
      <w:pPr>
        <w:rPr>
          <w:rFonts w:cs="Arial"/>
        </w:rPr>
      </w:pPr>
      <w:r w:rsidRPr="00A54B6A">
        <w:rPr>
          <w:rFonts w:cs="Arial"/>
        </w:rPr>
        <w:t xml:space="preserve">If approved, this instrument would not be subject to the disallowance or sunsetting provisions of the </w:t>
      </w:r>
      <w:r w:rsidRPr="00A54B6A">
        <w:rPr>
          <w:rFonts w:cs="Arial"/>
          <w:i/>
          <w:iCs/>
        </w:rPr>
        <w:t xml:space="preserve">Legislation Act 2003. </w:t>
      </w:r>
      <w:r w:rsidRPr="00A54B6A">
        <w:rPr>
          <w:rFonts w:cs="Arial"/>
        </w:rPr>
        <w:t>Subsections</w:t>
      </w:r>
      <w:r w:rsidRPr="00A54B6A">
        <w:rPr>
          <w:rFonts w:cs="Arial"/>
          <w:i/>
          <w:iCs/>
        </w:rPr>
        <w:t xml:space="preserve"> </w:t>
      </w:r>
      <w:r w:rsidRPr="00A54B6A">
        <w:rPr>
          <w:rFonts w:cs="Arial"/>
        </w:rPr>
        <w:t>44(1) and 54(1) of that Act</w:t>
      </w:r>
      <w:r w:rsidRPr="00A54B6A">
        <w:rPr>
          <w:rFonts w:cs="Arial"/>
          <w:i/>
          <w:iCs/>
        </w:rPr>
        <w:t xml:space="preserve"> </w:t>
      </w:r>
      <w:r w:rsidRPr="00A54B6A">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A54B6A">
        <w:rPr>
          <w:rFonts w:cs="Arial"/>
          <w:i/>
          <w:iCs/>
        </w:rPr>
        <w:t>Legislation (Exemptions and other Matters) Regulation 2015</w:t>
      </w:r>
      <w:r w:rsidRPr="00A54B6A">
        <w:rPr>
          <w:rFonts w:cs="Arial"/>
        </w:rPr>
        <w:t xml:space="preserve"> </w:t>
      </w:r>
      <w:r w:rsidRPr="00A54B6A">
        <w:rPr>
          <w:rFonts w:cs="Arial"/>
          <w:lang w:val="en"/>
        </w:rPr>
        <w:t xml:space="preserve">also exempts from sunsetting legislative instruments </w:t>
      </w:r>
      <w:r w:rsidRPr="00A54B6A">
        <w:rPr>
          <w:rFonts w:cs="Arial"/>
          <w:shd w:val="clear" w:color="auto" w:fill="FFFFFF"/>
        </w:rPr>
        <w:t xml:space="preserve">a primary purpose of which is to </w:t>
      </w:r>
      <w:r w:rsidRPr="00A54B6A">
        <w:rPr>
          <w:rFonts w:cs="Arial"/>
        </w:rPr>
        <w:t>give effect to an international obligation of Australia.</w:t>
      </w:r>
    </w:p>
    <w:p w14:paraId="62C8B397" w14:textId="77777777" w:rsidR="000F65DF" w:rsidRPr="00A54B6A" w:rsidRDefault="000F65DF" w:rsidP="000F65DF">
      <w:pPr>
        <w:rPr>
          <w:rFonts w:cs="Arial"/>
          <w:color w:val="0000CC"/>
        </w:rPr>
      </w:pPr>
    </w:p>
    <w:p w14:paraId="04B90248" w14:textId="00CBCA68" w:rsidR="000F65DF" w:rsidRPr="00A54B6A" w:rsidRDefault="000F65DF" w:rsidP="000F65DF">
      <w:pPr>
        <w:rPr>
          <w:rFonts w:cs="Arial"/>
          <w:lang w:val="en-AU"/>
        </w:rPr>
      </w:pPr>
      <w:r w:rsidRPr="00A54B6A">
        <w:rPr>
          <w:rFonts w:cs="Arial"/>
        </w:rPr>
        <w:t xml:space="preserve">The </w:t>
      </w:r>
      <w:r w:rsidRPr="00A54B6A">
        <w:rPr>
          <w:rFonts w:cs="Arial"/>
          <w:lang w:val="en-AU"/>
        </w:rPr>
        <w:t>FSANZ Act</w:t>
      </w:r>
      <w:r w:rsidRPr="00A54B6A">
        <w:rPr>
          <w:rFonts w:cs="Arial"/>
          <w:i/>
          <w:iCs/>
          <w:lang w:val="en-AU"/>
        </w:rPr>
        <w:t xml:space="preserve"> </w:t>
      </w:r>
      <w:r w:rsidRPr="00A54B6A">
        <w:rPr>
          <w:rFonts w:cs="Arial"/>
          <w:lang w:val="en-AU"/>
        </w:rPr>
        <w:t xml:space="preserve">gives effect to </w:t>
      </w:r>
      <w:r w:rsidRPr="00A54B6A">
        <w:rPr>
          <w:rFonts w:cs="Arial"/>
        </w:rPr>
        <w:t xml:space="preserve">an intergovernmental agreement (the Food Regulation Agreement) and facilitates the establishment or operation of an intergovernmental scheme (national uniform food regulation). </w:t>
      </w:r>
      <w:r w:rsidRPr="00A54B6A">
        <w:rPr>
          <w:rFonts w:cs="Arial"/>
          <w:lang w:val="en-AU"/>
        </w:rPr>
        <w:t>That Act also</w:t>
      </w:r>
      <w:r w:rsidRPr="00A54B6A">
        <w:rPr>
          <w:rFonts w:cs="Arial"/>
          <w:i/>
          <w:iCs/>
          <w:lang w:val="en-AU"/>
        </w:rPr>
        <w:t xml:space="preserve"> </w:t>
      </w:r>
      <w:r w:rsidRPr="00A54B6A">
        <w:rPr>
          <w:rFonts w:cs="Arial"/>
          <w:lang w:val="en-AU"/>
        </w:rPr>
        <w:t xml:space="preserve">gives effect to Australia’s obligations under an international agreement between Australia and New Zealand. For these purposes, the Act </w:t>
      </w:r>
      <w:r w:rsidRPr="00A54B6A">
        <w:rPr>
          <w:rFonts w:cs="Arial"/>
        </w:rPr>
        <w:t xml:space="preserve">establishes the Authority to </w:t>
      </w:r>
      <w:r w:rsidRPr="00A54B6A">
        <w:rPr>
          <w:rFonts w:cs="Arial"/>
          <w:lang w:val="en-AU"/>
        </w:rPr>
        <w:t xml:space="preserve">develop food standards </w:t>
      </w:r>
      <w:r w:rsidRPr="00A54B6A">
        <w:rPr>
          <w:rFonts w:cs="Arial"/>
        </w:rPr>
        <w:t xml:space="preserve">for consideration and endorsement by the Food Ministers Meeting (FMM). The FMM is established under the Food Regulation Agreement and the </w:t>
      </w:r>
      <w:r w:rsidRPr="00A54B6A">
        <w:rPr>
          <w:rFonts w:cs="Arial"/>
          <w:lang w:val="en-AU"/>
        </w:rPr>
        <w:t>international agreement between Australia and New Zealand</w:t>
      </w:r>
      <w:r w:rsidRPr="00A54B6A">
        <w:rPr>
          <w:rFonts w:cs="Arial"/>
        </w:rPr>
        <w:t xml:space="preserve">, and consists of New Zealand, Commonwealth and State/Territory members. If endorsed by the FMM, </w:t>
      </w:r>
      <w:r w:rsidRPr="00A54B6A">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5209AC6" w14:textId="77777777" w:rsidR="009326E0" w:rsidRPr="00A54B6A" w:rsidRDefault="009326E0" w:rsidP="000F65DF">
      <w:pPr>
        <w:rPr>
          <w:b/>
          <w:lang w:val="en-AU" w:eastAsia="en-GB" w:bidi="ar-SA"/>
        </w:rPr>
      </w:pPr>
    </w:p>
    <w:p w14:paraId="1861CC2F" w14:textId="12D13F6C" w:rsidR="00AB0275" w:rsidRPr="00A54B6A" w:rsidRDefault="009326E0" w:rsidP="00AB0275">
      <w:pPr>
        <w:rPr>
          <w:b/>
          <w:lang w:val="en-AU" w:eastAsia="en-GB" w:bidi="ar-SA"/>
        </w:rPr>
      </w:pPr>
      <w:r w:rsidRPr="00A54B6A">
        <w:rPr>
          <w:b/>
          <w:lang w:val="en-AU" w:eastAsia="en-GB" w:bidi="ar-SA"/>
        </w:rPr>
        <w:t>3</w:t>
      </w:r>
      <w:r w:rsidR="00AB0275" w:rsidRPr="00A54B6A">
        <w:rPr>
          <w:b/>
          <w:lang w:val="en-AU" w:eastAsia="en-GB" w:bidi="ar-SA"/>
        </w:rPr>
        <w:t>.</w:t>
      </w:r>
      <w:r w:rsidR="00AB0275" w:rsidRPr="00A54B6A">
        <w:rPr>
          <w:b/>
          <w:lang w:val="en-AU" w:eastAsia="en-GB" w:bidi="ar-SA"/>
        </w:rPr>
        <w:tab/>
        <w:t xml:space="preserve">Purpose </w:t>
      </w:r>
    </w:p>
    <w:p w14:paraId="7AE2DA66" w14:textId="77777777" w:rsidR="00AB0275" w:rsidRPr="00A54B6A" w:rsidRDefault="00AB0275" w:rsidP="00AB0275">
      <w:pPr>
        <w:rPr>
          <w:lang w:val="en-AU" w:eastAsia="en-GB" w:bidi="ar-SA"/>
        </w:rPr>
      </w:pPr>
    </w:p>
    <w:p w14:paraId="6BE16527" w14:textId="22EE26AF" w:rsidR="00AB0275" w:rsidRPr="00A54B6A" w:rsidRDefault="00AB0275" w:rsidP="00AB0275">
      <w:pPr>
        <w:rPr>
          <w:lang w:val="en-AU" w:eastAsia="en-GB" w:bidi="ar-SA"/>
        </w:rPr>
      </w:pPr>
      <w:r w:rsidRPr="00A54B6A">
        <w:rPr>
          <w:lang w:val="en-AU" w:eastAsia="en-GB" w:bidi="ar-SA"/>
        </w:rPr>
        <w:t xml:space="preserve">The Authority has </w:t>
      </w:r>
      <w:r w:rsidR="00CA3C65" w:rsidRPr="00A54B6A">
        <w:rPr>
          <w:lang w:val="en-AU" w:eastAsia="en-GB" w:bidi="ar-SA"/>
        </w:rPr>
        <w:t>prepar</w:t>
      </w:r>
      <w:r w:rsidRPr="00A54B6A">
        <w:rPr>
          <w:lang w:val="en-AU" w:eastAsia="en-GB" w:bidi="ar-SA"/>
        </w:rPr>
        <w:t xml:space="preserve">ed </w:t>
      </w:r>
      <w:r w:rsidR="004013C5" w:rsidRPr="00A54B6A">
        <w:rPr>
          <w:lang w:val="en-AU" w:eastAsia="en-GB" w:bidi="ar-SA"/>
        </w:rPr>
        <w:t xml:space="preserve">the </w:t>
      </w:r>
      <w:r w:rsidR="00D06E97" w:rsidRPr="00A54B6A">
        <w:rPr>
          <w:lang w:val="en-AU" w:eastAsia="en-GB" w:bidi="ar-SA"/>
        </w:rPr>
        <w:t>draft variation amending</w:t>
      </w:r>
      <w:r w:rsidR="009C3200" w:rsidRPr="00A54B6A">
        <w:rPr>
          <w:lang w:val="en-AU" w:eastAsia="en-GB" w:bidi="ar-SA"/>
        </w:rPr>
        <w:t xml:space="preserve"> Standard 1.3.3 and Schedule 18 </w:t>
      </w:r>
      <w:r w:rsidR="00680201" w:rsidRPr="00A54B6A">
        <w:rPr>
          <w:lang w:val="en-AU" w:eastAsia="en-GB" w:bidi="ar-SA"/>
        </w:rPr>
        <w:t xml:space="preserve">of the Code </w:t>
      </w:r>
      <w:r w:rsidR="009C3200" w:rsidRPr="00A54B6A">
        <w:rPr>
          <w:lang w:val="en-AU" w:eastAsia="en-GB" w:bidi="ar-SA"/>
        </w:rPr>
        <w:t xml:space="preserve">to permit the use of </w:t>
      </w:r>
      <w:r w:rsidR="00B239AD" w:rsidRPr="00A54B6A">
        <w:rPr>
          <w:lang w:val="en-AU" w:eastAsia="en-GB" w:bidi="ar-SA"/>
        </w:rPr>
        <w:t xml:space="preserve">cetylpyridinium chloride as a processing aid, for use as an </w:t>
      </w:r>
      <w:r w:rsidR="00AC6D18" w:rsidRPr="00A54B6A">
        <w:rPr>
          <w:lang w:val="en-AU" w:eastAsia="en-GB" w:bidi="ar-SA"/>
        </w:rPr>
        <w:t>anti-microbial</w:t>
      </w:r>
      <w:r w:rsidR="00B239AD" w:rsidRPr="00A54B6A">
        <w:rPr>
          <w:lang w:val="en-AU" w:eastAsia="en-GB" w:bidi="ar-SA"/>
        </w:rPr>
        <w:t xml:space="preserve"> treatment for raw poultry</w:t>
      </w:r>
      <w:r w:rsidR="0025472B" w:rsidRPr="00A54B6A">
        <w:rPr>
          <w:lang w:val="en-AU" w:eastAsia="en-GB" w:bidi="ar-SA"/>
        </w:rPr>
        <w:t xml:space="preserve"> meat</w:t>
      </w:r>
      <w:r w:rsidR="00FE70B4" w:rsidRPr="00A54B6A">
        <w:rPr>
          <w:lang w:val="en-AU" w:eastAsia="en-GB" w:bidi="ar-SA"/>
        </w:rPr>
        <w:t xml:space="preserve"> in accordance with the Code</w:t>
      </w:r>
      <w:r w:rsidR="00B239AD" w:rsidRPr="00A54B6A">
        <w:rPr>
          <w:lang w:val="en-AU" w:eastAsia="en-GB" w:bidi="ar-SA"/>
        </w:rPr>
        <w:t xml:space="preserve">. </w:t>
      </w:r>
    </w:p>
    <w:p w14:paraId="19D124F9" w14:textId="15DCBC93" w:rsidR="00680201" w:rsidRPr="00A54B6A" w:rsidRDefault="00680201" w:rsidP="00AB0275">
      <w:pPr>
        <w:rPr>
          <w:lang w:val="en-AU" w:eastAsia="en-GB" w:bidi="ar-SA"/>
        </w:rPr>
      </w:pPr>
    </w:p>
    <w:p w14:paraId="503B10B1" w14:textId="3F7DA4C0" w:rsidR="00680201" w:rsidRPr="00D06E97" w:rsidRDefault="0058353C" w:rsidP="00AB0275">
      <w:pPr>
        <w:rPr>
          <w:lang w:val="en-AU" w:eastAsia="en-GB" w:bidi="ar-SA"/>
        </w:rPr>
      </w:pPr>
      <w:r w:rsidRPr="00A54B6A">
        <w:rPr>
          <w:lang w:val="en-AU" w:eastAsia="en-GB" w:bidi="ar-SA"/>
        </w:rPr>
        <w:t>The draft variation also proposes amending</w:t>
      </w:r>
      <w:r w:rsidR="00680201" w:rsidRPr="00A54B6A">
        <w:rPr>
          <w:lang w:val="en-AU" w:eastAsia="en-GB" w:bidi="ar-SA"/>
        </w:rPr>
        <w:t xml:space="preserve"> Schedule 2 </w:t>
      </w:r>
      <w:r w:rsidRPr="00A54B6A">
        <w:rPr>
          <w:lang w:val="en-AU" w:eastAsia="en-GB" w:bidi="ar-SA"/>
        </w:rPr>
        <w:t xml:space="preserve">of the </w:t>
      </w:r>
      <w:r w:rsidR="00680201" w:rsidRPr="00A54B6A">
        <w:rPr>
          <w:lang w:val="en-AU" w:eastAsia="en-GB" w:bidi="ar-SA"/>
        </w:rPr>
        <w:t>Code as a consequence of the above amendments.</w:t>
      </w:r>
    </w:p>
    <w:p w14:paraId="40F26ACD" w14:textId="77777777" w:rsidR="00AB0275" w:rsidRDefault="00AB0275" w:rsidP="00AB0275">
      <w:pPr>
        <w:rPr>
          <w:lang w:val="en-AU" w:eastAsia="en-GB" w:bidi="ar-SA"/>
        </w:rPr>
      </w:pPr>
    </w:p>
    <w:p w14:paraId="2EF80806" w14:textId="065E7FC9" w:rsidR="00AB0275" w:rsidRPr="000576EB" w:rsidRDefault="009326E0"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7C58A7F1" w14:textId="77777777" w:rsidR="00AB0275" w:rsidRDefault="00AB0275" w:rsidP="00AB0275">
      <w:pPr>
        <w:rPr>
          <w:lang w:val="en-AU" w:eastAsia="en-GB" w:bidi="ar-SA"/>
        </w:rPr>
      </w:pPr>
    </w:p>
    <w:p w14:paraId="702FB99D" w14:textId="3989A6D0"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D51780">
        <w:rPr>
          <w:rFonts w:eastAsia="Calibri" w:cs="Arial"/>
          <w:bCs/>
          <w:szCs w:val="22"/>
          <w:lang w:val="en-AU" w:bidi="ar-SA"/>
        </w:rPr>
        <w:t xml:space="preserve">draft </w:t>
      </w:r>
      <w:r w:rsidRPr="00D13E34">
        <w:rPr>
          <w:rFonts w:eastAsia="Calibri" w:cs="Arial"/>
          <w:bCs/>
          <w:szCs w:val="22"/>
          <w:lang w:val="en-AU" w:bidi="ar-SA"/>
        </w:rPr>
        <w:t xml:space="preserve">variation </w:t>
      </w:r>
      <w:r w:rsidR="00D51780">
        <w:rPr>
          <w:rFonts w:eastAsia="Calibri" w:cs="Arial"/>
          <w:bCs/>
          <w:szCs w:val="22"/>
          <w:lang w:val="en-AU" w:bidi="ar-SA"/>
        </w:rPr>
        <w:t>itself does</w:t>
      </w:r>
      <w:r w:rsidRPr="00D13E34">
        <w:rPr>
          <w:rFonts w:eastAsia="Calibri" w:cs="Arial"/>
          <w:bCs/>
          <w:szCs w:val="22"/>
          <w:lang w:val="en-AU" w:bidi="ar-SA"/>
        </w:rPr>
        <w:t xml:space="preserve"> not incorporate any documents by reference.</w:t>
      </w:r>
    </w:p>
    <w:p w14:paraId="4024D21D" w14:textId="7AA7715C" w:rsidR="00D51780" w:rsidRDefault="00D51780" w:rsidP="00AB0275">
      <w:pPr>
        <w:widowControl/>
        <w:autoSpaceDE w:val="0"/>
        <w:autoSpaceDN w:val="0"/>
        <w:adjustRightInd w:val="0"/>
        <w:rPr>
          <w:rFonts w:eastAsia="Calibri" w:cs="Arial"/>
          <w:bCs/>
          <w:szCs w:val="22"/>
          <w:lang w:val="en-AU" w:bidi="ar-SA"/>
        </w:rPr>
      </w:pPr>
    </w:p>
    <w:p w14:paraId="04B4C64B" w14:textId="3E620DC0" w:rsidR="00D51780" w:rsidRPr="00D13E34" w:rsidRDefault="009A55D8" w:rsidP="009A55D8">
      <w:pPr>
        <w:widowControl/>
        <w:autoSpaceDE w:val="0"/>
        <w:autoSpaceDN w:val="0"/>
        <w:adjustRightInd w:val="0"/>
        <w:rPr>
          <w:rFonts w:eastAsia="Calibri" w:cs="Arial"/>
          <w:bCs/>
          <w:szCs w:val="22"/>
          <w:lang w:val="en-AU" w:bidi="ar-SA"/>
        </w:rPr>
      </w:pPr>
      <w:r w:rsidRPr="009A55D8">
        <w:rPr>
          <w:rFonts w:eastAsia="Calibri" w:cs="Arial"/>
          <w:bCs/>
          <w:szCs w:val="22"/>
          <w:lang w:val="en-AU" w:bidi="ar-SA"/>
        </w:rPr>
        <w:t>However, section 1.1.1—15 of the Code requires certain substances (such as processing aids) to comply with any relevant identity and purity specifications listed in Schedule 3.</w:t>
      </w:r>
      <w:r w:rsidR="00BA6698">
        <w:rPr>
          <w:rFonts w:eastAsia="Calibri" w:cs="Arial"/>
          <w:bCs/>
          <w:szCs w:val="22"/>
          <w:lang w:val="en-AU" w:bidi="ar-SA"/>
        </w:rPr>
        <w:t xml:space="preserve"> </w:t>
      </w:r>
      <w:r w:rsidRPr="009A55D8">
        <w:rPr>
          <w:rFonts w:eastAsia="Calibri" w:cs="Arial"/>
          <w:bCs/>
          <w:szCs w:val="22"/>
          <w:lang w:val="en-AU" w:bidi="ar-SA"/>
        </w:rPr>
        <w:t>Schedule 3 incorporates documents by reference to set specifications for various substances</w:t>
      </w:r>
      <w:r w:rsidR="00BA6698">
        <w:rPr>
          <w:rFonts w:eastAsia="Calibri" w:cs="Arial"/>
          <w:bCs/>
          <w:szCs w:val="22"/>
          <w:lang w:val="en-AU" w:bidi="ar-SA"/>
        </w:rPr>
        <w:t xml:space="preserve"> </w:t>
      </w:r>
      <w:r w:rsidRPr="009A55D8">
        <w:rPr>
          <w:rFonts w:eastAsia="Calibri" w:cs="Arial"/>
          <w:bCs/>
          <w:szCs w:val="22"/>
          <w:lang w:val="en-AU" w:bidi="ar-SA"/>
        </w:rPr>
        <w:t>in the circumstances specified in that Schedule. The documents incorporated include: the</w:t>
      </w:r>
      <w:r w:rsidR="00BA6698">
        <w:rPr>
          <w:rFonts w:eastAsia="Calibri" w:cs="Arial"/>
          <w:bCs/>
          <w:szCs w:val="22"/>
          <w:lang w:val="en-AU" w:bidi="ar-SA"/>
        </w:rPr>
        <w:t xml:space="preserve"> </w:t>
      </w:r>
      <w:r w:rsidRPr="009A55D8">
        <w:rPr>
          <w:rFonts w:eastAsia="Calibri" w:cs="Arial"/>
          <w:bCs/>
          <w:szCs w:val="22"/>
          <w:lang w:val="en-AU" w:bidi="ar-SA"/>
        </w:rPr>
        <w:t>Joint FAO/WHO Expert Committee on Food Additives (JECFA) Compendium of Food</w:t>
      </w:r>
      <w:r w:rsidR="00BA6698">
        <w:rPr>
          <w:rFonts w:eastAsia="Calibri" w:cs="Arial"/>
          <w:bCs/>
          <w:szCs w:val="22"/>
          <w:lang w:val="en-AU" w:bidi="ar-SA"/>
        </w:rPr>
        <w:t xml:space="preserve"> </w:t>
      </w:r>
      <w:r w:rsidRPr="009A55D8">
        <w:rPr>
          <w:rFonts w:eastAsia="Calibri" w:cs="Arial"/>
          <w:bCs/>
          <w:szCs w:val="22"/>
          <w:lang w:val="en-AU" w:bidi="ar-SA"/>
        </w:rPr>
        <w:t>Additive Specifications (FAO/WHO 201</w:t>
      </w:r>
      <w:r>
        <w:rPr>
          <w:rFonts w:eastAsia="Calibri" w:cs="Arial"/>
          <w:bCs/>
          <w:szCs w:val="22"/>
          <w:lang w:val="en-AU" w:bidi="ar-SA"/>
        </w:rPr>
        <w:t>9</w:t>
      </w:r>
      <w:r w:rsidRPr="009A55D8">
        <w:rPr>
          <w:rFonts w:eastAsia="Calibri" w:cs="Arial"/>
          <w:bCs/>
          <w:szCs w:val="22"/>
          <w:lang w:val="en-AU" w:bidi="ar-SA"/>
        </w:rPr>
        <w:t>); the United States Pharmacopeial Convention</w:t>
      </w:r>
      <w:r w:rsidR="00BA6698">
        <w:rPr>
          <w:rFonts w:eastAsia="Calibri" w:cs="Arial"/>
          <w:bCs/>
          <w:szCs w:val="22"/>
          <w:lang w:val="en-AU" w:bidi="ar-SA"/>
        </w:rPr>
        <w:t xml:space="preserve"> </w:t>
      </w:r>
      <w:r w:rsidRPr="009A55D8">
        <w:rPr>
          <w:rFonts w:eastAsia="Calibri" w:cs="Arial"/>
          <w:bCs/>
          <w:szCs w:val="22"/>
          <w:lang w:val="en-AU" w:bidi="ar-SA"/>
        </w:rPr>
        <w:t>(20</w:t>
      </w:r>
      <w:r>
        <w:rPr>
          <w:rFonts w:eastAsia="Calibri" w:cs="Arial"/>
          <w:bCs/>
          <w:szCs w:val="22"/>
          <w:lang w:val="en-AU" w:bidi="ar-SA"/>
        </w:rPr>
        <w:t>20</w:t>
      </w:r>
      <w:r w:rsidRPr="009A55D8">
        <w:rPr>
          <w:rFonts w:eastAsia="Calibri" w:cs="Arial"/>
          <w:bCs/>
          <w:szCs w:val="22"/>
          <w:lang w:val="en-AU" w:bidi="ar-SA"/>
        </w:rPr>
        <w:t>) Food Chemicals Codex (1</w:t>
      </w:r>
      <w:r>
        <w:rPr>
          <w:rFonts w:eastAsia="Calibri" w:cs="Arial"/>
          <w:bCs/>
          <w:szCs w:val="22"/>
          <w:lang w:val="en-AU" w:bidi="ar-SA"/>
        </w:rPr>
        <w:t>2</w:t>
      </w:r>
      <w:r w:rsidRPr="009A55D8">
        <w:rPr>
          <w:rFonts w:eastAsia="Calibri" w:cs="Arial"/>
          <w:bCs/>
          <w:szCs w:val="22"/>
          <w:lang w:val="en-AU" w:bidi="ar-SA"/>
        </w:rPr>
        <w:t>th edition); and the Commission Regulation (EU) No</w:t>
      </w:r>
      <w:r w:rsidR="00BA6698">
        <w:rPr>
          <w:rFonts w:eastAsia="Calibri" w:cs="Arial"/>
          <w:bCs/>
          <w:szCs w:val="22"/>
          <w:lang w:val="en-AU" w:bidi="ar-SA"/>
        </w:rPr>
        <w:t xml:space="preserve"> </w:t>
      </w:r>
      <w:r w:rsidRPr="009A55D8">
        <w:rPr>
          <w:rFonts w:eastAsia="Calibri" w:cs="Arial"/>
          <w:bCs/>
          <w:szCs w:val="22"/>
          <w:lang w:val="en-AU" w:bidi="ar-SA"/>
        </w:rPr>
        <w:t>231/2012.</w:t>
      </w:r>
    </w:p>
    <w:p w14:paraId="71F0BFFB" w14:textId="77777777" w:rsidR="00AB0275" w:rsidRDefault="00AB0275" w:rsidP="00AB0275">
      <w:pPr>
        <w:rPr>
          <w:lang w:val="en-AU" w:eastAsia="en-GB" w:bidi="ar-SA"/>
        </w:rPr>
      </w:pPr>
    </w:p>
    <w:p w14:paraId="3C01FB71" w14:textId="66B5EB17" w:rsidR="00AB0275" w:rsidRPr="000576EB" w:rsidRDefault="009326E0"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3317F040" w14:textId="77777777" w:rsidR="00AB0275" w:rsidRDefault="00AB0275" w:rsidP="00AB0275">
      <w:pPr>
        <w:rPr>
          <w:lang w:val="en-AU" w:eastAsia="en-GB" w:bidi="ar-SA"/>
        </w:rPr>
      </w:pPr>
    </w:p>
    <w:p w14:paraId="386884B1" w14:textId="23B05387" w:rsidR="00AB0275" w:rsidRDefault="00AB0275" w:rsidP="00AB0275">
      <w:pPr>
        <w:rPr>
          <w:szCs w:val="22"/>
        </w:rPr>
      </w:pPr>
      <w:r w:rsidRPr="00F634A1">
        <w:rPr>
          <w:szCs w:val="22"/>
        </w:rPr>
        <w:t xml:space="preserve">In accordance with the procedure in </w:t>
      </w:r>
      <w:r w:rsidRPr="00902DBC">
        <w:rPr>
          <w:szCs w:val="22"/>
        </w:rPr>
        <w:t xml:space="preserve">Division </w:t>
      </w:r>
      <w:r w:rsidR="00902DBC" w:rsidRPr="00902DBC">
        <w:rPr>
          <w:szCs w:val="22"/>
        </w:rPr>
        <w:t>1</w:t>
      </w:r>
      <w:r w:rsidRPr="00902DBC">
        <w:rPr>
          <w:szCs w:val="22"/>
        </w:rPr>
        <w:t xml:space="preserve"> of Part </w:t>
      </w:r>
      <w:r w:rsidR="00902DBC" w:rsidRPr="00902DBC">
        <w:rPr>
          <w:szCs w:val="22"/>
        </w:rPr>
        <w:t>3</w:t>
      </w:r>
      <w:r w:rsidRPr="00902DBC">
        <w:rPr>
          <w:szCs w:val="22"/>
        </w:rPr>
        <w:t xml:space="preserve"> of </w:t>
      </w:r>
      <w:r w:rsidRPr="00F634A1">
        <w:rPr>
          <w:szCs w:val="22"/>
        </w:rPr>
        <w:t xml:space="preserve">the FSANZ Act, </w:t>
      </w:r>
      <w:r w:rsidRPr="00F634A1">
        <w:rPr>
          <w:rFonts w:eastAsia="Calibri" w:cs="Arial"/>
          <w:bCs/>
          <w:szCs w:val="22"/>
          <w:lang w:val="en-AU" w:bidi="ar-SA"/>
        </w:rPr>
        <w:t>the Authority</w:t>
      </w:r>
      <w:r w:rsidRPr="00F634A1">
        <w:rPr>
          <w:szCs w:val="22"/>
        </w:rPr>
        <w:t xml:space="preserve">’s consideration </w:t>
      </w:r>
      <w:r w:rsidRPr="00902DBC">
        <w:rPr>
          <w:szCs w:val="22"/>
        </w:rPr>
        <w:t>of Application</w:t>
      </w:r>
      <w:r w:rsidR="00902DBC" w:rsidRPr="00902DBC">
        <w:rPr>
          <w:szCs w:val="22"/>
        </w:rPr>
        <w:t xml:space="preserve"> A1215</w:t>
      </w:r>
      <w:r w:rsidRPr="00902DBC">
        <w:rPr>
          <w:szCs w:val="22"/>
        </w:rPr>
        <w:t xml:space="preserve"> will include one round of public consultation following an assessment and the preparation of a draft </w:t>
      </w:r>
      <w:r w:rsidR="005B52F1">
        <w:rPr>
          <w:szCs w:val="22"/>
        </w:rPr>
        <w:t>variation</w:t>
      </w:r>
      <w:r w:rsidR="005B52F1" w:rsidRPr="00902DBC">
        <w:rPr>
          <w:szCs w:val="22"/>
        </w:rPr>
        <w:t xml:space="preserve"> </w:t>
      </w:r>
      <w:r w:rsidRPr="00902DBC">
        <w:rPr>
          <w:szCs w:val="22"/>
        </w:rPr>
        <w:t xml:space="preserve">and associated </w:t>
      </w:r>
      <w:r w:rsidR="006211CD" w:rsidRPr="00902DBC">
        <w:rPr>
          <w:szCs w:val="22"/>
        </w:rPr>
        <w:t>assessment summary</w:t>
      </w:r>
      <w:r w:rsidR="00902DBC" w:rsidRPr="00902DBC">
        <w:rPr>
          <w:szCs w:val="22"/>
        </w:rPr>
        <w:t>.</w:t>
      </w:r>
    </w:p>
    <w:p w14:paraId="1CB7520B" w14:textId="77777777" w:rsidR="00902DBC" w:rsidRDefault="00902DBC" w:rsidP="00AB0275">
      <w:pPr>
        <w:rPr>
          <w:szCs w:val="22"/>
        </w:rPr>
      </w:pPr>
    </w:p>
    <w:p w14:paraId="58B09A2D" w14:textId="5DCDA04E" w:rsidR="00902DBC" w:rsidRPr="00902DBC" w:rsidRDefault="00902DBC" w:rsidP="00AB0275">
      <w:pPr>
        <w:rPr>
          <w:lang w:val="en-AU"/>
        </w:rPr>
      </w:pPr>
      <w:r w:rsidRPr="00902DBC">
        <w:rPr>
          <w:lang w:val="en-AU"/>
        </w:rPr>
        <w:t xml:space="preserve">The Office of Best Practice Regulation (OBPR) granted FSANZ a standing exemption from the requirement to develop a Regulatory Impact Statement for applications relating to processing aids (OBPR correspondence dated 24 November 2010, reference 12065). This standing exemption was provided as permitting new </w:t>
      </w:r>
      <w:r>
        <w:rPr>
          <w:lang w:val="en-AU"/>
        </w:rPr>
        <w:t>p</w:t>
      </w:r>
      <w:r w:rsidRPr="00902DBC">
        <w:rPr>
          <w:lang w:val="en-AU"/>
        </w:rPr>
        <w:t>rocessing aids is deregulatory as their use will be voluntary if the application is approved. This standing exemption relates to the introduction of a food to the food supply that has been determined to be safe.</w:t>
      </w:r>
    </w:p>
    <w:p w14:paraId="11C2EDC2" w14:textId="77777777" w:rsidR="00AB0275" w:rsidRDefault="00AB0275" w:rsidP="00AB0275">
      <w:pPr>
        <w:widowControl/>
        <w:rPr>
          <w:rFonts w:eastAsiaTheme="minorHAnsi" w:cs="Arial"/>
          <w:b/>
          <w:bCs/>
          <w:szCs w:val="22"/>
          <w:lang w:val="en-AU" w:bidi="ar-SA"/>
        </w:rPr>
      </w:pPr>
    </w:p>
    <w:p w14:paraId="7E27F8F3" w14:textId="4BA2CB70" w:rsidR="00AB0275" w:rsidRDefault="009326E0"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5E867B6F" w14:textId="77777777" w:rsidR="00AB0275" w:rsidRDefault="00AB0275" w:rsidP="00AB0275">
      <w:pPr>
        <w:rPr>
          <w:rFonts w:eastAsiaTheme="minorHAnsi"/>
          <w:lang w:val="en-AU" w:bidi="ar-SA"/>
        </w:rPr>
      </w:pPr>
    </w:p>
    <w:p w14:paraId="683A4696" w14:textId="0A1A3F69" w:rsidR="00AB0275" w:rsidRDefault="00AB0275" w:rsidP="00AB027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w:t>
      </w:r>
      <w:r w:rsidRPr="00A54B6A">
        <w:rPr>
          <w:rFonts w:eastAsiaTheme="minorHAnsi"/>
          <w:lang w:val="en-AU" w:bidi="ar-SA"/>
        </w:rPr>
        <w:t xml:space="preserve">section </w:t>
      </w:r>
      <w:r w:rsidR="00B8490B" w:rsidRPr="00A54B6A">
        <w:rPr>
          <w:rFonts w:eastAsiaTheme="minorHAnsi"/>
          <w:lang w:val="en-AU" w:bidi="ar-SA"/>
        </w:rPr>
        <w:t xml:space="preserve">44 of the </w:t>
      </w:r>
      <w:r w:rsidR="00B8490B" w:rsidRPr="00A54B6A">
        <w:rPr>
          <w:rFonts w:cs="Arial"/>
          <w:i/>
          <w:iCs/>
        </w:rPr>
        <w:t>Legislation Act 2003</w:t>
      </w:r>
      <w:r w:rsidRPr="00A54B6A">
        <w:rPr>
          <w:rFonts w:eastAsiaTheme="minorHAnsi"/>
          <w:lang w:val="en-AU" w:bidi="ar-SA"/>
        </w:rPr>
        <w:t>.</w:t>
      </w:r>
    </w:p>
    <w:p w14:paraId="1EB2CC99" w14:textId="77777777" w:rsidR="00AB0275" w:rsidRDefault="00AB0275" w:rsidP="00AB0275">
      <w:pPr>
        <w:rPr>
          <w:rFonts w:eastAsiaTheme="minorHAnsi"/>
          <w:lang w:val="en-AU" w:bidi="ar-SA"/>
        </w:rPr>
      </w:pPr>
    </w:p>
    <w:p w14:paraId="4C5FD6D5" w14:textId="2DFA7568" w:rsidR="00AB0275" w:rsidRPr="00700239" w:rsidRDefault="009326E0"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13C18DA3" w14:textId="77777777" w:rsidR="00AB0275" w:rsidRPr="00060006" w:rsidRDefault="00AB0275" w:rsidP="00AB0275">
      <w:pPr>
        <w:rPr>
          <w:b/>
        </w:rPr>
      </w:pPr>
    </w:p>
    <w:p w14:paraId="03635B0B" w14:textId="60B8CD58" w:rsidR="00AB0275" w:rsidRPr="00060006" w:rsidRDefault="009326E0" w:rsidP="00AB0275">
      <w:r>
        <w:rPr>
          <w:i/>
        </w:rPr>
        <w:t>7</w:t>
      </w:r>
      <w:r w:rsidR="00AB0275" w:rsidRPr="00060006">
        <w:rPr>
          <w:i/>
        </w:rPr>
        <w:t>.1</w:t>
      </w:r>
      <w:r w:rsidR="00AB0275" w:rsidRPr="00060006">
        <w:rPr>
          <w:i/>
        </w:rPr>
        <w:tab/>
        <w:t xml:space="preserve">Item [1] </w:t>
      </w:r>
    </w:p>
    <w:p w14:paraId="15A86AA6" w14:textId="77777777" w:rsidR="00AB0275" w:rsidRPr="00060006" w:rsidRDefault="00AB0275" w:rsidP="00AB0275"/>
    <w:p w14:paraId="00CB668C" w14:textId="727E5022" w:rsidR="000A0F71" w:rsidRDefault="00B239AD" w:rsidP="00B239AD">
      <w:r w:rsidRPr="00060006">
        <w:t xml:space="preserve">Item 1 of the draft variation </w:t>
      </w:r>
      <w:r w:rsidR="000A0F71">
        <w:t xml:space="preserve">would </w:t>
      </w:r>
      <w:r w:rsidR="003C400D">
        <w:t>add</w:t>
      </w:r>
      <w:r w:rsidR="003C400D" w:rsidRPr="00060006">
        <w:t xml:space="preserve"> </w:t>
      </w:r>
      <w:r w:rsidRPr="00060006">
        <w:t xml:space="preserve">a new section </w:t>
      </w:r>
      <w:r w:rsidR="00837E2A" w:rsidRPr="00837E2A">
        <w:t>1.3.3—13</w:t>
      </w:r>
      <w:r w:rsidR="00837E2A">
        <w:t xml:space="preserve"> </w:t>
      </w:r>
      <w:r w:rsidRPr="00060006">
        <w:t xml:space="preserve">into Standard 1.3.3. </w:t>
      </w:r>
    </w:p>
    <w:p w14:paraId="0A3C05EE" w14:textId="77777777" w:rsidR="000A0F71" w:rsidRDefault="000A0F71" w:rsidP="00B239AD"/>
    <w:p w14:paraId="65369E1E" w14:textId="0AADD1C5" w:rsidR="00B239AD" w:rsidRPr="00060006" w:rsidRDefault="00E064D2" w:rsidP="00B239AD">
      <w:r>
        <w:t>If approved, p</w:t>
      </w:r>
      <w:r w:rsidR="000A0F71">
        <w:t xml:space="preserve">roposed </w:t>
      </w:r>
      <w:r w:rsidR="00B239AD" w:rsidRPr="00060006">
        <w:t xml:space="preserve">new </w:t>
      </w:r>
      <w:r w:rsidR="000A0F71">
        <w:t>section</w:t>
      </w:r>
      <w:r w:rsidR="000A0F71" w:rsidRPr="00060006">
        <w:t xml:space="preserve"> </w:t>
      </w:r>
      <w:r w:rsidR="00837E2A" w:rsidRPr="00837E2A">
        <w:t>1.3.3—13</w:t>
      </w:r>
      <w:r w:rsidR="00837E2A">
        <w:t xml:space="preserve"> would </w:t>
      </w:r>
      <w:r w:rsidR="005F426C" w:rsidRPr="00060006">
        <w:t>permit</w:t>
      </w:r>
      <w:r w:rsidR="00B239AD" w:rsidRPr="00060006">
        <w:t xml:space="preserve"> cetylpyridinium chloride to be used as a processing aid</w:t>
      </w:r>
      <w:r w:rsidR="003637BF">
        <w:t>,</w:t>
      </w:r>
      <w:r w:rsidR="00A10C04" w:rsidRPr="00060006">
        <w:t xml:space="preserve"> </w:t>
      </w:r>
      <w:r w:rsidR="003637BF" w:rsidRPr="003637BF">
        <w:t>to perform the technological purpose of an anti-microbial agent</w:t>
      </w:r>
      <w:r w:rsidR="003637BF">
        <w:t>,</w:t>
      </w:r>
      <w:r w:rsidR="003637BF" w:rsidRPr="003637BF">
        <w:t xml:space="preserve"> </w:t>
      </w:r>
      <w:r w:rsidR="00A10C04" w:rsidRPr="00060006">
        <w:t xml:space="preserve">during the processing of food for sale listed in the </w:t>
      </w:r>
      <w:r w:rsidR="003637BF">
        <w:t xml:space="preserve">table to </w:t>
      </w:r>
      <w:r w:rsidR="000A0F71">
        <w:t xml:space="preserve">proposed </w:t>
      </w:r>
      <w:r w:rsidR="00A10C04" w:rsidRPr="00060006">
        <w:t>new section S18—11</w:t>
      </w:r>
      <w:r w:rsidR="000A0F71">
        <w:t xml:space="preserve"> (see item [2] below</w:t>
      </w:r>
      <w:r w:rsidR="003637BF">
        <w:t>).</w:t>
      </w:r>
      <w:r w:rsidR="003637BF" w:rsidRPr="00060006">
        <w:t xml:space="preserve"> </w:t>
      </w:r>
    </w:p>
    <w:p w14:paraId="68DEFE40" w14:textId="77777777" w:rsidR="00B128F2" w:rsidRPr="00060006" w:rsidRDefault="00B128F2" w:rsidP="00B239AD"/>
    <w:p w14:paraId="791017E0" w14:textId="5DE5DD06" w:rsidR="00AB0275" w:rsidRDefault="003637BF" w:rsidP="005F426C">
      <w:r>
        <w:t>However, t</w:t>
      </w:r>
      <w:r w:rsidR="00B239AD" w:rsidRPr="00060006">
        <w:t xml:space="preserve">he </w:t>
      </w:r>
      <w:r w:rsidR="00F02BB1">
        <w:t xml:space="preserve">proposed </w:t>
      </w:r>
      <w:r w:rsidR="00B239AD" w:rsidRPr="00060006">
        <w:t xml:space="preserve">permission </w:t>
      </w:r>
      <w:r w:rsidR="005F426C" w:rsidRPr="00060006">
        <w:t xml:space="preserve">is subject to </w:t>
      </w:r>
      <w:r w:rsidR="00F02BB1">
        <w:t xml:space="preserve">compliance with </w:t>
      </w:r>
      <w:r>
        <w:t xml:space="preserve">the corresponding </w:t>
      </w:r>
      <w:r w:rsidR="005F426C" w:rsidRPr="00060006">
        <w:t xml:space="preserve">maximum permitted level and conditions for use </w:t>
      </w:r>
      <w:r>
        <w:t xml:space="preserve">for the food concerned </w:t>
      </w:r>
      <w:r w:rsidR="00F02BB1">
        <w:t xml:space="preserve">listed </w:t>
      </w:r>
      <w:r w:rsidR="005F426C" w:rsidRPr="00060006">
        <w:t>in th</w:t>
      </w:r>
      <w:r>
        <w:t>at table</w:t>
      </w:r>
      <w:r w:rsidR="005F426C" w:rsidRPr="00060006">
        <w:t xml:space="preserve">. </w:t>
      </w:r>
    </w:p>
    <w:p w14:paraId="47650588" w14:textId="77777777" w:rsidR="001D61DA" w:rsidRDefault="001D61DA" w:rsidP="001D61DA">
      <w:pPr>
        <w:rPr>
          <w:i/>
        </w:rPr>
      </w:pPr>
    </w:p>
    <w:p w14:paraId="36F232F9" w14:textId="6374C462" w:rsidR="001D61DA" w:rsidRPr="00060006" w:rsidRDefault="009326E0" w:rsidP="001D61DA">
      <w:r>
        <w:rPr>
          <w:i/>
        </w:rPr>
        <w:t>7</w:t>
      </w:r>
      <w:r w:rsidR="001D61DA" w:rsidRPr="00060006">
        <w:rPr>
          <w:i/>
        </w:rPr>
        <w:t>.</w:t>
      </w:r>
      <w:r w:rsidR="001D61DA">
        <w:rPr>
          <w:i/>
        </w:rPr>
        <w:t>2</w:t>
      </w:r>
      <w:r w:rsidR="001D61DA" w:rsidRPr="00060006">
        <w:rPr>
          <w:i/>
        </w:rPr>
        <w:tab/>
        <w:t>Item [</w:t>
      </w:r>
      <w:r w:rsidR="001D61DA">
        <w:rPr>
          <w:i/>
        </w:rPr>
        <w:t>2</w:t>
      </w:r>
      <w:r w:rsidR="001D61DA" w:rsidRPr="00060006">
        <w:rPr>
          <w:i/>
        </w:rPr>
        <w:t xml:space="preserve">] </w:t>
      </w:r>
    </w:p>
    <w:p w14:paraId="34C40231" w14:textId="1A9C95BD" w:rsidR="000A0F71" w:rsidRDefault="000A0F71" w:rsidP="005F426C"/>
    <w:p w14:paraId="10C8321B" w14:textId="4E544E26" w:rsidR="004A00D7" w:rsidRPr="00A54B6A" w:rsidRDefault="000C60E5" w:rsidP="005F426C">
      <w:r w:rsidRPr="00A54B6A">
        <w:t xml:space="preserve">Item 2 of the draft variation would </w:t>
      </w:r>
      <w:r w:rsidR="003C400D" w:rsidRPr="00A54B6A">
        <w:t>add</w:t>
      </w:r>
      <w:r w:rsidRPr="00A54B6A">
        <w:t xml:space="preserve"> </w:t>
      </w:r>
      <w:r w:rsidR="004A00D7" w:rsidRPr="00A54B6A">
        <w:t xml:space="preserve">the following </w:t>
      </w:r>
      <w:r w:rsidR="00116AB6" w:rsidRPr="00A54B6A">
        <w:t xml:space="preserve">new unit of measurement and </w:t>
      </w:r>
      <w:r w:rsidR="004A00D7" w:rsidRPr="00A54B6A">
        <w:t xml:space="preserve">its </w:t>
      </w:r>
      <w:r w:rsidR="00116AB6" w:rsidRPr="00A54B6A">
        <w:t>corresponding meaning into the table to section S2—2</w:t>
      </w:r>
      <w:r w:rsidR="004A00D7" w:rsidRPr="00A54B6A">
        <w:t xml:space="preserve">: </w:t>
      </w:r>
    </w:p>
    <w:p w14:paraId="5D256AEB" w14:textId="77777777" w:rsidR="004A00D7" w:rsidRPr="00A54B6A" w:rsidRDefault="004A00D7" w:rsidP="005F426C"/>
    <w:tbl>
      <w:tblPr>
        <w:tblStyle w:val="TableGrid1"/>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4A00D7" w:rsidRPr="00A54B6A" w14:paraId="3AF2E319" w14:textId="77777777" w:rsidTr="002641AF">
        <w:trPr>
          <w:jc w:val="center"/>
        </w:trPr>
        <w:tc>
          <w:tcPr>
            <w:tcW w:w="1844" w:type="dxa"/>
            <w:hideMark/>
          </w:tcPr>
          <w:p w14:paraId="4E397B0C" w14:textId="3021FF83" w:rsidR="004A00D7" w:rsidRPr="00A54B6A" w:rsidRDefault="004A00D7" w:rsidP="004A00D7">
            <w:pPr>
              <w:rPr>
                <w:rFonts w:eastAsia="Times New Roman" w:cs="Times New Roman"/>
              </w:rPr>
            </w:pPr>
            <w:r w:rsidRPr="00A54B6A">
              <w:rPr>
                <w:rFonts w:eastAsia="Times New Roman" w:cs="Times New Roman"/>
              </w:rPr>
              <w:t>“w/v</w:t>
            </w:r>
          </w:p>
        </w:tc>
        <w:tc>
          <w:tcPr>
            <w:tcW w:w="2692" w:type="dxa"/>
            <w:hideMark/>
          </w:tcPr>
          <w:p w14:paraId="0E324E4F" w14:textId="1AB98BAD" w:rsidR="004A00D7" w:rsidRPr="00A54B6A" w:rsidRDefault="004A00D7" w:rsidP="004A00D7">
            <w:pPr>
              <w:rPr>
                <w:rFonts w:eastAsia="Times New Roman" w:cs="Times New Roman"/>
              </w:rPr>
            </w:pPr>
            <w:r w:rsidRPr="00A54B6A">
              <w:rPr>
                <w:rFonts w:eastAsia="Times New Roman" w:cs="Times New Roman"/>
              </w:rPr>
              <w:t>weight per volume”.</w:t>
            </w:r>
          </w:p>
        </w:tc>
      </w:tr>
    </w:tbl>
    <w:p w14:paraId="65C41C7A" w14:textId="2775D7F9" w:rsidR="004A00D7" w:rsidRPr="00A54B6A" w:rsidRDefault="003C400D" w:rsidP="005F426C">
      <w:r w:rsidRPr="00A54B6A">
        <w:t xml:space="preserve"> </w:t>
      </w:r>
    </w:p>
    <w:p w14:paraId="042935C0" w14:textId="351E1E66" w:rsidR="001D61DA" w:rsidRDefault="003C400D" w:rsidP="005F426C">
      <w:r w:rsidRPr="00A54B6A">
        <w:t>The proposed new unit of measurement would be added in alphabetical order.</w:t>
      </w:r>
    </w:p>
    <w:p w14:paraId="32CAA03A" w14:textId="3995C9A1" w:rsidR="00116AB6" w:rsidRDefault="00116AB6" w:rsidP="005F426C"/>
    <w:p w14:paraId="4264F4C3" w14:textId="739D8903" w:rsidR="00116AB6" w:rsidRDefault="00116AB6" w:rsidP="005F426C">
      <w:r>
        <w:t xml:space="preserve">This amendment is consequential to the proposed amendment to Schedule 18 in item [3] </w:t>
      </w:r>
      <w:r>
        <w:lastRenderedPageBreak/>
        <w:t>(see below).</w:t>
      </w:r>
    </w:p>
    <w:p w14:paraId="478D4AC3" w14:textId="77777777" w:rsidR="001D61DA" w:rsidRDefault="001D61DA" w:rsidP="005F426C">
      <w:pPr>
        <w:rPr>
          <w:i/>
        </w:rPr>
      </w:pPr>
    </w:p>
    <w:p w14:paraId="2BDC5F70" w14:textId="1A2F9919" w:rsidR="005F426C" w:rsidRPr="00060006" w:rsidRDefault="009326E0" w:rsidP="005F426C">
      <w:r>
        <w:rPr>
          <w:i/>
        </w:rPr>
        <w:t>7</w:t>
      </w:r>
      <w:r w:rsidR="005F426C" w:rsidRPr="00060006">
        <w:rPr>
          <w:i/>
        </w:rPr>
        <w:t>.</w:t>
      </w:r>
      <w:r w:rsidR="001D61DA">
        <w:rPr>
          <w:i/>
        </w:rPr>
        <w:t>3</w:t>
      </w:r>
      <w:r w:rsidR="005F426C" w:rsidRPr="00060006">
        <w:rPr>
          <w:i/>
        </w:rPr>
        <w:tab/>
        <w:t>Item [</w:t>
      </w:r>
      <w:r w:rsidR="001D61DA">
        <w:rPr>
          <w:i/>
        </w:rPr>
        <w:t>3</w:t>
      </w:r>
      <w:r w:rsidR="005F426C" w:rsidRPr="00060006">
        <w:rPr>
          <w:i/>
        </w:rPr>
        <w:t xml:space="preserve">] </w:t>
      </w:r>
    </w:p>
    <w:p w14:paraId="26BCA1EB" w14:textId="2ABAFC3E" w:rsidR="005F426C" w:rsidRPr="008C5436" w:rsidRDefault="005F426C" w:rsidP="00AB0275"/>
    <w:p w14:paraId="7EDCCE0D" w14:textId="1B273E9A" w:rsidR="00837E2A" w:rsidRDefault="005F426C" w:rsidP="00AB0275">
      <w:r w:rsidRPr="008C5436">
        <w:t xml:space="preserve">Item </w:t>
      </w:r>
      <w:r w:rsidR="000C60E5">
        <w:t>3</w:t>
      </w:r>
      <w:r w:rsidR="000C60E5" w:rsidRPr="008C5436">
        <w:t xml:space="preserve"> </w:t>
      </w:r>
      <w:r w:rsidRPr="008C5436">
        <w:t xml:space="preserve">of the draft variation </w:t>
      </w:r>
      <w:r w:rsidR="00837E2A">
        <w:t xml:space="preserve">would </w:t>
      </w:r>
      <w:r w:rsidR="003C400D">
        <w:t>add</w:t>
      </w:r>
      <w:r w:rsidR="003C400D" w:rsidRPr="008C5436">
        <w:t xml:space="preserve"> </w:t>
      </w:r>
      <w:r w:rsidRPr="008C5436">
        <w:t xml:space="preserve">a </w:t>
      </w:r>
      <w:r w:rsidR="00837E2A">
        <w:t xml:space="preserve">proposed </w:t>
      </w:r>
      <w:r w:rsidRPr="008C5436">
        <w:t xml:space="preserve">new section </w:t>
      </w:r>
      <w:r w:rsidR="00837E2A" w:rsidRPr="00837E2A">
        <w:t>S18—11</w:t>
      </w:r>
      <w:r w:rsidR="00837E2A">
        <w:t xml:space="preserve"> </w:t>
      </w:r>
      <w:r w:rsidRPr="008C5436">
        <w:t xml:space="preserve">into Schedule 18. </w:t>
      </w:r>
    </w:p>
    <w:p w14:paraId="6C21D743" w14:textId="1DD61F9F" w:rsidR="00A976CA" w:rsidRDefault="00A976CA" w:rsidP="00AB0275"/>
    <w:p w14:paraId="3A87E463" w14:textId="51C81190" w:rsidR="00A976CA" w:rsidRDefault="00A976CA" w:rsidP="00AB0275">
      <w:r>
        <w:t xml:space="preserve">Proposed </w:t>
      </w:r>
      <w:r w:rsidRPr="00060006">
        <w:t xml:space="preserve">new </w:t>
      </w:r>
      <w:r>
        <w:t>subsection</w:t>
      </w:r>
      <w:r w:rsidRPr="00060006">
        <w:t xml:space="preserve"> </w:t>
      </w:r>
      <w:r w:rsidRPr="00837E2A">
        <w:t>S18—11</w:t>
      </w:r>
      <w:r>
        <w:t>(1) provides that</w:t>
      </w:r>
      <w:r w:rsidRPr="00A976CA">
        <w:t xml:space="preserve"> the food, maximum permitted levels and conditions</w:t>
      </w:r>
      <w:r>
        <w:t>,</w:t>
      </w:r>
      <w:r w:rsidRPr="00A976CA">
        <w:t xml:space="preserve"> </w:t>
      </w:r>
      <w:r>
        <w:t>for</w:t>
      </w:r>
      <w:r w:rsidRPr="00A976CA">
        <w:t xml:space="preserve"> </w:t>
      </w:r>
      <w:r>
        <w:t xml:space="preserve">proposed new </w:t>
      </w:r>
      <w:r w:rsidRPr="00A976CA">
        <w:t xml:space="preserve">section 1.3.3—13, are set out in the table to subsection </w:t>
      </w:r>
      <w:r w:rsidRPr="00837E2A">
        <w:t>S18—11</w:t>
      </w:r>
      <w:r w:rsidRPr="00A976CA">
        <w:t>(3).</w:t>
      </w:r>
    </w:p>
    <w:p w14:paraId="3AD81CA8" w14:textId="77777777" w:rsidR="00837E2A" w:rsidRDefault="00837E2A" w:rsidP="00AB0275"/>
    <w:p w14:paraId="626B96E3" w14:textId="0D6C571F" w:rsidR="005F426C" w:rsidRPr="008C5436" w:rsidRDefault="00837E2A" w:rsidP="00AB0275">
      <w:r>
        <w:t xml:space="preserve">Proposed </w:t>
      </w:r>
      <w:r w:rsidRPr="00060006">
        <w:t xml:space="preserve">new </w:t>
      </w:r>
      <w:r w:rsidR="00604E82">
        <w:t>sub</w:t>
      </w:r>
      <w:r>
        <w:t>section</w:t>
      </w:r>
      <w:r w:rsidRPr="00060006">
        <w:t xml:space="preserve"> </w:t>
      </w:r>
      <w:r w:rsidRPr="00837E2A">
        <w:t>S18—11</w:t>
      </w:r>
      <w:r w:rsidR="00604E82">
        <w:t xml:space="preserve">(3) includes a table </w:t>
      </w:r>
      <w:r w:rsidR="00A76F64">
        <w:t>listing</w:t>
      </w:r>
      <w:r w:rsidR="008C5436" w:rsidRPr="008C5436">
        <w:t xml:space="preserve"> the </w:t>
      </w:r>
      <w:r w:rsidR="005F426C" w:rsidRPr="008C5436">
        <w:t>food</w:t>
      </w:r>
      <w:r w:rsidR="00AF10EF">
        <w:t xml:space="preserve"> </w:t>
      </w:r>
      <w:r>
        <w:t xml:space="preserve">for which </w:t>
      </w:r>
      <w:r w:rsidR="00AF10EF" w:rsidRPr="00AF10EF">
        <w:t>cetylpyridinium chloride</w:t>
      </w:r>
      <w:r>
        <w:t xml:space="preserve"> would be permitted to be used</w:t>
      </w:r>
      <w:r w:rsidRPr="00837E2A">
        <w:t xml:space="preserve"> as an anti-microbial agent</w:t>
      </w:r>
      <w:r w:rsidR="00604E82">
        <w:t xml:space="preserve"> (Column</w:t>
      </w:r>
      <w:r w:rsidR="00554422">
        <w:t> </w:t>
      </w:r>
      <w:r w:rsidR="00604E82">
        <w:t>1)</w:t>
      </w:r>
      <w:r>
        <w:t xml:space="preserve">; </w:t>
      </w:r>
      <w:r w:rsidR="00AF10EF">
        <w:t xml:space="preserve">the </w:t>
      </w:r>
      <w:r w:rsidR="005F426C" w:rsidRPr="008C5436">
        <w:t xml:space="preserve">maximum permitted level </w:t>
      </w:r>
      <w:r>
        <w:t>a</w:t>
      </w:r>
      <w:r w:rsidR="00604E82">
        <w:t>b</w:t>
      </w:r>
      <w:r>
        <w:t xml:space="preserve">ove which </w:t>
      </w:r>
      <w:r w:rsidRPr="00837E2A">
        <w:t xml:space="preserve">cetylpyridinium chloride </w:t>
      </w:r>
      <w:r>
        <w:t>must</w:t>
      </w:r>
      <w:r w:rsidRPr="00837E2A">
        <w:t xml:space="preserve"> not present in the </w:t>
      </w:r>
      <w:r w:rsidR="00A76F64">
        <w:t xml:space="preserve">corresponding </w:t>
      </w:r>
      <w:r w:rsidRPr="00837E2A">
        <w:t>food</w:t>
      </w:r>
      <w:r w:rsidR="00604E82">
        <w:t xml:space="preserve"> (Column 2)</w:t>
      </w:r>
      <w:r>
        <w:t>;</w:t>
      </w:r>
      <w:r w:rsidRPr="00837E2A">
        <w:t xml:space="preserve"> </w:t>
      </w:r>
      <w:r w:rsidR="005F426C" w:rsidRPr="008C5436">
        <w:t xml:space="preserve">and </w:t>
      </w:r>
      <w:r w:rsidR="00B174DD">
        <w:t xml:space="preserve">the </w:t>
      </w:r>
      <w:r w:rsidR="005F426C" w:rsidRPr="008C5436">
        <w:t>conditions for the use of cetylpyridinium chloride</w:t>
      </w:r>
      <w:r w:rsidR="00604E82">
        <w:t xml:space="preserve"> </w:t>
      </w:r>
      <w:r w:rsidR="00A76F64" w:rsidRPr="00837E2A">
        <w:t xml:space="preserve">in the </w:t>
      </w:r>
      <w:r w:rsidR="00A76F64">
        <w:t xml:space="preserve">corresponding </w:t>
      </w:r>
      <w:r w:rsidR="00A76F64" w:rsidRPr="00837E2A">
        <w:t>food</w:t>
      </w:r>
      <w:r w:rsidR="00A76F64">
        <w:t xml:space="preserve"> </w:t>
      </w:r>
      <w:r w:rsidR="00604E82">
        <w:t>(Column 3)</w:t>
      </w:r>
      <w:r w:rsidR="008C5436" w:rsidRPr="008C5436">
        <w:t xml:space="preserve">. </w:t>
      </w:r>
    </w:p>
    <w:p w14:paraId="0B25E873" w14:textId="6109B53A" w:rsidR="005F426C" w:rsidRPr="008C5436" w:rsidRDefault="005F426C" w:rsidP="00AB0275"/>
    <w:p w14:paraId="306CFE70" w14:textId="7EEA8CF2" w:rsidR="00604E82" w:rsidRDefault="009E4AC8" w:rsidP="00AB0275">
      <w:r>
        <w:t xml:space="preserve">Column 1 of the table to proposed </w:t>
      </w:r>
      <w:r w:rsidRPr="00060006">
        <w:t xml:space="preserve">new </w:t>
      </w:r>
      <w:r>
        <w:t>section</w:t>
      </w:r>
      <w:r w:rsidRPr="00060006">
        <w:t xml:space="preserve"> </w:t>
      </w:r>
      <w:r w:rsidRPr="00837E2A">
        <w:t>S18—11</w:t>
      </w:r>
      <w:r>
        <w:t xml:space="preserve"> lists </w:t>
      </w:r>
      <w:r w:rsidR="00604E82">
        <w:t>‘</w:t>
      </w:r>
      <w:r>
        <w:t>Raw poultry meat’</w:t>
      </w:r>
      <w:r w:rsidR="00B128F2" w:rsidRPr="008C5436">
        <w:t xml:space="preserve">. </w:t>
      </w:r>
    </w:p>
    <w:p w14:paraId="74CB20DC" w14:textId="77777777" w:rsidR="00604E82" w:rsidRDefault="00604E82" w:rsidP="00AB0275"/>
    <w:p w14:paraId="7EF2E109" w14:textId="1A84D1C4" w:rsidR="00B128F2" w:rsidRPr="008C5436" w:rsidRDefault="00604E82" w:rsidP="00AB0275">
      <w:r>
        <w:t xml:space="preserve">Proposed new subsection </w:t>
      </w:r>
      <w:r w:rsidRPr="00837E2A">
        <w:t>S18—11</w:t>
      </w:r>
      <w:r>
        <w:t xml:space="preserve">(2) </w:t>
      </w:r>
      <w:r w:rsidR="005F426C" w:rsidRPr="008C5436">
        <w:t>defines the term ‘poultry meat’</w:t>
      </w:r>
      <w:r>
        <w:t xml:space="preserve"> for the purposes of the proposed new section as meaning </w:t>
      </w:r>
      <w:r w:rsidR="00B128F2" w:rsidRPr="008C5436">
        <w:t xml:space="preserve">the </w:t>
      </w:r>
      <w:r w:rsidR="00347183" w:rsidRPr="00347183">
        <w:t xml:space="preserve">whole or any part of a </w:t>
      </w:r>
      <w:r w:rsidR="00B128F2" w:rsidRPr="008C5436">
        <w:t>poultry carcass with the skin attached</w:t>
      </w:r>
      <w:r w:rsidR="00347183">
        <w:t>;</w:t>
      </w:r>
      <w:r w:rsidR="00347183" w:rsidRPr="008C5436">
        <w:t xml:space="preserve"> </w:t>
      </w:r>
      <w:r w:rsidR="00B128F2" w:rsidRPr="008C5436">
        <w:t xml:space="preserve">that </w:t>
      </w:r>
      <w:r w:rsidR="00347183">
        <w:t>is</w:t>
      </w:r>
      <w:r w:rsidR="00347183" w:rsidRPr="008C5436">
        <w:t xml:space="preserve"> </w:t>
      </w:r>
      <w:r w:rsidR="00B128F2" w:rsidRPr="008C5436">
        <w:t>intended for human consumption</w:t>
      </w:r>
      <w:r w:rsidR="00347183">
        <w:t>;</w:t>
      </w:r>
      <w:r w:rsidR="00347183" w:rsidRPr="008C5436">
        <w:t xml:space="preserve"> </w:t>
      </w:r>
      <w:r w:rsidR="00B128F2" w:rsidRPr="008C5436">
        <w:t>and</w:t>
      </w:r>
      <w:r w:rsidR="00347183">
        <w:t xml:space="preserve"> either is not or</w:t>
      </w:r>
      <w:r w:rsidR="00B128F2" w:rsidRPr="008C5436">
        <w:t xml:space="preserve"> does not include offal. </w:t>
      </w:r>
    </w:p>
    <w:p w14:paraId="15FF37ED" w14:textId="77777777" w:rsidR="00B128F2" w:rsidRPr="008C5436" w:rsidRDefault="00B128F2" w:rsidP="00AB0275"/>
    <w:p w14:paraId="130E84D7" w14:textId="0F09EA9D" w:rsidR="00B128F2" w:rsidRPr="008C5436" w:rsidRDefault="00515E09" w:rsidP="00B128F2">
      <w:r>
        <w:t xml:space="preserve">Column 2 of the table to proposed </w:t>
      </w:r>
      <w:r w:rsidRPr="00060006">
        <w:t xml:space="preserve">new </w:t>
      </w:r>
      <w:r>
        <w:t>section</w:t>
      </w:r>
      <w:r w:rsidRPr="00060006">
        <w:t xml:space="preserve"> </w:t>
      </w:r>
      <w:r w:rsidRPr="00837E2A">
        <w:t>S18—11</w:t>
      </w:r>
      <w:r>
        <w:t xml:space="preserve"> specifies that t</w:t>
      </w:r>
      <w:r w:rsidR="00B174DD">
        <w:t xml:space="preserve">he </w:t>
      </w:r>
      <w:r w:rsidR="00B128F2" w:rsidRPr="008C5436">
        <w:t xml:space="preserve">maximum permitted level of cetylpyridinium chloride </w:t>
      </w:r>
      <w:r w:rsidR="00B174DD">
        <w:t xml:space="preserve">that may be </w:t>
      </w:r>
      <w:r w:rsidR="00B128F2" w:rsidRPr="008C5436">
        <w:t xml:space="preserve">present </w:t>
      </w:r>
      <w:r w:rsidR="00B174DD">
        <w:t xml:space="preserve">in the </w:t>
      </w:r>
      <w:r w:rsidR="00B174DD" w:rsidRPr="008C5436">
        <w:t xml:space="preserve">skin </w:t>
      </w:r>
      <w:r w:rsidR="00B174DD">
        <w:t>of</w:t>
      </w:r>
      <w:r w:rsidR="00B174DD" w:rsidRPr="008C5436">
        <w:t xml:space="preserve"> raw poultry meat </w:t>
      </w:r>
      <w:r w:rsidR="00B174DD">
        <w:t xml:space="preserve">is 13.4 </w:t>
      </w:r>
      <w:r>
        <w:t>m</w:t>
      </w:r>
      <w:r w:rsidR="00B174DD">
        <w:t>g per kg</w:t>
      </w:r>
      <w:r w:rsidR="00B128F2" w:rsidRPr="008C5436">
        <w:t xml:space="preserve">. </w:t>
      </w:r>
    </w:p>
    <w:p w14:paraId="5F69E091" w14:textId="5889E156" w:rsidR="00B128F2" w:rsidRPr="008C5436" w:rsidRDefault="00B128F2" w:rsidP="00AB0275"/>
    <w:p w14:paraId="72A79A52" w14:textId="73674588" w:rsidR="00515E09" w:rsidRDefault="00515E09" w:rsidP="00AB0275">
      <w:r>
        <w:t xml:space="preserve">Column 3 of the table to proposed </w:t>
      </w:r>
      <w:r w:rsidRPr="00060006">
        <w:t xml:space="preserve">new </w:t>
      </w:r>
      <w:r>
        <w:t>section</w:t>
      </w:r>
      <w:r w:rsidRPr="00060006">
        <w:t xml:space="preserve"> </w:t>
      </w:r>
      <w:r w:rsidRPr="00837E2A">
        <w:t>S18—11</w:t>
      </w:r>
      <w:r>
        <w:t xml:space="preserve"> lists t</w:t>
      </w:r>
      <w:r w:rsidR="00B128F2" w:rsidRPr="008C5436">
        <w:t xml:space="preserve">he </w:t>
      </w:r>
      <w:r>
        <w:t xml:space="preserve">following two </w:t>
      </w:r>
      <w:r w:rsidR="00B128F2" w:rsidRPr="008C5436">
        <w:t xml:space="preserve">conditions </w:t>
      </w:r>
      <w:r>
        <w:t xml:space="preserve">of use </w:t>
      </w:r>
      <w:r w:rsidR="008C5436" w:rsidRPr="008C5436">
        <w:t xml:space="preserve">for the use of cetylpyridinium chloride </w:t>
      </w:r>
      <w:r>
        <w:t>as an anti-microbial agent for raw poultry meat:</w:t>
      </w:r>
    </w:p>
    <w:p w14:paraId="62F6DBEF" w14:textId="77777777" w:rsidR="00515E09" w:rsidRDefault="00515E09" w:rsidP="00AB0275"/>
    <w:p w14:paraId="3B9ECB68" w14:textId="4A106FCD" w:rsidR="00515E09" w:rsidRDefault="00B128F2" w:rsidP="000A7482">
      <w:pPr>
        <w:pStyle w:val="ListParagraph"/>
        <w:numPr>
          <w:ilvl w:val="0"/>
          <w:numId w:val="26"/>
        </w:numPr>
      </w:pPr>
      <w:r w:rsidRPr="008C5436">
        <w:t xml:space="preserve">the concentration of cetylpyridinium chloride in the aqueous wash solution applied to the raw poultry meat </w:t>
      </w:r>
      <w:r w:rsidR="00515E09">
        <w:t xml:space="preserve">must </w:t>
      </w:r>
      <w:r w:rsidR="00BB32D0">
        <w:t>not be</w:t>
      </w:r>
      <w:r w:rsidRPr="008C5436">
        <w:t xml:space="preserve"> more than </w:t>
      </w:r>
      <w:r w:rsidR="00CB40D3">
        <w:t>1% w/v</w:t>
      </w:r>
      <w:r w:rsidR="00515E09">
        <w:t>;</w:t>
      </w:r>
      <w:r w:rsidRPr="008C5436">
        <w:t xml:space="preserve"> </w:t>
      </w:r>
      <w:r w:rsidR="008C5436" w:rsidRPr="008C5436">
        <w:t xml:space="preserve">and </w:t>
      </w:r>
    </w:p>
    <w:p w14:paraId="3C967FC7" w14:textId="26DBB3A6" w:rsidR="00B128F2" w:rsidRDefault="008C5436" w:rsidP="000A7482">
      <w:pPr>
        <w:pStyle w:val="ListParagraph"/>
        <w:numPr>
          <w:ilvl w:val="0"/>
          <w:numId w:val="26"/>
        </w:numPr>
      </w:pPr>
      <w:r w:rsidRPr="008C5436">
        <w:t xml:space="preserve">the raw poultry meat </w:t>
      </w:r>
      <w:r w:rsidR="00515E09">
        <w:t>must be</w:t>
      </w:r>
      <w:r w:rsidR="00515E09" w:rsidRPr="008C5436">
        <w:t xml:space="preserve"> </w:t>
      </w:r>
      <w:r w:rsidR="00B128F2" w:rsidRPr="008C5436">
        <w:t xml:space="preserve">rinsed in potable water after treatment with cetylpyridinium chloride. </w:t>
      </w:r>
    </w:p>
    <w:p w14:paraId="2AA83E6D" w14:textId="0BBA6BA3" w:rsidR="008F4E66" w:rsidRDefault="008F4E66" w:rsidP="008F4E66"/>
    <w:p w14:paraId="23E2F8D9" w14:textId="5A67C59A" w:rsidR="00760F32" w:rsidRDefault="00760F32" w:rsidP="008F4E66">
      <w:r>
        <w:t xml:space="preserve">The unit of % </w:t>
      </w:r>
      <w:r w:rsidRPr="000352EC">
        <w:t>weight per volume</w:t>
      </w:r>
      <w:r>
        <w:t xml:space="preserve"> (w/v)</w:t>
      </w:r>
      <w:r w:rsidRPr="000352EC">
        <w:t xml:space="preserve"> is used in the draft variation as the </w:t>
      </w:r>
      <w:r w:rsidRPr="008C5436">
        <w:t>cetylpyridinium chloride</w:t>
      </w:r>
      <w:r w:rsidRPr="000352EC">
        <w:t xml:space="preserve"> is in a solid/crystallised state before being dissolved to an aqueous form and then diluted with potable water for use</w:t>
      </w:r>
      <w:r>
        <w:t xml:space="preserve"> </w:t>
      </w:r>
    </w:p>
    <w:p w14:paraId="6BA06C88" w14:textId="77777777" w:rsidR="00760F32" w:rsidRDefault="00760F32" w:rsidP="008F4E66"/>
    <w:p w14:paraId="09C014AD" w14:textId="33F8D216" w:rsidR="008F4E66" w:rsidRDefault="00B04EED" w:rsidP="008F4E66">
      <w:r>
        <w:t>If approved, t</w:t>
      </w:r>
      <w:r w:rsidR="008F4E66">
        <w:t xml:space="preserve">he effect of these proposed amendments is that </w:t>
      </w:r>
      <w:r w:rsidR="008F4E66" w:rsidRPr="008F4E66">
        <w:t xml:space="preserve">cetylpyridinium chloride </w:t>
      </w:r>
      <w:r w:rsidR="008F4E66">
        <w:t xml:space="preserve">would be permitted to be used </w:t>
      </w:r>
      <w:r w:rsidR="008F4E66" w:rsidRPr="008F4E66">
        <w:t>as a processing aid</w:t>
      </w:r>
      <w:r w:rsidR="008F4E66">
        <w:t>, i.e.</w:t>
      </w:r>
      <w:r w:rsidR="008F4E66" w:rsidRPr="008F4E66">
        <w:t>an anti-microbial treatment</w:t>
      </w:r>
      <w:r w:rsidR="008F4E66">
        <w:t>,</w:t>
      </w:r>
      <w:r w:rsidR="008F4E66" w:rsidRPr="008F4E66">
        <w:t xml:space="preserve"> for raw poultry</w:t>
      </w:r>
      <w:r w:rsidR="00C702C3">
        <w:t xml:space="preserve"> meat</w:t>
      </w:r>
      <w:r w:rsidR="008F4E66" w:rsidRPr="008F4E66">
        <w:t xml:space="preserve"> in accordance with the Code.</w:t>
      </w:r>
    </w:p>
    <w:sectPr w:rsidR="008F4E66"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AEE1" w14:textId="77777777" w:rsidR="008728D3" w:rsidRDefault="008728D3">
      <w:r>
        <w:separator/>
      </w:r>
    </w:p>
  </w:endnote>
  <w:endnote w:type="continuationSeparator" w:id="0">
    <w:p w14:paraId="21FEB868" w14:textId="77777777" w:rsidR="008728D3" w:rsidRDefault="008728D3">
      <w:r>
        <w:continuationSeparator/>
      </w:r>
    </w:p>
  </w:endnote>
  <w:endnote w:type="continuationNotice" w:id="1">
    <w:p w14:paraId="305F97C0" w14:textId="77777777" w:rsidR="008728D3" w:rsidRDefault="00872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94E4" w14:textId="2D4F90A5" w:rsidR="002641AF" w:rsidRDefault="002641AF" w:rsidP="0015717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9B6C872" w14:textId="77777777" w:rsidR="002641AF" w:rsidRDefault="002641AF" w:rsidP="004A0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6933" w14:textId="6A96D281" w:rsidR="002641AF" w:rsidRDefault="002641A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6B4">
      <w:rPr>
        <w:rStyle w:val="PageNumber"/>
        <w:noProof/>
      </w:rPr>
      <w:t>i</w:t>
    </w:r>
    <w:r>
      <w:rPr>
        <w:rStyle w:val="PageNumber"/>
      </w:rPr>
      <w:fldChar w:fldCharType="end"/>
    </w:r>
  </w:p>
  <w:p w14:paraId="2CF88698" w14:textId="77777777" w:rsidR="002641AF" w:rsidRDefault="002641AF" w:rsidP="004A0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BFB0" w14:textId="77777777" w:rsidR="008728D3" w:rsidRDefault="008728D3">
      <w:r>
        <w:separator/>
      </w:r>
    </w:p>
  </w:footnote>
  <w:footnote w:type="continuationSeparator" w:id="0">
    <w:p w14:paraId="7879360A" w14:textId="77777777" w:rsidR="008728D3" w:rsidRDefault="008728D3">
      <w:r>
        <w:continuationSeparator/>
      </w:r>
    </w:p>
  </w:footnote>
  <w:footnote w:type="continuationNotice" w:id="1">
    <w:p w14:paraId="748DE9E6" w14:textId="77777777" w:rsidR="008728D3" w:rsidRDefault="008728D3"/>
  </w:footnote>
  <w:footnote w:id="2">
    <w:p w14:paraId="3EC96241" w14:textId="3FA0680A" w:rsidR="002641AF" w:rsidRPr="00CB40D3" w:rsidRDefault="002641AF">
      <w:pPr>
        <w:pStyle w:val="FootnoteText"/>
        <w:rPr>
          <w:lang w:val="en-AU"/>
        </w:rPr>
      </w:pPr>
      <w:r>
        <w:rPr>
          <w:rStyle w:val="FootnoteReference"/>
        </w:rPr>
        <w:footnoteRef/>
      </w:r>
      <w:r>
        <w:t xml:space="preserve"> </w:t>
      </w:r>
      <w:r>
        <w:rPr>
          <w:lang w:val="en-AU"/>
        </w:rPr>
        <w:t>weight per volume</w:t>
      </w:r>
    </w:p>
  </w:footnote>
  <w:footnote w:id="3">
    <w:p w14:paraId="6E797BC4" w14:textId="2960DE1B" w:rsidR="002641AF" w:rsidRPr="00CB40D3" w:rsidRDefault="002641AF">
      <w:pPr>
        <w:pStyle w:val="FootnoteText"/>
        <w:rPr>
          <w:lang w:val="en-AU"/>
        </w:rPr>
      </w:pPr>
      <w:r>
        <w:rPr>
          <w:rStyle w:val="FootnoteReference"/>
        </w:rPr>
        <w:footnoteRef/>
      </w:r>
      <w:r>
        <w:t xml:space="preserve"> weight per volume</w:t>
      </w:r>
    </w:p>
  </w:footnote>
  <w:footnote w:id="4">
    <w:p w14:paraId="695AE11F" w14:textId="30EDFB18" w:rsidR="002641AF" w:rsidRPr="00CA6BC0" w:rsidRDefault="002641AF">
      <w:pPr>
        <w:pStyle w:val="FootnoteText"/>
        <w:rPr>
          <w:lang w:val="en-AU"/>
        </w:rPr>
      </w:pPr>
      <w:r>
        <w:rPr>
          <w:rStyle w:val="FootnoteReference"/>
        </w:rPr>
        <w:footnoteRef/>
      </w:r>
      <w:r>
        <w:t xml:space="preserve"> equivalent to </w:t>
      </w:r>
      <w:r>
        <w:rPr>
          <w:lang w:val="en-AU"/>
        </w:rPr>
        <w:t>18.9 litres</w:t>
      </w:r>
    </w:p>
  </w:footnote>
  <w:footnote w:id="5">
    <w:p w14:paraId="2F29905D" w14:textId="171410B1" w:rsidR="002641AF" w:rsidRPr="00172222" w:rsidRDefault="002641AF">
      <w:pPr>
        <w:pStyle w:val="FootnoteText"/>
        <w:rPr>
          <w:lang w:val="en-AU"/>
        </w:rPr>
      </w:pPr>
      <w:r>
        <w:rPr>
          <w:rStyle w:val="FootnoteReference"/>
        </w:rPr>
        <w:footnoteRef/>
      </w:r>
      <w:r>
        <w:t xml:space="preserve"> </w:t>
      </w:r>
      <w:r>
        <w:rPr>
          <w:lang w:val="en-AU"/>
        </w:rPr>
        <w:t xml:space="preserve">Available at </w:t>
      </w:r>
      <w:hyperlink r:id="rId1" w:history="1">
        <w:r w:rsidRPr="00420432">
          <w:rPr>
            <w:rStyle w:val="Hyperlink"/>
            <w:lang w:val="en-AU"/>
          </w:rPr>
          <w:t>https://www.fsis.usda.gov/policy/fsis-directives/7120.1</w:t>
        </w:r>
      </w:hyperlink>
      <w:r>
        <w:rPr>
          <w:lang w:val="en-AU"/>
        </w:rPr>
        <w:t xml:space="preserve"> </w:t>
      </w:r>
    </w:p>
  </w:footnote>
  <w:footnote w:id="6">
    <w:p w14:paraId="30975C21" w14:textId="594122FC" w:rsidR="002641AF" w:rsidRPr="00DA34D9" w:rsidRDefault="002641AF">
      <w:pPr>
        <w:pStyle w:val="FootnoteText"/>
        <w:rPr>
          <w:lang w:val="en-AU"/>
        </w:rPr>
      </w:pPr>
      <w:r>
        <w:rPr>
          <w:rStyle w:val="FootnoteReference"/>
        </w:rPr>
        <w:footnoteRef/>
      </w:r>
      <w:r>
        <w:t xml:space="preserve"> </w:t>
      </w:r>
      <w:r>
        <w:rPr>
          <w:lang w:val="en-AU"/>
        </w:rPr>
        <w:t xml:space="preserve">Further information is available at </w:t>
      </w:r>
      <w:hyperlink r:id="rId2" w:history="1">
        <w:r w:rsidRPr="00DA34D9">
          <w:rPr>
            <w:rStyle w:val="Hyperlink"/>
          </w:rPr>
          <w:t>Poultry and egg processing requirements | Food business | NZ Government (mpi.govt.nz)</w:t>
        </w:r>
      </w:hyperlink>
    </w:p>
  </w:footnote>
  <w:footnote w:id="7">
    <w:p w14:paraId="1E227171" w14:textId="17725339" w:rsidR="002641AF" w:rsidRDefault="002641AF" w:rsidP="00AD4FC3">
      <w:pPr>
        <w:pStyle w:val="FootnoteText"/>
        <w:rPr>
          <w:lang w:val="en-AU"/>
        </w:rPr>
      </w:pPr>
      <w:r>
        <w:rPr>
          <w:rStyle w:val="FootnoteReference"/>
          <w:szCs w:val="18"/>
        </w:rPr>
        <w:footnoteRef/>
      </w:r>
      <w:r>
        <w:rPr>
          <w:szCs w:val="18"/>
        </w:rPr>
        <w:t xml:space="preserve"> </w:t>
      </w:r>
      <w:r w:rsidRPr="00FE12F3">
        <w:rPr>
          <w:szCs w:val="18"/>
        </w:rPr>
        <w:t xml:space="preserve">Available on the </w:t>
      </w:r>
      <w:hyperlink r:id="rId3" w:history="1">
        <w:r w:rsidRPr="00FE12F3">
          <w:rPr>
            <w:rStyle w:val="Hyperlink"/>
            <w:szCs w:val="18"/>
          </w:rPr>
          <w:t>Food regulation website</w:t>
        </w:r>
      </w:hyperlink>
      <w:r>
        <w:rPr>
          <w:szCs w:val="18"/>
        </w:rPr>
        <w:t xml:space="preserve"> (accessed 13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72BF" w14:textId="24C80D3C" w:rsidR="002641AF" w:rsidRDefault="002641A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D005B84"/>
    <w:multiLevelType w:val="hybridMultilevel"/>
    <w:tmpl w:val="3B86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D6404"/>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5" w15:restartNumberingAfterBreak="0">
    <w:nsid w:val="13184263"/>
    <w:multiLevelType w:val="hybridMultilevel"/>
    <w:tmpl w:val="14BA78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65035CB"/>
    <w:multiLevelType w:val="hybridMultilevel"/>
    <w:tmpl w:val="184210BE"/>
    <w:lvl w:ilvl="0" w:tplc="F17CBA1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416A"/>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9" w15:restartNumberingAfterBreak="0">
    <w:nsid w:val="200C1139"/>
    <w:multiLevelType w:val="hybridMultilevel"/>
    <w:tmpl w:val="D9B6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E65DB1"/>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1" w15:restartNumberingAfterBreak="0">
    <w:nsid w:val="22BD5AF5"/>
    <w:multiLevelType w:val="hybridMultilevel"/>
    <w:tmpl w:val="51E4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26F20"/>
    <w:multiLevelType w:val="hybridMultilevel"/>
    <w:tmpl w:val="35C04CFC"/>
    <w:lvl w:ilvl="0" w:tplc="6994B7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34F13"/>
    <w:multiLevelType w:val="hybridMultilevel"/>
    <w:tmpl w:val="96FA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CD"/>
    <w:multiLevelType w:val="hybridMultilevel"/>
    <w:tmpl w:val="F462D6A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1C600C6"/>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8"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A575AB"/>
    <w:multiLevelType w:val="hybridMultilevel"/>
    <w:tmpl w:val="C5B66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3156F8"/>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23"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6BF31A83"/>
    <w:multiLevelType w:val="hybridMultilevel"/>
    <w:tmpl w:val="AE0468D8"/>
    <w:lvl w:ilvl="0" w:tplc="2FD2DF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2705B"/>
    <w:multiLevelType w:val="hybridMultilevel"/>
    <w:tmpl w:val="384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75E63B65"/>
    <w:multiLevelType w:val="hybridMultilevel"/>
    <w:tmpl w:val="21F41446"/>
    <w:lvl w:ilvl="0" w:tplc="A8DA3658">
      <w:start w:val="1"/>
      <w:numFmt w:val="decimal"/>
      <w:lvlText w:val="(%1)"/>
      <w:lvlJc w:val="left"/>
      <w:pPr>
        <w:ind w:left="1700" w:hanging="570"/>
      </w:pPr>
      <w:rPr>
        <w:rFonts w:cs="Arial" w:hint="default"/>
        <w:sz w:val="20"/>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8" w15:restartNumberingAfterBreak="0">
    <w:nsid w:val="7DE3336F"/>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num w:numId="1">
    <w:abstractNumId w:val="1"/>
  </w:num>
  <w:num w:numId="2">
    <w:abstractNumId w:val="20"/>
  </w:num>
  <w:num w:numId="3">
    <w:abstractNumId w:val="0"/>
  </w:num>
  <w:num w:numId="4">
    <w:abstractNumId w:val="2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19"/>
  </w:num>
  <w:num w:numId="9">
    <w:abstractNumId w:val="20"/>
  </w:num>
  <w:num w:numId="10">
    <w:abstractNumId w:val="18"/>
  </w:num>
  <w:num w:numId="11">
    <w:abstractNumId w:val="14"/>
  </w:num>
  <w:num w:numId="12">
    <w:abstractNumId w:val="3"/>
  </w:num>
  <w:num w:numId="13">
    <w:abstractNumId w:val="5"/>
  </w:num>
  <w:num w:numId="14">
    <w:abstractNumId w:val="25"/>
  </w:num>
  <w:num w:numId="15">
    <w:abstractNumId w:val="6"/>
  </w:num>
  <w:num w:numId="16">
    <w:abstractNumId w:val="24"/>
  </w:num>
  <w:num w:numId="17">
    <w:abstractNumId w:val="12"/>
  </w:num>
  <w:num w:numId="18">
    <w:abstractNumId w:val="21"/>
  </w:num>
  <w:num w:numId="19">
    <w:abstractNumId w:val="15"/>
  </w:num>
  <w:num w:numId="20">
    <w:abstractNumId w:val="7"/>
  </w:num>
  <w:num w:numId="21">
    <w:abstractNumId w:val="2"/>
  </w:num>
  <w:num w:numId="22">
    <w:abstractNumId w:val="27"/>
  </w:num>
  <w:num w:numId="23">
    <w:abstractNumId w:val="28"/>
  </w:num>
  <w:num w:numId="24">
    <w:abstractNumId w:val="10"/>
  </w:num>
  <w:num w:numId="25">
    <w:abstractNumId w:val="9"/>
  </w:num>
  <w:num w:numId="26">
    <w:abstractNumId w:val="11"/>
  </w:num>
  <w:num w:numId="27">
    <w:abstractNumId w:val="4"/>
  </w:num>
  <w:num w:numId="28">
    <w:abstractNumId w:val="22"/>
  </w:num>
  <w:num w:numId="29">
    <w:abstractNumId w:val="8"/>
  </w:num>
  <w:num w:numId="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1"/>
    <w:rsid w:val="00000314"/>
    <w:rsid w:val="00000EA1"/>
    <w:rsid w:val="00001CF2"/>
    <w:rsid w:val="00002229"/>
    <w:rsid w:val="0000247B"/>
    <w:rsid w:val="0000362F"/>
    <w:rsid w:val="00004274"/>
    <w:rsid w:val="0000469B"/>
    <w:rsid w:val="00007D13"/>
    <w:rsid w:val="0001324B"/>
    <w:rsid w:val="00014657"/>
    <w:rsid w:val="00016CB6"/>
    <w:rsid w:val="00022DBC"/>
    <w:rsid w:val="000246F2"/>
    <w:rsid w:val="00026C7D"/>
    <w:rsid w:val="00034F87"/>
    <w:rsid w:val="000352EC"/>
    <w:rsid w:val="00035FF3"/>
    <w:rsid w:val="00036BA0"/>
    <w:rsid w:val="000427B2"/>
    <w:rsid w:val="0004377C"/>
    <w:rsid w:val="0004758E"/>
    <w:rsid w:val="00051021"/>
    <w:rsid w:val="00051ED9"/>
    <w:rsid w:val="00052AE5"/>
    <w:rsid w:val="000532E3"/>
    <w:rsid w:val="000553D9"/>
    <w:rsid w:val="000564DE"/>
    <w:rsid w:val="00057181"/>
    <w:rsid w:val="00057FF5"/>
    <w:rsid w:val="00060006"/>
    <w:rsid w:val="00064B2D"/>
    <w:rsid w:val="00065298"/>
    <w:rsid w:val="00065F1F"/>
    <w:rsid w:val="00066C70"/>
    <w:rsid w:val="000735FD"/>
    <w:rsid w:val="00073B68"/>
    <w:rsid w:val="0007466A"/>
    <w:rsid w:val="00076D33"/>
    <w:rsid w:val="000778D6"/>
    <w:rsid w:val="00081AAA"/>
    <w:rsid w:val="00081B57"/>
    <w:rsid w:val="000877DD"/>
    <w:rsid w:val="00090AF5"/>
    <w:rsid w:val="00091CC2"/>
    <w:rsid w:val="000958F6"/>
    <w:rsid w:val="000A0F71"/>
    <w:rsid w:val="000A27E9"/>
    <w:rsid w:val="000A3D8B"/>
    <w:rsid w:val="000A5DF8"/>
    <w:rsid w:val="000A64C6"/>
    <w:rsid w:val="000A7482"/>
    <w:rsid w:val="000A7716"/>
    <w:rsid w:val="000B29DA"/>
    <w:rsid w:val="000B6AF2"/>
    <w:rsid w:val="000C21AD"/>
    <w:rsid w:val="000C4102"/>
    <w:rsid w:val="000C412C"/>
    <w:rsid w:val="000C60E5"/>
    <w:rsid w:val="000D295F"/>
    <w:rsid w:val="000D2B8A"/>
    <w:rsid w:val="000D6FD4"/>
    <w:rsid w:val="000D7C10"/>
    <w:rsid w:val="000E0AE4"/>
    <w:rsid w:val="000E3DBC"/>
    <w:rsid w:val="000E7E0C"/>
    <w:rsid w:val="000F3545"/>
    <w:rsid w:val="000F65DF"/>
    <w:rsid w:val="001008BE"/>
    <w:rsid w:val="00113CE3"/>
    <w:rsid w:val="00116AB6"/>
    <w:rsid w:val="00117522"/>
    <w:rsid w:val="001238A1"/>
    <w:rsid w:val="001251D2"/>
    <w:rsid w:val="00126F91"/>
    <w:rsid w:val="00127AA6"/>
    <w:rsid w:val="0013129D"/>
    <w:rsid w:val="00135347"/>
    <w:rsid w:val="001363DE"/>
    <w:rsid w:val="001366B4"/>
    <w:rsid w:val="001425BD"/>
    <w:rsid w:val="0015006E"/>
    <w:rsid w:val="00151550"/>
    <w:rsid w:val="001542D8"/>
    <w:rsid w:val="001544C4"/>
    <w:rsid w:val="0015717F"/>
    <w:rsid w:val="001644DC"/>
    <w:rsid w:val="00172222"/>
    <w:rsid w:val="001739CA"/>
    <w:rsid w:val="00180C41"/>
    <w:rsid w:val="00182C4C"/>
    <w:rsid w:val="00183EFD"/>
    <w:rsid w:val="00186568"/>
    <w:rsid w:val="00186BD1"/>
    <w:rsid w:val="00186E70"/>
    <w:rsid w:val="00195254"/>
    <w:rsid w:val="00196F03"/>
    <w:rsid w:val="00197D8D"/>
    <w:rsid w:val="001A1A75"/>
    <w:rsid w:val="001A7E9A"/>
    <w:rsid w:val="001B1130"/>
    <w:rsid w:val="001B4E55"/>
    <w:rsid w:val="001C24F8"/>
    <w:rsid w:val="001C27A3"/>
    <w:rsid w:val="001C282C"/>
    <w:rsid w:val="001C3D2F"/>
    <w:rsid w:val="001C5295"/>
    <w:rsid w:val="001C592C"/>
    <w:rsid w:val="001C6F40"/>
    <w:rsid w:val="001C7B26"/>
    <w:rsid w:val="001D024D"/>
    <w:rsid w:val="001D61DA"/>
    <w:rsid w:val="001D783B"/>
    <w:rsid w:val="001E09FA"/>
    <w:rsid w:val="001E2275"/>
    <w:rsid w:val="001E7A9F"/>
    <w:rsid w:val="001F5B9C"/>
    <w:rsid w:val="001F6652"/>
    <w:rsid w:val="001F719F"/>
    <w:rsid w:val="001F74B2"/>
    <w:rsid w:val="001F7871"/>
    <w:rsid w:val="00203540"/>
    <w:rsid w:val="00210ADB"/>
    <w:rsid w:val="00216508"/>
    <w:rsid w:val="00216ACB"/>
    <w:rsid w:val="00217916"/>
    <w:rsid w:val="00221D07"/>
    <w:rsid w:val="00223E03"/>
    <w:rsid w:val="00224D9A"/>
    <w:rsid w:val="00227E4A"/>
    <w:rsid w:val="00231A69"/>
    <w:rsid w:val="00236F3B"/>
    <w:rsid w:val="00241BCB"/>
    <w:rsid w:val="002425B0"/>
    <w:rsid w:val="002432EE"/>
    <w:rsid w:val="002456BC"/>
    <w:rsid w:val="0024582E"/>
    <w:rsid w:val="002459D7"/>
    <w:rsid w:val="00246027"/>
    <w:rsid w:val="002460FE"/>
    <w:rsid w:val="00247248"/>
    <w:rsid w:val="00247DFE"/>
    <w:rsid w:val="00250B46"/>
    <w:rsid w:val="0025472B"/>
    <w:rsid w:val="002547EF"/>
    <w:rsid w:val="00256D65"/>
    <w:rsid w:val="00256F5E"/>
    <w:rsid w:val="00261A30"/>
    <w:rsid w:val="002641AF"/>
    <w:rsid w:val="00267F5B"/>
    <w:rsid w:val="00270C87"/>
    <w:rsid w:val="00271F00"/>
    <w:rsid w:val="00272364"/>
    <w:rsid w:val="00273A80"/>
    <w:rsid w:val="0027513D"/>
    <w:rsid w:val="00276026"/>
    <w:rsid w:val="00280237"/>
    <w:rsid w:val="00281786"/>
    <w:rsid w:val="00281A3F"/>
    <w:rsid w:val="002851C8"/>
    <w:rsid w:val="002866A0"/>
    <w:rsid w:val="00290190"/>
    <w:rsid w:val="0029204E"/>
    <w:rsid w:val="00294BAD"/>
    <w:rsid w:val="00294DBD"/>
    <w:rsid w:val="0029631C"/>
    <w:rsid w:val="0029737F"/>
    <w:rsid w:val="002A0194"/>
    <w:rsid w:val="002A0B69"/>
    <w:rsid w:val="002A0F89"/>
    <w:rsid w:val="002A4206"/>
    <w:rsid w:val="002A5F8B"/>
    <w:rsid w:val="002A7F6C"/>
    <w:rsid w:val="002B0D8E"/>
    <w:rsid w:val="002B5B39"/>
    <w:rsid w:val="002B6335"/>
    <w:rsid w:val="002C4A91"/>
    <w:rsid w:val="002D001A"/>
    <w:rsid w:val="002D6809"/>
    <w:rsid w:val="002E086A"/>
    <w:rsid w:val="002F0191"/>
    <w:rsid w:val="002F0DD3"/>
    <w:rsid w:val="002F1144"/>
    <w:rsid w:val="002F2ED3"/>
    <w:rsid w:val="002F6488"/>
    <w:rsid w:val="0030279C"/>
    <w:rsid w:val="00310E84"/>
    <w:rsid w:val="00315A71"/>
    <w:rsid w:val="00320E68"/>
    <w:rsid w:val="003213F9"/>
    <w:rsid w:val="00323DBF"/>
    <w:rsid w:val="003264C7"/>
    <w:rsid w:val="00327C10"/>
    <w:rsid w:val="003309A8"/>
    <w:rsid w:val="003320C7"/>
    <w:rsid w:val="00332B12"/>
    <w:rsid w:val="0033470E"/>
    <w:rsid w:val="00336711"/>
    <w:rsid w:val="003434F0"/>
    <w:rsid w:val="003442CB"/>
    <w:rsid w:val="00344DE9"/>
    <w:rsid w:val="003455F7"/>
    <w:rsid w:val="00346335"/>
    <w:rsid w:val="00347183"/>
    <w:rsid w:val="00347935"/>
    <w:rsid w:val="00350DBD"/>
    <w:rsid w:val="00351927"/>
    <w:rsid w:val="00351B07"/>
    <w:rsid w:val="0036268A"/>
    <w:rsid w:val="003637BF"/>
    <w:rsid w:val="00364841"/>
    <w:rsid w:val="003649C2"/>
    <w:rsid w:val="00370445"/>
    <w:rsid w:val="00370A28"/>
    <w:rsid w:val="00371B29"/>
    <w:rsid w:val="00372052"/>
    <w:rsid w:val="00372182"/>
    <w:rsid w:val="0037520F"/>
    <w:rsid w:val="00375625"/>
    <w:rsid w:val="00377B67"/>
    <w:rsid w:val="003901D1"/>
    <w:rsid w:val="00391769"/>
    <w:rsid w:val="00392E2A"/>
    <w:rsid w:val="0039447F"/>
    <w:rsid w:val="003953E1"/>
    <w:rsid w:val="003956B3"/>
    <w:rsid w:val="003970A5"/>
    <w:rsid w:val="003A2114"/>
    <w:rsid w:val="003A68BE"/>
    <w:rsid w:val="003A7725"/>
    <w:rsid w:val="003B3C9D"/>
    <w:rsid w:val="003B57BE"/>
    <w:rsid w:val="003B78E0"/>
    <w:rsid w:val="003C400D"/>
    <w:rsid w:val="003C4969"/>
    <w:rsid w:val="003C4DF2"/>
    <w:rsid w:val="003C7456"/>
    <w:rsid w:val="003C754C"/>
    <w:rsid w:val="003D5297"/>
    <w:rsid w:val="003D6FEF"/>
    <w:rsid w:val="003E41D5"/>
    <w:rsid w:val="003E4342"/>
    <w:rsid w:val="003E4535"/>
    <w:rsid w:val="003E46BA"/>
    <w:rsid w:val="003E570C"/>
    <w:rsid w:val="003E7D22"/>
    <w:rsid w:val="003F6067"/>
    <w:rsid w:val="003F6DBC"/>
    <w:rsid w:val="003F74C1"/>
    <w:rsid w:val="004013C5"/>
    <w:rsid w:val="00405B1A"/>
    <w:rsid w:val="00406663"/>
    <w:rsid w:val="00407241"/>
    <w:rsid w:val="0040761E"/>
    <w:rsid w:val="00407DF4"/>
    <w:rsid w:val="004107BE"/>
    <w:rsid w:val="00410891"/>
    <w:rsid w:val="00410C76"/>
    <w:rsid w:val="00411907"/>
    <w:rsid w:val="00413CA8"/>
    <w:rsid w:val="00414818"/>
    <w:rsid w:val="00417EE3"/>
    <w:rsid w:val="00417FE5"/>
    <w:rsid w:val="004207EB"/>
    <w:rsid w:val="0042172C"/>
    <w:rsid w:val="004327D4"/>
    <w:rsid w:val="00433B19"/>
    <w:rsid w:val="00433D61"/>
    <w:rsid w:val="00435C78"/>
    <w:rsid w:val="00435FA5"/>
    <w:rsid w:val="00436B8D"/>
    <w:rsid w:val="00437276"/>
    <w:rsid w:val="00437E3A"/>
    <w:rsid w:val="00447E67"/>
    <w:rsid w:val="00451029"/>
    <w:rsid w:val="00454179"/>
    <w:rsid w:val="00454CBD"/>
    <w:rsid w:val="0045556F"/>
    <w:rsid w:val="00455BBC"/>
    <w:rsid w:val="00456B54"/>
    <w:rsid w:val="004634C2"/>
    <w:rsid w:val="004645CC"/>
    <w:rsid w:val="00464643"/>
    <w:rsid w:val="004646F8"/>
    <w:rsid w:val="004655A6"/>
    <w:rsid w:val="004859F7"/>
    <w:rsid w:val="00486793"/>
    <w:rsid w:val="004878E0"/>
    <w:rsid w:val="004944AB"/>
    <w:rsid w:val="00496403"/>
    <w:rsid w:val="0049729B"/>
    <w:rsid w:val="004A00D7"/>
    <w:rsid w:val="004A0434"/>
    <w:rsid w:val="004A2037"/>
    <w:rsid w:val="004A3685"/>
    <w:rsid w:val="004A4D7A"/>
    <w:rsid w:val="004A6EE2"/>
    <w:rsid w:val="004B0EB2"/>
    <w:rsid w:val="004B32B0"/>
    <w:rsid w:val="004B57BF"/>
    <w:rsid w:val="004B5EA7"/>
    <w:rsid w:val="004C2CE7"/>
    <w:rsid w:val="004C7EF7"/>
    <w:rsid w:val="004D11C4"/>
    <w:rsid w:val="004D30A6"/>
    <w:rsid w:val="004D6BBF"/>
    <w:rsid w:val="004D73C8"/>
    <w:rsid w:val="004D7C22"/>
    <w:rsid w:val="004E22FA"/>
    <w:rsid w:val="004E7FB2"/>
    <w:rsid w:val="004F0C59"/>
    <w:rsid w:val="004F329A"/>
    <w:rsid w:val="004F4F98"/>
    <w:rsid w:val="004F69F6"/>
    <w:rsid w:val="004F79AC"/>
    <w:rsid w:val="005015C4"/>
    <w:rsid w:val="005017CF"/>
    <w:rsid w:val="00503304"/>
    <w:rsid w:val="005041FA"/>
    <w:rsid w:val="00506379"/>
    <w:rsid w:val="00512290"/>
    <w:rsid w:val="00515536"/>
    <w:rsid w:val="00515E09"/>
    <w:rsid w:val="005168BF"/>
    <w:rsid w:val="005207D8"/>
    <w:rsid w:val="00521F70"/>
    <w:rsid w:val="00521FC9"/>
    <w:rsid w:val="00525803"/>
    <w:rsid w:val="0052649E"/>
    <w:rsid w:val="005269FB"/>
    <w:rsid w:val="00526C96"/>
    <w:rsid w:val="00530FA1"/>
    <w:rsid w:val="0053464E"/>
    <w:rsid w:val="005358B0"/>
    <w:rsid w:val="00537B58"/>
    <w:rsid w:val="005412DD"/>
    <w:rsid w:val="005461C5"/>
    <w:rsid w:val="00551ED9"/>
    <w:rsid w:val="00553802"/>
    <w:rsid w:val="00553969"/>
    <w:rsid w:val="00554422"/>
    <w:rsid w:val="00557B26"/>
    <w:rsid w:val="005627A2"/>
    <w:rsid w:val="00562917"/>
    <w:rsid w:val="005728FC"/>
    <w:rsid w:val="0057489E"/>
    <w:rsid w:val="00581571"/>
    <w:rsid w:val="0058353C"/>
    <w:rsid w:val="00583C4B"/>
    <w:rsid w:val="005858F8"/>
    <w:rsid w:val="00586228"/>
    <w:rsid w:val="0059227F"/>
    <w:rsid w:val="0059498B"/>
    <w:rsid w:val="00594FF9"/>
    <w:rsid w:val="005A1F28"/>
    <w:rsid w:val="005A280E"/>
    <w:rsid w:val="005A3A03"/>
    <w:rsid w:val="005A3C77"/>
    <w:rsid w:val="005A51B1"/>
    <w:rsid w:val="005B01E7"/>
    <w:rsid w:val="005B52F1"/>
    <w:rsid w:val="005B5DE4"/>
    <w:rsid w:val="005B615C"/>
    <w:rsid w:val="005B6AF4"/>
    <w:rsid w:val="005C04CB"/>
    <w:rsid w:val="005C161A"/>
    <w:rsid w:val="005C401D"/>
    <w:rsid w:val="005C71BA"/>
    <w:rsid w:val="005D1060"/>
    <w:rsid w:val="005D16AD"/>
    <w:rsid w:val="005D3CA8"/>
    <w:rsid w:val="005D72E1"/>
    <w:rsid w:val="005E24A9"/>
    <w:rsid w:val="005E2F53"/>
    <w:rsid w:val="005E62D8"/>
    <w:rsid w:val="005E6E16"/>
    <w:rsid w:val="005F400E"/>
    <w:rsid w:val="005F426C"/>
    <w:rsid w:val="005F51F2"/>
    <w:rsid w:val="005F727D"/>
    <w:rsid w:val="005F7342"/>
    <w:rsid w:val="00600E3C"/>
    <w:rsid w:val="0060305A"/>
    <w:rsid w:val="00603903"/>
    <w:rsid w:val="00603A08"/>
    <w:rsid w:val="00604E82"/>
    <w:rsid w:val="006066BC"/>
    <w:rsid w:val="00606C88"/>
    <w:rsid w:val="00610A3C"/>
    <w:rsid w:val="00610F66"/>
    <w:rsid w:val="006123C8"/>
    <w:rsid w:val="0061433A"/>
    <w:rsid w:val="00615414"/>
    <w:rsid w:val="0062049B"/>
    <w:rsid w:val="006211CD"/>
    <w:rsid w:val="00625DE6"/>
    <w:rsid w:val="00627AF6"/>
    <w:rsid w:val="00627F48"/>
    <w:rsid w:val="00633ACA"/>
    <w:rsid w:val="006342E0"/>
    <w:rsid w:val="0063678C"/>
    <w:rsid w:val="0064231A"/>
    <w:rsid w:val="00642A47"/>
    <w:rsid w:val="00646FDD"/>
    <w:rsid w:val="0064793F"/>
    <w:rsid w:val="00650DA0"/>
    <w:rsid w:val="006601E8"/>
    <w:rsid w:val="00662837"/>
    <w:rsid w:val="00663FCF"/>
    <w:rsid w:val="00665006"/>
    <w:rsid w:val="006652A2"/>
    <w:rsid w:val="00680201"/>
    <w:rsid w:val="00681754"/>
    <w:rsid w:val="00681D53"/>
    <w:rsid w:val="00683E69"/>
    <w:rsid w:val="00685269"/>
    <w:rsid w:val="00693103"/>
    <w:rsid w:val="006937FF"/>
    <w:rsid w:val="00696285"/>
    <w:rsid w:val="006965BF"/>
    <w:rsid w:val="006A0342"/>
    <w:rsid w:val="006A48A7"/>
    <w:rsid w:val="006B4BA1"/>
    <w:rsid w:val="006C28E2"/>
    <w:rsid w:val="006C36A1"/>
    <w:rsid w:val="006C405D"/>
    <w:rsid w:val="006C5CF5"/>
    <w:rsid w:val="006C6E05"/>
    <w:rsid w:val="006D4F5E"/>
    <w:rsid w:val="006D4FDA"/>
    <w:rsid w:val="006E4C9C"/>
    <w:rsid w:val="006E527D"/>
    <w:rsid w:val="006E648A"/>
    <w:rsid w:val="006F17A0"/>
    <w:rsid w:val="006F2F86"/>
    <w:rsid w:val="006F3423"/>
    <w:rsid w:val="006F4A82"/>
    <w:rsid w:val="006F5526"/>
    <w:rsid w:val="006F5912"/>
    <w:rsid w:val="00700239"/>
    <w:rsid w:val="0070049C"/>
    <w:rsid w:val="00700B8D"/>
    <w:rsid w:val="0070326E"/>
    <w:rsid w:val="0070373B"/>
    <w:rsid w:val="0070533E"/>
    <w:rsid w:val="00705C26"/>
    <w:rsid w:val="00707E72"/>
    <w:rsid w:val="00711370"/>
    <w:rsid w:val="007113EB"/>
    <w:rsid w:val="0072132B"/>
    <w:rsid w:val="0072150F"/>
    <w:rsid w:val="00724FA4"/>
    <w:rsid w:val="007255BA"/>
    <w:rsid w:val="00726C2F"/>
    <w:rsid w:val="00730800"/>
    <w:rsid w:val="007368AB"/>
    <w:rsid w:val="00737902"/>
    <w:rsid w:val="00741EFE"/>
    <w:rsid w:val="007548FF"/>
    <w:rsid w:val="00755F63"/>
    <w:rsid w:val="007602AA"/>
    <w:rsid w:val="0076051A"/>
    <w:rsid w:val="00760F32"/>
    <w:rsid w:val="00764D33"/>
    <w:rsid w:val="007652EF"/>
    <w:rsid w:val="00767388"/>
    <w:rsid w:val="007679D8"/>
    <w:rsid w:val="00772BDC"/>
    <w:rsid w:val="00773033"/>
    <w:rsid w:val="007733B6"/>
    <w:rsid w:val="00774C99"/>
    <w:rsid w:val="00775E20"/>
    <w:rsid w:val="00780792"/>
    <w:rsid w:val="00791818"/>
    <w:rsid w:val="00795DA4"/>
    <w:rsid w:val="00795EB6"/>
    <w:rsid w:val="0079772A"/>
    <w:rsid w:val="007A343C"/>
    <w:rsid w:val="007A44B4"/>
    <w:rsid w:val="007A7382"/>
    <w:rsid w:val="007A7D3D"/>
    <w:rsid w:val="007B1DA6"/>
    <w:rsid w:val="007B225D"/>
    <w:rsid w:val="007B49C3"/>
    <w:rsid w:val="007C174F"/>
    <w:rsid w:val="007C1C64"/>
    <w:rsid w:val="007C662D"/>
    <w:rsid w:val="007D40A1"/>
    <w:rsid w:val="007E1549"/>
    <w:rsid w:val="007E1A39"/>
    <w:rsid w:val="007E48BC"/>
    <w:rsid w:val="007E5946"/>
    <w:rsid w:val="007E5DFE"/>
    <w:rsid w:val="007E79F7"/>
    <w:rsid w:val="007F17AC"/>
    <w:rsid w:val="007F2C51"/>
    <w:rsid w:val="007F3630"/>
    <w:rsid w:val="007F57CD"/>
    <w:rsid w:val="00806CA9"/>
    <w:rsid w:val="00807559"/>
    <w:rsid w:val="008158B4"/>
    <w:rsid w:val="00820535"/>
    <w:rsid w:val="008264E8"/>
    <w:rsid w:val="0083040D"/>
    <w:rsid w:val="008325BE"/>
    <w:rsid w:val="00837E2A"/>
    <w:rsid w:val="00844BED"/>
    <w:rsid w:val="008450BC"/>
    <w:rsid w:val="00851A60"/>
    <w:rsid w:val="0085334B"/>
    <w:rsid w:val="00857C3F"/>
    <w:rsid w:val="0086586E"/>
    <w:rsid w:val="00867B23"/>
    <w:rsid w:val="00870214"/>
    <w:rsid w:val="008728D3"/>
    <w:rsid w:val="00872959"/>
    <w:rsid w:val="008729C5"/>
    <w:rsid w:val="00874561"/>
    <w:rsid w:val="00876515"/>
    <w:rsid w:val="008820BF"/>
    <w:rsid w:val="008828D9"/>
    <w:rsid w:val="00884684"/>
    <w:rsid w:val="0088532B"/>
    <w:rsid w:val="00885C51"/>
    <w:rsid w:val="00885EB0"/>
    <w:rsid w:val="008869F4"/>
    <w:rsid w:val="00887615"/>
    <w:rsid w:val="008918FA"/>
    <w:rsid w:val="0089264A"/>
    <w:rsid w:val="00895832"/>
    <w:rsid w:val="00896B85"/>
    <w:rsid w:val="00897554"/>
    <w:rsid w:val="008A0C08"/>
    <w:rsid w:val="008A22BE"/>
    <w:rsid w:val="008A26C3"/>
    <w:rsid w:val="008A3221"/>
    <w:rsid w:val="008A35FB"/>
    <w:rsid w:val="008A4150"/>
    <w:rsid w:val="008B0075"/>
    <w:rsid w:val="008B5567"/>
    <w:rsid w:val="008B624A"/>
    <w:rsid w:val="008C0E7A"/>
    <w:rsid w:val="008C1B36"/>
    <w:rsid w:val="008C368B"/>
    <w:rsid w:val="008C5436"/>
    <w:rsid w:val="008D035C"/>
    <w:rsid w:val="008D06C6"/>
    <w:rsid w:val="008D3B7E"/>
    <w:rsid w:val="008E59DF"/>
    <w:rsid w:val="008E6250"/>
    <w:rsid w:val="008F4E66"/>
    <w:rsid w:val="00901EF6"/>
    <w:rsid w:val="00902AF6"/>
    <w:rsid w:val="00902DBC"/>
    <w:rsid w:val="009110CE"/>
    <w:rsid w:val="00913863"/>
    <w:rsid w:val="00914030"/>
    <w:rsid w:val="0091409B"/>
    <w:rsid w:val="0091737E"/>
    <w:rsid w:val="00920249"/>
    <w:rsid w:val="00920A70"/>
    <w:rsid w:val="00924BFB"/>
    <w:rsid w:val="00924C80"/>
    <w:rsid w:val="009319A7"/>
    <w:rsid w:val="009326E0"/>
    <w:rsid w:val="00932F14"/>
    <w:rsid w:val="00933FDC"/>
    <w:rsid w:val="009409F4"/>
    <w:rsid w:val="0094247F"/>
    <w:rsid w:val="00942D60"/>
    <w:rsid w:val="00944617"/>
    <w:rsid w:val="00944BA4"/>
    <w:rsid w:val="0095238C"/>
    <w:rsid w:val="00955882"/>
    <w:rsid w:val="009639CE"/>
    <w:rsid w:val="0096523B"/>
    <w:rsid w:val="00966EE3"/>
    <w:rsid w:val="00972D06"/>
    <w:rsid w:val="009738BF"/>
    <w:rsid w:val="00980DBC"/>
    <w:rsid w:val="0098300A"/>
    <w:rsid w:val="00985535"/>
    <w:rsid w:val="009871F4"/>
    <w:rsid w:val="00991A2E"/>
    <w:rsid w:val="009935E1"/>
    <w:rsid w:val="00993E8D"/>
    <w:rsid w:val="00994C98"/>
    <w:rsid w:val="00995912"/>
    <w:rsid w:val="009965E7"/>
    <w:rsid w:val="009A1E08"/>
    <w:rsid w:val="009A391C"/>
    <w:rsid w:val="009A50F2"/>
    <w:rsid w:val="009A55D8"/>
    <w:rsid w:val="009A6987"/>
    <w:rsid w:val="009B187A"/>
    <w:rsid w:val="009B1A02"/>
    <w:rsid w:val="009B1E65"/>
    <w:rsid w:val="009B2992"/>
    <w:rsid w:val="009B2F05"/>
    <w:rsid w:val="009B7589"/>
    <w:rsid w:val="009C3200"/>
    <w:rsid w:val="009C4322"/>
    <w:rsid w:val="009C4343"/>
    <w:rsid w:val="009C755B"/>
    <w:rsid w:val="009D5234"/>
    <w:rsid w:val="009D790B"/>
    <w:rsid w:val="009D7EB9"/>
    <w:rsid w:val="009E0A61"/>
    <w:rsid w:val="009E3010"/>
    <w:rsid w:val="009E428B"/>
    <w:rsid w:val="009E4AC8"/>
    <w:rsid w:val="009F007E"/>
    <w:rsid w:val="009F0C69"/>
    <w:rsid w:val="009F1BCF"/>
    <w:rsid w:val="009F6481"/>
    <w:rsid w:val="009F7065"/>
    <w:rsid w:val="00A03BB6"/>
    <w:rsid w:val="00A04FBD"/>
    <w:rsid w:val="00A10C04"/>
    <w:rsid w:val="00A12B44"/>
    <w:rsid w:val="00A2277E"/>
    <w:rsid w:val="00A22C0B"/>
    <w:rsid w:val="00A22F30"/>
    <w:rsid w:val="00A23150"/>
    <w:rsid w:val="00A23D3B"/>
    <w:rsid w:val="00A32214"/>
    <w:rsid w:val="00A360D8"/>
    <w:rsid w:val="00A37ED8"/>
    <w:rsid w:val="00A40193"/>
    <w:rsid w:val="00A4175D"/>
    <w:rsid w:val="00A42B82"/>
    <w:rsid w:val="00A44987"/>
    <w:rsid w:val="00A46231"/>
    <w:rsid w:val="00A53B5B"/>
    <w:rsid w:val="00A541A8"/>
    <w:rsid w:val="00A54934"/>
    <w:rsid w:val="00A54B6A"/>
    <w:rsid w:val="00A56DC7"/>
    <w:rsid w:val="00A56E34"/>
    <w:rsid w:val="00A633E3"/>
    <w:rsid w:val="00A6618E"/>
    <w:rsid w:val="00A6628B"/>
    <w:rsid w:val="00A66C4F"/>
    <w:rsid w:val="00A74FD1"/>
    <w:rsid w:val="00A76F64"/>
    <w:rsid w:val="00A84A58"/>
    <w:rsid w:val="00A853C2"/>
    <w:rsid w:val="00A91DF1"/>
    <w:rsid w:val="00A92652"/>
    <w:rsid w:val="00A929F6"/>
    <w:rsid w:val="00A96268"/>
    <w:rsid w:val="00A976CA"/>
    <w:rsid w:val="00AA2837"/>
    <w:rsid w:val="00AA2905"/>
    <w:rsid w:val="00AA45B0"/>
    <w:rsid w:val="00AA760C"/>
    <w:rsid w:val="00AA7A32"/>
    <w:rsid w:val="00AB0275"/>
    <w:rsid w:val="00AB4ED0"/>
    <w:rsid w:val="00AB66AD"/>
    <w:rsid w:val="00AC44FE"/>
    <w:rsid w:val="00AC6D18"/>
    <w:rsid w:val="00AC74CB"/>
    <w:rsid w:val="00AD017E"/>
    <w:rsid w:val="00AD058F"/>
    <w:rsid w:val="00AD0C69"/>
    <w:rsid w:val="00AD22F9"/>
    <w:rsid w:val="00AD4425"/>
    <w:rsid w:val="00AD4FC3"/>
    <w:rsid w:val="00AD5526"/>
    <w:rsid w:val="00AD6E56"/>
    <w:rsid w:val="00AD7A3D"/>
    <w:rsid w:val="00AE4E6E"/>
    <w:rsid w:val="00AE766D"/>
    <w:rsid w:val="00AF06FC"/>
    <w:rsid w:val="00AF10EF"/>
    <w:rsid w:val="00AF3391"/>
    <w:rsid w:val="00AF387F"/>
    <w:rsid w:val="00AF46AB"/>
    <w:rsid w:val="00AF602C"/>
    <w:rsid w:val="00B00E7F"/>
    <w:rsid w:val="00B01FE9"/>
    <w:rsid w:val="00B04EED"/>
    <w:rsid w:val="00B128F2"/>
    <w:rsid w:val="00B1379D"/>
    <w:rsid w:val="00B139D9"/>
    <w:rsid w:val="00B173DA"/>
    <w:rsid w:val="00B174DD"/>
    <w:rsid w:val="00B21DCC"/>
    <w:rsid w:val="00B239AD"/>
    <w:rsid w:val="00B25F37"/>
    <w:rsid w:val="00B402AA"/>
    <w:rsid w:val="00B42E41"/>
    <w:rsid w:val="00B4399C"/>
    <w:rsid w:val="00B44422"/>
    <w:rsid w:val="00B458C1"/>
    <w:rsid w:val="00B46EA0"/>
    <w:rsid w:val="00B47247"/>
    <w:rsid w:val="00B50998"/>
    <w:rsid w:val="00B51E03"/>
    <w:rsid w:val="00B5485B"/>
    <w:rsid w:val="00B63F15"/>
    <w:rsid w:val="00B64080"/>
    <w:rsid w:val="00B6566D"/>
    <w:rsid w:val="00B65710"/>
    <w:rsid w:val="00B65DE3"/>
    <w:rsid w:val="00B67666"/>
    <w:rsid w:val="00B70D23"/>
    <w:rsid w:val="00B71F51"/>
    <w:rsid w:val="00B731D3"/>
    <w:rsid w:val="00B750BA"/>
    <w:rsid w:val="00B80A02"/>
    <w:rsid w:val="00B82908"/>
    <w:rsid w:val="00B839A3"/>
    <w:rsid w:val="00B84788"/>
    <w:rsid w:val="00B8490B"/>
    <w:rsid w:val="00B84D93"/>
    <w:rsid w:val="00B853D2"/>
    <w:rsid w:val="00B902BD"/>
    <w:rsid w:val="00B92D2B"/>
    <w:rsid w:val="00B93FED"/>
    <w:rsid w:val="00B9694C"/>
    <w:rsid w:val="00B96A17"/>
    <w:rsid w:val="00B97728"/>
    <w:rsid w:val="00BA2357"/>
    <w:rsid w:val="00BA24E2"/>
    <w:rsid w:val="00BA43E1"/>
    <w:rsid w:val="00BA6698"/>
    <w:rsid w:val="00BB1466"/>
    <w:rsid w:val="00BB32D0"/>
    <w:rsid w:val="00BB5930"/>
    <w:rsid w:val="00BC1549"/>
    <w:rsid w:val="00BC4FE0"/>
    <w:rsid w:val="00BD2A39"/>
    <w:rsid w:val="00BD2E80"/>
    <w:rsid w:val="00BD6453"/>
    <w:rsid w:val="00BD6E67"/>
    <w:rsid w:val="00BE11B8"/>
    <w:rsid w:val="00BE3818"/>
    <w:rsid w:val="00BE3A98"/>
    <w:rsid w:val="00BF2F15"/>
    <w:rsid w:val="00BF7FF0"/>
    <w:rsid w:val="00C11C31"/>
    <w:rsid w:val="00C12502"/>
    <w:rsid w:val="00C1266C"/>
    <w:rsid w:val="00C14FD2"/>
    <w:rsid w:val="00C17981"/>
    <w:rsid w:val="00C22962"/>
    <w:rsid w:val="00C33902"/>
    <w:rsid w:val="00C33A4A"/>
    <w:rsid w:val="00C34995"/>
    <w:rsid w:val="00C3597B"/>
    <w:rsid w:val="00C36578"/>
    <w:rsid w:val="00C40AA5"/>
    <w:rsid w:val="00C44204"/>
    <w:rsid w:val="00C46F70"/>
    <w:rsid w:val="00C476D0"/>
    <w:rsid w:val="00C56545"/>
    <w:rsid w:val="00C56933"/>
    <w:rsid w:val="00C56F71"/>
    <w:rsid w:val="00C60CC4"/>
    <w:rsid w:val="00C63391"/>
    <w:rsid w:val="00C63580"/>
    <w:rsid w:val="00C675D9"/>
    <w:rsid w:val="00C702C3"/>
    <w:rsid w:val="00C73CFB"/>
    <w:rsid w:val="00C81572"/>
    <w:rsid w:val="00C836E3"/>
    <w:rsid w:val="00C8372E"/>
    <w:rsid w:val="00C86577"/>
    <w:rsid w:val="00C92A77"/>
    <w:rsid w:val="00C92E07"/>
    <w:rsid w:val="00C94942"/>
    <w:rsid w:val="00C95A55"/>
    <w:rsid w:val="00C96868"/>
    <w:rsid w:val="00C96A50"/>
    <w:rsid w:val="00CA0416"/>
    <w:rsid w:val="00CA3C65"/>
    <w:rsid w:val="00CA6BC0"/>
    <w:rsid w:val="00CA7F35"/>
    <w:rsid w:val="00CB1375"/>
    <w:rsid w:val="00CB2550"/>
    <w:rsid w:val="00CB40D3"/>
    <w:rsid w:val="00CB4E7F"/>
    <w:rsid w:val="00CB771F"/>
    <w:rsid w:val="00CC36E7"/>
    <w:rsid w:val="00CC372C"/>
    <w:rsid w:val="00CC560B"/>
    <w:rsid w:val="00CC75E2"/>
    <w:rsid w:val="00CD00C7"/>
    <w:rsid w:val="00CD0D12"/>
    <w:rsid w:val="00CD3E82"/>
    <w:rsid w:val="00CD46EB"/>
    <w:rsid w:val="00CD5553"/>
    <w:rsid w:val="00CD5B0A"/>
    <w:rsid w:val="00CD7EBF"/>
    <w:rsid w:val="00CE0410"/>
    <w:rsid w:val="00CE07A4"/>
    <w:rsid w:val="00CE0AEB"/>
    <w:rsid w:val="00CE25C8"/>
    <w:rsid w:val="00CF33A7"/>
    <w:rsid w:val="00D04529"/>
    <w:rsid w:val="00D056F1"/>
    <w:rsid w:val="00D062E4"/>
    <w:rsid w:val="00D06E97"/>
    <w:rsid w:val="00D1042A"/>
    <w:rsid w:val="00D11171"/>
    <w:rsid w:val="00D13AFA"/>
    <w:rsid w:val="00D1408C"/>
    <w:rsid w:val="00D14405"/>
    <w:rsid w:val="00D2071E"/>
    <w:rsid w:val="00D209C9"/>
    <w:rsid w:val="00D21227"/>
    <w:rsid w:val="00D22F3C"/>
    <w:rsid w:val="00D2335F"/>
    <w:rsid w:val="00D23DB6"/>
    <w:rsid w:val="00D26814"/>
    <w:rsid w:val="00D3171B"/>
    <w:rsid w:val="00D33F56"/>
    <w:rsid w:val="00D34068"/>
    <w:rsid w:val="00D345FA"/>
    <w:rsid w:val="00D4042E"/>
    <w:rsid w:val="00D41523"/>
    <w:rsid w:val="00D43FE6"/>
    <w:rsid w:val="00D453EB"/>
    <w:rsid w:val="00D51780"/>
    <w:rsid w:val="00D51A95"/>
    <w:rsid w:val="00D52829"/>
    <w:rsid w:val="00D5335C"/>
    <w:rsid w:val="00D60568"/>
    <w:rsid w:val="00D676CF"/>
    <w:rsid w:val="00D70C7A"/>
    <w:rsid w:val="00D7345B"/>
    <w:rsid w:val="00D73931"/>
    <w:rsid w:val="00D7557C"/>
    <w:rsid w:val="00D80D71"/>
    <w:rsid w:val="00D814B1"/>
    <w:rsid w:val="00D81D38"/>
    <w:rsid w:val="00D83939"/>
    <w:rsid w:val="00D845A3"/>
    <w:rsid w:val="00D8470F"/>
    <w:rsid w:val="00D8471A"/>
    <w:rsid w:val="00D91CED"/>
    <w:rsid w:val="00D942EA"/>
    <w:rsid w:val="00D95D59"/>
    <w:rsid w:val="00DA10A8"/>
    <w:rsid w:val="00DA13B4"/>
    <w:rsid w:val="00DA2470"/>
    <w:rsid w:val="00DA34D9"/>
    <w:rsid w:val="00DB072A"/>
    <w:rsid w:val="00DB16AA"/>
    <w:rsid w:val="00DB1E08"/>
    <w:rsid w:val="00DB2973"/>
    <w:rsid w:val="00DB2B75"/>
    <w:rsid w:val="00DB324A"/>
    <w:rsid w:val="00DB6DA8"/>
    <w:rsid w:val="00DB7A08"/>
    <w:rsid w:val="00DC013B"/>
    <w:rsid w:val="00DC1B56"/>
    <w:rsid w:val="00DC2129"/>
    <w:rsid w:val="00DC37AD"/>
    <w:rsid w:val="00DC3C72"/>
    <w:rsid w:val="00DC6570"/>
    <w:rsid w:val="00DD3C5E"/>
    <w:rsid w:val="00DD4251"/>
    <w:rsid w:val="00DE6D24"/>
    <w:rsid w:val="00DE6E16"/>
    <w:rsid w:val="00DE79D9"/>
    <w:rsid w:val="00DE7CFD"/>
    <w:rsid w:val="00DF25C3"/>
    <w:rsid w:val="00DF3CDD"/>
    <w:rsid w:val="00DF67FC"/>
    <w:rsid w:val="00E00A72"/>
    <w:rsid w:val="00E025C7"/>
    <w:rsid w:val="00E04062"/>
    <w:rsid w:val="00E04EBD"/>
    <w:rsid w:val="00E06247"/>
    <w:rsid w:val="00E063C6"/>
    <w:rsid w:val="00E064D2"/>
    <w:rsid w:val="00E1315B"/>
    <w:rsid w:val="00E15B17"/>
    <w:rsid w:val="00E2003B"/>
    <w:rsid w:val="00E203C2"/>
    <w:rsid w:val="00E2146C"/>
    <w:rsid w:val="00E23715"/>
    <w:rsid w:val="00E24DE8"/>
    <w:rsid w:val="00E279D8"/>
    <w:rsid w:val="00E319B1"/>
    <w:rsid w:val="00E32556"/>
    <w:rsid w:val="00E36B62"/>
    <w:rsid w:val="00E37BFF"/>
    <w:rsid w:val="00E40ED4"/>
    <w:rsid w:val="00E43512"/>
    <w:rsid w:val="00E44E0D"/>
    <w:rsid w:val="00E520FE"/>
    <w:rsid w:val="00E52275"/>
    <w:rsid w:val="00E5492F"/>
    <w:rsid w:val="00E5567D"/>
    <w:rsid w:val="00E55D3F"/>
    <w:rsid w:val="00E6190D"/>
    <w:rsid w:val="00E62B19"/>
    <w:rsid w:val="00E62DEF"/>
    <w:rsid w:val="00E66995"/>
    <w:rsid w:val="00E6771A"/>
    <w:rsid w:val="00E70A86"/>
    <w:rsid w:val="00E70E74"/>
    <w:rsid w:val="00E710BD"/>
    <w:rsid w:val="00E72650"/>
    <w:rsid w:val="00E75054"/>
    <w:rsid w:val="00E751D6"/>
    <w:rsid w:val="00E777EC"/>
    <w:rsid w:val="00E8084A"/>
    <w:rsid w:val="00E80FCD"/>
    <w:rsid w:val="00E81F6E"/>
    <w:rsid w:val="00E821D9"/>
    <w:rsid w:val="00E866F2"/>
    <w:rsid w:val="00E90E41"/>
    <w:rsid w:val="00E95CBE"/>
    <w:rsid w:val="00E9648E"/>
    <w:rsid w:val="00EA361E"/>
    <w:rsid w:val="00EA6087"/>
    <w:rsid w:val="00EA7F2F"/>
    <w:rsid w:val="00EB4264"/>
    <w:rsid w:val="00EB6122"/>
    <w:rsid w:val="00EB781B"/>
    <w:rsid w:val="00EC00DE"/>
    <w:rsid w:val="00EC00E9"/>
    <w:rsid w:val="00EC30E1"/>
    <w:rsid w:val="00ED172A"/>
    <w:rsid w:val="00ED269E"/>
    <w:rsid w:val="00EE0A23"/>
    <w:rsid w:val="00EE44B6"/>
    <w:rsid w:val="00F02BB1"/>
    <w:rsid w:val="00F0374C"/>
    <w:rsid w:val="00F0750B"/>
    <w:rsid w:val="00F1042D"/>
    <w:rsid w:val="00F1087D"/>
    <w:rsid w:val="00F14BEC"/>
    <w:rsid w:val="00F15963"/>
    <w:rsid w:val="00F16CCD"/>
    <w:rsid w:val="00F20466"/>
    <w:rsid w:val="00F225C5"/>
    <w:rsid w:val="00F23836"/>
    <w:rsid w:val="00F253AF"/>
    <w:rsid w:val="00F2587A"/>
    <w:rsid w:val="00F33945"/>
    <w:rsid w:val="00F33BB8"/>
    <w:rsid w:val="00F367E7"/>
    <w:rsid w:val="00F3715D"/>
    <w:rsid w:val="00F420C8"/>
    <w:rsid w:val="00F42937"/>
    <w:rsid w:val="00F42A4C"/>
    <w:rsid w:val="00F53B04"/>
    <w:rsid w:val="00F5465D"/>
    <w:rsid w:val="00F54B54"/>
    <w:rsid w:val="00F60079"/>
    <w:rsid w:val="00F604DE"/>
    <w:rsid w:val="00F63787"/>
    <w:rsid w:val="00F64653"/>
    <w:rsid w:val="00F75646"/>
    <w:rsid w:val="00F84203"/>
    <w:rsid w:val="00F907A3"/>
    <w:rsid w:val="00F96948"/>
    <w:rsid w:val="00F96A97"/>
    <w:rsid w:val="00FA21A0"/>
    <w:rsid w:val="00FA4C88"/>
    <w:rsid w:val="00FB0F08"/>
    <w:rsid w:val="00FB1533"/>
    <w:rsid w:val="00FB2984"/>
    <w:rsid w:val="00FB67A3"/>
    <w:rsid w:val="00FB7512"/>
    <w:rsid w:val="00FC0D53"/>
    <w:rsid w:val="00FC162D"/>
    <w:rsid w:val="00FC1681"/>
    <w:rsid w:val="00FC4F69"/>
    <w:rsid w:val="00FD0CAB"/>
    <w:rsid w:val="00FD2FBE"/>
    <w:rsid w:val="00FD7547"/>
    <w:rsid w:val="00FD7F6D"/>
    <w:rsid w:val="00FE70B4"/>
    <w:rsid w:val="00FF0C76"/>
    <w:rsid w:val="00FF2A32"/>
    <w:rsid w:val="00FF44C4"/>
    <w:rsid w:val="00FF47E7"/>
    <w:rsid w:val="00FF507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940A1"/>
  <w15:docId w15:val="{FC272DDE-40A5-44F7-AA2B-33B8B57A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D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127AA6"/>
    <w:pPr>
      <w:keepNext/>
    </w:pPr>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8A0C08"/>
    <w:pPr>
      <w:ind w:left="720"/>
      <w:contextualSpacing/>
    </w:pPr>
  </w:style>
  <w:style w:type="character" w:styleId="Strong">
    <w:name w:val="Strong"/>
    <w:basedOn w:val="DefaultParagraphFont"/>
    <w:uiPriority w:val="22"/>
    <w:qFormat/>
    <w:rsid w:val="00526C96"/>
    <w:rPr>
      <w:b/>
      <w:bCs/>
    </w:rPr>
  </w:style>
  <w:style w:type="paragraph" w:styleId="NormalWeb">
    <w:name w:val="Normal (Web)"/>
    <w:basedOn w:val="Normal"/>
    <w:uiPriority w:val="99"/>
    <w:unhideWhenUsed/>
    <w:rsid w:val="00994C98"/>
    <w:pPr>
      <w:widowControl/>
      <w:spacing w:before="100" w:beforeAutospacing="1" w:after="100" w:afterAutospacing="1"/>
    </w:pPr>
    <w:rPr>
      <w:rFonts w:ascii="Times New Roman" w:hAnsi="Times New Roman"/>
      <w:sz w:val="24"/>
      <w:lang w:eastAsia="en-GB" w:bidi="ar-SA"/>
    </w:rPr>
  </w:style>
  <w:style w:type="table" w:customStyle="1" w:styleId="TableGrid2">
    <w:name w:val="Table Grid2"/>
    <w:basedOn w:val="TableNormal"/>
    <w:next w:val="TableGrid"/>
    <w:rsid w:val="00A10C04"/>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rsid w:val="00A10C04"/>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F6481"/>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5139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0731451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1865876">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code/changes/Pages/Documents-for-public-comment.asp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s://www.accessdata.fda.gov/scripts/cdrh/cfdocs/cfcfr/CFRSearch.cfm?fr=173.375" TargetMode="External"/><Relationship Id="rId2" Type="http://schemas.openxmlformats.org/officeDocument/2006/relationships/customXml" Target="../customXml/item2.xml"/><Relationship Id="rId16" Type="http://schemas.openxmlformats.org/officeDocument/2006/relationships/hyperlink" Target="https://www.foodstandards.gov.au/code/changes/Pages/Documents-for-public-comment.aspx" TargetMode="External"/><Relationship Id="rId20" Type="http://schemas.openxmlformats.org/officeDocument/2006/relationships/hyperlink" Target="mailto:standards.management@foodstandard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1215.aspx" TargetMode="External"/><Relationship Id="rId28" Type="http://schemas.openxmlformats.org/officeDocument/2006/relationships/fontTable" Target="fontTable.xml"/><Relationship Id="rId15" Type="http://schemas.openxmlformats.org/officeDocument/2006/relationships/hyperlink" Target="https://www.foodstandards.gov.au/code/changes/Pages/Documents-for-public-comment.asp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27" Type="http://schemas.openxmlformats.org/officeDocument/2006/relationships/hyperlink" Target="http://www.legislation.gov.au"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s://www.mpi.govt.nz/food-business/poultry-egg-processing-requirements/" TargetMode="External"/><Relationship Id="rId1" Type="http://schemas.openxmlformats.org/officeDocument/2006/relationships/hyperlink" Target="https://www.fsis.usda.gov/policy/fsis-directives/71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C643-FBC9-4CD8-93DE-414E920BC7BB}"/>
</file>

<file path=customXml/itemProps2.xml><?xml version="1.0" encoding="utf-8"?>
<ds:datastoreItem xmlns:ds="http://schemas.openxmlformats.org/officeDocument/2006/customXml" ds:itemID="{48784C81-C11E-400D-9DD3-1E204F5BE289}"/>
</file>

<file path=customXml/itemProps3.xml><?xml version="1.0" encoding="utf-8"?>
<ds:datastoreItem xmlns:ds="http://schemas.openxmlformats.org/officeDocument/2006/customXml" ds:itemID="{F7F169B7-A221-4029-BC61-8B60BAE4D636}"/>
</file>

<file path=customXml/itemProps4.xml><?xml version="1.0" encoding="utf-8"?>
<ds:datastoreItem xmlns:ds="http://schemas.openxmlformats.org/officeDocument/2006/customXml" ds:itemID="{8EBD61F4-8DA1-4E8B-BB87-736665580235}">
  <ds:schemaRefs>
    <ds:schemaRef ds:uri="http://schemas.microsoft.com/sharepoint/events"/>
  </ds:schemaRefs>
</ds:datastoreItem>
</file>

<file path=customXml/itemProps5.xml><?xml version="1.0" encoding="utf-8"?>
<ds:datastoreItem xmlns:ds="http://schemas.openxmlformats.org/officeDocument/2006/customXml" ds:itemID="{23D1BD4E-B474-40B4-95BB-AE62328F7A25}">
  <ds:schemaRefs>
    <ds:schemaRef ds:uri="Microsoft.SharePoint.Taxonomy.ContentTypeSync"/>
  </ds:schemaRefs>
</ds:datastoreItem>
</file>

<file path=customXml/itemProps6.xml><?xml version="1.0" encoding="utf-8"?>
<ds:datastoreItem xmlns:ds="http://schemas.openxmlformats.org/officeDocument/2006/customXml" ds:itemID="{96963E15-C000-45C3-8A46-31B0CA369BEC}"/>
</file>

<file path=customXml/itemProps7.xml><?xml version="1.0" encoding="utf-8"?>
<ds:datastoreItem xmlns:ds="http://schemas.openxmlformats.org/officeDocument/2006/customXml" ds:itemID="{6E7DF635-3BC8-4190-B827-4E309B25795E}"/>
</file>

<file path=docProps/app.xml><?xml version="1.0" encoding="utf-8"?>
<Properties xmlns="http://schemas.openxmlformats.org/officeDocument/2006/extended-properties" xmlns:vt="http://schemas.openxmlformats.org/officeDocument/2006/docPropsVTypes">
  <Template>Report - Call for submissions, assessment summary</Template>
  <TotalTime>2</TotalTime>
  <Pages>1</Pages>
  <Words>8609</Words>
  <Characters>49075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57569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Sally Ronaldson</cp:lastModifiedBy>
  <cp:revision>5</cp:revision>
  <cp:lastPrinted>2022-03-10T22:56:00Z</cp:lastPrinted>
  <dcterms:created xsi:type="dcterms:W3CDTF">2022-03-10T22:54:00Z</dcterms:created>
  <dcterms:modified xsi:type="dcterms:W3CDTF">2022-03-10T22:56:00Z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d398517f-424e-411a-b153-305fcdc3eb4a</vt:lpwstr>
  </property>
  <property fmtid="{D5CDD505-2E9C-101B-9397-08002B2CF9AE}" pid="9" name="RecordPoint_WorkflowType">
    <vt:lpwstr>ActiveSubmitStub</vt:lpwstr>
  </property>
  <property fmtid="{D5CDD505-2E9C-101B-9397-08002B2CF9AE}" pid="10" name="RecordPoint_ActiveItemUniqueId">
    <vt:lpwstr>{d398517f-424e-411a-b153-305fcdc3eb4a}</vt:lpwstr>
  </property>
  <property fmtid="{D5CDD505-2E9C-101B-9397-08002B2CF9AE}" pid="11" name="RecordPoint_ActiveItemWebId">
    <vt:lpwstr>{18941c75-2f11-4070-83a4-c64af5a0311c}</vt:lpwstr>
  </property>
  <property fmtid="{D5CDD505-2E9C-101B-9397-08002B2CF9AE}" pid="12" name="RecordPoint_ActiveItemSiteId">
    <vt:lpwstr>{dd95a578-5c6a-4f11-92f7-f95884d628d6}</vt:lpwstr>
  </property>
  <property fmtid="{D5CDD505-2E9C-101B-9397-08002B2CF9AE}" pid="13" name="RecordPoint_ActiveItemListId">
    <vt:lpwstr>{732670ae-6f64-4e5e-9b96-c7a4059c4b85}</vt:lpwstr>
  </property>
  <property fmtid="{D5CDD505-2E9C-101B-9397-08002B2CF9AE}" pid="14" name="RecordPoint_RecordNumberSubmitted">
    <vt:lpwstr>R0000195606</vt:lpwstr>
  </property>
  <property fmtid="{D5CDD505-2E9C-101B-9397-08002B2CF9AE}" pid="15" name="RecordPoint_SubmissionCompleted">
    <vt:lpwstr>2022-03-10T11:40:09.1417939+11:00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